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13816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</w:t>
      </w:r>
      <w:r>
        <w:rPr>
          <w:rFonts w:ascii="宋体" w:hAnsi="宋体" w:eastAsia="宋体" w:cs="宋体"/>
          <w:b/>
          <w:sz w:val="28"/>
          <w:szCs w:val="28"/>
        </w:rPr>
        <w:t>6</w:t>
      </w:r>
      <w:r>
        <w:rPr>
          <w:rFonts w:hint="eastAsia" w:ascii="宋体" w:hAnsi="宋体" w:eastAsia="宋体" w:cs="宋体"/>
          <w:b/>
          <w:sz w:val="28"/>
          <w:szCs w:val="28"/>
        </w:rPr>
        <w:t>年第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42</w:t>
      </w:r>
      <w:r>
        <w:rPr>
          <w:rFonts w:hint="eastAsia" w:ascii="宋体" w:hAnsi="宋体" w:eastAsia="宋体" w:cs="宋体"/>
          <w:b/>
          <w:sz w:val="28"/>
          <w:szCs w:val="28"/>
        </w:rPr>
        <w:t>周</w:t>
      </w:r>
    </w:p>
    <w:p w14:paraId="33BD876F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中国大陆学者发表的结核病英文文章摘要</w:t>
      </w:r>
    </w:p>
    <w:p w14:paraId="3B010A26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27</w:t>
      </w:r>
      <w:bookmarkStart w:id="0" w:name="_GoBack"/>
      <w:bookmarkEnd w:id="0"/>
      <w:r>
        <w:rPr>
          <w:rFonts w:hint="eastAsia" w:ascii="宋体" w:hAnsi="宋体" w:eastAsia="宋体" w:cs="宋体"/>
          <w:b/>
          <w:sz w:val="28"/>
          <w:szCs w:val="28"/>
        </w:rPr>
        <w:t>篇）</w:t>
      </w:r>
    </w:p>
    <w:p w14:paraId="21046732">
      <w:pPr>
        <w:jc w:val="left"/>
        <w:rPr>
          <w:rFonts w:ascii="宋体" w:hAnsi="宋体" w:eastAsia="宋体" w:cs="宋体"/>
          <w:szCs w:val="24"/>
        </w:rPr>
      </w:pPr>
    </w:p>
    <w:p w14:paraId="7C13C355">
      <w:pPr>
        <w:jc w:val="left"/>
        <w:rPr>
          <w:rFonts w:hint="default" w:ascii="宋体" w:hAnsi="宋体" w:eastAsia="宋体" w:cs="宋体"/>
          <w:b/>
          <w:color w:val="FF000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PubMed  Publication date: 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b/>
          <w:color w:val="FF0000"/>
          <w:szCs w:val="24"/>
        </w:rPr>
        <w:t>---202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18</w:t>
      </w:r>
    </w:p>
    <w:p w14:paraId="50A50AAA">
      <w:pPr>
        <w:jc w:val="left"/>
        <w:rPr>
          <w:rFonts w:ascii="宋体" w:hAnsi="宋体" w:eastAsia="宋体" w:cs="宋体"/>
          <w:b/>
          <w:color w:val="FF0000"/>
          <w:szCs w:val="21"/>
        </w:rPr>
      </w:pPr>
      <w:r>
        <w:rPr>
          <w:rFonts w:hint="eastAsia" w:ascii="宋体" w:hAnsi="宋体" w:eastAsia="宋体" w:cs="宋体"/>
          <w:b/>
          <w:color w:val="FF0000"/>
          <w:szCs w:val="21"/>
        </w:rPr>
        <w:t>(tuberculosis[Title/Abstract]) AND (English[Language]) AND</w:t>
      </w:r>
      <w:r>
        <w:rPr>
          <w:rFonts w:ascii="宋体" w:hAnsi="宋体" w:eastAsia="宋体" w:cs="宋体"/>
          <w:b/>
          <w:color w:val="FF0000"/>
          <w:szCs w:val="21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1"/>
        </w:rPr>
        <w:t>(China[Affiliation])</w:t>
      </w:r>
    </w:p>
    <w:p w14:paraId="551812EB">
      <w:pPr>
        <w:jc w:val="left"/>
        <w:rPr>
          <w:rFonts w:ascii="宋体" w:hAnsi="宋体" w:eastAsia="宋体" w:cs="宋体"/>
          <w:b/>
          <w:color w:val="FF0000"/>
          <w:szCs w:val="21"/>
        </w:rPr>
      </w:pPr>
    </w:p>
    <w:p w14:paraId="5B50600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Patient Prefer Adherence. 2026 Oct 5;20:639585. doi: 10.2147/PPA.S639585. </w:t>
      </w:r>
    </w:p>
    <w:p w14:paraId="25C25AC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5DEE4A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7D851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Association Between Tuberculosis-Related Stigma and Sleep Quality Among </w:t>
      </w:r>
    </w:p>
    <w:p w14:paraId="1B692E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Hospitalized Tuberculosis Patients: The Indirect Role of Anxiety.</w:t>
      </w:r>
    </w:p>
    <w:p w14:paraId="6DC7BE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0BFE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Yao R(1), Zhao X(2), Du J(1), Huang M(1), Xie F(1), Hu Y(1), He D(1), Yu L(1), </w:t>
      </w:r>
    </w:p>
    <w:p w14:paraId="4ECEF3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Huang Y(1), Yang X(#)(1), Zhou Y(#)(1).</w:t>
      </w:r>
    </w:p>
    <w:p w14:paraId="0DAA12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5305F6">
      <w:pP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Rong Yao,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Xia Zhao,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Jinxia Du,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Min Huang,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Fanghui Xie,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Yinping Hu,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Dingling He,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Lingling Yu,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Yin Huang,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Xiaoyi Yang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Yan Zhou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</w:p>
    <w:p w14:paraId="7488A1CD">
      <w:pPr>
        <w:jc w:val="left"/>
        <w:rPr>
          <w:rFonts w:hint="eastAsia" w:ascii="宋体" w:hAnsi="宋体" w:eastAsia="宋体" w:cs="宋体"/>
          <w:b/>
          <w:bCs w:val="0"/>
          <w:color w:val="0070C0"/>
          <w:szCs w:val="24"/>
        </w:rPr>
      </w:pP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Correspondence: Xiaoyi Yang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Email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：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1365390609@qq.com; Yan Zhou, Email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：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2284301514@qq.com</w:t>
      </w:r>
    </w:p>
    <w:p w14:paraId="6D0D13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AC9F2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681EA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(1)The Department of Tuberculosis, Public Health Clinical Center of Chengdu, </w:t>
      </w:r>
    </w:p>
    <w:p w14:paraId="4E4CFC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Chengdu, Sichuan, People's Republic of China.</w:t>
      </w:r>
    </w:p>
    <w:p w14:paraId="2D98E1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(2)The Department of Nursing, Public Health Clinical Center of Chengdu, Chengdu, </w:t>
      </w:r>
    </w:p>
    <w:p w14:paraId="1DEDBD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Sichuan, People's Republic of China.</w:t>
      </w:r>
    </w:p>
    <w:p w14:paraId="5F6619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413E7F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D14E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To investigate the relationship between perceived stigma and sleep </w:t>
      </w:r>
    </w:p>
    <w:p w14:paraId="38E5C0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quality among hospitalized tuberculosis patients, and to examine the indirect </w:t>
      </w:r>
    </w:p>
    <w:p w14:paraId="40B3DC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role of anxiety in this relationship.</w:t>
      </w:r>
    </w:p>
    <w:p w14:paraId="7C97B3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cross-sectional study design was employed. A convenience sample of </w:t>
      </w:r>
    </w:p>
    <w:p w14:paraId="4B855B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2179 tuberculosis patients was selected and assessed using the TB-Related Stigma </w:t>
      </w:r>
    </w:p>
    <w:p w14:paraId="7542BE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Scale (TSS), the Self-Rating Anxiety Scale (SAS), and the Pittsburgh Sleep </w:t>
      </w:r>
    </w:p>
    <w:p w14:paraId="10BDFF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Quality Index (PSQI). The indirect effect of anxiety was examined using the </w:t>
      </w:r>
    </w:p>
    <w:p w14:paraId="77F23E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PROCESS macro (Model 4; Hayes, 2018) with 5000 bootstrap resamples to generate </w:t>
      </w:r>
    </w:p>
    <w:p w14:paraId="099F41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95% bias-corrected confidence intervals for indirect effects.</w:t>
      </w:r>
    </w:p>
    <w:p w14:paraId="00F3A1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Perceived stigma was positively associated with PSQI scores (r = 0.143, </w:t>
      </w:r>
    </w:p>
    <w:p w14:paraId="449B36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 &lt; 0.01), indicating that higher perceived stigma was associated with poorer </w:t>
      </w:r>
    </w:p>
    <w:p w14:paraId="1CF91B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sleep quality. Perceived stigma was also positively correlated with anxiety (r = </w:t>
      </w:r>
    </w:p>
    <w:p w14:paraId="37CDE1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0.180, p &lt; 0.01), and anxiety was positively associated with PSQI scores (r = </w:t>
      </w:r>
    </w:p>
    <w:p w14:paraId="479217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0.446, p &lt; 0.01), suggesting that higher anxiety was also associated with poorer </w:t>
      </w:r>
    </w:p>
    <w:p w14:paraId="1819E5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sleep quality.</w:t>
      </w:r>
    </w:p>
    <w:p w14:paraId="211AE1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Perceived stigma was indirectly associated with sleep quality </w:t>
      </w:r>
    </w:p>
    <w:p w14:paraId="63D38E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through anxiety. These findings suggest that perceived stigma and anxiety may be </w:t>
      </w:r>
    </w:p>
    <w:p w14:paraId="1B036A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potential contributing factors related to sleep quality in this population. </w:t>
      </w:r>
    </w:p>
    <w:p w14:paraId="72E0AC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Given the cross-sectional design, they should be interpreted as </w:t>
      </w:r>
    </w:p>
    <w:p w14:paraId="1BF759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hypotheses-generating rather than evidence of causal intervention effects; </w:t>
      </w:r>
    </w:p>
    <w:p w14:paraId="2994DC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future intervention studies may consider combined approaches-such as cognitive </w:t>
      </w:r>
    </w:p>
    <w:p w14:paraId="58A69E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behavioral therapy together with social support and anxiety-management </w:t>
      </w:r>
    </w:p>
    <w:p w14:paraId="73A2A9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interventions-to examine whether targeting perceived stigma and anxiety improves </w:t>
      </w:r>
    </w:p>
    <w:p w14:paraId="36F14F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sleep outcomes.</w:t>
      </w:r>
    </w:p>
    <w:p w14:paraId="67EB96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0EB3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Yao et al.</w:t>
      </w:r>
    </w:p>
    <w:p w14:paraId="36FCED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CDA6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10.2147/PPA.S639585</w:t>
      </w:r>
    </w:p>
    <w:p w14:paraId="3FF9C2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PMC13651734</w:t>
      </w:r>
    </w:p>
    <w:p w14:paraId="253A46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42857224</w:t>
      </w:r>
    </w:p>
    <w:p w14:paraId="2A99D6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D52C2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Nat Commun. 2026 Oct 9;17(1):10646. doi: 10.1038/s41467-026-78496-8.</w:t>
      </w:r>
    </w:p>
    <w:p w14:paraId="05076A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6886F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Recognition and mechanism of M. tuberculosis cell wall galactan transport.</w:t>
      </w:r>
    </w:p>
    <w:p w14:paraId="516E67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CA6E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Wei C(#)(1), Abrahams KA(#)(2), Krisilia V(#)(3), Li J(1), Gurcha SS(2), Derr </w:t>
      </w:r>
    </w:p>
    <w:p w14:paraId="0F75C6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E(3), Hänisch M(3), Kalscheuer R(4), Besra GS(5), Rao Z(1)(6), Zhang L(7)(8).</w:t>
      </w:r>
    </w:p>
    <w:p w14:paraId="325DD2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B7A66C">
      <w:pP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Chuancun Wei,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Katherine A Abrahams,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Violetta Krisilia,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Jian Li,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Sudagar S Gurcha,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Eveline Derr,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Milena Hänisch,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Rainer Kalscheuer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Gurdyal S Besra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Zihe Rao,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Lu Zhang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</w:p>
    <w:p w14:paraId="0674B33E">
      <w:pPr>
        <w:jc w:val="left"/>
        <w:rPr>
          <w:rFonts w:hint="eastAsia" w:ascii="宋体" w:hAnsi="宋体" w:eastAsia="宋体" w:cs="宋体"/>
          <w:b/>
          <w:bCs w:val="0"/>
          <w:color w:val="0070C0"/>
          <w:szCs w:val="24"/>
        </w:rPr>
      </w:pPr>
      <w:r>
        <w:rPr>
          <w:rFonts w:hint="eastAsia" w:ascii="宋体" w:hAnsi="宋体" w:eastAsia="宋体" w:cs="宋体"/>
          <w:b/>
          <w:bCs w:val="0"/>
          <w:color w:val="0070C0"/>
          <w:sz w:val="24"/>
          <w:szCs w:val="24"/>
          <w:lang w:val="en-US" w:eastAsia="zh-CN"/>
        </w:rPr>
        <w:t>*</w:t>
      </w:r>
      <w:r>
        <w:rPr>
          <w:rFonts w:ascii="宋体" w:hAnsi="宋体" w:eastAsia="宋体" w:cs="宋体"/>
          <w:b/>
          <w:bCs w:val="0"/>
          <w:color w:val="0070C0"/>
          <w:sz w:val="24"/>
          <w:szCs w:val="24"/>
        </w:rPr>
        <w:t xml:space="preserve">e-mail: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Rainer Kalscheuer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，</w:t>
      </w:r>
      <w:r>
        <w:rPr>
          <w:rFonts w:ascii="宋体" w:hAnsi="宋体" w:eastAsia="宋体" w:cs="宋体"/>
          <w:b/>
          <w:bCs w:val="0"/>
          <w:color w:val="0070C0"/>
          <w:sz w:val="24"/>
          <w:szCs w:val="24"/>
        </w:rPr>
        <w:t xml:space="preserve">rainer.kalscheuer@hhu.de;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Gurdyal S Besra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，</w:t>
      </w:r>
      <w:r>
        <w:rPr>
          <w:rFonts w:ascii="宋体" w:hAnsi="宋体" w:eastAsia="宋体" w:cs="宋体"/>
          <w:b/>
          <w:bCs w:val="0"/>
          <w:color w:val="0070C0"/>
          <w:sz w:val="24"/>
          <w:szCs w:val="24"/>
        </w:rPr>
        <w:t xml:space="preserve">g.besra@bham.ac.uk;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Lu Zhang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，</w:t>
      </w:r>
      <w:r>
        <w:rPr>
          <w:rFonts w:ascii="宋体" w:hAnsi="宋体" w:eastAsia="宋体" w:cs="宋体"/>
          <w:b/>
          <w:bCs w:val="0"/>
          <w:color w:val="0070C0"/>
          <w:sz w:val="24"/>
          <w:szCs w:val="24"/>
        </w:rPr>
        <w:t>zhanglu1@shanghaitech.edu.cn</w:t>
      </w:r>
    </w:p>
    <w:p w14:paraId="68CD5F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C52EB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88C44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(1)Shanghai Institute for Advanced Immunochemical Studies, School of Life </w:t>
      </w:r>
    </w:p>
    <w:p w14:paraId="72F5D5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 and Technology, ShanghaiTech University, Shanghai, China.</w:t>
      </w:r>
    </w:p>
    <w:p w14:paraId="3D7249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(2)Institute of Microbiology and Infection, School of Biosciences, University of </w:t>
      </w:r>
    </w:p>
    <w:p w14:paraId="77050D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Birmingham, Edgbaston, Birmingham, UK.</w:t>
      </w:r>
    </w:p>
    <w:p w14:paraId="65A50A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(3)Heinrich Heine University Düsseldorf, Faculty of Mathematics and Natural </w:t>
      </w:r>
    </w:p>
    <w:p w14:paraId="599480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Sciences, Institute of Pharmaceutical Biology and Biotechnology, Düsseldorf, </w:t>
      </w:r>
    </w:p>
    <w:p w14:paraId="4F4020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Germany.</w:t>
      </w:r>
    </w:p>
    <w:p w14:paraId="118D36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(4)Heinrich Heine University Düsseldorf, Faculty of Mathematics and Natural </w:t>
      </w:r>
    </w:p>
    <w:p w14:paraId="404092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Sciences, Institute of Pharmaceutical Biology and Biotechnology, Düsseldorf, </w:t>
      </w:r>
    </w:p>
    <w:p w14:paraId="5A3ED9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Germany. rainer.kalscheuer@hhu.de.</w:t>
      </w:r>
    </w:p>
    <w:p w14:paraId="4F77FF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(5)Institute of Microbiology and Infection, School of Biosciences, University of </w:t>
      </w:r>
    </w:p>
    <w:p w14:paraId="7B332E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Birmingham, Edgbaston, Birmingham, UK. g.besra@bham.ac.uk.</w:t>
      </w:r>
    </w:p>
    <w:p w14:paraId="26911B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(6)Laboratory of Structural Biology, Tsinghua University, Beijing, China.</w:t>
      </w:r>
    </w:p>
    <w:p w14:paraId="30B8EC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(7)Shanghai Institute for Advanced Immunochemical Studies, School of Life </w:t>
      </w:r>
    </w:p>
    <w:p w14:paraId="2AEF24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Science and Technology, ShanghaiTech University, Shanghai, China. </w:t>
      </w:r>
    </w:p>
    <w:p w14:paraId="3D8806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zhanglu1@shanghaitech.edu.cn.</w:t>
      </w:r>
    </w:p>
    <w:p w14:paraId="1623BC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(8)Shanghai Clinical Research and Trial Center, Shanghai, China. </w:t>
      </w:r>
    </w:p>
    <w:p w14:paraId="47B4D8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zhanglu1@shanghaitech.edu.cn.</w:t>
      </w:r>
    </w:p>
    <w:p w14:paraId="703B3B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12D57E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0EA6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Mycobacterial-derived lipid-linked galactan (LLG) is an essential component of </w:t>
      </w:r>
    </w:p>
    <w:p w14:paraId="10E57E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Mycobacterial tuberculosis (Mtb) cell wall core arabinogalactan (AG), a </w:t>
      </w:r>
    </w:p>
    <w:p w14:paraId="0EFD46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well-established virulence factor and target of anti-tubercular drugs. </w:t>
      </w:r>
    </w:p>
    <w:p w14:paraId="260FCB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Cross-membrane translocation of LLG is energetically unfavorable and is </w:t>
      </w:r>
    </w:p>
    <w:p w14:paraId="6DC1F5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therefore catalyzed by WzmWzt, a prominent member of the polysaccharide ABC </w:t>
      </w:r>
    </w:p>
    <w:p w14:paraId="1DDE00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transporter sub-family. Here we present cryo-EM structures of WzmWztMtb to </w:t>
      </w:r>
    </w:p>
    <w:p w14:paraId="35C1C5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uncover critical steps of Mtb LLG translocation. Notably, densities suggestive </w:t>
      </w:r>
    </w:p>
    <w:p w14:paraId="726E86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the mycobacterial-derived LLG substrates were observed in the structure of </w:t>
      </w:r>
    </w:p>
    <w:p w14:paraId="0CD04A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WzmWztMtb, indicating that the substrate may bind through two Wzm and two Wzt </w:t>
      </w:r>
    </w:p>
    <w:p w14:paraId="6DCB27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subunits. This proposed LLG binding is fulfilled by a fully upward extension of </w:t>
      </w:r>
    </w:p>
    <w:p w14:paraId="0F4E59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Wzt gate helix, which serves as a critical step to prime Wzt for </w:t>
      </w:r>
    </w:p>
    <w:p w14:paraId="249229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dimerization. The ATP-bound structure revealed a remarkable downward movement of </w:t>
      </w:r>
    </w:p>
    <w:p w14:paraId="3371E3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gate helix, together with the Wzt dimerization. The third, DDM/ATP-bound </w:t>
      </w:r>
    </w:p>
    <w:p w14:paraId="1A011A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structure captured WztWzmMtb in an intermediate state with two DDM molecules in </w:t>
      </w:r>
    </w:p>
    <w:p w14:paraId="1051F5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Wzm central cavity. Using two conditional mycobacterial mutants for </w:t>
      </w:r>
    </w:p>
    <w:p w14:paraId="3B64A5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functional analyses, we have identified residues on the Wzm N-terminal interface </w:t>
      </w:r>
    </w:p>
    <w:p w14:paraId="067922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helix (IFN) and on the Wzt helical domain are essential for LLG recognition and </w:t>
      </w:r>
    </w:p>
    <w:p w14:paraId="768FD6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translocation in vivo. These data provide a clear structural basis for the </w:t>
      </w:r>
    </w:p>
    <w:p w14:paraId="74B2BB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development of Mtb cell wall targeted therapeutics for global tuberculosis </w:t>
      </w:r>
    </w:p>
    <w:p w14:paraId="112EF7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treatment.</w:t>
      </w:r>
    </w:p>
    <w:p w14:paraId="6C7987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9FCC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150FEF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58A8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10.1038/s41467-026-78496-8</w:t>
      </w:r>
    </w:p>
    <w:p w14:paraId="76FDF8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PMC13649706</w:t>
      </w:r>
    </w:p>
    <w:p w14:paraId="6446A0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42850284 [Indexed for MEDLINE]</w:t>
      </w:r>
    </w:p>
    <w:p w14:paraId="230BEA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614A1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Environ Epidemiol. 2026 Oct 6;10(5):e531. doi: 10.1097/EE9.0000000000000531. </w:t>
      </w:r>
    </w:p>
    <w:p w14:paraId="099FD6F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Oct.</w:t>
      </w:r>
    </w:p>
    <w:p w14:paraId="4FC58A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9029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Ambient temperature variability and newly diagnosed tuberculosis: Evidence from </w:t>
      </w:r>
    </w:p>
    <w:p w14:paraId="2E83EE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 time-stratified case-crossover study.</w:t>
      </w:r>
    </w:p>
    <w:p w14:paraId="2A2D5C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D3F9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Zhang J(1), Xiang K(2), Zhang Y(1), Xu Q(1), Kan X(1).</w:t>
      </w:r>
    </w:p>
    <w:p w14:paraId="350847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F72C151">
      <w:pP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Jingjing Zhang,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Kun Xiang,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Yongzhong Zhang,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Qinghua Xu,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Xiaohong Kan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</w:p>
    <w:p w14:paraId="103CD8F2">
      <w:pPr>
        <w:rPr>
          <w:rFonts w:hint="eastAsia" w:ascii="宋体" w:hAnsi="宋体" w:eastAsia="宋体" w:cs="宋体"/>
          <w:b/>
          <w:bCs w:val="0"/>
          <w:color w:val="0070C0"/>
          <w:szCs w:val="24"/>
        </w:rPr>
      </w:pP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*Corresponding Author. E-mail: kanxiaohong@ahmu.edu.cn (Xiaohong Kan).</w:t>
      </w:r>
    </w:p>
    <w:p w14:paraId="65BE57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6757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44765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(1)Anhui Provincial Center for Disease Control and Prevention, Hefei, China.</w:t>
      </w:r>
    </w:p>
    <w:p w14:paraId="7AF426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(2)College &amp; Hospital of Stomatology, Anhui Medical University, Anhui Provincial </w:t>
      </w:r>
    </w:p>
    <w:p w14:paraId="255E36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Key Laboratory of Oral Diseases Research, Hefei, China.</w:t>
      </w:r>
    </w:p>
    <w:p w14:paraId="791EE8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8D3F7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Environmental factors, particularly temperature-related exposures, </w:t>
      </w:r>
    </w:p>
    <w:p w14:paraId="024C7C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are increasingly recognized as important determinants of tuberculosis (TB) </w:t>
      </w:r>
    </w:p>
    <w:p w14:paraId="0D1D22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 progression and symptom manifestation. However, the evidence regarding </w:t>
      </w:r>
    </w:p>
    <w:p w14:paraId="06541B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associations of heat exposure, cold exposure, and diurnal temperature range </w:t>
      </w:r>
    </w:p>
    <w:p w14:paraId="0A35B5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(DTR) with newly diagnosed TB remains limited and inconsistent.</w:t>
      </w:r>
    </w:p>
    <w:p w14:paraId="0D7571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Data from Anhui Province between 1 January 2015 and 31 December 2024 </w:t>
      </w:r>
    </w:p>
    <w:p w14:paraId="2717C6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analyzed using a two-stage analytical framework based on a time-stratified </w:t>
      </w:r>
    </w:p>
    <w:p w14:paraId="543568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case-crossover study design. City-specific associations between temperature and </w:t>
      </w:r>
    </w:p>
    <w:p w14:paraId="4AD9AC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were pooled using a random-effects meta-analysis. Effect estimates were </w:t>
      </w:r>
    </w:p>
    <w:p w14:paraId="5026B4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presented as relative risks (RRs) with corresponding confidence intervals (CIs).</w:t>
      </w:r>
    </w:p>
    <w:p w14:paraId="2E9E13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total of 243,577 newly diagnosed TB cases were reported during the </w:t>
      </w:r>
    </w:p>
    <w:p w14:paraId="2D9BBD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study period. Compared with the median daily mean temperature, extreme heat </w:t>
      </w:r>
    </w:p>
    <w:p w14:paraId="4DE0B6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exposure (95th percentile of daily mean temperature) was positively associated </w:t>
      </w:r>
    </w:p>
    <w:p w14:paraId="4576F2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newly diagnosed TB (RR = 1.218, 95% CI = 1.171, 1.267). In contrast, </w:t>
      </w:r>
    </w:p>
    <w:p w14:paraId="643B2F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extreme cold exposure (fifth percentile of daily mean temperature) was </w:t>
      </w:r>
    </w:p>
    <w:p w14:paraId="2C233F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negatively associated with newly diagnosed TB (RR = 0.837, 95% CI = 0.784, </w:t>
      </w:r>
    </w:p>
    <w:p w14:paraId="0FB23A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0.893). Additionally, a greater DTR (95th percentile) was positively associated </w:t>
      </w:r>
    </w:p>
    <w:p w14:paraId="1B1850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newly diagnosed TB compared with the median DTR (RR = 1.320, 95% CI = </w:t>
      </w:r>
    </w:p>
    <w:p w14:paraId="0D65FD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1.153, 1.512). These associations remained robust across multiple sensitivity </w:t>
      </w:r>
    </w:p>
    <w:p w14:paraId="11324D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analyses.</w:t>
      </w:r>
    </w:p>
    <w:p w14:paraId="2D1949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Environmental temperature conditions are significantly associated </w:t>
      </w:r>
    </w:p>
    <w:p w14:paraId="0DA4D1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TB diagnosis. These findings suggest that temperature variability may </w:t>
      </w:r>
    </w:p>
    <w:p w14:paraId="1F241A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influence the timing of TB diagnosis and highlight the importance of </w:t>
      </w:r>
    </w:p>
    <w:p w14:paraId="2D9768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incorporating meteorological information into climate-sensitive TB surveillance </w:t>
      </w:r>
    </w:p>
    <w:p w14:paraId="096A65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public health preparedness.</w:t>
      </w:r>
    </w:p>
    <w:p w14:paraId="3FC69C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2800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The Authors. Published by Wolters Kluwer Health, LLC. on behalf </w:t>
      </w:r>
    </w:p>
    <w:p w14:paraId="02638E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The Environmental Epidemiology. All rights reserved.</w:t>
      </w:r>
    </w:p>
    <w:p w14:paraId="0D7932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267E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10.1097/EE9.0000000000000531</w:t>
      </w:r>
    </w:p>
    <w:p w14:paraId="4D8708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PMC13645473</w:t>
      </w:r>
    </w:p>
    <w:p w14:paraId="570089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42847108</w:t>
      </w:r>
    </w:p>
    <w:p w14:paraId="13DE9E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53057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Infect Dis. 2026 Oct 6:109168. doi: 10.1016/j.ijid.2026.109168. Online </w:t>
      </w:r>
    </w:p>
    <w:p w14:paraId="4ADBC06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355279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735CC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accuracy of the updated FUJIFILM SILVAMP TB LAM II assay for </w:t>
      </w:r>
    </w:p>
    <w:p w14:paraId="2E98F5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TB among HIV-negative outpatients at a primary-level clinic in rural </w:t>
      </w:r>
    </w:p>
    <w:p w14:paraId="3890C5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China.</w:t>
      </w:r>
    </w:p>
    <w:p w14:paraId="2D3063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F2228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Xu G(1), Qiu Y(2), Guo M(2), Qu R(2), Tian F(2), Wang G(2), Wang Y(2), Li M(3), </w:t>
      </w:r>
    </w:p>
    <w:p w14:paraId="4748D1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Xu P(4), Gao Q(5).</w:t>
      </w:r>
    </w:p>
    <w:p w14:paraId="0700D2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A7573E5">
      <w:pP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Gaoshun Xu,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Yong Qiu,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Mingcheng Guo,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Rong Qu,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Fajun Tian,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Gengsheng Wang,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Ya Wang,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Meng Li,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Peng Xu,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Qian Gao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</w:p>
    <w:p w14:paraId="18ED5FF9">
      <w:pPr>
        <w:rPr>
          <w:rFonts w:hint="eastAsia" w:ascii="宋体" w:hAnsi="宋体" w:eastAsia="宋体" w:cs="宋体"/>
          <w:b/>
          <w:bCs w:val="0"/>
          <w:color w:val="0070C0"/>
          <w:szCs w:val="24"/>
        </w:rPr>
      </w:pP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Correspondence and requests for reprints should be addressed to Qian Gao, E-mail address: qiangao@fudan.edu.cn (Qian Gao).</w:t>
      </w:r>
    </w:p>
    <w:p w14:paraId="583AA0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2558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F00BE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(1)Shanghai Institute of Infectious Disease and Biosecurity, Key Laboratory of </w:t>
      </w:r>
    </w:p>
    <w:p w14:paraId="0F4980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Medical Molecular Virology (MOE/NHC/CAMS), School of Basic Medical Science, </w:t>
      </w:r>
    </w:p>
    <w:p w14:paraId="63DFC0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Fudan University, Shanghai, PR China.</w:t>
      </w:r>
    </w:p>
    <w:p w14:paraId="6995EA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(2)Wusheng County Center for Disease Control and Prevention, Guang'an, PR China.</w:t>
      </w:r>
    </w:p>
    <w:p w14:paraId="76AD04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(3)Clinical Laboratory Experiment Center, Hangzhou Red Cross Hospital, Zhejiang, </w:t>
      </w:r>
    </w:p>
    <w:p w14:paraId="117125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 China.</w:t>
      </w:r>
    </w:p>
    <w:p w14:paraId="40FBA9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(4)National Clinical Research Center for Infectious Diseases, Shenzhen Clinical </w:t>
      </w:r>
    </w:p>
    <w:p w14:paraId="7E6A90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Research Center for Tuberculosis, Shenzhen Third People's Hospital, Shenzhen, </w:t>
      </w:r>
    </w:p>
    <w:p w14:paraId="7183E9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Guangdong, PR China.</w:t>
      </w:r>
    </w:p>
    <w:p w14:paraId="5045FE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(5)Shanghai Institute of Infectious Disease and Biosecurity, Key Laboratory of </w:t>
      </w:r>
    </w:p>
    <w:p w14:paraId="35C950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Medical Molecular Virology (MOE/NHC/CAMS), School of Basic Medical Science, </w:t>
      </w:r>
    </w:p>
    <w:p w14:paraId="27E0AF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Fudan University, Shanghai, PR China. Electronic address: qiangao@fudan.edu.cn.</w:t>
      </w:r>
    </w:p>
    <w:p w14:paraId="5600B8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B80D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Non-sputum-based diagnostic tests are a priority for tuberculosis </w:t>
      </w:r>
    </w:p>
    <w:p w14:paraId="0D409D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(TB) control. However, studies regarding urine lipoarabinomannan (LAM) tests in </w:t>
      </w:r>
    </w:p>
    <w:p w14:paraId="204B82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HIV-negative population remain limited. This study aimed to evaluate the </w:t>
      </w:r>
    </w:p>
    <w:p w14:paraId="75B28C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accuracy of FujiLAM II for pulmonary TB among HIV-negative outpatients in </w:t>
      </w:r>
    </w:p>
    <w:p w14:paraId="206342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primary-level healthcare settings.</w:t>
      </w:r>
    </w:p>
    <w:p w14:paraId="1F194A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prospective cohort study was conducted among outpatients with </w:t>
      </w:r>
    </w:p>
    <w:p w14:paraId="1E7163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presumptive pulmonary TB and healthy controls in rural China. Urine samples from </w:t>
      </w:r>
    </w:p>
    <w:p w14:paraId="745DEC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all participants were tested by FujiLAM II. Diagnostic accuracy was assessed </w:t>
      </w:r>
    </w:p>
    <w:p w14:paraId="33CF8A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against liquid culture, molecular test, microbiological reference standard (MRS) </w:t>
      </w:r>
    </w:p>
    <w:p w14:paraId="69F1DA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composite reference standard (CRS).</w:t>
      </w:r>
    </w:p>
    <w:p w14:paraId="51ACBE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408 presumptive pulmonary TB patients and 144 healthy controls were </w:t>
      </w:r>
    </w:p>
    <w:p w14:paraId="0CC672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included, which were entirely HIV-negative. Among presumptive patients, 125 </w:t>
      </w:r>
    </w:p>
    <w:p w14:paraId="1C69C1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(30.6%) were MRS-positive and 149 (36.5%) were CRS-positive. All healthy </w:t>
      </w:r>
    </w:p>
    <w:p w14:paraId="30E42F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controls were LAM-negative. Using liquid culture as the reference standard, </w:t>
      </w:r>
    </w:p>
    <w:p w14:paraId="45D3B5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FujiLAM II had a sensitivity of 35.8% (95% CI 26.4-46.3) and a specificity of </w:t>
      </w:r>
    </w:p>
    <w:p w14:paraId="1A7D9A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94.2% (95% CI 90.9-96.5). Against molecular assay, the sensitivity and </w:t>
      </w:r>
    </w:p>
    <w:p w14:paraId="01EAC6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specificity were 30.3% (95% CI 22.3-39.5) and 94.5% (95% CI 91.0-96.7). The </w:t>
      </w:r>
    </w:p>
    <w:p w14:paraId="192D0A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sensitivities were 29.6% (95% CI 21.9-38.5) and 29.5% (95% CI 22.5-37.6) against </w:t>
      </w:r>
    </w:p>
    <w:p w14:paraId="158D3D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MRS and CRS, respectively, with the corresponding specificities of 94.7% (95% CI </w:t>
      </w:r>
    </w:p>
    <w:p w14:paraId="61EE96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91.2-96.9) and 96.9% (95% CI 93.8-98.6). LAM-positive cases had a significantly </w:t>
      </w:r>
    </w:p>
    <w:p w14:paraId="79CB1F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shorter median liquid-culture time to positivity (9.5 vs 14.8 days, P = 0.002) </w:t>
      </w:r>
    </w:p>
    <w:p w14:paraId="34D2CA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were more frequently smear-positive (35.3% vs 13.3%, P = 0.018) than </w:t>
      </w:r>
    </w:p>
    <w:p w14:paraId="65B77E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LAM-negative cases, suggesting that bacillary burden may influenced FujiLAM II </w:t>
      </w:r>
    </w:p>
    <w:p w14:paraId="19D0C4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results.</w:t>
      </w:r>
    </w:p>
    <w:p w14:paraId="49AF93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FujiLAM II could serve as a complementary tool with high </w:t>
      </w:r>
    </w:p>
    <w:p w14:paraId="1104A8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specificity but limited sensitivity for pulmonary TB diagnosis among </w:t>
      </w:r>
    </w:p>
    <w:p w14:paraId="6137CB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HIV-negative outpatients in primary healthcare settings.</w:t>
      </w:r>
    </w:p>
    <w:p w14:paraId="3CFD51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2A77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Ltd.</w:t>
      </w:r>
    </w:p>
    <w:p w14:paraId="4EFAA0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B8FD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10.1016/j.ijid.2026.109168</w:t>
      </w:r>
    </w:p>
    <w:p w14:paraId="5C374B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42838260</w:t>
      </w:r>
    </w:p>
    <w:p w14:paraId="03F5AD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80D13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Front Microbiol. 2026 Sep 25;17:1980277. doi: 10.3389/fmicb.2026.1980277. </w:t>
      </w:r>
    </w:p>
    <w:p w14:paraId="7432295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718426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33A35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Neutrophil CD64 index for diagnosing and tracking treatment response across the </w:t>
      </w:r>
    </w:p>
    <w:p w14:paraId="5A4E3A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mycobacterial infection spectrum: a retrospective two-cohort study.</w:t>
      </w:r>
    </w:p>
    <w:p w14:paraId="495656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AE631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Chen Y(1), Ma X(1), Wang L(2), Li Y(3), Tong K(1), Yang J(1), Yu F(1)(4), Wu </w:t>
      </w:r>
    </w:p>
    <w:p w14:paraId="1CA232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X(1)(4).</w:t>
      </w:r>
    </w:p>
    <w:p w14:paraId="13FFF0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ADF08FC">
      <w:pP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Yuxi Chen,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Xu Ma,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Lei Wang,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Yankun Li,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Kun Tong,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Jinghui Yang,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Fangyou Yu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Xiaocui Wu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</w:p>
    <w:p w14:paraId="541A2F27">
      <w:pPr>
        <w:rPr>
          <w:rFonts w:hint="eastAsia" w:ascii="宋体" w:hAnsi="宋体" w:eastAsia="宋体" w:cs="宋体"/>
          <w:b/>
          <w:bCs w:val="0"/>
          <w:color w:val="0070C0"/>
          <w:szCs w:val="24"/>
        </w:rPr>
      </w:pP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*CORRESPONDENCE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Xiaocui Wu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wuxiaocui1210@163.com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Fangyou Yu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wzjxyfy@163.com</w:t>
      </w:r>
    </w:p>
    <w:p w14:paraId="7CC207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70685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97F1A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Clinical Laboratory Medicine, Shanghai Pulmonary Hospital, </w:t>
      </w:r>
    </w:p>
    <w:p w14:paraId="6980B4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School of Medicine, Tongji University, Shanghai, China.</w:t>
      </w:r>
    </w:p>
    <w:p w14:paraId="5F9EF9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Tuberculosis, Shanghai Pulmonary Hospital, School of Medicine, </w:t>
      </w:r>
    </w:p>
    <w:p w14:paraId="6ED4AF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Tongji University, Shanghai, China.</w:t>
      </w:r>
    </w:p>
    <w:p w14:paraId="59DD35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Pathology, Shanghai Pulmonary Hospital, School of Medicine, </w:t>
      </w:r>
    </w:p>
    <w:p w14:paraId="1490B8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Tongji University, Shanghai, China.</w:t>
      </w:r>
    </w:p>
    <w:p w14:paraId="7FDC89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(4)Shanghai Key Laboratory of Tuberculosis, Shanghai Pulmonary Hospital, School </w:t>
      </w:r>
    </w:p>
    <w:p w14:paraId="79AFC9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Medicine, Tongji University, Shanghai, China.</w:t>
      </w:r>
    </w:p>
    <w:p w14:paraId="14E3EF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E158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neutrophil CD64 (nCD64) index has emerged as a promising </w:t>
      </w:r>
    </w:p>
    <w:p w14:paraId="6CED04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biomarker for infection detection, but its evaluation within the mycobacterial </w:t>
      </w:r>
    </w:p>
    <w:p w14:paraId="72AA31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 spectrum remains limited. Here, we evaluated the diagnostic and </w:t>
      </w:r>
    </w:p>
    <w:p w14:paraId="66B61D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response performance of the nCD64 index in the active tuberculosis </w:t>
      </w:r>
    </w:p>
    <w:p w14:paraId="2B2A2A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(ATB)-including pulmonary tuberculosis (PTB) and extrapulmonary tuberculosis </w:t>
      </w:r>
    </w:p>
    <w:p w14:paraId="5CEF63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(ePTB), and non-tuberculous mycobacterial (NTM) disease, and determined whether </w:t>
      </w:r>
    </w:p>
    <w:p w14:paraId="2EF58D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it adds value beyond standard inflammatory indicators.</w:t>
      </w:r>
    </w:p>
    <w:p w14:paraId="0A1A89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measured the nCD64 index in a cross-sectional cohort comprising 248 </w:t>
      </w:r>
    </w:p>
    <w:p w14:paraId="0C2FDC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participants across five groups: ATB, latent tuberculosis infection (LTBI), NTM, </w:t>
      </w:r>
    </w:p>
    <w:p w14:paraId="12CA3C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bacterial pulmonary infection (PI) and healthy donors (HD). Patients with ATB </w:t>
      </w:r>
    </w:p>
    <w:p w14:paraId="4A0C97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NTM had not received anti-mycobacterial treatment at the time of enrollment. </w:t>
      </w:r>
    </w:p>
    <w:p w14:paraId="7CF93B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performance was assessed by receiver operating characteristic (ROC) </w:t>
      </w:r>
    </w:p>
    <w:p w14:paraId="772355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curve analysis, and incremental value beyond white blood cell (WBC) count and </w:t>
      </w:r>
    </w:p>
    <w:p w14:paraId="43D8BB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C-reactive protein (CRP) was evaluated by comparing an area under the curve </w:t>
      </w:r>
    </w:p>
    <w:p w14:paraId="2525E9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(AUC) with and without nCD64 index. In a separate longitudinal cohort of 244 </w:t>
      </w:r>
    </w:p>
    <w:p w14:paraId="3FEEFD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participants, nCD64 index was measured at baseline and months 1-3 of </w:t>
      </w:r>
    </w:p>
    <w:p w14:paraId="4BC720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anti-mycobacterial therapy, and longitudinal trajectories were compared between </w:t>
      </w:r>
    </w:p>
    <w:p w14:paraId="47A8D8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treatment-naive and retreatment patients using a linear mixed-effects (LME) </w:t>
      </w:r>
    </w:p>
    <w:p w14:paraId="3C272B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model.</w:t>
      </w:r>
    </w:p>
    <w:p w14:paraId="21048A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nCD64 index was markedly elevated in ATB compared to all other groups </w:t>
      </w:r>
    </w:p>
    <w:p w14:paraId="0DFD63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(all p &lt; 0.001). It discriminated ATB from LTBI with an AUC of 0.739 and PTB </w:t>
      </w:r>
    </w:p>
    <w:p w14:paraId="01D5E6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NTM with an AUC of 0.744. Addition of nCD64 index to WBC count </w:t>
      </w:r>
    </w:p>
    <w:p w14:paraId="2A0FCB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significantly improved AUC in four diagnostic comparisons with gains of 0.12 to </w:t>
      </w:r>
    </w:p>
    <w:p w14:paraId="751E3E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0.34, most markedly for PTB versus PI. nCD64 index was significantly higher in </w:t>
      </w:r>
    </w:p>
    <w:p w14:paraId="2E8313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PTB than NTM (p &lt; 0.001) with limited stratification by clinical features. In </w:t>
      </w:r>
    </w:p>
    <w:p w14:paraId="1FE07C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longitudinal cohort, nCD64 index declined progressively from month 1 in both </w:t>
      </w:r>
    </w:p>
    <w:p w14:paraId="4E02E9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PTB and NTM patients and remained lower through month 3. Treatment-naive </w:t>
      </w:r>
    </w:p>
    <w:p w14:paraId="150263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exhibited significantly steeper decline trajectories than retreatment </w:t>
      </w:r>
    </w:p>
    <w:p w14:paraId="2AEE46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patients (PTB p &lt; 0.001, NTM p = 0.004).</w:t>
      </w:r>
    </w:p>
    <w:p w14:paraId="5CBB92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nCD64 index discriminates ATB from LTBI and NTM, adds diagnostic </w:t>
      </w:r>
    </w:p>
    <w:p w14:paraId="0E08BD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value beyond routine inflammatory markers, and tracks serial changes during </w:t>
      </w:r>
    </w:p>
    <w:p w14:paraId="6B63DA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in both ATB and NTM. Treatment-naive patients showed more pronounced </w:t>
      </w:r>
    </w:p>
    <w:p w14:paraId="378919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decline trajectories, supporting particular utility of the nCD64 index for </w:t>
      </w:r>
    </w:p>
    <w:p w14:paraId="07EF26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tracking initial treatment response. It warrants further evaluation as a </w:t>
      </w:r>
    </w:p>
    <w:p w14:paraId="3854FC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complementary biomarker in the clinical management of mycobacterial infections.</w:t>
      </w:r>
    </w:p>
    <w:p w14:paraId="1318F7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4DC89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Chen, Ma, Wang, Li, Tong, Yang, Yu and Wu.</w:t>
      </w:r>
    </w:p>
    <w:p w14:paraId="3441AD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16C6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10.3389/fmicb.2026.1980277</w:t>
      </w:r>
    </w:p>
    <w:p w14:paraId="1F125A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PMC13649758</w:t>
      </w:r>
    </w:p>
    <w:p w14:paraId="1745C6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42857117</w:t>
      </w:r>
    </w:p>
    <w:p w14:paraId="70E739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6CBB3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Front Cell Infect Microbiol. 2026 Sep 25;16:1885489. doi: </w:t>
      </w:r>
    </w:p>
    <w:p w14:paraId="166CCBA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10.3389/fcimb.2026.1885489. eCollection 2026.</w:t>
      </w:r>
    </w:p>
    <w:p w14:paraId="455426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FAB7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DNA damage repair-related gene signatures delineate immune-distinct subtypes and </w:t>
      </w:r>
    </w:p>
    <w:p w14:paraId="69E33F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diagnostic cues in tuberculosis.</w:t>
      </w:r>
    </w:p>
    <w:p w14:paraId="1D9796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379C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Reyimu A(#)(1), Rahman M(#)(1), Abudurousuli A(#)(1), Cheng X(1), Liu X(1), Xu </w:t>
      </w:r>
    </w:p>
    <w:p w14:paraId="47CD22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A(1), Zou X(1).</w:t>
      </w:r>
    </w:p>
    <w:p w14:paraId="52FBA0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952EA1">
      <w:pP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Abdusemer Reyimu,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Mamatali Rahman,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Amina Abudurousuli,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Xiang Cheng,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Xiu Liu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Aimin Xu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Xiaoguang Zou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</w:p>
    <w:p w14:paraId="033DB8D0">
      <w:pPr>
        <w:rPr>
          <w:rFonts w:hint="eastAsia" w:ascii="宋体" w:hAnsi="宋体" w:eastAsia="宋体" w:cs="宋体"/>
          <w:b/>
          <w:bCs w:val="0"/>
          <w:color w:val="0070C0"/>
          <w:szCs w:val="24"/>
        </w:rPr>
      </w:pP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*CORRESPONDENCE Xiu Liu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16690095218@163.com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 xml:space="preserve"> Aimin Xu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xuaimin2022@163.com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 xml:space="preserve"> Xiaoguang Zou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zxgks@163.com</w:t>
      </w:r>
    </w:p>
    <w:p w14:paraId="13500D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C4E2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03A59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Laboratory Medicine, The First People's Hospital of Kashi, </w:t>
      </w:r>
    </w:p>
    <w:p w14:paraId="757403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Xinjiang, Kashi, China.</w:t>
      </w:r>
    </w:p>
    <w:p w14:paraId="627EC2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41ED1A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55F1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DNA damage repair-related genes (DDR-RGs) may shape tuberculosis </w:t>
      </w:r>
    </w:p>
    <w:p w14:paraId="503809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(TB) pathogenesis, but their molecular characteristics, diagnostic utility, and </w:t>
      </w:r>
    </w:p>
    <w:p w14:paraId="57F0F5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cellular context remain insufficiently defined.</w:t>
      </w:r>
    </w:p>
    <w:p w14:paraId="00A661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integrated multiple GEO transcriptome datasets, identified </w:t>
      </w:r>
    </w:p>
    <w:p w14:paraId="194631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differentially expressed genes, constructed weighted gene co-expression network </w:t>
      </w:r>
    </w:p>
    <w:p w14:paraId="486BC3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analysis modules, and intersected these results with curated DDR-RGs to obtain </w:t>
      </w:r>
    </w:p>
    <w:p w14:paraId="0B0862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candidate genes. An ensemble framework of 110 machine-learning model </w:t>
      </w:r>
    </w:p>
    <w:p w14:paraId="63C569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combinations was used to select diagnostic markers, followed by external </w:t>
      </w:r>
    </w:p>
    <w:p w14:paraId="16739C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validation, consensus clustering, immune infiltration analysis, single-cell </w:t>
      </w:r>
    </w:p>
    <w:p w14:paraId="4EC3D1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RNA-seq evaluation, and Comparative Toxicogenomics Database-based </w:t>
      </w:r>
    </w:p>
    <w:p w14:paraId="23DDEA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compound-association analysis.</w:t>
      </w:r>
    </w:p>
    <w:p w14:paraId="2F7A35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integrated training cohort included 134 samples; 94 differentially </w:t>
      </w:r>
    </w:p>
    <w:p w14:paraId="5EAF15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expressed genes and a 392-gene key module were identified, yielding 25 candidate </w:t>
      </w:r>
    </w:p>
    <w:p w14:paraId="7CC714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DDR-RGs. The Ridge + SVM model performed best and selected ETV7, STAT1, FBXO6, </w:t>
      </w:r>
    </w:p>
    <w:p w14:paraId="15E028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TAP1 as core DDR-RGs, achieving AUCs of 0.991, 0.925, 0.939, and 0.981 in </w:t>
      </w:r>
    </w:p>
    <w:p w14:paraId="7ED7ED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training and three validation cohorts. Consensus clustering separated TB </w:t>
      </w:r>
    </w:p>
    <w:p w14:paraId="304F46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into two DDR-related subtypes, with Cluster 1 enriched in </w:t>
      </w:r>
    </w:p>
    <w:p w14:paraId="6BBB78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immune-related pathways and characterized by distinct immune-cell infiltration. </w:t>
      </w:r>
    </w:p>
    <w:p w14:paraId="19D956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Single-cell analysis revealed cell-type-specific expression of core DDR-RGs in </w:t>
      </w:r>
    </w:p>
    <w:p w14:paraId="272CF4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TB, and compound-association analysis identified 35 candidate </w:t>
      </w:r>
    </w:p>
    <w:p w14:paraId="417AB4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compounds, including six associated with multiple core genes.</w:t>
      </w:r>
    </w:p>
    <w:p w14:paraId="74D126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These findings characterize DDR-related molecular heterogeneity in </w:t>
      </w:r>
    </w:p>
    <w:p w14:paraId="7181EB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and support ETV7, STAT1, FBXO6, and TAP1 as candidate diagnostic biomarkers </w:t>
      </w:r>
    </w:p>
    <w:p w14:paraId="61094B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exploratory candidates for host-directed studies.</w:t>
      </w:r>
    </w:p>
    <w:p w14:paraId="1173BD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9685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Reyimu, Rahman, Abudurousuli, Cheng, Liu, Xu and Zou.</w:t>
      </w:r>
    </w:p>
    <w:p w14:paraId="05B7BE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156F2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10.3389/fcimb.2026.1885489</w:t>
      </w:r>
    </w:p>
    <w:p w14:paraId="7CC27B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PMC13649433</w:t>
      </w:r>
    </w:p>
    <w:p w14:paraId="76D725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42856839 [Indexed for MEDLINE]</w:t>
      </w:r>
    </w:p>
    <w:p w14:paraId="7052CD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810A205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</w:t>
      </w:r>
      <w:r>
        <w:rPr>
          <w:rFonts w:hint="eastAsia"/>
          <w:b/>
          <w:bCs/>
          <w:color w:val="FF0000"/>
        </w:rPr>
        <w:t>. Geospat Health. 2026 Jul 23;21(2). doi: 10.4081/gh.2026.1535. Epub 2026 Oct 8.</w:t>
      </w:r>
    </w:p>
    <w:p w14:paraId="40D84AFB">
      <w:pPr>
        <w:pStyle w:val="5"/>
        <w:rPr>
          <w:rFonts w:hint="eastAsia"/>
        </w:rPr>
      </w:pPr>
    </w:p>
    <w:p w14:paraId="51E4D7D8">
      <w:pPr>
        <w:pStyle w:val="5"/>
        <w:rPr>
          <w:rFonts w:hint="eastAsia"/>
        </w:rPr>
      </w:pPr>
      <w:r>
        <w:rPr>
          <w:rFonts w:hint="eastAsia"/>
        </w:rPr>
        <w:t xml:space="preserve">Nonlinear analysis of factors influencing tuberculosis outpatient visits in </w:t>
      </w:r>
    </w:p>
    <w:p w14:paraId="04B42201">
      <w:pPr>
        <w:pStyle w:val="5"/>
        <w:rPr>
          <w:rFonts w:hint="eastAsia"/>
        </w:rPr>
      </w:pPr>
      <w:r>
        <w:rPr>
          <w:rFonts w:hint="eastAsia"/>
        </w:rPr>
        <w:t>China: an explainable machine learning approach.</w:t>
      </w:r>
    </w:p>
    <w:p w14:paraId="360995BC">
      <w:pPr>
        <w:pStyle w:val="5"/>
        <w:rPr>
          <w:rFonts w:hint="eastAsia"/>
        </w:rPr>
      </w:pPr>
    </w:p>
    <w:p w14:paraId="42E961B1">
      <w:pPr>
        <w:pStyle w:val="5"/>
        <w:rPr>
          <w:rFonts w:hint="eastAsia"/>
        </w:rPr>
      </w:pPr>
      <w:r>
        <w:rPr>
          <w:rFonts w:hint="eastAsia"/>
        </w:rPr>
        <w:t>Wang H(1), Sun D(2), Sui S(3), Xu Y(4).</w:t>
      </w:r>
    </w:p>
    <w:p w14:paraId="0ABCC6F4">
      <w:pPr>
        <w:pStyle w:val="5"/>
        <w:rPr>
          <w:rFonts w:hint="eastAsia"/>
        </w:rPr>
      </w:pPr>
    </w:p>
    <w:p w14:paraId="415C41C2">
      <w:pPr>
        <w:pStyle w:val="5"/>
        <w:rPr>
          <w:rFonts w:hint="eastAsia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Hui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Dehong Sun,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Shanjie Sui,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Yanhong Xu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2F2C983B">
      <w:pPr>
        <w:pStyle w:val="5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Yanhong Xu</w:t>
      </w:r>
      <w:r>
        <w:rPr>
          <w:rFonts w:hint="eastAsia"/>
          <w:b/>
          <w:bCs/>
          <w:color w:val="0070C0"/>
          <w:lang w:eastAsia="zh-CN"/>
        </w:rPr>
        <w:t>，</w:t>
      </w:r>
      <w:r>
        <w:rPr>
          <w:rFonts w:hint="eastAsia"/>
          <w:b/>
          <w:bCs/>
          <w:color w:val="0070C0"/>
        </w:rPr>
        <w:t>15859567410@163.com</w:t>
      </w:r>
    </w:p>
    <w:p w14:paraId="7168F086">
      <w:pPr>
        <w:pStyle w:val="5"/>
        <w:rPr>
          <w:rFonts w:hint="eastAsia"/>
        </w:rPr>
      </w:pPr>
    </w:p>
    <w:p w14:paraId="0933305D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6E1FF424">
      <w:pPr>
        <w:pStyle w:val="5"/>
        <w:rPr>
          <w:rFonts w:hint="eastAsia"/>
        </w:rPr>
      </w:pPr>
      <w:r>
        <w:rPr>
          <w:rFonts w:hint="eastAsia"/>
        </w:rPr>
        <w:t xml:space="preserve">(1)School of Information Engineering, Minnan University of Science and </w:t>
      </w:r>
    </w:p>
    <w:p w14:paraId="3B4B5A4F">
      <w:pPr>
        <w:pStyle w:val="5"/>
        <w:rPr>
          <w:rFonts w:hint="eastAsia"/>
        </w:rPr>
      </w:pPr>
      <w:r>
        <w:rPr>
          <w:rFonts w:hint="eastAsia"/>
        </w:rPr>
        <w:t>Technology, Quanzhou.</w:t>
      </w:r>
    </w:p>
    <w:p w14:paraId="05FBDB1B">
      <w:pPr>
        <w:pStyle w:val="5"/>
        <w:rPr>
          <w:rFonts w:hint="eastAsia"/>
        </w:rPr>
      </w:pPr>
      <w:r>
        <w:rPr>
          <w:rFonts w:hint="eastAsia"/>
        </w:rPr>
        <w:t xml:space="preserve">(2)Faculty of Humanities and Social Sciences, Macao Polytechnic University, </w:t>
      </w:r>
    </w:p>
    <w:p w14:paraId="2067383F">
      <w:pPr>
        <w:pStyle w:val="5"/>
        <w:rPr>
          <w:rFonts w:hint="eastAsia"/>
        </w:rPr>
      </w:pPr>
      <w:r>
        <w:rPr>
          <w:rFonts w:hint="eastAsia"/>
        </w:rPr>
        <w:t>Macao.</w:t>
      </w:r>
    </w:p>
    <w:p w14:paraId="3BD630CD">
      <w:pPr>
        <w:pStyle w:val="5"/>
        <w:rPr>
          <w:rFonts w:hint="eastAsia"/>
        </w:rPr>
      </w:pPr>
      <w:r>
        <w:rPr>
          <w:rFonts w:hint="eastAsia"/>
        </w:rPr>
        <w:t xml:space="preserve">(3)School of Electronic and Electrical Engineering, Minnan University of Science </w:t>
      </w:r>
    </w:p>
    <w:p w14:paraId="2EDAF32B">
      <w:pPr>
        <w:pStyle w:val="5"/>
        <w:rPr>
          <w:rFonts w:hint="eastAsia"/>
        </w:rPr>
      </w:pPr>
      <w:r>
        <w:rPr>
          <w:rFonts w:hint="eastAsia"/>
        </w:rPr>
        <w:t>and Technology, Quanzhou.</w:t>
      </w:r>
    </w:p>
    <w:p w14:paraId="7850E483">
      <w:pPr>
        <w:pStyle w:val="5"/>
        <w:rPr>
          <w:rFonts w:hint="eastAsia"/>
        </w:rPr>
      </w:pPr>
      <w:r>
        <w:rPr>
          <w:rFonts w:hint="eastAsia"/>
        </w:rPr>
        <w:t>(4)Department of Laboratory Medicine, Quanzhou Third Hospital, Quanzhou.</w:t>
      </w:r>
    </w:p>
    <w:p w14:paraId="70634A8F">
      <w:pPr>
        <w:pStyle w:val="5"/>
        <w:rPr>
          <w:rFonts w:hint="eastAsia"/>
        </w:rPr>
      </w:pPr>
    </w:p>
    <w:p w14:paraId="179FBE9F">
      <w:pPr>
        <w:pStyle w:val="5"/>
        <w:rPr>
          <w:rFonts w:hint="eastAsia"/>
        </w:rPr>
      </w:pPr>
      <w:r>
        <w:rPr>
          <w:rFonts w:hint="eastAsia"/>
        </w:rPr>
        <w:t xml:space="preserve">This study aims to analyze the temporal trends, interprovincial differences, and </w:t>
      </w:r>
    </w:p>
    <w:p w14:paraId="1A4C3AA6">
      <w:pPr>
        <w:pStyle w:val="5"/>
        <w:rPr>
          <w:rFonts w:hint="eastAsia"/>
        </w:rPr>
      </w:pPr>
      <w:r>
        <w:rPr>
          <w:rFonts w:hint="eastAsia"/>
        </w:rPr>
        <w:t xml:space="preserve">key predictors of Tuberculosis Outpatient Visits (TOV) in China. It provides </w:t>
      </w:r>
    </w:p>
    <w:p w14:paraId="423F75A8">
      <w:pPr>
        <w:pStyle w:val="5"/>
        <w:rPr>
          <w:rFonts w:hint="eastAsia"/>
        </w:rPr>
      </w:pPr>
      <w:r>
        <w:rPr>
          <w:rFonts w:hint="eastAsia"/>
        </w:rPr>
        <w:t xml:space="preserve">empirical evidence for understanding regional differences in </w:t>
      </w:r>
    </w:p>
    <w:p w14:paraId="277880B8">
      <w:pPr>
        <w:pStyle w:val="5"/>
        <w:rPr>
          <w:rFonts w:hint="eastAsia"/>
        </w:rPr>
      </w:pPr>
      <w:r>
        <w:rPr>
          <w:rFonts w:hint="eastAsia"/>
        </w:rPr>
        <w:t xml:space="preserve">tuberculosis-related outpatient service uti- lization. Panel data from 30 </w:t>
      </w:r>
    </w:p>
    <w:p w14:paraId="21EB605B">
      <w:pPr>
        <w:pStyle w:val="5"/>
        <w:rPr>
          <w:rFonts w:hint="eastAsia"/>
        </w:rPr>
      </w:pPr>
      <w:r>
        <w:rPr>
          <w:rFonts w:hint="eastAsia"/>
        </w:rPr>
        <w:t xml:space="preserve">Chinese provinces from 2012 to 2024 were used. The study included variables </w:t>
      </w:r>
    </w:p>
    <w:p w14:paraId="17F02343">
      <w:pPr>
        <w:pStyle w:val="5"/>
        <w:rPr>
          <w:rFonts w:hint="eastAsia"/>
        </w:rPr>
      </w:pPr>
      <w:r>
        <w:rPr>
          <w:rFonts w:hint="eastAsia"/>
        </w:rPr>
        <w:t xml:space="preserve">related to economic development, health resources, education resources, </w:t>
      </w:r>
    </w:p>
    <w:p w14:paraId="69C89500">
      <w:pPr>
        <w:pStyle w:val="5"/>
        <w:rPr>
          <w:rFonts w:hint="eastAsia"/>
        </w:rPr>
      </w:pPr>
      <w:r>
        <w:rPr>
          <w:rFonts w:hint="eastAsia"/>
        </w:rPr>
        <w:t xml:space="preserve">environmental governance, pollutant emissions, and technological innovation. </w:t>
      </w:r>
    </w:p>
    <w:p w14:paraId="5061C099">
      <w:pPr>
        <w:pStyle w:val="5"/>
        <w:rPr>
          <w:rFonts w:hint="eastAsia"/>
        </w:rPr>
      </w:pPr>
      <w:r>
        <w:rPr>
          <w:rFonts w:hint="eastAsia"/>
        </w:rPr>
        <w:t xml:space="preserve">Correlation analysis, model comparison, and XGBoost-SHAP analysis were applied. </w:t>
      </w:r>
    </w:p>
    <w:p w14:paraId="1BB81D5A">
      <w:pPr>
        <w:pStyle w:val="5"/>
        <w:rPr>
          <w:rFonts w:hint="eastAsia"/>
        </w:rPr>
      </w:pPr>
      <w:r>
        <w:rPr>
          <w:rFonts w:hint="eastAsia"/>
        </w:rPr>
        <w:t xml:space="preserve">From 2012 to 2024, TOV showed a gradual upward trend and clear interprovincial </w:t>
      </w:r>
    </w:p>
    <w:p w14:paraId="351B30F9">
      <w:pPr>
        <w:pStyle w:val="5"/>
        <w:rPr>
          <w:rFonts w:hint="eastAsia"/>
        </w:rPr>
      </w:pPr>
      <w:r>
        <w:rPr>
          <w:rFonts w:hint="eastAsia"/>
        </w:rPr>
        <w:t xml:space="preserve">differences. Shanghai, Fujian, Guangdong, and Zhejiang had relatively higher </w:t>
      </w:r>
    </w:p>
    <w:p w14:paraId="0F198B3D">
      <w:pPr>
        <w:pStyle w:val="5"/>
        <w:rPr>
          <w:rFonts w:hint="eastAsia"/>
        </w:rPr>
      </w:pPr>
      <w:r>
        <w:rPr>
          <w:rFonts w:hint="eastAsia"/>
        </w:rPr>
        <w:t xml:space="preserve">total recorded outpatient volumes. XGBoost showed the best predictive </w:t>
      </w:r>
    </w:p>
    <w:p w14:paraId="617D884D">
      <w:pPr>
        <w:pStyle w:val="5"/>
        <w:rPr>
          <w:rFonts w:hint="eastAsia"/>
        </w:rPr>
      </w:pPr>
      <w:r>
        <w:rPr>
          <w:rFonts w:hint="eastAsia"/>
        </w:rPr>
        <w:t xml:space="preserve">performance among all candidate models (R2 = 0.8154). SHAP results identified </w:t>
      </w:r>
    </w:p>
    <w:p w14:paraId="03E82CB3">
      <w:pPr>
        <w:pStyle w:val="5"/>
        <w:rPr>
          <w:rFonts w:hint="eastAsia"/>
        </w:rPr>
      </w:pPr>
      <w:r>
        <w:rPr>
          <w:rFonts w:hint="eastAsia"/>
        </w:rPr>
        <w:t xml:space="preserve">Disposable Income Per Capita (DIPC), University Staff (USTF), Domestic Patent </w:t>
      </w:r>
    </w:p>
    <w:p w14:paraId="02613BD2">
      <w:pPr>
        <w:pStyle w:val="5"/>
        <w:rPr>
          <w:rFonts w:hint="eastAsia"/>
        </w:rPr>
      </w:pPr>
      <w:r>
        <w:rPr>
          <w:rFonts w:hint="eastAsia"/>
        </w:rPr>
        <w:t xml:space="preserve">Applications (DPA), Hospital Beds (HBED), and Technology Market Turnover (TMT) </w:t>
      </w:r>
    </w:p>
    <w:p w14:paraId="5DE0A37F">
      <w:pPr>
        <w:pStyle w:val="5"/>
        <w:rPr>
          <w:rFonts w:hint="eastAsia"/>
        </w:rPr>
      </w:pPr>
      <w:r>
        <w:rPr>
          <w:rFonts w:hint="eastAsia"/>
        </w:rPr>
        <w:t xml:space="preserve">as the main predictors. Environmental governance and pollutant emission vari- </w:t>
      </w:r>
    </w:p>
    <w:p w14:paraId="257D84B9">
      <w:pPr>
        <w:pStyle w:val="5"/>
        <w:rPr>
          <w:rFonts w:hint="eastAsia"/>
        </w:rPr>
      </w:pPr>
      <w:r>
        <w:rPr>
          <w:rFonts w:hint="eastAsia"/>
        </w:rPr>
        <w:t xml:space="preserve">ables had lower overall contributions, but they still showed nonlinear </w:t>
      </w:r>
    </w:p>
    <w:p w14:paraId="296C240C">
      <w:pPr>
        <w:pStyle w:val="5"/>
        <w:rPr>
          <w:rFonts w:hint="eastAsia"/>
        </w:rPr>
      </w:pPr>
      <w:r>
        <w:rPr>
          <w:rFonts w:hint="eastAsia"/>
        </w:rPr>
        <w:t xml:space="preserve">predictive contributions in some value ranges. The findings suggest that </w:t>
      </w:r>
    </w:p>
    <w:p w14:paraId="1FD598C9">
      <w:pPr>
        <w:pStyle w:val="5"/>
        <w:rPr>
          <w:rFonts w:hint="eastAsia"/>
        </w:rPr>
      </w:pPr>
      <w:r>
        <w:rPr>
          <w:rFonts w:hint="eastAsia"/>
        </w:rPr>
        <w:t xml:space="preserve">interprovincial differences in TOV are jointly associated with economic </w:t>
      </w:r>
    </w:p>
    <w:p w14:paraId="602C51A5">
      <w:pPr>
        <w:pStyle w:val="5"/>
        <w:rPr>
          <w:rFonts w:hint="eastAsia"/>
        </w:rPr>
      </w:pPr>
      <w:r>
        <w:rPr>
          <w:rFonts w:hint="eastAsia"/>
        </w:rPr>
        <w:t xml:space="preserve">development, health resources, education resources, environmental governance, </w:t>
      </w:r>
    </w:p>
    <w:p w14:paraId="14A8595A">
      <w:pPr>
        <w:pStyle w:val="5"/>
        <w:rPr>
          <w:rFonts w:hint="eastAsia"/>
        </w:rPr>
      </w:pPr>
      <w:r>
        <w:rPr>
          <w:rFonts w:hint="eastAsia"/>
        </w:rPr>
        <w:t xml:space="preserve">and technological innovation. TOV mainly reflects outpatient service utilization </w:t>
      </w:r>
    </w:p>
    <w:p w14:paraId="75D07E34">
      <w:pPr>
        <w:pStyle w:val="5"/>
        <w:rPr>
          <w:rFonts w:hint="eastAsia"/>
        </w:rPr>
      </w:pPr>
      <w:r>
        <w:rPr>
          <w:rFonts w:hint="eastAsia"/>
        </w:rPr>
        <w:t xml:space="preserve">and case detection capacity. It should not be interpreted as a direct measure of </w:t>
      </w:r>
    </w:p>
    <w:p w14:paraId="3C3E3EF4">
      <w:pPr>
        <w:pStyle w:val="5"/>
        <w:rPr>
          <w:rFonts w:hint="eastAsia"/>
        </w:rPr>
      </w:pPr>
      <w:r>
        <w:rPr>
          <w:rFonts w:hint="eastAsia"/>
        </w:rPr>
        <w:t>tuberculosis incidence risk.</w:t>
      </w:r>
    </w:p>
    <w:p w14:paraId="25928E56">
      <w:pPr>
        <w:pStyle w:val="5"/>
        <w:rPr>
          <w:rFonts w:hint="eastAsia"/>
        </w:rPr>
      </w:pPr>
    </w:p>
    <w:p w14:paraId="00DEC59B">
      <w:pPr>
        <w:pStyle w:val="5"/>
        <w:rPr>
          <w:rFonts w:hint="eastAsia"/>
        </w:rPr>
      </w:pPr>
      <w:r>
        <w:rPr>
          <w:rFonts w:hint="eastAsia"/>
        </w:rPr>
        <w:t>DOI: 10.4081/gh.2026.1535</w:t>
      </w:r>
    </w:p>
    <w:p w14:paraId="6227A502">
      <w:pPr>
        <w:pStyle w:val="5"/>
        <w:rPr>
          <w:rFonts w:hint="eastAsia"/>
        </w:rPr>
      </w:pPr>
      <w:r>
        <w:rPr>
          <w:rFonts w:hint="eastAsia"/>
        </w:rPr>
        <w:t>PMID: 42847997 [Indexed for MEDLINE]</w:t>
      </w:r>
    </w:p>
    <w:p w14:paraId="7C034296">
      <w:pPr>
        <w:pStyle w:val="5"/>
        <w:rPr>
          <w:rFonts w:hint="eastAsia"/>
        </w:rPr>
      </w:pPr>
    </w:p>
    <w:p w14:paraId="667326B3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8</w:t>
      </w:r>
      <w:r>
        <w:rPr>
          <w:rFonts w:hint="eastAsia"/>
          <w:b/>
          <w:bCs/>
          <w:color w:val="FF0000"/>
        </w:rPr>
        <w:t>. Mol Biol Rep. 2026 Oct 17;53(1):1759. doi: 10.1007/s11033-026-12954-w.</w:t>
      </w:r>
    </w:p>
    <w:p w14:paraId="3F19FBC2">
      <w:pPr>
        <w:pStyle w:val="5"/>
        <w:rPr>
          <w:rFonts w:hint="eastAsia"/>
        </w:rPr>
      </w:pPr>
    </w:p>
    <w:p w14:paraId="5CDB629E">
      <w:pPr>
        <w:pStyle w:val="5"/>
        <w:rPr>
          <w:rFonts w:hint="eastAsia"/>
        </w:rPr>
      </w:pPr>
      <w:r>
        <w:rPr>
          <w:rFonts w:hint="eastAsia"/>
        </w:rPr>
        <w:t xml:space="preserve">Utilization of the CRISPR-Cas system for investigating tuberculosis drug </w:t>
      </w:r>
    </w:p>
    <w:p w14:paraId="46A2E954">
      <w:pPr>
        <w:pStyle w:val="5"/>
        <w:rPr>
          <w:rFonts w:hint="eastAsia"/>
        </w:rPr>
      </w:pPr>
      <w:r>
        <w:rPr>
          <w:rFonts w:hint="eastAsia"/>
        </w:rPr>
        <w:t>resistance.</w:t>
      </w:r>
    </w:p>
    <w:p w14:paraId="701187B7">
      <w:pPr>
        <w:pStyle w:val="5"/>
        <w:rPr>
          <w:rFonts w:hint="eastAsia"/>
        </w:rPr>
      </w:pPr>
    </w:p>
    <w:p w14:paraId="321B99B8">
      <w:pPr>
        <w:pStyle w:val="5"/>
        <w:rPr>
          <w:rFonts w:hint="eastAsia"/>
        </w:rPr>
      </w:pPr>
      <w:r>
        <w:rPr>
          <w:rFonts w:hint="eastAsia"/>
        </w:rPr>
        <w:t xml:space="preserve">Yuan Y(1)(2)(3), Deng J(1)(2)(3), Li X(1)(2)(3), Zheng X(1)(2)(3), Tan Y(4)(5), </w:t>
      </w:r>
    </w:p>
    <w:p w14:paraId="06CA828D">
      <w:pPr>
        <w:pStyle w:val="5"/>
        <w:rPr>
          <w:rFonts w:hint="eastAsia"/>
        </w:rPr>
      </w:pPr>
      <w:r>
        <w:rPr>
          <w:rFonts w:hint="eastAsia"/>
        </w:rPr>
        <w:t>Xu K(6)(7)(8).</w:t>
      </w:r>
    </w:p>
    <w:p w14:paraId="5432FFE6">
      <w:pPr>
        <w:pStyle w:val="5"/>
        <w:rPr>
          <w:rFonts w:hint="eastAsia"/>
        </w:rPr>
      </w:pPr>
    </w:p>
    <w:p w14:paraId="667CD969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Yanhui Yuan,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Jiahui Deng,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Xiang Li,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 Zheng,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Yunhong Tan</w:t>
      </w: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Kun Xu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0E65DE72">
      <w:pPr>
        <w:pStyle w:val="5"/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</w:pP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Yunhong Tan</w:t>
      </w:r>
      <w:r>
        <w:rPr>
          <w:rFonts w:hint="eastAsia"/>
          <w:b/>
          <w:bCs/>
          <w:color w:val="4472C4" w:themeColor="accent5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1220163360@qq.com</w:t>
      </w:r>
      <w:r>
        <w:rPr>
          <w:rFonts w:hint="eastAsia"/>
          <w:b/>
          <w:bCs/>
          <w:color w:val="4472C4" w:themeColor="accent5"/>
          <w:lang w:eastAsia="zh-CN"/>
          <w14:textFill>
            <w14:solidFill>
              <w14:schemeClr w14:val="accent5"/>
            </w14:solidFill>
          </w14:textFill>
        </w:rPr>
        <w:t>；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Kun Xu</w:t>
      </w:r>
      <w:r>
        <w:rPr>
          <w:rFonts w:hint="eastAsia"/>
          <w:b/>
          <w:bCs/>
          <w:color w:val="4472C4" w:themeColor="accent5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xu_kun2022@163.com</w:t>
      </w:r>
    </w:p>
    <w:p w14:paraId="435522F0">
      <w:pPr>
        <w:pStyle w:val="5"/>
        <w:rPr>
          <w:rFonts w:hint="eastAsia"/>
        </w:rPr>
      </w:pPr>
    </w:p>
    <w:p w14:paraId="45DE6F13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0880ED56">
      <w:pPr>
        <w:pStyle w:val="5"/>
        <w:rPr>
          <w:rFonts w:hint="eastAsia"/>
        </w:rPr>
      </w:pPr>
      <w:r>
        <w:rPr>
          <w:rFonts w:hint="eastAsia"/>
        </w:rPr>
        <w:t xml:space="preserve">(1)School of Public Health, Hunan Normal University, Changsha, 410013, Hunan, PR </w:t>
      </w:r>
    </w:p>
    <w:p w14:paraId="48C84A0A">
      <w:pPr>
        <w:pStyle w:val="5"/>
        <w:rPr>
          <w:rFonts w:hint="eastAsia"/>
        </w:rPr>
      </w:pPr>
      <w:r>
        <w:rPr>
          <w:rFonts w:hint="eastAsia"/>
        </w:rPr>
        <w:t>China.</w:t>
      </w:r>
    </w:p>
    <w:p w14:paraId="28BD7878">
      <w:pPr>
        <w:pStyle w:val="5"/>
        <w:rPr>
          <w:rFonts w:hint="eastAsia"/>
        </w:rPr>
      </w:pPr>
      <w:r>
        <w:rPr>
          <w:rFonts w:hint="eastAsia"/>
        </w:rPr>
        <w:t xml:space="preserve">(2)Key Laboratory of Molecular Epidemiology of Hunan Province, Changsha, 410013, </w:t>
      </w:r>
    </w:p>
    <w:p w14:paraId="08D481B3">
      <w:pPr>
        <w:pStyle w:val="5"/>
        <w:rPr>
          <w:rFonts w:hint="eastAsia"/>
        </w:rPr>
      </w:pPr>
      <w:r>
        <w:rPr>
          <w:rFonts w:hint="eastAsia"/>
        </w:rPr>
        <w:t>Hunan, PR China.</w:t>
      </w:r>
    </w:p>
    <w:p w14:paraId="010C75AA">
      <w:pPr>
        <w:pStyle w:val="5"/>
        <w:rPr>
          <w:rFonts w:hint="eastAsia"/>
        </w:rPr>
      </w:pPr>
      <w:r>
        <w:rPr>
          <w:rFonts w:hint="eastAsia"/>
        </w:rPr>
        <w:t xml:space="preserve">(3)Hunan Provincial Key Laboratory of Model Animal and Stem CellBiology, </w:t>
      </w:r>
    </w:p>
    <w:p w14:paraId="2D2779FD">
      <w:pPr>
        <w:pStyle w:val="5"/>
        <w:rPr>
          <w:rFonts w:hint="eastAsia"/>
        </w:rPr>
      </w:pPr>
      <w:r>
        <w:rPr>
          <w:rFonts w:hint="eastAsia"/>
        </w:rPr>
        <w:t>Changsha, 410013, Hunan, PR China.</w:t>
      </w:r>
    </w:p>
    <w:p w14:paraId="1BC22CCD">
      <w:pPr>
        <w:pStyle w:val="5"/>
        <w:rPr>
          <w:rFonts w:hint="eastAsia"/>
        </w:rPr>
      </w:pPr>
      <w:r>
        <w:rPr>
          <w:rFonts w:hint="eastAsia"/>
        </w:rPr>
        <w:t xml:space="preserve">(4)The Hunan Chest Hospital, Changsha, 410013, Hunan, PR China. </w:t>
      </w:r>
    </w:p>
    <w:p w14:paraId="4519217F">
      <w:pPr>
        <w:pStyle w:val="5"/>
        <w:rPr>
          <w:rFonts w:hint="eastAsia"/>
        </w:rPr>
      </w:pPr>
      <w:r>
        <w:rPr>
          <w:rFonts w:hint="eastAsia"/>
        </w:rPr>
        <w:t>1220163360@qq.com.</w:t>
      </w:r>
    </w:p>
    <w:p w14:paraId="29BFE6AD">
      <w:pPr>
        <w:pStyle w:val="5"/>
        <w:rPr>
          <w:rFonts w:hint="eastAsia"/>
        </w:rPr>
      </w:pPr>
      <w:r>
        <w:rPr>
          <w:rFonts w:hint="eastAsia"/>
        </w:rPr>
        <w:t xml:space="preserve">(5)The Affiliated Chest Hospital of Hunan Normal University, Changsha, 410013, </w:t>
      </w:r>
    </w:p>
    <w:p w14:paraId="1F89D37A">
      <w:pPr>
        <w:pStyle w:val="5"/>
        <w:rPr>
          <w:rFonts w:hint="eastAsia"/>
        </w:rPr>
      </w:pPr>
      <w:r>
        <w:rPr>
          <w:rFonts w:hint="eastAsia"/>
        </w:rPr>
        <w:t>Hunan, PR China. 1220163360@qq.com.</w:t>
      </w:r>
    </w:p>
    <w:p w14:paraId="6261680B">
      <w:pPr>
        <w:pStyle w:val="5"/>
        <w:rPr>
          <w:rFonts w:hint="eastAsia"/>
        </w:rPr>
      </w:pPr>
      <w:r>
        <w:rPr>
          <w:rFonts w:hint="eastAsia"/>
        </w:rPr>
        <w:t xml:space="preserve">(6)School of Public Health, Hunan Normal University, Changsha, 410013, Hunan, PR </w:t>
      </w:r>
    </w:p>
    <w:p w14:paraId="3419A68C">
      <w:pPr>
        <w:pStyle w:val="5"/>
        <w:rPr>
          <w:rFonts w:hint="eastAsia"/>
        </w:rPr>
      </w:pPr>
      <w:r>
        <w:rPr>
          <w:rFonts w:hint="eastAsia"/>
        </w:rPr>
        <w:t>China. xu_kun2022@163.com.</w:t>
      </w:r>
    </w:p>
    <w:p w14:paraId="7AB60086">
      <w:pPr>
        <w:pStyle w:val="5"/>
        <w:rPr>
          <w:rFonts w:hint="eastAsia"/>
        </w:rPr>
      </w:pPr>
      <w:r>
        <w:rPr>
          <w:rFonts w:hint="eastAsia"/>
        </w:rPr>
        <w:t xml:space="preserve">(7)Key Laboratory of Molecular Epidemiology of Hunan Province, Changsha, 410013, </w:t>
      </w:r>
    </w:p>
    <w:p w14:paraId="6CA4B581">
      <w:pPr>
        <w:pStyle w:val="5"/>
        <w:rPr>
          <w:rFonts w:hint="eastAsia"/>
        </w:rPr>
      </w:pPr>
      <w:r>
        <w:rPr>
          <w:rFonts w:hint="eastAsia"/>
        </w:rPr>
        <w:t>Hunan, PR China. xu_kun2022@163.com.</w:t>
      </w:r>
    </w:p>
    <w:p w14:paraId="1855EF5D">
      <w:pPr>
        <w:pStyle w:val="5"/>
        <w:rPr>
          <w:rFonts w:hint="eastAsia"/>
        </w:rPr>
      </w:pPr>
      <w:r>
        <w:rPr>
          <w:rFonts w:hint="eastAsia"/>
        </w:rPr>
        <w:t xml:space="preserve">(8)Hunan Provincial Key Laboratory of Model Animal and Stem CellBiology, </w:t>
      </w:r>
    </w:p>
    <w:p w14:paraId="197F525B">
      <w:pPr>
        <w:pStyle w:val="5"/>
        <w:rPr>
          <w:rFonts w:hint="eastAsia"/>
        </w:rPr>
      </w:pPr>
      <w:r>
        <w:rPr>
          <w:rFonts w:hint="eastAsia"/>
        </w:rPr>
        <w:t>Changsha, 410013, Hunan, PR China. xu_kun2022@163.com.</w:t>
      </w:r>
    </w:p>
    <w:p w14:paraId="4BE4AA15">
      <w:pPr>
        <w:pStyle w:val="5"/>
        <w:rPr>
          <w:rFonts w:hint="eastAsia"/>
        </w:rPr>
      </w:pPr>
    </w:p>
    <w:p w14:paraId="2455D6D8">
      <w:pPr>
        <w:pStyle w:val="5"/>
        <w:rPr>
          <w:rFonts w:hint="eastAsia"/>
        </w:rPr>
      </w:pPr>
      <w:r>
        <w:rPr>
          <w:rFonts w:hint="eastAsia"/>
        </w:rPr>
        <w:t xml:space="preserve">Drug-resistant tuberculosis(TB) presents a significant challenge to global </w:t>
      </w:r>
    </w:p>
    <w:p w14:paraId="1249DF68">
      <w:pPr>
        <w:pStyle w:val="5"/>
        <w:rPr>
          <w:rFonts w:hint="eastAsia"/>
        </w:rPr>
      </w:pPr>
      <w:r>
        <w:rPr>
          <w:rFonts w:hint="eastAsia"/>
        </w:rPr>
        <w:t xml:space="preserve">efforts to control the disease. Addressing this issue requires a comprehensive </w:t>
      </w:r>
    </w:p>
    <w:p w14:paraId="29682342">
      <w:pPr>
        <w:pStyle w:val="5"/>
        <w:rPr>
          <w:rFonts w:hint="eastAsia"/>
        </w:rPr>
      </w:pPr>
      <w:r>
        <w:rPr>
          <w:rFonts w:hint="eastAsia"/>
        </w:rPr>
        <w:t xml:space="preserve">understanding of drug resistance in Mycobacterium tuberculosis (M.tb). The </w:t>
      </w:r>
    </w:p>
    <w:p w14:paraId="29B3E951">
      <w:pPr>
        <w:pStyle w:val="5"/>
        <w:rPr>
          <w:rFonts w:hint="eastAsia"/>
        </w:rPr>
      </w:pPr>
      <w:r>
        <w:rPr>
          <w:rFonts w:hint="eastAsia"/>
        </w:rPr>
        <w:t xml:space="preserve">clustered regularly interspaced short palindromic repeat (CRISPR) and </w:t>
      </w:r>
    </w:p>
    <w:p w14:paraId="6AFA50E0">
      <w:pPr>
        <w:pStyle w:val="5"/>
        <w:rPr>
          <w:rFonts w:hint="eastAsia"/>
        </w:rPr>
      </w:pPr>
      <w:r>
        <w:rPr>
          <w:rFonts w:hint="eastAsia"/>
        </w:rPr>
        <w:t xml:space="preserve">CRISPR-associated protein (Cas) system are efficient genome-editing tools for </w:t>
      </w:r>
    </w:p>
    <w:p w14:paraId="72222758">
      <w:pPr>
        <w:pStyle w:val="5"/>
        <w:rPr>
          <w:rFonts w:hint="eastAsia"/>
        </w:rPr>
      </w:pPr>
      <w:r>
        <w:rPr>
          <w:rFonts w:hint="eastAsia"/>
        </w:rPr>
        <w:t xml:space="preserve">various organisms and have facilitated new research directions regarding drug </w:t>
      </w:r>
    </w:p>
    <w:p w14:paraId="4D78F57C">
      <w:pPr>
        <w:pStyle w:val="5"/>
        <w:rPr>
          <w:rFonts w:hint="eastAsia"/>
        </w:rPr>
      </w:pPr>
      <w:r>
        <w:rPr>
          <w:rFonts w:hint="eastAsia"/>
        </w:rPr>
        <w:t xml:space="preserve">resistance in M.tb. This review summarizes recent progress in applying </w:t>
      </w:r>
    </w:p>
    <w:p w14:paraId="15A5AA3D">
      <w:pPr>
        <w:pStyle w:val="5"/>
        <w:rPr>
          <w:rFonts w:hint="eastAsia"/>
        </w:rPr>
      </w:pPr>
      <w:r>
        <w:rPr>
          <w:rFonts w:hint="eastAsia"/>
        </w:rPr>
        <w:t xml:space="preserve">CRISPR/Cas technology to investigate drug resistance mechanisms in </w:t>
      </w:r>
    </w:p>
    <w:p w14:paraId="4F8E1E1C">
      <w:pPr>
        <w:pStyle w:val="5"/>
        <w:rPr>
          <w:rFonts w:hint="eastAsia"/>
        </w:rPr>
      </w:pPr>
      <w:r>
        <w:rPr>
          <w:rFonts w:hint="eastAsia"/>
        </w:rPr>
        <w:t xml:space="preserve">M.tuberculosis and discusses the potential of the CRISPR/Cas system as an </w:t>
      </w:r>
    </w:p>
    <w:p w14:paraId="75BCB4AD">
      <w:pPr>
        <w:pStyle w:val="5"/>
        <w:rPr>
          <w:rFonts w:hint="eastAsia"/>
        </w:rPr>
      </w:pPr>
      <w:r>
        <w:rPr>
          <w:rFonts w:hint="eastAsia"/>
        </w:rPr>
        <w:t xml:space="preserve">integrated platform to transform research paradigms and enhance understanding of </w:t>
      </w:r>
    </w:p>
    <w:p w14:paraId="4E3D48ED">
      <w:pPr>
        <w:pStyle w:val="5"/>
        <w:rPr>
          <w:rFonts w:hint="eastAsia"/>
        </w:rPr>
      </w:pPr>
      <w:r>
        <w:rPr>
          <w:rFonts w:hint="eastAsia"/>
        </w:rPr>
        <w:t>M.tuberculosis drug resistance mechanisms.</w:t>
      </w:r>
    </w:p>
    <w:p w14:paraId="02825D6B">
      <w:pPr>
        <w:pStyle w:val="5"/>
        <w:rPr>
          <w:rFonts w:hint="eastAsia"/>
        </w:rPr>
      </w:pPr>
    </w:p>
    <w:p w14:paraId="2B8274A9">
      <w:pPr>
        <w:pStyle w:val="5"/>
        <w:rPr>
          <w:rFonts w:hint="eastAsia"/>
        </w:rPr>
      </w:pPr>
      <w:r>
        <w:rPr>
          <w:rFonts w:hint="eastAsia"/>
        </w:rPr>
        <w:t>© 2026. The Author(s), under exclusive licence to Springer Nature B.V.</w:t>
      </w:r>
    </w:p>
    <w:p w14:paraId="635E619D">
      <w:pPr>
        <w:pStyle w:val="5"/>
        <w:rPr>
          <w:rFonts w:hint="eastAsia"/>
        </w:rPr>
      </w:pPr>
    </w:p>
    <w:p w14:paraId="53381A45">
      <w:pPr>
        <w:pStyle w:val="5"/>
        <w:rPr>
          <w:rFonts w:hint="eastAsia"/>
        </w:rPr>
      </w:pPr>
      <w:r>
        <w:rPr>
          <w:rFonts w:hint="eastAsia"/>
        </w:rPr>
        <w:t>DOI: 10.1007/s11033-026-12954-w</w:t>
      </w:r>
    </w:p>
    <w:p w14:paraId="76777A5A">
      <w:pPr>
        <w:pStyle w:val="5"/>
        <w:rPr>
          <w:rFonts w:hint="eastAsia"/>
        </w:rPr>
      </w:pPr>
      <w:r>
        <w:rPr>
          <w:rFonts w:hint="eastAsia"/>
        </w:rPr>
        <w:t>PMID: 42891742 [Indexed for MEDLINE]</w:t>
      </w:r>
    </w:p>
    <w:p w14:paraId="3141E77B">
      <w:pPr>
        <w:pStyle w:val="5"/>
        <w:rPr>
          <w:rFonts w:hint="eastAsia"/>
        </w:rPr>
      </w:pPr>
    </w:p>
    <w:p w14:paraId="064426D1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9</w:t>
      </w:r>
      <w:r>
        <w:rPr>
          <w:rFonts w:hint="eastAsia"/>
          <w:b/>
          <w:bCs/>
          <w:color w:val="FF0000"/>
        </w:rPr>
        <w:t xml:space="preserve">. Microbiol Spectr. 2026 Oct 16:e0239126. doi: 10.1128/spectrum.02391-26. Online </w:t>
      </w:r>
    </w:p>
    <w:p w14:paraId="6065B32C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55C8C22B">
      <w:pPr>
        <w:pStyle w:val="5"/>
        <w:rPr>
          <w:rFonts w:hint="eastAsia"/>
        </w:rPr>
      </w:pPr>
    </w:p>
    <w:p w14:paraId="4F083B8E">
      <w:pPr>
        <w:pStyle w:val="5"/>
        <w:rPr>
          <w:rFonts w:hint="eastAsia"/>
        </w:rPr>
      </w:pPr>
      <w:r>
        <w:rPr>
          <w:rFonts w:hint="eastAsia"/>
        </w:rPr>
        <w:t>Diagnostic accuracy of TB-LAMP assay on tongue swabs for pulmonary tuberculosis.</w:t>
      </w:r>
    </w:p>
    <w:p w14:paraId="7AE3D184">
      <w:pPr>
        <w:pStyle w:val="5"/>
        <w:rPr>
          <w:rFonts w:hint="eastAsia"/>
        </w:rPr>
      </w:pPr>
    </w:p>
    <w:p w14:paraId="01FA69B1">
      <w:pPr>
        <w:pStyle w:val="5"/>
        <w:rPr>
          <w:rFonts w:hint="eastAsia"/>
        </w:rPr>
      </w:pPr>
      <w:r>
        <w:rPr>
          <w:rFonts w:hint="eastAsia"/>
        </w:rPr>
        <w:t xml:space="preserve">Liang Q(#)(1), Han R(#)(2), Shang Y(2), Dong Y(2), Ren W(2), Wang Y(2), Duan </w:t>
      </w:r>
    </w:p>
    <w:p w14:paraId="11698502">
      <w:pPr>
        <w:pStyle w:val="5"/>
        <w:rPr>
          <w:rFonts w:hint="eastAsia"/>
        </w:rPr>
      </w:pPr>
      <w:r>
        <w:rPr>
          <w:rFonts w:hint="eastAsia"/>
        </w:rPr>
        <w:t>H(1), Pang Y(2).</w:t>
      </w:r>
    </w:p>
    <w:p w14:paraId="7C9A226C">
      <w:pPr>
        <w:pStyle w:val="5"/>
        <w:rPr>
          <w:rFonts w:hint="eastAsia"/>
        </w:rPr>
      </w:pPr>
    </w:p>
    <w:p w14:paraId="25914E5F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Qingtao Liang,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Ruiqi Han,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Yuanyuan Shang,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Yu Dong,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Weicong Ren,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Yilin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Hongfei Duan</w:t>
      </w: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Yu Pang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4D1E396F">
      <w:pPr>
        <w:pStyle w:val="5"/>
        <w:jc w:val="left"/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</w:pP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Address correspondence to Yu Pang, pangyupound@163.com, or Hongfei Duan, duanhongfei@hotmail.com.</w:t>
      </w:r>
    </w:p>
    <w:p w14:paraId="2D6013C4">
      <w:pPr>
        <w:pStyle w:val="5"/>
        <w:rPr>
          <w:rFonts w:hint="eastAsia"/>
        </w:rPr>
      </w:pPr>
    </w:p>
    <w:p w14:paraId="1ED4D558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5C313F06">
      <w:pPr>
        <w:pStyle w:val="5"/>
        <w:rPr>
          <w:rFonts w:hint="eastAsia"/>
        </w:rPr>
      </w:pPr>
      <w:r>
        <w:rPr>
          <w:rFonts w:hint="eastAsia"/>
        </w:rPr>
        <w:t xml:space="preserve">(1)Department of Tuberculosis, Beijing Chest Hospital, Capital Medical </w:t>
      </w:r>
    </w:p>
    <w:p w14:paraId="0CBF54D4">
      <w:pPr>
        <w:pStyle w:val="5"/>
        <w:rPr>
          <w:rFonts w:hint="eastAsia"/>
        </w:rPr>
      </w:pPr>
      <w:r>
        <w:rPr>
          <w:rFonts w:hint="eastAsia"/>
        </w:rPr>
        <w:t xml:space="preserve">University/Beijing Tuberculosis and Thoracic Tumor Research Institute, Beijing, </w:t>
      </w:r>
    </w:p>
    <w:p w14:paraId="217547A7">
      <w:pPr>
        <w:pStyle w:val="5"/>
        <w:rPr>
          <w:rFonts w:hint="eastAsia"/>
        </w:rPr>
      </w:pPr>
      <w:r>
        <w:rPr>
          <w:rFonts w:hint="eastAsia"/>
        </w:rPr>
        <w:t>China.</w:t>
      </w:r>
    </w:p>
    <w:p w14:paraId="56B21305">
      <w:pPr>
        <w:pStyle w:val="5"/>
        <w:rPr>
          <w:rFonts w:hint="eastAsia"/>
        </w:rPr>
      </w:pPr>
      <w:r>
        <w:rPr>
          <w:rFonts w:hint="eastAsia"/>
        </w:rPr>
        <w:t xml:space="preserve">(2)Beijing Key Laboratory for Key Technologies in Tuberculosis Prevention and </w:t>
      </w:r>
    </w:p>
    <w:p w14:paraId="01889658">
      <w:pPr>
        <w:pStyle w:val="5"/>
        <w:rPr>
          <w:rFonts w:hint="eastAsia"/>
        </w:rPr>
      </w:pPr>
      <w:r>
        <w:rPr>
          <w:rFonts w:hint="eastAsia"/>
        </w:rPr>
        <w:t xml:space="preserve">Control, Department of Bacteriology and Immunology, Beijing Chest Hospital, </w:t>
      </w:r>
    </w:p>
    <w:p w14:paraId="0518BA23">
      <w:pPr>
        <w:pStyle w:val="5"/>
        <w:rPr>
          <w:rFonts w:hint="eastAsia"/>
        </w:rPr>
      </w:pPr>
      <w:r>
        <w:rPr>
          <w:rFonts w:hint="eastAsia"/>
        </w:rPr>
        <w:t xml:space="preserve">Capital Medical University/Beijing Tuberculosis and Thoracic Tumor Research </w:t>
      </w:r>
    </w:p>
    <w:p w14:paraId="4D88D1B8">
      <w:pPr>
        <w:pStyle w:val="5"/>
        <w:rPr>
          <w:rFonts w:hint="eastAsia"/>
        </w:rPr>
      </w:pPr>
      <w:r>
        <w:rPr>
          <w:rFonts w:hint="eastAsia"/>
        </w:rPr>
        <w:t>Institute, Beijing, China.</w:t>
      </w:r>
    </w:p>
    <w:p w14:paraId="3CC2F3CD">
      <w:pPr>
        <w:pStyle w:val="5"/>
        <w:rPr>
          <w:rFonts w:hint="eastAsia"/>
        </w:rPr>
      </w:pPr>
      <w:r>
        <w:rPr>
          <w:rFonts w:hint="eastAsia"/>
        </w:rPr>
        <w:t>(#)Contributed equally</w:t>
      </w:r>
    </w:p>
    <w:p w14:paraId="271A92F4">
      <w:pPr>
        <w:pStyle w:val="5"/>
        <w:rPr>
          <w:rFonts w:hint="eastAsia"/>
        </w:rPr>
      </w:pPr>
    </w:p>
    <w:p w14:paraId="0A82F2A9">
      <w:pPr>
        <w:pStyle w:val="5"/>
        <w:rPr>
          <w:rFonts w:hint="eastAsia"/>
        </w:rPr>
      </w:pPr>
      <w:r>
        <w:rPr>
          <w:rFonts w:hint="eastAsia"/>
        </w:rPr>
        <w:t xml:space="preserve">Tuberculosis (TB) remains a leading cause of infectious disease mortality </w:t>
      </w:r>
    </w:p>
    <w:p w14:paraId="514621B2">
      <w:pPr>
        <w:pStyle w:val="5"/>
        <w:rPr>
          <w:rFonts w:hint="eastAsia"/>
        </w:rPr>
      </w:pPr>
      <w:r>
        <w:rPr>
          <w:rFonts w:hint="eastAsia"/>
        </w:rPr>
        <w:t xml:space="preserve">worldwide. However, underdiagnosis and delayed diagnosis continue to facilitate </w:t>
      </w:r>
    </w:p>
    <w:p w14:paraId="3F16EB93">
      <w:pPr>
        <w:pStyle w:val="5"/>
        <w:rPr>
          <w:rFonts w:hint="eastAsia"/>
        </w:rPr>
      </w:pPr>
      <w:r>
        <w:rPr>
          <w:rFonts w:hint="eastAsia"/>
        </w:rPr>
        <w:t xml:space="preserve">disease transmission. Tongue swab sampling has emerged as a promising </w:t>
      </w:r>
    </w:p>
    <w:p w14:paraId="376E46F6">
      <w:pPr>
        <w:pStyle w:val="5"/>
        <w:rPr>
          <w:rFonts w:hint="eastAsia"/>
        </w:rPr>
      </w:pPr>
      <w:r>
        <w:rPr>
          <w:rFonts w:hint="eastAsia"/>
        </w:rPr>
        <w:t xml:space="preserve">non-invasive alternative for the diagnosis of pulmonary TB. This study evaluated </w:t>
      </w:r>
    </w:p>
    <w:p w14:paraId="315A8D78">
      <w:pPr>
        <w:pStyle w:val="5"/>
        <w:rPr>
          <w:rFonts w:hint="eastAsia"/>
        </w:rPr>
      </w:pPr>
      <w:r>
        <w:rPr>
          <w:rFonts w:hint="eastAsia"/>
        </w:rPr>
        <w:t xml:space="preserve">the diagnostic performance of the Eiken TB-LAMP assay when utilizing tongue swab </w:t>
      </w:r>
    </w:p>
    <w:p w14:paraId="0050E9BF">
      <w:pPr>
        <w:pStyle w:val="5"/>
        <w:rPr>
          <w:rFonts w:hint="eastAsia"/>
        </w:rPr>
      </w:pPr>
      <w:r>
        <w:rPr>
          <w:rFonts w:hint="eastAsia"/>
        </w:rPr>
        <w:t xml:space="preserve">specimens and refined the processing protocols following tongue swab collection. </w:t>
      </w:r>
    </w:p>
    <w:p w14:paraId="578324F6">
      <w:pPr>
        <w:pStyle w:val="5"/>
        <w:rPr>
          <w:rFonts w:hint="eastAsia"/>
        </w:rPr>
      </w:pPr>
      <w:r>
        <w:rPr>
          <w:rFonts w:hint="eastAsia"/>
        </w:rPr>
        <w:t xml:space="preserve">In this prospective study, consecutive outpatients with suspected pulmonary </w:t>
      </w:r>
    </w:p>
    <w:p w14:paraId="0BC666CD">
      <w:pPr>
        <w:pStyle w:val="5"/>
        <w:rPr>
          <w:rFonts w:hint="eastAsia"/>
        </w:rPr>
      </w:pPr>
      <w:r>
        <w:rPr>
          <w:rFonts w:hint="eastAsia"/>
        </w:rPr>
        <w:t xml:space="preserve">tuberculosis who were able to provide sputum specimens were enrolled. Tongue </w:t>
      </w:r>
    </w:p>
    <w:p w14:paraId="28FF1698">
      <w:pPr>
        <w:pStyle w:val="5"/>
        <w:rPr>
          <w:rFonts w:hint="eastAsia"/>
        </w:rPr>
      </w:pPr>
      <w:r>
        <w:rPr>
          <w:rFonts w:hint="eastAsia"/>
        </w:rPr>
        <w:t xml:space="preserve">swab specimens were tested using the WHO-endorsed Eiken TB-LAMP platform (EIKEN </w:t>
      </w:r>
    </w:p>
    <w:p w14:paraId="3CA9AE9B">
      <w:pPr>
        <w:pStyle w:val="5"/>
        <w:rPr>
          <w:rFonts w:hint="eastAsia"/>
        </w:rPr>
      </w:pPr>
      <w:r>
        <w:rPr>
          <w:rFonts w:hint="eastAsia"/>
        </w:rPr>
        <w:t xml:space="preserve">CHEMICAL CO., LTD., Tokyo, Japan). Sputum samples were analyzed by Xpert MTB/RIF </w:t>
      </w:r>
    </w:p>
    <w:p w14:paraId="78548C95">
      <w:pPr>
        <w:pStyle w:val="5"/>
        <w:rPr>
          <w:rFonts w:hint="eastAsia"/>
        </w:rPr>
      </w:pPr>
      <w:r>
        <w:rPr>
          <w:rFonts w:hint="eastAsia"/>
        </w:rPr>
        <w:t xml:space="preserve">and culture tests. The microbiological reference standard (MRS) was defined as </w:t>
      </w:r>
    </w:p>
    <w:p w14:paraId="7EF15173">
      <w:pPr>
        <w:pStyle w:val="5"/>
        <w:rPr>
          <w:rFonts w:hint="eastAsia"/>
        </w:rPr>
      </w:pPr>
      <w:r>
        <w:rPr>
          <w:rFonts w:hint="eastAsia"/>
        </w:rPr>
        <w:t xml:space="preserve">positivity by either sputum culture or Xpert MTB/RIF. Diagnostic performance was </w:t>
      </w:r>
    </w:p>
    <w:p w14:paraId="46104B88">
      <w:pPr>
        <w:pStyle w:val="5"/>
        <w:rPr>
          <w:rFonts w:hint="eastAsia"/>
        </w:rPr>
      </w:pPr>
      <w:r>
        <w:rPr>
          <w:rFonts w:hint="eastAsia"/>
        </w:rPr>
        <w:t xml:space="preserve">compared to both MRS and Xpert MTB/RIF assay. Among the 243 enrolled </w:t>
      </w:r>
    </w:p>
    <w:p w14:paraId="7222A31F">
      <w:pPr>
        <w:pStyle w:val="5"/>
        <w:rPr>
          <w:rFonts w:hint="eastAsia"/>
        </w:rPr>
      </w:pPr>
      <w:r>
        <w:rPr>
          <w:rFonts w:hint="eastAsia"/>
        </w:rPr>
        <w:t xml:space="preserve">participants, 136 (56.0%) were MRS-positive, and 107 (44.0%) were MRS-negative. </w:t>
      </w:r>
    </w:p>
    <w:p w14:paraId="558D60AF">
      <w:pPr>
        <w:pStyle w:val="5"/>
        <w:rPr>
          <w:rFonts w:hint="eastAsia"/>
        </w:rPr>
      </w:pPr>
      <w:r>
        <w:rPr>
          <w:rFonts w:hint="eastAsia"/>
        </w:rPr>
        <w:t xml:space="preserve">The tongue swab Eiken TB-LAMP assay achieved a sensitivity of 80.2% (95% CI: </w:t>
      </w:r>
    </w:p>
    <w:p w14:paraId="5000EC8F">
      <w:pPr>
        <w:pStyle w:val="5"/>
        <w:rPr>
          <w:rFonts w:hint="eastAsia"/>
        </w:rPr>
      </w:pPr>
      <w:r>
        <w:rPr>
          <w:rFonts w:hint="eastAsia"/>
        </w:rPr>
        <w:t xml:space="preserve">72.5%-86.1%) and a specificity of 94.6% (95% CI: 88.8%-97.5%) compared to sputum </w:t>
      </w:r>
    </w:p>
    <w:p w14:paraId="0C33D60A">
      <w:pPr>
        <w:pStyle w:val="5"/>
        <w:rPr>
          <w:rFonts w:hint="eastAsia"/>
        </w:rPr>
      </w:pPr>
      <w:r>
        <w:rPr>
          <w:rFonts w:hint="eastAsia"/>
        </w:rPr>
        <w:t xml:space="preserve">Xpert MTB/RIF, and 80.1% sensitivity (95% CI: 72.7%-86.0%) and 98.1% specificity </w:t>
      </w:r>
    </w:p>
    <w:p w14:paraId="1C29EC3E">
      <w:pPr>
        <w:pStyle w:val="5"/>
        <w:rPr>
          <w:rFonts w:hint="eastAsia"/>
        </w:rPr>
      </w:pPr>
      <w:r>
        <w:rPr>
          <w:rFonts w:hint="eastAsia"/>
        </w:rPr>
        <w:t xml:space="preserve">(95% CI: 93.4%-99.7%) compared to the MRS. Sensitivity varied by bacterial load, </w:t>
      </w:r>
    </w:p>
    <w:p w14:paraId="4E8A5CAB">
      <w:pPr>
        <w:pStyle w:val="5"/>
        <w:rPr>
          <w:rFonts w:hint="eastAsia"/>
        </w:rPr>
      </w:pPr>
      <w:r>
        <w:rPr>
          <w:rFonts w:hint="eastAsia"/>
        </w:rPr>
        <w:t xml:space="preserve">ranging from 100% (95% CI: 77.2%-100.0%) in high-load cases to 62.5% (95% CI: </w:t>
      </w:r>
    </w:p>
    <w:p w14:paraId="3717EF62">
      <w:pPr>
        <w:pStyle w:val="5"/>
        <w:rPr>
          <w:rFonts w:hint="eastAsia"/>
        </w:rPr>
      </w:pPr>
      <w:r>
        <w:rPr>
          <w:rFonts w:hint="eastAsia"/>
        </w:rPr>
        <w:t xml:space="preserve">45.3%-77.1%) in very-low-load cases. The Eiken TB-LAMP assay using tongue swabs </w:t>
      </w:r>
    </w:p>
    <w:p w14:paraId="7ACD1F1D">
      <w:pPr>
        <w:pStyle w:val="5"/>
        <w:rPr>
          <w:rFonts w:hint="eastAsia"/>
        </w:rPr>
      </w:pPr>
      <w:r>
        <w:rPr>
          <w:rFonts w:hint="eastAsia"/>
        </w:rPr>
        <w:t xml:space="preserve">offers a rapid, reliable, and non-invasive diagnostic alternative for TB </w:t>
      </w:r>
    </w:p>
    <w:p w14:paraId="60732186">
      <w:pPr>
        <w:pStyle w:val="5"/>
        <w:rPr>
          <w:rFonts w:hint="eastAsia"/>
        </w:rPr>
      </w:pPr>
      <w:r>
        <w:rPr>
          <w:rFonts w:hint="eastAsia"/>
        </w:rPr>
        <w:t xml:space="preserve">diagnosis with high specificity and favorable sensitivity. It could </w:t>
      </w:r>
    </w:p>
    <w:p w14:paraId="52342A98">
      <w:pPr>
        <w:pStyle w:val="5"/>
        <w:rPr>
          <w:rFonts w:hint="eastAsia"/>
        </w:rPr>
      </w:pPr>
      <w:r>
        <w:rPr>
          <w:rFonts w:hint="eastAsia"/>
        </w:rPr>
        <w:t xml:space="preserve">significantly reduce the current diagnostic gap, facilitating earlier </w:t>
      </w:r>
    </w:p>
    <w:p w14:paraId="060DA14B">
      <w:pPr>
        <w:pStyle w:val="5"/>
        <w:rPr>
          <w:rFonts w:hint="eastAsia"/>
        </w:rPr>
      </w:pPr>
      <w:r>
        <w:rPr>
          <w:rFonts w:hint="eastAsia"/>
        </w:rPr>
        <w:t xml:space="preserve">intervention and helping to curb the ongoing transmission of tuberculosis in </w:t>
      </w:r>
    </w:p>
    <w:p w14:paraId="39C73C65">
      <w:pPr>
        <w:pStyle w:val="5"/>
        <w:rPr>
          <w:rFonts w:hint="eastAsia"/>
        </w:rPr>
      </w:pPr>
      <w:r>
        <w:rPr>
          <w:rFonts w:hint="eastAsia"/>
        </w:rPr>
        <w:t>high-burden regions.</w:t>
      </w:r>
    </w:p>
    <w:p w14:paraId="6C57F5F0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IMPORTANCE: </w:t>
      </w:r>
      <w:r>
        <w:rPr>
          <w:rFonts w:hint="eastAsia"/>
        </w:rPr>
        <w:t xml:space="preserve">Effective control of the disease caused by the bacterium </w:t>
      </w:r>
    </w:p>
    <w:p w14:paraId="0AF6B852">
      <w:pPr>
        <w:pStyle w:val="5"/>
        <w:rPr>
          <w:rFonts w:hint="eastAsia"/>
        </w:rPr>
      </w:pPr>
      <w:r>
        <w:rPr>
          <w:rFonts w:hint="eastAsia"/>
        </w:rPr>
        <w:t xml:space="preserve">Mycobacterium tuberculosis is often hindered by the challenges of collecting </w:t>
      </w:r>
    </w:p>
    <w:p w14:paraId="02D072DC">
      <w:pPr>
        <w:pStyle w:val="5"/>
        <w:rPr>
          <w:rFonts w:hint="eastAsia"/>
        </w:rPr>
      </w:pPr>
      <w:r>
        <w:rPr>
          <w:rFonts w:hint="eastAsia"/>
        </w:rPr>
        <w:t xml:space="preserve">sputum samples and the high costs associated with specialized laboratory </w:t>
      </w:r>
    </w:p>
    <w:p w14:paraId="0C954A8A">
      <w:pPr>
        <w:pStyle w:val="5"/>
        <w:rPr>
          <w:rFonts w:hint="eastAsia"/>
        </w:rPr>
      </w:pPr>
      <w:r>
        <w:rPr>
          <w:rFonts w:hint="eastAsia"/>
        </w:rPr>
        <w:t xml:space="preserve">equipment. This study examines a new diagnostic approach using tongue swabs </w:t>
      </w:r>
    </w:p>
    <w:p w14:paraId="0B069DE3">
      <w:pPr>
        <w:pStyle w:val="5"/>
        <w:rPr>
          <w:rFonts w:hint="eastAsia"/>
        </w:rPr>
      </w:pPr>
      <w:r>
        <w:rPr>
          <w:rFonts w:hint="eastAsia"/>
        </w:rPr>
        <w:t xml:space="preserve">combined with loop-mediated isothermal amplification (LAMP). Unlike traditional </w:t>
      </w:r>
    </w:p>
    <w:p w14:paraId="71F3331B">
      <w:pPr>
        <w:pStyle w:val="5"/>
        <w:rPr>
          <w:rFonts w:hint="eastAsia"/>
        </w:rPr>
      </w:pPr>
      <w:r>
        <w:rPr>
          <w:rFonts w:hint="eastAsia"/>
        </w:rPr>
        <w:t xml:space="preserve">methods that can be difficult for patients to perform and risky for healthcare </w:t>
      </w:r>
    </w:p>
    <w:p w14:paraId="2603BCC2">
      <w:pPr>
        <w:pStyle w:val="5"/>
        <w:rPr>
          <w:rFonts w:hint="eastAsia"/>
        </w:rPr>
      </w:pPr>
      <w:r>
        <w:rPr>
          <w:rFonts w:hint="eastAsia"/>
        </w:rPr>
        <w:t xml:space="preserve">workers to manage, tongue swabs are non-invasive, safe, and easy to collect. </w:t>
      </w:r>
    </w:p>
    <w:p w14:paraId="60D08DB2">
      <w:pPr>
        <w:pStyle w:val="5"/>
        <w:rPr>
          <w:rFonts w:hint="eastAsia"/>
        </w:rPr>
      </w:pPr>
      <w:r>
        <w:rPr>
          <w:rFonts w:hint="eastAsia"/>
        </w:rPr>
        <w:t xml:space="preserve">Because LAMP amplifies DNA under isothermal conditions without requiring thermal </w:t>
      </w:r>
    </w:p>
    <w:p w14:paraId="280C37A7">
      <w:pPr>
        <w:pStyle w:val="5"/>
        <w:rPr>
          <w:rFonts w:hint="eastAsia"/>
        </w:rPr>
      </w:pPr>
      <w:r>
        <w:rPr>
          <w:rFonts w:hint="eastAsia"/>
        </w:rPr>
        <w:t xml:space="preserve">cycling, it is more affordable and requires minimal infrastructure, making it </w:t>
      </w:r>
    </w:p>
    <w:p w14:paraId="79AAE47E">
      <w:pPr>
        <w:pStyle w:val="5"/>
        <w:rPr>
          <w:rFonts w:hint="eastAsia"/>
        </w:rPr>
      </w:pPr>
      <w:r>
        <w:rPr>
          <w:rFonts w:hint="eastAsia"/>
        </w:rPr>
        <w:t xml:space="preserve">particularly suitable for clinics in remote or resource-limited areas. By </w:t>
      </w:r>
    </w:p>
    <w:p w14:paraId="24A7DC69">
      <w:pPr>
        <w:pStyle w:val="5"/>
        <w:rPr>
          <w:rFonts w:hint="eastAsia"/>
        </w:rPr>
      </w:pPr>
      <w:r>
        <w:rPr>
          <w:rFonts w:hint="eastAsia"/>
        </w:rPr>
        <w:t xml:space="preserve">demonstrating that this approach is effective, the research provides a </w:t>
      </w:r>
    </w:p>
    <w:p w14:paraId="59E83276">
      <w:pPr>
        <w:pStyle w:val="5"/>
        <w:rPr>
          <w:rFonts w:hint="eastAsia"/>
        </w:rPr>
      </w:pPr>
      <w:r>
        <w:rPr>
          <w:rFonts w:hint="eastAsia"/>
        </w:rPr>
        <w:t xml:space="preserve">foundation for faster and more accessible diagnosis. This shift could </w:t>
      </w:r>
    </w:p>
    <w:p w14:paraId="6C6DEB7B">
      <w:pPr>
        <w:pStyle w:val="5"/>
        <w:rPr>
          <w:rFonts w:hint="eastAsia"/>
        </w:rPr>
      </w:pPr>
      <w:r>
        <w:rPr>
          <w:rFonts w:hint="eastAsia"/>
        </w:rPr>
        <w:t xml:space="preserve">significantly improve patient care and help bridge the global gap in detecting </w:t>
      </w:r>
    </w:p>
    <w:p w14:paraId="5EED0523">
      <w:pPr>
        <w:pStyle w:val="5"/>
        <w:rPr>
          <w:rFonts w:hint="eastAsia"/>
        </w:rPr>
      </w:pPr>
      <w:r>
        <w:rPr>
          <w:rFonts w:hint="eastAsia"/>
        </w:rPr>
        <w:t>this infectious disease.</w:t>
      </w:r>
    </w:p>
    <w:p w14:paraId="0D921CC0">
      <w:pPr>
        <w:pStyle w:val="5"/>
        <w:rPr>
          <w:rFonts w:hint="eastAsia"/>
        </w:rPr>
      </w:pPr>
    </w:p>
    <w:p w14:paraId="4D6A0709">
      <w:pPr>
        <w:pStyle w:val="5"/>
        <w:rPr>
          <w:rFonts w:hint="eastAsia"/>
        </w:rPr>
      </w:pPr>
      <w:r>
        <w:rPr>
          <w:rFonts w:hint="eastAsia"/>
        </w:rPr>
        <w:t>DOI: 10.1128/spectrum.02391-26</w:t>
      </w:r>
    </w:p>
    <w:p w14:paraId="06C45B12">
      <w:pPr>
        <w:pStyle w:val="5"/>
        <w:rPr>
          <w:rFonts w:hint="eastAsia"/>
        </w:rPr>
      </w:pPr>
      <w:r>
        <w:rPr>
          <w:rFonts w:hint="eastAsia"/>
        </w:rPr>
        <w:t>PMID: 42885943</w:t>
      </w:r>
    </w:p>
    <w:p w14:paraId="31ADB13F">
      <w:pPr>
        <w:pStyle w:val="5"/>
        <w:rPr>
          <w:rFonts w:hint="eastAsia"/>
        </w:rPr>
      </w:pPr>
    </w:p>
    <w:p w14:paraId="7931C184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10</w:t>
      </w:r>
      <w:r>
        <w:rPr>
          <w:rFonts w:hint="eastAsia"/>
          <w:b/>
          <w:bCs/>
          <w:color w:val="FF0000"/>
        </w:rPr>
        <w:t>. Ann Med. 2026 Dec;58(1):2720327. doi: 10.1080/07853890.2026.2720327. Epub 2026 Oct 15.</w:t>
      </w:r>
    </w:p>
    <w:p w14:paraId="53BF918F">
      <w:pPr>
        <w:pStyle w:val="5"/>
        <w:rPr>
          <w:rFonts w:hint="eastAsia"/>
        </w:rPr>
      </w:pPr>
    </w:p>
    <w:p w14:paraId="6181FC6A">
      <w:pPr>
        <w:pStyle w:val="5"/>
        <w:rPr>
          <w:rFonts w:hint="eastAsia"/>
        </w:rPr>
      </w:pPr>
      <w:r>
        <w:rPr>
          <w:rFonts w:hint="eastAsia"/>
        </w:rPr>
        <w:t xml:space="preserve">Metagenomic insights into the pulmonary microbiome of drug-sensitive and </w:t>
      </w:r>
    </w:p>
    <w:p w14:paraId="3313EBEE">
      <w:pPr>
        <w:pStyle w:val="5"/>
        <w:rPr>
          <w:rFonts w:hint="eastAsia"/>
        </w:rPr>
      </w:pPr>
      <w:r>
        <w:rPr>
          <w:rFonts w:hint="eastAsia"/>
        </w:rPr>
        <w:t>multidrug-resistant tuberculosis patients.</w:t>
      </w:r>
    </w:p>
    <w:p w14:paraId="31024CC2">
      <w:pPr>
        <w:pStyle w:val="5"/>
        <w:rPr>
          <w:rFonts w:hint="eastAsia"/>
        </w:rPr>
      </w:pPr>
    </w:p>
    <w:p w14:paraId="4C173B13">
      <w:pPr>
        <w:pStyle w:val="5"/>
        <w:rPr>
          <w:rFonts w:hint="eastAsia"/>
        </w:rPr>
      </w:pPr>
      <w:r>
        <w:rPr>
          <w:rFonts w:hint="eastAsia"/>
        </w:rPr>
        <w:t xml:space="preserve">Lin ZR(1), Shi JC(1), Qiu CC(1), Wu ZX(1), Lin XQ(1), He GQ(1), Liu SD(1), Du </w:t>
      </w:r>
    </w:p>
    <w:p w14:paraId="3EFEC7AB">
      <w:pPr>
        <w:pStyle w:val="5"/>
        <w:rPr>
          <w:rFonts w:hint="eastAsia"/>
        </w:rPr>
      </w:pPr>
      <w:r>
        <w:rPr>
          <w:rFonts w:hint="eastAsia"/>
        </w:rPr>
        <w:t>QW(2), Lin HB(1), Wu LP(3), Sun F(4), Jiang XG(1).</w:t>
      </w:r>
    </w:p>
    <w:p w14:paraId="6552A93D">
      <w:pPr>
        <w:pStyle w:val="5"/>
        <w:rPr>
          <w:rFonts w:hint="eastAsia"/>
        </w:rPr>
      </w:pPr>
    </w:p>
    <w:p w14:paraId="3F8457A2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Zhi-Ruo Lin,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Ji-Chan Shi,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Chao-Chao Qiu,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Zheng-Xing Wu,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Xiao-Qing Lin,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Gui-Qing He,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Sai-Duo Liu,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Qing-Wei Du,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Hui-Bin Lin,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Lian-Peng Wu,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Feng Sun,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Xian-Gao Jiang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343AF3AD">
      <w:pPr>
        <w:pStyle w:val="5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CONTACT Xian-Gao Jiang</w:t>
      </w:r>
      <w:r>
        <w:rPr>
          <w:rFonts w:hint="eastAsia"/>
          <w:b/>
          <w:bCs/>
          <w:color w:val="0070C0"/>
          <w:lang w:eastAsia="zh-CN"/>
        </w:rPr>
        <w:t>，</w:t>
      </w:r>
      <w:r>
        <w:rPr>
          <w:rFonts w:hint="eastAsia"/>
          <w:b/>
          <w:bCs/>
          <w:color w:val="0070C0"/>
        </w:rPr>
        <w:t>xiangaojiang@wmu.edu.cn</w:t>
      </w:r>
    </w:p>
    <w:p w14:paraId="16F88221">
      <w:pPr>
        <w:pStyle w:val="5"/>
        <w:rPr>
          <w:rFonts w:hint="eastAsia"/>
        </w:rPr>
      </w:pPr>
    </w:p>
    <w:p w14:paraId="45DF6216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1AE38C3E">
      <w:pPr>
        <w:pStyle w:val="5"/>
        <w:rPr>
          <w:rFonts w:hint="eastAsia"/>
        </w:rPr>
      </w:pPr>
      <w:r>
        <w:rPr>
          <w:rFonts w:hint="eastAsia"/>
        </w:rPr>
        <w:t xml:space="preserve">(1)Infectious Diseases Department, Wenzhou Central Hospital, Wenzhou Medical </w:t>
      </w:r>
    </w:p>
    <w:p w14:paraId="1BAA1595">
      <w:pPr>
        <w:pStyle w:val="5"/>
        <w:rPr>
          <w:rFonts w:hint="eastAsia"/>
        </w:rPr>
      </w:pPr>
      <w:r>
        <w:rPr>
          <w:rFonts w:hint="eastAsia"/>
        </w:rPr>
        <w:t xml:space="preserve">University Affiliated Wenzhou Central Hospital, Wenzhou Sixth People's Hospital, </w:t>
      </w:r>
    </w:p>
    <w:p w14:paraId="66B5A6E9">
      <w:pPr>
        <w:pStyle w:val="5"/>
        <w:rPr>
          <w:rFonts w:hint="eastAsia"/>
        </w:rPr>
      </w:pPr>
      <w:r>
        <w:rPr>
          <w:rFonts w:hint="eastAsia"/>
        </w:rPr>
        <w:t>Wenzhou City, China.</w:t>
      </w:r>
    </w:p>
    <w:p w14:paraId="700575FD">
      <w:pPr>
        <w:pStyle w:val="5"/>
        <w:rPr>
          <w:rFonts w:hint="eastAsia"/>
        </w:rPr>
      </w:pPr>
      <w:r>
        <w:rPr>
          <w:rFonts w:hint="eastAsia"/>
        </w:rPr>
        <w:t xml:space="preserve">(2)Infectious Diseases Department, Shanghai First Hospital, Affiliated to </w:t>
      </w:r>
    </w:p>
    <w:p w14:paraId="32C42E8B">
      <w:pPr>
        <w:pStyle w:val="5"/>
        <w:rPr>
          <w:rFonts w:hint="eastAsia"/>
        </w:rPr>
      </w:pPr>
      <w:r>
        <w:rPr>
          <w:rFonts w:hint="eastAsia"/>
        </w:rPr>
        <w:t>Shanghai, Jiao Tong University School of Medicine, Shanghai, China.</w:t>
      </w:r>
    </w:p>
    <w:p w14:paraId="17850D26">
      <w:pPr>
        <w:pStyle w:val="5"/>
        <w:rPr>
          <w:rFonts w:hint="eastAsia"/>
        </w:rPr>
      </w:pPr>
      <w:r>
        <w:rPr>
          <w:rFonts w:hint="eastAsia"/>
        </w:rPr>
        <w:t xml:space="preserve">(3)Medical Laboratory Department, Wenzhou Central Hospital, Wenzhou Medical </w:t>
      </w:r>
    </w:p>
    <w:p w14:paraId="68DA543E">
      <w:pPr>
        <w:pStyle w:val="5"/>
        <w:rPr>
          <w:rFonts w:hint="eastAsia"/>
        </w:rPr>
      </w:pPr>
      <w:r>
        <w:rPr>
          <w:rFonts w:hint="eastAsia"/>
        </w:rPr>
        <w:t xml:space="preserve">University Affiliated Wenzhou Central Hospital, Wenzhou Sixth People's Hospital, </w:t>
      </w:r>
    </w:p>
    <w:p w14:paraId="5194BCDB">
      <w:pPr>
        <w:pStyle w:val="5"/>
        <w:rPr>
          <w:rFonts w:hint="eastAsia"/>
        </w:rPr>
      </w:pPr>
      <w:r>
        <w:rPr>
          <w:rFonts w:hint="eastAsia"/>
        </w:rPr>
        <w:t>Wenzhou City, China.</w:t>
      </w:r>
    </w:p>
    <w:p w14:paraId="6397EA62">
      <w:pPr>
        <w:pStyle w:val="5"/>
        <w:rPr>
          <w:rFonts w:hint="eastAsia"/>
        </w:rPr>
      </w:pPr>
      <w:r>
        <w:rPr>
          <w:rFonts w:hint="eastAsia"/>
        </w:rPr>
        <w:t xml:space="preserve">(4)Infectious Diseases Department, Huashan Hospital Affiliated to Fudan </w:t>
      </w:r>
    </w:p>
    <w:p w14:paraId="134A8B8E">
      <w:pPr>
        <w:pStyle w:val="5"/>
        <w:rPr>
          <w:rFonts w:hint="eastAsia"/>
        </w:rPr>
      </w:pPr>
      <w:r>
        <w:rPr>
          <w:rFonts w:hint="eastAsia"/>
        </w:rPr>
        <w:t>University, National Center for Infectious Diseases Medicine, Shanghai, China.</w:t>
      </w:r>
    </w:p>
    <w:p w14:paraId="535A0D3E">
      <w:pPr>
        <w:pStyle w:val="5"/>
        <w:rPr>
          <w:rFonts w:hint="eastAsia"/>
        </w:rPr>
      </w:pPr>
    </w:p>
    <w:p w14:paraId="29CBD4D6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While the pulmonary microbiota may influence TB pathogenesis, direct </w:t>
      </w:r>
    </w:p>
    <w:p w14:paraId="6CF5A3F1">
      <w:pPr>
        <w:pStyle w:val="5"/>
        <w:rPr>
          <w:rFonts w:hint="eastAsia"/>
        </w:rPr>
      </w:pPr>
      <w:r>
        <w:rPr>
          <w:rFonts w:hint="eastAsia"/>
        </w:rPr>
        <w:t xml:space="preserve">comparisons between drug-sensitive (DS-TB) and multidrug-resistant (MDR-TB) </w:t>
      </w:r>
    </w:p>
    <w:p w14:paraId="32E61C3B">
      <w:pPr>
        <w:pStyle w:val="5"/>
        <w:rPr>
          <w:rFonts w:hint="eastAsia"/>
        </w:rPr>
      </w:pPr>
      <w:r>
        <w:rPr>
          <w:rFonts w:hint="eastAsia"/>
        </w:rPr>
        <w:t xml:space="preserve">patients remain scarce. This study explored microbiome differences between these </w:t>
      </w:r>
    </w:p>
    <w:p w14:paraId="31EBED64">
      <w:pPr>
        <w:pStyle w:val="5"/>
        <w:rPr>
          <w:rFonts w:hint="eastAsia"/>
        </w:rPr>
      </w:pPr>
      <w:r>
        <w:rPr>
          <w:rFonts w:hint="eastAsia"/>
        </w:rPr>
        <w:t>groups.</w:t>
      </w:r>
    </w:p>
    <w:p w14:paraId="7E7B43A9">
      <w:pPr>
        <w:pStyle w:val="5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Bronchoalveolar lavage fluid (BALF) from 30 prospective patients (11 </w:t>
      </w:r>
    </w:p>
    <w:p w14:paraId="713E1F2A">
      <w:pPr>
        <w:pStyle w:val="5"/>
        <w:rPr>
          <w:rFonts w:hint="eastAsia"/>
        </w:rPr>
      </w:pPr>
      <w:r>
        <w:rPr>
          <w:rFonts w:hint="eastAsia"/>
        </w:rPr>
        <w:t>DS-TB, 19 MDR-TB) was analysed via metagenomic sequencing.</w:t>
      </w:r>
    </w:p>
    <w:p w14:paraId="35D05F1F">
      <w:pPr>
        <w:pStyle w:val="5"/>
        <w:rPr>
          <w:rFonts w:hint="eastAsia"/>
        </w:rPr>
      </w:pPr>
      <w:r>
        <w:rPr>
          <w:rFonts w:hint="eastAsia"/>
          <w:b/>
          <w:bCs/>
        </w:rPr>
        <w:t>RESULTS</w:t>
      </w:r>
      <w:r>
        <w:rPr>
          <w:rFonts w:hint="eastAsia"/>
        </w:rPr>
        <w:t xml:space="preserve">: Patients with MDR-TB showed lower α-diversity and distinct β-diversity </w:t>
      </w:r>
    </w:p>
    <w:p w14:paraId="0638F2A8">
      <w:pPr>
        <w:pStyle w:val="5"/>
        <w:rPr>
          <w:rFonts w:hint="eastAsia"/>
        </w:rPr>
      </w:pPr>
      <w:r>
        <w:rPr>
          <w:rFonts w:hint="eastAsia"/>
        </w:rPr>
        <w:t xml:space="preserve">compared with patients with DS-TB. Streptococcus and Prevotella were relatively </w:t>
      </w:r>
    </w:p>
    <w:p w14:paraId="35217F0A">
      <w:pPr>
        <w:pStyle w:val="5"/>
        <w:rPr>
          <w:rFonts w:hint="eastAsia"/>
        </w:rPr>
      </w:pPr>
      <w:r>
        <w:rPr>
          <w:rFonts w:hint="eastAsia"/>
        </w:rPr>
        <w:t xml:space="preserve">enriched in DS-TB, whereas Staphylococcus, Cutibacterium, and Mycobacterium were </w:t>
      </w:r>
    </w:p>
    <w:p w14:paraId="4F2C713A">
      <w:pPr>
        <w:pStyle w:val="5"/>
        <w:rPr>
          <w:rFonts w:hint="eastAsia"/>
        </w:rPr>
      </w:pPr>
      <w:r>
        <w:rPr>
          <w:rFonts w:hint="eastAsia"/>
        </w:rPr>
        <w:t xml:space="preserve">more abundant in MDR-TB. DS-TB showed enrichment of 45 carbohydrate-active </w:t>
      </w:r>
    </w:p>
    <w:p w14:paraId="7A34F8F0">
      <w:pPr>
        <w:pStyle w:val="5"/>
        <w:rPr>
          <w:rFonts w:hint="eastAsia"/>
        </w:rPr>
      </w:pPr>
      <w:r>
        <w:rPr>
          <w:rFonts w:hint="eastAsia"/>
        </w:rPr>
        <w:t xml:space="preserve">enzyme families and core metabolic annotations, whereas MDR-TB showed enrichment </w:t>
      </w:r>
    </w:p>
    <w:p w14:paraId="0C18BF6E">
      <w:pPr>
        <w:pStyle w:val="5"/>
        <w:rPr>
          <w:rFonts w:hint="eastAsia"/>
        </w:rPr>
      </w:pPr>
      <w:r>
        <w:rPr>
          <w:rFonts w:hint="eastAsia"/>
        </w:rPr>
        <w:t xml:space="preserve">of infection- and immunity-related functional annotations and a less connected </w:t>
      </w:r>
    </w:p>
    <w:p w14:paraId="03F4515D">
      <w:pPr>
        <w:pStyle w:val="5"/>
        <w:rPr>
          <w:rFonts w:hint="eastAsia"/>
        </w:rPr>
      </w:pPr>
      <w:r>
        <w:rPr>
          <w:rFonts w:hint="eastAsia"/>
        </w:rPr>
        <w:t xml:space="preserve">taxonomic network. An exploratory random forest analysis identified six </w:t>
      </w:r>
    </w:p>
    <w:p w14:paraId="45494375">
      <w:pPr>
        <w:pStyle w:val="5"/>
        <w:rPr>
          <w:rFonts w:hint="eastAsia"/>
        </w:rPr>
      </w:pPr>
      <w:r>
        <w:rPr>
          <w:rFonts w:hint="eastAsia"/>
        </w:rPr>
        <w:t>candidate genera and yielded an internally cross-validated AUC of 0.957.</w:t>
      </w:r>
    </w:p>
    <w:p w14:paraId="2D2E66DC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MDR-TB was associated with lower pulmonary microbial diversity, </w:t>
      </w:r>
    </w:p>
    <w:p w14:paraId="63532142">
      <w:pPr>
        <w:pStyle w:val="5"/>
        <w:rPr>
          <w:rFonts w:hint="eastAsia"/>
        </w:rPr>
      </w:pPr>
      <w:r>
        <w:rPr>
          <w:rFonts w:hint="eastAsia"/>
        </w:rPr>
        <w:t xml:space="preserve">altered community composition, and shifts in predicted microbial functions. </w:t>
      </w:r>
    </w:p>
    <w:p w14:paraId="605C81BE">
      <w:pPr>
        <w:pStyle w:val="5"/>
        <w:rPr>
          <w:rFonts w:hint="eastAsia"/>
        </w:rPr>
      </w:pPr>
      <w:r>
        <w:rPr>
          <w:rFonts w:hint="eastAsia"/>
        </w:rPr>
        <w:t xml:space="preserve">These findings characterise lower-airway microbiome differences between DS-TB </w:t>
      </w:r>
    </w:p>
    <w:p w14:paraId="7A4564D9">
      <w:pPr>
        <w:pStyle w:val="5"/>
        <w:rPr>
          <w:rFonts w:hint="eastAsia"/>
        </w:rPr>
      </w:pPr>
      <w:r>
        <w:rPr>
          <w:rFonts w:hint="eastAsia"/>
        </w:rPr>
        <w:t>and MDR-TB and provide a basis for further validation.</w:t>
      </w:r>
    </w:p>
    <w:p w14:paraId="4D0F3CFB">
      <w:pPr>
        <w:pStyle w:val="5"/>
        <w:rPr>
          <w:rFonts w:hint="eastAsia"/>
        </w:rPr>
      </w:pPr>
    </w:p>
    <w:p w14:paraId="7A25BEE8">
      <w:pPr>
        <w:pStyle w:val="5"/>
        <w:rPr>
          <w:rFonts w:hint="eastAsia"/>
        </w:rPr>
      </w:pPr>
      <w:r>
        <w:rPr>
          <w:rFonts w:hint="eastAsia"/>
        </w:rPr>
        <w:t>DOI: 10.1080/07853890.2026.2720327</w:t>
      </w:r>
    </w:p>
    <w:p w14:paraId="6B0FE06D">
      <w:pPr>
        <w:pStyle w:val="5"/>
        <w:rPr>
          <w:rFonts w:hint="eastAsia"/>
        </w:rPr>
      </w:pPr>
      <w:r>
        <w:rPr>
          <w:rFonts w:hint="eastAsia"/>
        </w:rPr>
        <w:t>PMCID: PMC13674659</w:t>
      </w:r>
    </w:p>
    <w:p w14:paraId="2575AE31">
      <w:pPr>
        <w:pStyle w:val="5"/>
        <w:rPr>
          <w:rFonts w:hint="eastAsia"/>
        </w:rPr>
      </w:pPr>
      <w:r>
        <w:rPr>
          <w:rFonts w:hint="eastAsia"/>
        </w:rPr>
        <w:t>PMID: 42879678 [Indexed for MEDLINE]</w:t>
      </w:r>
    </w:p>
    <w:p w14:paraId="2DD41106">
      <w:pPr>
        <w:pStyle w:val="5"/>
        <w:rPr>
          <w:rFonts w:hint="eastAsia"/>
        </w:rPr>
      </w:pPr>
    </w:p>
    <w:p w14:paraId="38CBEEDA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11</w:t>
      </w:r>
      <w:r>
        <w:rPr>
          <w:rFonts w:hint="eastAsia"/>
          <w:b/>
          <w:bCs/>
          <w:color w:val="FF0000"/>
        </w:rPr>
        <w:t xml:space="preserve">. J Adv Res. 2026 Oct 14:S2090-1232(26)00789-7. doi: 10.1016/j.jare.2026.10.028. </w:t>
      </w:r>
    </w:p>
    <w:p w14:paraId="3C301569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Online ahead of print.</w:t>
      </w:r>
    </w:p>
    <w:p w14:paraId="564B3E90">
      <w:pPr>
        <w:pStyle w:val="5"/>
        <w:rPr>
          <w:rFonts w:hint="eastAsia"/>
        </w:rPr>
      </w:pPr>
    </w:p>
    <w:p w14:paraId="52D3204B">
      <w:pPr>
        <w:pStyle w:val="5"/>
        <w:rPr>
          <w:rFonts w:hint="eastAsia"/>
        </w:rPr>
      </w:pPr>
      <w:r>
        <w:rPr>
          <w:rFonts w:hint="eastAsia"/>
        </w:rPr>
        <w:t xml:space="preserve">Identifying overlooked factors associated with multidrug-resistant tuberculosis: </w:t>
      </w:r>
    </w:p>
    <w:p w14:paraId="21EFC8B6">
      <w:pPr>
        <w:pStyle w:val="5"/>
        <w:rPr>
          <w:rFonts w:hint="eastAsia"/>
        </w:rPr>
      </w:pPr>
      <w:r>
        <w:rPr>
          <w:rFonts w:hint="eastAsia"/>
        </w:rPr>
        <w:t>an ecological study across 201 countries and regions, 1990-2021.</w:t>
      </w:r>
    </w:p>
    <w:p w14:paraId="664D57B0">
      <w:pPr>
        <w:pStyle w:val="5"/>
        <w:rPr>
          <w:rFonts w:hint="eastAsia"/>
        </w:rPr>
      </w:pPr>
    </w:p>
    <w:p w14:paraId="2B03A2BA">
      <w:pPr>
        <w:pStyle w:val="5"/>
        <w:rPr>
          <w:rFonts w:hint="eastAsia"/>
        </w:rPr>
      </w:pPr>
      <w:r>
        <w:rPr>
          <w:rFonts w:hint="eastAsia"/>
        </w:rPr>
        <w:t xml:space="preserve">Wang Z(1), Chen Y(1), Zhang J(2), Xue M(1), Li W(1), Zhang Z(3), Cheng ZJ(4), Li </w:t>
      </w:r>
    </w:p>
    <w:p w14:paraId="255F36DF">
      <w:pPr>
        <w:pStyle w:val="5"/>
        <w:rPr>
          <w:rFonts w:hint="eastAsia"/>
        </w:rPr>
      </w:pPr>
      <w:r>
        <w:rPr>
          <w:rFonts w:hint="eastAsia"/>
        </w:rPr>
        <w:t>S(5).</w:t>
      </w:r>
    </w:p>
    <w:p w14:paraId="78EC44DC">
      <w:pPr>
        <w:pStyle w:val="5"/>
        <w:rPr>
          <w:rFonts w:hint="eastAsia"/>
        </w:rPr>
      </w:pPr>
    </w:p>
    <w:p w14:paraId="730ECDB4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Zihui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Yuqi Chen,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Jiamin Zhang,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Mingshan Xue,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Weilong Li,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Zhiyin Zhang,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Zhangkai J Cheng</w:t>
      </w: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Shaoqiang Li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17A5FBE8">
      <w:pPr>
        <w:pStyle w:val="5"/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</w:pP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Correspondence author: Shaoqiang Li, Email: lishaoqiang86@163.com and Zhangkai J. Cheng, Email: jasontable@gmail.com.</w:t>
      </w:r>
    </w:p>
    <w:p w14:paraId="7DF703CB">
      <w:pPr>
        <w:pStyle w:val="5"/>
        <w:rPr>
          <w:rFonts w:hint="eastAsia"/>
        </w:rPr>
      </w:pPr>
    </w:p>
    <w:p w14:paraId="2C077BEF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2C76131E">
      <w:pPr>
        <w:pStyle w:val="5"/>
        <w:rPr>
          <w:rFonts w:hint="eastAsia"/>
        </w:rPr>
      </w:pPr>
      <w:r>
        <w:rPr>
          <w:rFonts w:hint="eastAsia"/>
        </w:rPr>
        <w:t xml:space="preserve">(1)National Center for Respiratory Medicine, National Clinical Research Center </w:t>
      </w:r>
    </w:p>
    <w:p w14:paraId="0F84801C">
      <w:pPr>
        <w:pStyle w:val="5"/>
        <w:rPr>
          <w:rFonts w:hint="eastAsia"/>
        </w:rPr>
      </w:pPr>
      <w:r>
        <w:rPr>
          <w:rFonts w:hint="eastAsia"/>
        </w:rPr>
        <w:t xml:space="preserve">for Respiratory Disease, Guangzhou Institute of Respiratory Health, the First </w:t>
      </w:r>
    </w:p>
    <w:p w14:paraId="499156C7">
      <w:pPr>
        <w:pStyle w:val="5"/>
        <w:rPr>
          <w:rFonts w:hint="eastAsia"/>
        </w:rPr>
      </w:pPr>
      <w:r>
        <w:rPr>
          <w:rFonts w:hint="eastAsia"/>
        </w:rPr>
        <w:t xml:space="preserve">Affiliated Hospital of Guangzhou Medical University, Guangzhou Medical </w:t>
      </w:r>
    </w:p>
    <w:p w14:paraId="6E682AC2">
      <w:pPr>
        <w:pStyle w:val="5"/>
        <w:rPr>
          <w:rFonts w:hint="eastAsia"/>
        </w:rPr>
      </w:pPr>
      <w:r>
        <w:rPr>
          <w:rFonts w:hint="eastAsia"/>
        </w:rPr>
        <w:t>University, Guangzhou Laboratory, China.</w:t>
      </w:r>
    </w:p>
    <w:p w14:paraId="18435A6A">
      <w:pPr>
        <w:pStyle w:val="5"/>
        <w:rPr>
          <w:rFonts w:hint="eastAsia"/>
        </w:rPr>
      </w:pPr>
      <w:r>
        <w:rPr>
          <w:rFonts w:hint="eastAsia"/>
        </w:rPr>
        <w:t>(2)School of Pediatrics, Guangzhou Medical University, Guangzhou, China.</w:t>
      </w:r>
    </w:p>
    <w:p w14:paraId="3BF1AA56">
      <w:pPr>
        <w:pStyle w:val="5"/>
        <w:rPr>
          <w:rFonts w:hint="eastAsia"/>
        </w:rPr>
      </w:pPr>
      <w:r>
        <w:rPr>
          <w:rFonts w:hint="eastAsia"/>
        </w:rPr>
        <w:t>(3)School of Stomatology, Southern Medical University, Guangzhou, China.</w:t>
      </w:r>
    </w:p>
    <w:p w14:paraId="4817C047">
      <w:pPr>
        <w:pStyle w:val="5"/>
        <w:rPr>
          <w:rFonts w:hint="eastAsia"/>
        </w:rPr>
      </w:pPr>
      <w:r>
        <w:rPr>
          <w:rFonts w:hint="eastAsia"/>
        </w:rPr>
        <w:t xml:space="preserve">(4)National Center for Respiratory Medicine, National Clinical Research Center </w:t>
      </w:r>
    </w:p>
    <w:p w14:paraId="34B406C2">
      <w:pPr>
        <w:pStyle w:val="5"/>
        <w:rPr>
          <w:rFonts w:hint="eastAsia"/>
        </w:rPr>
      </w:pPr>
      <w:r>
        <w:rPr>
          <w:rFonts w:hint="eastAsia"/>
        </w:rPr>
        <w:t xml:space="preserve">for Respiratory Disease, Guangzhou Institute of Respiratory Health, the First </w:t>
      </w:r>
    </w:p>
    <w:p w14:paraId="006ECE25">
      <w:pPr>
        <w:pStyle w:val="5"/>
        <w:rPr>
          <w:rFonts w:hint="eastAsia"/>
        </w:rPr>
      </w:pPr>
      <w:r>
        <w:rPr>
          <w:rFonts w:hint="eastAsia"/>
        </w:rPr>
        <w:t xml:space="preserve">Affiliated Hospital of Guangzhou Medical University, Guangzhou Medical </w:t>
      </w:r>
    </w:p>
    <w:p w14:paraId="47827B2C">
      <w:pPr>
        <w:pStyle w:val="5"/>
        <w:rPr>
          <w:rFonts w:hint="eastAsia"/>
        </w:rPr>
      </w:pPr>
      <w:r>
        <w:rPr>
          <w:rFonts w:hint="eastAsia"/>
        </w:rPr>
        <w:t xml:space="preserve">University, Guangzhou Laboratory, China. Electronic address: </w:t>
      </w:r>
    </w:p>
    <w:p w14:paraId="7CE818D4">
      <w:pPr>
        <w:pStyle w:val="5"/>
        <w:rPr>
          <w:rFonts w:hint="eastAsia"/>
        </w:rPr>
      </w:pPr>
      <w:r>
        <w:rPr>
          <w:rFonts w:hint="eastAsia"/>
        </w:rPr>
        <w:t>jasontable@gmail.com.</w:t>
      </w:r>
    </w:p>
    <w:p w14:paraId="04852125">
      <w:pPr>
        <w:pStyle w:val="5"/>
        <w:rPr>
          <w:rFonts w:hint="eastAsia"/>
        </w:rPr>
      </w:pPr>
      <w:r>
        <w:rPr>
          <w:rFonts w:hint="eastAsia"/>
        </w:rPr>
        <w:t xml:space="preserve">(5)National Center for Respiratory Medicine, National Clinical Research Center </w:t>
      </w:r>
    </w:p>
    <w:p w14:paraId="2AE918A6">
      <w:pPr>
        <w:pStyle w:val="5"/>
        <w:rPr>
          <w:rFonts w:hint="eastAsia"/>
        </w:rPr>
      </w:pPr>
      <w:r>
        <w:rPr>
          <w:rFonts w:hint="eastAsia"/>
        </w:rPr>
        <w:t xml:space="preserve">for Respiratory Disease, Guangzhou Institute of Respiratory Health, the First </w:t>
      </w:r>
    </w:p>
    <w:p w14:paraId="6D581A71">
      <w:pPr>
        <w:pStyle w:val="5"/>
        <w:rPr>
          <w:rFonts w:hint="eastAsia"/>
        </w:rPr>
      </w:pPr>
      <w:r>
        <w:rPr>
          <w:rFonts w:hint="eastAsia"/>
        </w:rPr>
        <w:t xml:space="preserve">Affiliated Hospital of Guangzhou Medical University, Guangzhou Medical </w:t>
      </w:r>
    </w:p>
    <w:p w14:paraId="737E77A2">
      <w:pPr>
        <w:pStyle w:val="5"/>
        <w:rPr>
          <w:rFonts w:hint="eastAsia"/>
        </w:rPr>
      </w:pPr>
      <w:r>
        <w:rPr>
          <w:rFonts w:hint="eastAsia"/>
        </w:rPr>
        <w:t xml:space="preserve">University, Guangzhou Laboratory, China. Electronic address: </w:t>
      </w:r>
    </w:p>
    <w:p w14:paraId="6BA184A7">
      <w:pPr>
        <w:pStyle w:val="5"/>
        <w:rPr>
          <w:rFonts w:hint="eastAsia"/>
        </w:rPr>
      </w:pPr>
      <w:r>
        <w:rPr>
          <w:rFonts w:hint="eastAsia"/>
        </w:rPr>
        <w:t>lishaoqiang86@163.com.</w:t>
      </w:r>
    </w:p>
    <w:p w14:paraId="71E6504A">
      <w:pPr>
        <w:pStyle w:val="5"/>
        <w:rPr>
          <w:rFonts w:hint="eastAsia"/>
        </w:rPr>
      </w:pPr>
    </w:p>
    <w:p w14:paraId="5C2E4283">
      <w:pPr>
        <w:pStyle w:val="5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Multidrug-resistant tuberculosis (MDR-TB) is a critical global </w:t>
      </w:r>
    </w:p>
    <w:p w14:paraId="28183DE9">
      <w:pPr>
        <w:pStyle w:val="5"/>
        <w:rPr>
          <w:rFonts w:hint="eastAsia"/>
        </w:rPr>
      </w:pPr>
      <w:r>
        <w:rPr>
          <w:rFonts w:hint="eastAsia"/>
        </w:rPr>
        <w:t xml:space="preserve">health challenge. Whether environmental, nutritional, and socioeconomic factors </w:t>
      </w:r>
    </w:p>
    <w:p w14:paraId="36085531">
      <w:pPr>
        <w:pStyle w:val="5"/>
        <w:rPr>
          <w:rFonts w:hint="eastAsia"/>
        </w:rPr>
      </w:pPr>
      <w:r>
        <w:rPr>
          <w:rFonts w:hint="eastAsia"/>
        </w:rPr>
        <w:t>are associated with MDR-TB remains insufficiently investigated.</w:t>
      </w:r>
    </w:p>
    <w:p w14:paraId="04C6371F">
      <w:pPr>
        <w:pStyle w:val="5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analyzed outcome and exposure data from the Global Burden of Disease </w:t>
      </w:r>
    </w:p>
    <w:p w14:paraId="70E0FE96">
      <w:pPr>
        <w:pStyle w:val="5"/>
        <w:rPr>
          <w:rFonts w:hint="eastAsia"/>
        </w:rPr>
      </w:pPr>
      <w:r>
        <w:rPr>
          <w:rFonts w:hint="eastAsia"/>
        </w:rPr>
        <w:t xml:space="preserve">(GBD) Study and four additional databases covering 201 countries and territories </w:t>
      </w:r>
    </w:p>
    <w:p w14:paraId="3DB9BD21">
      <w:pPr>
        <w:pStyle w:val="5"/>
        <w:rPr>
          <w:rFonts w:hint="eastAsia"/>
        </w:rPr>
      </w:pPr>
      <w:r>
        <w:rPr>
          <w:rFonts w:hint="eastAsia"/>
        </w:rPr>
        <w:t xml:space="preserve">from 1990 to 2021. Sex ratio, diabetes prevalence, and HIV/AIDS burden were </w:t>
      </w:r>
    </w:p>
    <w:p w14:paraId="5A379A92">
      <w:pPr>
        <w:pStyle w:val="5"/>
        <w:rPr>
          <w:rFonts w:hint="eastAsia"/>
        </w:rPr>
      </w:pPr>
      <w:r>
        <w:rPr>
          <w:rFonts w:hint="eastAsia"/>
        </w:rPr>
        <w:t xml:space="preserve">regressed out of each outcome before analysis. Every candidate exposure was then </w:t>
      </w:r>
    </w:p>
    <w:p w14:paraId="542A8380">
      <w:pPr>
        <w:pStyle w:val="5"/>
        <w:rPr>
          <w:rFonts w:hint="eastAsia"/>
        </w:rPr>
      </w:pPr>
      <w:r>
        <w:rPr>
          <w:rFonts w:hint="eastAsia"/>
        </w:rPr>
        <w:t xml:space="preserve">both regressed against the confounder-adjusted outcome and correlated with it. </w:t>
      </w:r>
    </w:p>
    <w:p w14:paraId="02612D5A">
      <w:pPr>
        <w:pStyle w:val="5"/>
        <w:rPr>
          <w:rFonts w:hint="eastAsia"/>
        </w:rPr>
      </w:pPr>
      <w:r>
        <w:rPr>
          <w:rFonts w:hint="eastAsia"/>
        </w:rPr>
        <w:t xml:space="preserve">Benjamini-Hochberg adjusted P values, together with correlation strength, </w:t>
      </w:r>
    </w:p>
    <w:p w14:paraId="2DDB6C36">
      <w:pPr>
        <w:pStyle w:val="5"/>
        <w:rPr>
          <w:rFonts w:hint="eastAsia"/>
        </w:rPr>
      </w:pPr>
      <w:r>
        <w:rPr>
          <w:rFonts w:hint="eastAsia"/>
        </w:rPr>
        <w:t xml:space="preserve">determined which factors were retained for display. Effects are expressed as the </w:t>
      </w:r>
    </w:p>
    <w:p w14:paraId="333A89CA">
      <w:pPr>
        <w:pStyle w:val="5"/>
        <w:rPr>
          <w:rFonts w:hint="eastAsia"/>
        </w:rPr>
      </w:pPr>
      <w:r>
        <w:rPr>
          <w:rFonts w:hint="eastAsia"/>
        </w:rPr>
        <w:t xml:space="preserve">absolute change per interquartile range (IQR) increase in exposure. </w:t>
      </w:r>
    </w:p>
    <w:p w14:paraId="2B30739F">
      <w:pPr>
        <w:pStyle w:val="5"/>
        <w:rPr>
          <w:rFonts w:hint="eastAsia"/>
        </w:rPr>
      </w:pPr>
      <w:r>
        <w:rPr>
          <w:rFonts w:hint="eastAsia"/>
        </w:rPr>
        <w:t>Drug-susceptible tuberculosis served as a control outcome.</w:t>
      </w:r>
    </w:p>
    <w:p w14:paraId="54A80879">
      <w:pPr>
        <w:pStyle w:val="5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Per IQR of exposure, unsafe sanitation was associated with 13.9 more </w:t>
      </w:r>
    </w:p>
    <w:p w14:paraId="09BACDE8">
      <w:pPr>
        <w:pStyle w:val="5"/>
        <w:rPr>
          <w:rFonts w:hint="eastAsia"/>
        </w:rPr>
      </w:pPr>
      <w:r>
        <w:rPr>
          <w:rFonts w:hint="eastAsia"/>
        </w:rPr>
        <w:t xml:space="preserve">prevalent cases per 100,000 (95% CI 13.0-14.7) and 2.87 more deaths per 100,000 </w:t>
      </w:r>
    </w:p>
    <w:p w14:paraId="678C2030">
      <w:pPr>
        <w:pStyle w:val="5"/>
        <w:rPr>
          <w:rFonts w:hint="eastAsia"/>
        </w:rPr>
      </w:pPr>
      <w:r>
        <w:rPr>
          <w:rFonts w:hint="eastAsia"/>
        </w:rPr>
        <w:t xml:space="preserve">(2.72-3.03); unsafe water source with 11.2 (10.5-12.0) and 2.64 (2.49-2.78); and </w:t>
      </w:r>
    </w:p>
    <w:p w14:paraId="413D0800">
      <w:pPr>
        <w:pStyle w:val="5"/>
        <w:rPr>
          <w:rFonts w:hint="eastAsia"/>
        </w:rPr>
      </w:pPr>
      <w:r>
        <w:rPr>
          <w:rFonts w:hint="eastAsia"/>
        </w:rPr>
        <w:t xml:space="preserve">polluting fuels for cooking with 10.7 (9.8-11.6) and 2.74 (2.58-2.89). After </w:t>
      </w:r>
    </w:p>
    <w:p w14:paraId="766DB681">
      <w:pPr>
        <w:pStyle w:val="5"/>
        <w:rPr>
          <w:rFonts w:hint="eastAsia"/>
        </w:rPr>
      </w:pPr>
      <w:r>
        <w:rPr>
          <w:rFonts w:hint="eastAsia"/>
        </w:rPr>
        <w:t xml:space="preserve">further adjustment for GDP per capita and health expenditure, six associations </w:t>
      </w:r>
    </w:p>
    <w:p w14:paraId="3DF66D18">
      <w:pPr>
        <w:pStyle w:val="5"/>
        <w:rPr>
          <w:rFonts w:hint="eastAsia"/>
        </w:rPr>
      </w:pPr>
      <w:r>
        <w:rPr>
          <w:rFonts w:hint="eastAsia"/>
        </w:rPr>
        <w:t xml:space="preserve">remained significant, including unsafe sanitation, unsafe water source, absence </w:t>
      </w:r>
    </w:p>
    <w:p w14:paraId="6C31F178">
      <w:pPr>
        <w:pStyle w:val="5"/>
        <w:rPr>
          <w:rFonts w:hint="eastAsia"/>
        </w:rPr>
      </w:pPr>
      <w:r>
        <w:rPr>
          <w:rFonts w:hint="eastAsia"/>
        </w:rPr>
        <w:t xml:space="preserve">of handwashing facilities and underweight (e.g., unsafe sanitation 2.8 per </w:t>
      </w:r>
    </w:p>
    <w:p w14:paraId="6DEF9BEE">
      <w:pPr>
        <w:pStyle w:val="5"/>
        <w:rPr>
          <w:rFonts w:hint="eastAsia"/>
        </w:rPr>
      </w:pPr>
      <w:r>
        <w:rPr>
          <w:rFonts w:hint="eastAsia"/>
        </w:rPr>
        <w:t xml:space="preserve">100,000 per IQR, P &lt; 0.001). Most of these associations were stronger for </w:t>
      </w:r>
    </w:p>
    <w:p w14:paraId="748B01B9">
      <w:pPr>
        <w:pStyle w:val="5"/>
        <w:rPr>
          <w:rFonts w:hint="eastAsia"/>
        </w:rPr>
      </w:pPr>
      <w:r>
        <w:rPr>
          <w:rFonts w:hint="eastAsia"/>
        </w:rPr>
        <w:t xml:space="preserve">drug-susceptible disease than for MDR-TB, with the exception of diet low in </w:t>
      </w:r>
    </w:p>
    <w:p w14:paraId="37D07279">
      <w:pPr>
        <w:pStyle w:val="5"/>
        <w:rPr>
          <w:rFonts w:hint="eastAsia"/>
        </w:rPr>
      </w:pPr>
      <w:r>
        <w:rPr>
          <w:rFonts w:hint="eastAsia"/>
        </w:rPr>
        <w:t>fruits.</w:t>
      </w:r>
    </w:p>
    <w:p w14:paraId="25C39A30">
      <w:pPr>
        <w:pStyle w:val="5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Unsafe sanitation, unsafe water source, and polluting fuels for </w:t>
      </w:r>
    </w:p>
    <w:p w14:paraId="1BF737B4">
      <w:pPr>
        <w:pStyle w:val="5"/>
        <w:rPr>
          <w:rFonts w:hint="eastAsia"/>
        </w:rPr>
      </w:pPr>
      <w:r>
        <w:rPr>
          <w:rFonts w:hint="eastAsia"/>
        </w:rPr>
        <w:t xml:space="preserve">cooking are the population-level factors most strongly associated with MDR-TB </w:t>
      </w:r>
    </w:p>
    <w:p w14:paraId="57C5641C">
      <w:pPr>
        <w:pStyle w:val="5"/>
        <w:rPr>
          <w:rFonts w:hint="eastAsia"/>
        </w:rPr>
      </w:pPr>
      <w:r>
        <w:rPr>
          <w:rFonts w:hint="eastAsia"/>
        </w:rPr>
        <w:t xml:space="preserve">burden. These associations are largely shared with drug-susceptible </w:t>
      </w:r>
    </w:p>
    <w:p w14:paraId="4C055962">
      <w:pPr>
        <w:pStyle w:val="5"/>
        <w:rPr>
          <w:rFonts w:hint="eastAsia"/>
        </w:rPr>
      </w:pPr>
      <w:r>
        <w:rPr>
          <w:rFonts w:hint="eastAsia"/>
        </w:rPr>
        <w:t xml:space="preserve">tuberculosis, supporting their integration into tuberculosis control efforts as </w:t>
      </w:r>
    </w:p>
    <w:p w14:paraId="60C08B51">
      <w:pPr>
        <w:pStyle w:val="5"/>
        <w:rPr>
          <w:rFonts w:hint="eastAsia"/>
        </w:rPr>
      </w:pPr>
      <w:r>
        <w:rPr>
          <w:rFonts w:hint="eastAsia"/>
        </w:rPr>
        <w:t>a whole.</w:t>
      </w:r>
    </w:p>
    <w:p w14:paraId="1A06D928">
      <w:pPr>
        <w:pStyle w:val="5"/>
        <w:rPr>
          <w:rFonts w:hint="eastAsia"/>
        </w:rPr>
      </w:pPr>
    </w:p>
    <w:p w14:paraId="4A7C845C">
      <w:pPr>
        <w:pStyle w:val="5"/>
        <w:rPr>
          <w:rFonts w:hint="eastAsia"/>
        </w:rPr>
      </w:pPr>
      <w:r>
        <w:rPr>
          <w:rFonts w:hint="eastAsia"/>
        </w:rPr>
        <w:t>Copyright © 2026. Published by Elsevier B.V.</w:t>
      </w:r>
    </w:p>
    <w:p w14:paraId="1F66F71E">
      <w:pPr>
        <w:pStyle w:val="5"/>
        <w:rPr>
          <w:rFonts w:hint="eastAsia"/>
        </w:rPr>
      </w:pPr>
    </w:p>
    <w:p w14:paraId="4E08ED27">
      <w:pPr>
        <w:pStyle w:val="5"/>
        <w:rPr>
          <w:rFonts w:hint="eastAsia"/>
        </w:rPr>
      </w:pPr>
      <w:r>
        <w:rPr>
          <w:rFonts w:hint="eastAsia"/>
        </w:rPr>
        <w:t>DOI: 10.1016/j.jare.2026.10.028</w:t>
      </w:r>
    </w:p>
    <w:p w14:paraId="0D529743">
      <w:pPr>
        <w:pStyle w:val="5"/>
        <w:rPr>
          <w:rFonts w:hint="eastAsia"/>
        </w:rPr>
      </w:pPr>
      <w:r>
        <w:rPr>
          <w:rFonts w:hint="eastAsia"/>
        </w:rPr>
        <w:t>PMID: 42874997</w:t>
      </w:r>
    </w:p>
    <w:p w14:paraId="3114710D">
      <w:pPr>
        <w:pStyle w:val="5"/>
        <w:rPr>
          <w:rFonts w:hint="eastAsia"/>
        </w:rPr>
      </w:pPr>
    </w:p>
    <w:p w14:paraId="3E951DC4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12</w:t>
      </w:r>
      <w:r>
        <w:rPr>
          <w:rFonts w:hint="eastAsia"/>
          <w:b/>
          <w:bCs/>
          <w:color w:val="FF0000"/>
        </w:rPr>
        <w:t xml:space="preserve">. J Immunol Methods. 2026 Oct 14:114131. doi: 10.1016/j.jim.2026.114131. Online </w:t>
      </w:r>
    </w:p>
    <w:p w14:paraId="3E314FD4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1249AD89">
      <w:pPr>
        <w:pStyle w:val="5"/>
        <w:rPr>
          <w:rFonts w:hint="eastAsia"/>
        </w:rPr>
      </w:pPr>
    </w:p>
    <w:p w14:paraId="01505183">
      <w:pPr>
        <w:pStyle w:val="5"/>
        <w:rPr>
          <w:rFonts w:hint="eastAsia"/>
        </w:rPr>
      </w:pPr>
      <w:r>
        <w:rPr>
          <w:rFonts w:hint="eastAsia"/>
        </w:rPr>
        <w:t xml:space="preserve">Construction, expression, and immunogenicity analysis of a fusion gene based on </w:t>
      </w:r>
    </w:p>
    <w:p w14:paraId="485E13BC">
      <w:pPr>
        <w:pStyle w:val="5"/>
        <w:rPr>
          <w:rFonts w:hint="eastAsia"/>
        </w:rPr>
      </w:pPr>
      <w:r>
        <w:rPr>
          <w:rFonts w:hint="eastAsia"/>
        </w:rPr>
        <w:t>the PE/PPE family in combination with adjuvants.</w:t>
      </w:r>
    </w:p>
    <w:p w14:paraId="5F03B3BA">
      <w:pPr>
        <w:pStyle w:val="5"/>
        <w:rPr>
          <w:rFonts w:hint="eastAsia"/>
        </w:rPr>
      </w:pPr>
    </w:p>
    <w:p w14:paraId="54300213">
      <w:pPr>
        <w:pStyle w:val="5"/>
        <w:rPr>
          <w:rFonts w:hint="eastAsia"/>
        </w:rPr>
      </w:pPr>
      <w:r>
        <w:rPr>
          <w:rFonts w:hint="eastAsia"/>
        </w:rPr>
        <w:t xml:space="preserve">Wang X(1), Zhou M(2), Xu L(3), Zhang Z(4), Qishan S(5), Zilun S(6), Xu Y(1), </w:t>
      </w:r>
    </w:p>
    <w:p w14:paraId="7793BC8F">
      <w:pPr>
        <w:pStyle w:val="5"/>
        <w:rPr>
          <w:rFonts w:hint="eastAsia"/>
        </w:rPr>
      </w:pPr>
      <w:r>
        <w:rPr>
          <w:rFonts w:hint="eastAsia"/>
        </w:rPr>
        <w:t>Zhong Q(1), Wang R(1), Pi X(1), Huini Y(1), Jiaqi Z(1), Bingxin W(1), Wu J(1).</w:t>
      </w:r>
    </w:p>
    <w:p w14:paraId="52BDC309">
      <w:pPr>
        <w:pStyle w:val="5"/>
        <w:rPr>
          <w:rFonts w:hint="eastAsia"/>
        </w:rPr>
      </w:pPr>
    </w:p>
    <w:p w14:paraId="74C23B3F">
      <w:pPr>
        <w:pStyle w:val="5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Xiaochun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Mingming Zhou,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Lifa Xu</w:t>
      </w: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Zian Zhang,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Sun Qishan,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Shi Zilun,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Yun Xu,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Qiangsen Zhong,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Runlin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Xinxin Pi,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Yang Huini,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Zhang Jiaqi,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Wang Bingxin,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Jiagao Wu</w:t>
      </w:r>
    </w:p>
    <w:p w14:paraId="05B39711">
      <w:pPr>
        <w:pStyle w:val="5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* Corresponding author: Lifa Xu, E-mail addresses: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ahhnlfxu@126.com</w:t>
      </w:r>
    </w:p>
    <w:p w14:paraId="186040D0">
      <w:pPr>
        <w:pStyle w:val="5"/>
        <w:rPr>
          <w:rFonts w:hint="eastAsia"/>
        </w:rPr>
      </w:pPr>
    </w:p>
    <w:p w14:paraId="388E71B7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64B540C2">
      <w:pPr>
        <w:pStyle w:val="5"/>
        <w:rPr>
          <w:rFonts w:hint="eastAsia"/>
        </w:rPr>
      </w:pPr>
      <w:r>
        <w:rPr>
          <w:rFonts w:hint="eastAsia"/>
        </w:rPr>
        <w:t xml:space="preserve">(1)Department of Pathogen Biology, School of Medicine, Anhui University of </w:t>
      </w:r>
    </w:p>
    <w:p w14:paraId="272C430F">
      <w:pPr>
        <w:pStyle w:val="5"/>
        <w:rPr>
          <w:rFonts w:hint="eastAsia"/>
        </w:rPr>
      </w:pPr>
      <w:r>
        <w:rPr>
          <w:rFonts w:hint="eastAsia"/>
        </w:rPr>
        <w:t>Science and Technology, Huainan 232001, China.</w:t>
      </w:r>
    </w:p>
    <w:p w14:paraId="3C9C6DBD">
      <w:pPr>
        <w:pStyle w:val="5"/>
        <w:rPr>
          <w:rFonts w:hint="eastAsia"/>
        </w:rPr>
      </w:pPr>
      <w:r>
        <w:rPr>
          <w:rFonts w:hint="eastAsia"/>
        </w:rPr>
        <w:t xml:space="preserve">(2)Department of Immunology, School of Medicine, Anhui University of Science and </w:t>
      </w:r>
    </w:p>
    <w:p w14:paraId="345E9DAC">
      <w:pPr>
        <w:pStyle w:val="5"/>
        <w:rPr>
          <w:rFonts w:hint="eastAsia"/>
        </w:rPr>
      </w:pPr>
      <w:r>
        <w:rPr>
          <w:rFonts w:hint="eastAsia"/>
        </w:rPr>
        <w:t>Technology, Huainan 232001, China.</w:t>
      </w:r>
    </w:p>
    <w:p w14:paraId="36AEF0B0">
      <w:pPr>
        <w:pStyle w:val="5"/>
        <w:rPr>
          <w:rFonts w:hint="eastAsia"/>
        </w:rPr>
      </w:pPr>
      <w:r>
        <w:rPr>
          <w:rFonts w:hint="eastAsia"/>
        </w:rPr>
        <w:t xml:space="preserve">(3)Department of Immunology, School of Medicine, Anhui University of Science and </w:t>
      </w:r>
    </w:p>
    <w:p w14:paraId="5A42A89A">
      <w:pPr>
        <w:pStyle w:val="5"/>
        <w:rPr>
          <w:rFonts w:hint="eastAsia"/>
        </w:rPr>
      </w:pPr>
      <w:r>
        <w:rPr>
          <w:rFonts w:hint="eastAsia"/>
        </w:rPr>
        <w:t>Technology, Huainan 232001, China. Electronic address: ahhnlfxu@126.com.</w:t>
      </w:r>
    </w:p>
    <w:p w14:paraId="3454D2D9">
      <w:pPr>
        <w:pStyle w:val="5"/>
        <w:rPr>
          <w:rFonts w:hint="eastAsia"/>
        </w:rPr>
      </w:pPr>
      <w:r>
        <w:rPr>
          <w:rFonts w:hint="eastAsia"/>
        </w:rPr>
        <w:t>(4)Qufu People's Hospital, Qufu 273100, China.</w:t>
      </w:r>
    </w:p>
    <w:p w14:paraId="688F0CBD">
      <w:pPr>
        <w:pStyle w:val="5"/>
        <w:rPr>
          <w:rFonts w:hint="eastAsia"/>
        </w:rPr>
      </w:pPr>
      <w:r>
        <w:rPr>
          <w:rFonts w:hint="eastAsia"/>
        </w:rPr>
        <w:t>(5)Clinical Laboratory Department, Huainan Chaoyang Hospital, China.</w:t>
      </w:r>
    </w:p>
    <w:p w14:paraId="4FEA5F44">
      <w:pPr>
        <w:pStyle w:val="5"/>
        <w:rPr>
          <w:rFonts w:hint="eastAsia"/>
        </w:rPr>
      </w:pPr>
      <w:r>
        <w:rPr>
          <w:rFonts w:hint="eastAsia"/>
        </w:rPr>
        <w:t xml:space="preserve">(6)Clinical Laboratory Department, Oncology Hospital of Huainan Dongfang Group, </w:t>
      </w:r>
    </w:p>
    <w:p w14:paraId="5E556AF9">
      <w:pPr>
        <w:pStyle w:val="5"/>
        <w:rPr>
          <w:rFonts w:hint="eastAsia"/>
        </w:rPr>
      </w:pPr>
      <w:r>
        <w:rPr>
          <w:rFonts w:hint="eastAsia"/>
        </w:rPr>
        <w:t>China.</w:t>
      </w:r>
    </w:p>
    <w:p w14:paraId="6DBE282D">
      <w:pPr>
        <w:pStyle w:val="5"/>
        <w:rPr>
          <w:rFonts w:hint="eastAsia"/>
        </w:rPr>
      </w:pPr>
    </w:p>
    <w:p w14:paraId="3F248104">
      <w:pPr>
        <w:pStyle w:val="5"/>
        <w:rPr>
          <w:rFonts w:hint="eastAsia"/>
        </w:rPr>
      </w:pPr>
      <w:r>
        <w:rPr>
          <w:rFonts w:hint="eastAsia"/>
        </w:rPr>
        <w:t xml:space="preserve">Tuberculosis (TB) remains the leading global cause of death from a single </w:t>
      </w:r>
    </w:p>
    <w:p w14:paraId="78F8C36B">
      <w:pPr>
        <w:pStyle w:val="5"/>
        <w:rPr>
          <w:rFonts w:hint="eastAsia"/>
        </w:rPr>
      </w:pPr>
      <w:r>
        <w:rPr>
          <w:rFonts w:hint="eastAsia"/>
        </w:rPr>
        <w:t xml:space="preserve">infectious agent and a major fatal infectious disease worldwide. However, the </w:t>
      </w:r>
    </w:p>
    <w:p w14:paraId="0271B730">
      <w:pPr>
        <w:pStyle w:val="5"/>
        <w:rPr>
          <w:rFonts w:hint="eastAsia"/>
        </w:rPr>
      </w:pPr>
      <w:r>
        <w:rPr>
          <w:rFonts w:hint="eastAsia"/>
        </w:rPr>
        <w:t xml:space="preserve">Bacillus Calmette-Guérin (BCG) vaccine-currently the only licensed TB vaccine in </w:t>
      </w:r>
    </w:p>
    <w:p w14:paraId="028A3615">
      <w:pPr>
        <w:pStyle w:val="5"/>
        <w:rPr>
          <w:rFonts w:hint="eastAsia"/>
        </w:rPr>
      </w:pPr>
      <w:r>
        <w:rPr>
          <w:rFonts w:hint="eastAsia"/>
        </w:rPr>
        <w:t xml:space="preserve">clinical practice-has critical limitations in preventing latent infection and </w:t>
      </w:r>
    </w:p>
    <w:p w14:paraId="03F99083">
      <w:pPr>
        <w:pStyle w:val="5"/>
        <w:rPr>
          <w:rFonts w:hint="eastAsia"/>
        </w:rPr>
      </w:pPr>
      <w:r>
        <w:rPr>
          <w:rFonts w:hint="eastAsia"/>
        </w:rPr>
        <w:t xml:space="preserve">disease reactivation, failing to deliver comprehensive protective immunity. </w:t>
      </w:r>
    </w:p>
    <w:p w14:paraId="29666929">
      <w:pPr>
        <w:pStyle w:val="5"/>
        <w:rPr>
          <w:rFonts w:hint="eastAsia"/>
        </w:rPr>
      </w:pPr>
      <w:r>
        <w:rPr>
          <w:rFonts w:hint="eastAsia"/>
        </w:rPr>
        <w:t xml:space="preserve">Given these gaps, targeting Mycobacterium tuberculosis (M.tb) antigens with </w:t>
      </w:r>
    </w:p>
    <w:p w14:paraId="1C088264">
      <w:pPr>
        <w:pStyle w:val="5"/>
        <w:rPr>
          <w:rFonts w:hint="eastAsia"/>
        </w:rPr>
      </w:pPr>
      <w:r>
        <w:rPr>
          <w:rFonts w:hint="eastAsia"/>
        </w:rPr>
        <w:t xml:space="preserve">strong immunogenic potential is a key strategy for next-generation TB vaccine </w:t>
      </w:r>
    </w:p>
    <w:p w14:paraId="363CC601">
      <w:pPr>
        <w:pStyle w:val="5"/>
        <w:rPr>
          <w:rFonts w:hint="eastAsia"/>
        </w:rPr>
      </w:pPr>
      <w:r>
        <w:rPr>
          <w:rFonts w:hint="eastAsia"/>
        </w:rPr>
        <w:t xml:space="preserve">development. The pathogenic M.tb harbors the Pro-Glu (PE) and Pro-Pro-Glu (PPE) </w:t>
      </w:r>
    </w:p>
    <w:p w14:paraId="2FDEDEAC">
      <w:pPr>
        <w:pStyle w:val="5"/>
        <w:rPr>
          <w:rFonts w:hint="eastAsia"/>
        </w:rPr>
      </w:pPr>
      <w:r>
        <w:rPr>
          <w:rFonts w:hint="eastAsia"/>
        </w:rPr>
        <w:t xml:space="preserve">motif gene families, named for their N-terminal conserved proline (P) and </w:t>
      </w:r>
    </w:p>
    <w:p w14:paraId="600392F5">
      <w:pPr>
        <w:pStyle w:val="5"/>
        <w:rPr>
          <w:rFonts w:hint="eastAsia"/>
        </w:rPr>
      </w:pPr>
      <w:r>
        <w:rPr>
          <w:rFonts w:hint="eastAsia"/>
        </w:rPr>
        <w:t xml:space="preserve">glutamic acid (E) residues, which are increasingly recognized as promising </w:t>
      </w:r>
    </w:p>
    <w:p w14:paraId="7A66AF6D">
      <w:pPr>
        <w:pStyle w:val="5"/>
        <w:rPr>
          <w:rFonts w:hint="eastAsia"/>
        </w:rPr>
      </w:pPr>
      <w:r>
        <w:rPr>
          <w:rFonts w:hint="eastAsia"/>
        </w:rPr>
        <w:t xml:space="preserve">vaccine targets due to their roles in host-pathogen interaction and immune </w:t>
      </w:r>
    </w:p>
    <w:p w14:paraId="4E93DC74">
      <w:pPr>
        <w:pStyle w:val="5"/>
        <w:rPr>
          <w:rFonts w:hint="eastAsia"/>
        </w:rPr>
      </w:pPr>
      <w:r>
        <w:rPr>
          <w:rFonts w:hint="eastAsia"/>
        </w:rPr>
        <w:t xml:space="preserve">modulation. To address BCG's limitations, this study selected the PE/PPE family </w:t>
      </w:r>
    </w:p>
    <w:p w14:paraId="7B3706D2">
      <w:pPr>
        <w:pStyle w:val="5"/>
        <w:rPr>
          <w:rFonts w:hint="eastAsia"/>
        </w:rPr>
      </w:pPr>
      <w:r>
        <w:rPr>
          <w:rFonts w:hint="eastAsia"/>
        </w:rPr>
        <w:t xml:space="preserve">members Rv0832 and Rv3653 for full-length gene synthesis to construct a fusion </w:t>
      </w:r>
    </w:p>
    <w:p w14:paraId="7423C3DD">
      <w:pPr>
        <w:pStyle w:val="5"/>
        <w:rPr>
          <w:rFonts w:hint="eastAsia"/>
        </w:rPr>
      </w:pPr>
      <w:r>
        <w:rPr>
          <w:rFonts w:hint="eastAsia"/>
        </w:rPr>
        <w:t xml:space="preserve">antigen designated ZMM6, which was expressed using the pET-28a vector. The </w:t>
      </w:r>
    </w:p>
    <w:p w14:paraId="06D5E8C4">
      <w:pPr>
        <w:pStyle w:val="5"/>
        <w:rPr>
          <w:rFonts w:hint="eastAsia"/>
        </w:rPr>
      </w:pPr>
      <w:r>
        <w:rPr>
          <w:rFonts w:hint="eastAsia"/>
        </w:rPr>
        <w:t xml:space="preserve">immunogenicity of the ZMM6 subunit vaccine was then evaluated in M.tb-infected </w:t>
      </w:r>
    </w:p>
    <w:p w14:paraId="56E9DD3D">
      <w:pPr>
        <w:pStyle w:val="5"/>
        <w:rPr>
          <w:rFonts w:hint="eastAsia"/>
        </w:rPr>
      </w:pPr>
      <w:r>
        <w:rPr>
          <w:rFonts w:hint="eastAsia"/>
        </w:rPr>
        <w:t xml:space="preserve">human cohorts and animal models. The results showed that the fusion protein ZMM6 </w:t>
      </w:r>
    </w:p>
    <w:p w14:paraId="22E0364D">
      <w:pPr>
        <w:pStyle w:val="5"/>
        <w:rPr>
          <w:rFonts w:hint="eastAsia"/>
        </w:rPr>
      </w:pPr>
      <w:r>
        <w:rPr>
          <w:rFonts w:hint="eastAsia"/>
        </w:rPr>
        <w:t xml:space="preserve">induced peripheral blood mononuclear cells (PBMCs) from M. tb-infected </w:t>
      </w:r>
    </w:p>
    <w:p w14:paraId="2B615F38">
      <w:pPr>
        <w:pStyle w:val="5"/>
        <w:rPr>
          <w:rFonts w:hint="eastAsia"/>
        </w:rPr>
      </w:pPr>
      <w:r>
        <w:rPr>
          <w:rFonts w:hint="eastAsia"/>
        </w:rPr>
        <w:t xml:space="preserve">individuals to secrete high levels of IFN-γ, IL-2, and IL-6 cytokines. Moreover, </w:t>
      </w:r>
    </w:p>
    <w:p w14:paraId="5B9010B4">
      <w:pPr>
        <w:pStyle w:val="5"/>
        <w:rPr>
          <w:rFonts w:hint="eastAsia"/>
        </w:rPr>
      </w:pPr>
      <w:r>
        <w:rPr>
          <w:rFonts w:hint="eastAsia"/>
        </w:rPr>
        <w:t xml:space="preserve">the levels of cytokine secretion induced by the fusion protein were higher than </w:t>
      </w:r>
    </w:p>
    <w:p w14:paraId="0939919F">
      <w:pPr>
        <w:pStyle w:val="5"/>
        <w:rPr>
          <w:rFonts w:hint="eastAsia"/>
        </w:rPr>
      </w:pPr>
      <w:r>
        <w:rPr>
          <w:rFonts w:hint="eastAsia"/>
        </w:rPr>
        <w:t xml:space="preserve">those induced by the individual subunit proteins, suggesting that the fusion </w:t>
      </w:r>
    </w:p>
    <w:p w14:paraId="69870A9C">
      <w:pPr>
        <w:pStyle w:val="5"/>
        <w:rPr>
          <w:rFonts w:hint="eastAsia"/>
        </w:rPr>
      </w:pPr>
      <w:r>
        <w:rPr>
          <w:rFonts w:hint="eastAsia"/>
        </w:rPr>
        <w:t xml:space="preserve">protein possesses higher immunogenicity. In mice immunized with the protein </w:t>
      </w:r>
    </w:p>
    <w:p w14:paraId="48408479">
      <w:pPr>
        <w:pStyle w:val="5"/>
        <w:rPr>
          <w:rFonts w:hint="eastAsia"/>
        </w:rPr>
      </w:pPr>
      <w:r>
        <w:rPr>
          <w:rFonts w:hint="eastAsia"/>
        </w:rPr>
        <w:t xml:space="preserve">vaccine (adjuvant formulation) ZMM6/MnJ, high titers of various IgG subclass </w:t>
      </w:r>
    </w:p>
    <w:p w14:paraId="58D6C8D9">
      <w:pPr>
        <w:pStyle w:val="5"/>
        <w:rPr>
          <w:rFonts w:hint="eastAsia"/>
        </w:rPr>
      </w:pPr>
      <w:r>
        <w:rPr>
          <w:rFonts w:hint="eastAsia"/>
        </w:rPr>
        <w:t xml:space="preserve">antibodies were elicited, with the immune response skewed toward a Th1-type </w:t>
      </w:r>
    </w:p>
    <w:p w14:paraId="2CAB6AAA">
      <w:pPr>
        <w:pStyle w:val="5"/>
        <w:rPr>
          <w:rFonts w:hint="eastAsia"/>
        </w:rPr>
      </w:pPr>
      <w:r>
        <w:rPr>
          <w:rFonts w:hint="eastAsia"/>
        </w:rPr>
        <w:t xml:space="preserve">profile, accompanied by robust induction of multiple Th1-type cytokines. Flow </w:t>
      </w:r>
    </w:p>
    <w:p w14:paraId="3876E90B">
      <w:pPr>
        <w:pStyle w:val="5"/>
        <w:rPr>
          <w:rFonts w:hint="eastAsia"/>
        </w:rPr>
      </w:pPr>
      <w:r>
        <w:rPr>
          <w:rFonts w:hint="eastAsia"/>
        </w:rPr>
        <w:t xml:space="preserve">cytometry (FCM) analysis further revealed a significant increase in CD4+IFN-γ+ </w:t>
      </w:r>
    </w:p>
    <w:p w14:paraId="08B3916C">
      <w:pPr>
        <w:pStyle w:val="5"/>
        <w:rPr>
          <w:rFonts w:hint="eastAsia"/>
        </w:rPr>
      </w:pPr>
      <w:r>
        <w:rPr>
          <w:rFonts w:hint="eastAsia"/>
        </w:rPr>
        <w:t xml:space="preserve">single-positive T cells in ZMM6/MnJ-immunized mice. Collectively, these findings </w:t>
      </w:r>
    </w:p>
    <w:p w14:paraId="6C0EBDA6">
      <w:pPr>
        <w:pStyle w:val="5"/>
        <w:rPr>
          <w:rFonts w:hint="eastAsia"/>
        </w:rPr>
      </w:pPr>
      <w:r>
        <w:rPr>
          <w:rFonts w:hint="eastAsia"/>
        </w:rPr>
        <w:t xml:space="preserve">demonstrate that the protein vaccine (adjuvant formulation) ZMM6/MnJ exhibits </w:t>
      </w:r>
    </w:p>
    <w:p w14:paraId="3CE0E4E9">
      <w:pPr>
        <w:pStyle w:val="5"/>
        <w:rPr>
          <w:rFonts w:hint="eastAsia"/>
        </w:rPr>
      </w:pPr>
      <w:r>
        <w:rPr>
          <w:rFonts w:hint="eastAsia"/>
        </w:rPr>
        <w:t>strong immunogenicity.</w:t>
      </w:r>
    </w:p>
    <w:p w14:paraId="4B7AB3B7">
      <w:pPr>
        <w:pStyle w:val="5"/>
        <w:rPr>
          <w:rFonts w:hint="eastAsia"/>
        </w:rPr>
      </w:pPr>
    </w:p>
    <w:p w14:paraId="63EDBB1F">
      <w:pPr>
        <w:pStyle w:val="5"/>
        <w:rPr>
          <w:rFonts w:hint="eastAsia"/>
        </w:rPr>
      </w:pPr>
      <w:r>
        <w:rPr>
          <w:rFonts w:hint="eastAsia"/>
        </w:rPr>
        <w:t>Copyright © 2026. Published by Elsevier B.V.</w:t>
      </w:r>
    </w:p>
    <w:p w14:paraId="5531FA19">
      <w:pPr>
        <w:pStyle w:val="5"/>
        <w:rPr>
          <w:rFonts w:hint="eastAsia"/>
        </w:rPr>
      </w:pPr>
    </w:p>
    <w:p w14:paraId="540356BC">
      <w:pPr>
        <w:pStyle w:val="5"/>
        <w:rPr>
          <w:rFonts w:hint="eastAsia"/>
        </w:rPr>
      </w:pPr>
      <w:r>
        <w:rPr>
          <w:rFonts w:hint="eastAsia"/>
        </w:rPr>
        <w:t>DOI: 10.1016/j.jim.2026.114131</w:t>
      </w:r>
    </w:p>
    <w:p w14:paraId="6E35C480">
      <w:pPr>
        <w:pStyle w:val="5"/>
        <w:rPr>
          <w:rFonts w:hint="eastAsia"/>
        </w:rPr>
      </w:pPr>
      <w:r>
        <w:rPr>
          <w:rFonts w:hint="eastAsia"/>
        </w:rPr>
        <w:t>PMID: 42874734</w:t>
      </w:r>
    </w:p>
    <w:p w14:paraId="14CFF848">
      <w:pPr>
        <w:pStyle w:val="5"/>
        <w:rPr>
          <w:rFonts w:hint="eastAsia"/>
        </w:rPr>
      </w:pPr>
    </w:p>
    <w:p w14:paraId="3C80B734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13</w:t>
      </w:r>
      <w:r>
        <w:rPr>
          <w:rFonts w:hint="eastAsia"/>
          <w:b/>
          <w:bCs/>
          <w:color w:val="FF0000"/>
        </w:rPr>
        <w:t>. Ann Am Thorac Soc. 2026 Oct 14:aaoag325. doi: 10.1093/annalsats/aaoag325. Online ahead of print.</w:t>
      </w:r>
    </w:p>
    <w:p w14:paraId="172280C3">
      <w:pPr>
        <w:pStyle w:val="5"/>
        <w:rPr>
          <w:rFonts w:hint="eastAsia"/>
        </w:rPr>
      </w:pPr>
    </w:p>
    <w:p w14:paraId="39972440">
      <w:pPr>
        <w:pStyle w:val="5"/>
        <w:rPr>
          <w:rFonts w:hint="eastAsia"/>
        </w:rPr>
      </w:pPr>
      <w:r>
        <w:rPr>
          <w:rFonts w:hint="eastAsia"/>
        </w:rPr>
        <w:t xml:space="preserve">Differential effects of PM2.5 constituents on tuberculosis infection and disease </w:t>
      </w:r>
    </w:p>
    <w:p w14:paraId="2F430DDA">
      <w:pPr>
        <w:pStyle w:val="5"/>
        <w:rPr>
          <w:rFonts w:hint="eastAsia"/>
        </w:rPr>
      </w:pPr>
      <w:r>
        <w:rPr>
          <w:rFonts w:hint="eastAsia"/>
        </w:rPr>
        <w:t>progression in 40,379 student close contacts.</w:t>
      </w:r>
    </w:p>
    <w:p w14:paraId="7A7DC87E">
      <w:pPr>
        <w:pStyle w:val="5"/>
        <w:rPr>
          <w:rFonts w:hint="eastAsia"/>
        </w:rPr>
      </w:pPr>
    </w:p>
    <w:p w14:paraId="7BC18EC6">
      <w:pPr>
        <w:pStyle w:val="5"/>
        <w:rPr>
          <w:rFonts w:hint="eastAsia"/>
        </w:rPr>
      </w:pPr>
      <w:r>
        <w:rPr>
          <w:rFonts w:hint="eastAsia"/>
        </w:rPr>
        <w:t xml:space="preserve">Li Z(1), Wang Z(2), Tao B(3), Tian M(4), Ding X(5), Ding H(5), Zhu L(5), Lu </w:t>
      </w:r>
    </w:p>
    <w:p w14:paraId="739684C7">
      <w:pPr>
        <w:pStyle w:val="5"/>
        <w:rPr>
          <w:rFonts w:hint="eastAsia"/>
        </w:rPr>
      </w:pPr>
      <w:r>
        <w:rPr>
          <w:rFonts w:hint="eastAsia"/>
        </w:rPr>
        <w:t>P(2)(5), Liu Q(5).</w:t>
      </w:r>
    </w:p>
    <w:p w14:paraId="2DD12DAA">
      <w:pPr>
        <w:pStyle w:val="5"/>
        <w:rPr>
          <w:rFonts w:hint="eastAsia"/>
        </w:rPr>
      </w:pPr>
    </w:p>
    <w:p w14:paraId="7E32FFC9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Zhongqi Li,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Zheyue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Bilin Tao,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Meijuan Tian,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Xiaoyan Ding,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Hui Ding,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Limei Zhu,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Peng Lu</w:t>
      </w: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Qiao Liu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0B181656">
      <w:pPr>
        <w:pStyle w:val="5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Qiao Liu. Email:liuqiaonjmu@163.com</w:t>
      </w:r>
      <w:r>
        <w:rPr>
          <w:rFonts w:hint="eastAsia"/>
          <w:b/>
          <w:bCs/>
          <w:color w:val="0070C0"/>
          <w:lang w:eastAsia="zh-CN"/>
        </w:rPr>
        <w:t>；</w:t>
      </w:r>
      <w:r>
        <w:rPr>
          <w:rFonts w:hint="eastAsia"/>
          <w:b/>
          <w:bCs/>
          <w:color w:val="0070C0"/>
        </w:rPr>
        <w:t>Peng Lu. Email:lpjscdc@163.com</w:t>
      </w:r>
    </w:p>
    <w:p w14:paraId="7B9C6A59">
      <w:pPr>
        <w:pStyle w:val="5"/>
        <w:rPr>
          <w:rFonts w:hint="eastAsia"/>
        </w:rPr>
      </w:pPr>
    </w:p>
    <w:p w14:paraId="0CA8526F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41958ED4">
      <w:pPr>
        <w:pStyle w:val="5"/>
        <w:rPr>
          <w:rFonts w:hint="eastAsia"/>
        </w:rPr>
      </w:pPr>
      <w:r>
        <w:rPr>
          <w:rFonts w:hint="eastAsia"/>
        </w:rPr>
        <w:t xml:space="preserve">(1)Anhui Province Clinical Research Center for Critical Respiratory Medicine, </w:t>
      </w:r>
    </w:p>
    <w:p w14:paraId="18DC9F77">
      <w:pPr>
        <w:pStyle w:val="5"/>
        <w:rPr>
          <w:rFonts w:hint="eastAsia"/>
        </w:rPr>
      </w:pPr>
      <w:r>
        <w:rPr>
          <w:rFonts w:hint="eastAsia"/>
        </w:rPr>
        <w:t xml:space="preserve">The First Affiliated Hospital of Wannan Medical University (Yijishan Hospital of </w:t>
      </w:r>
    </w:p>
    <w:p w14:paraId="4CB11353">
      <w:pPr>
        <w:pStyle w:val="5"/>
        <w:rPr>
          <w:rFonts w:hint="eastAsia"/>
        </w:rPr>
      </w:pPr>
      <w:r>
        <w:rPr>
          <w:rFonts w:hint="eastAsia"/>
        </w:rPr>
        <w:t>Wannan Medical University), Wuhu, 241001, China.</w:t>
      </w:r>
    </w:p>
    <w:p w14:paraId="303E8B26">
      <w:pPr>
        <w:pStyle w:val="5"/>
        <w:rPr>
          <w:rFonts w:hint="eastAsia"/>
        </w:rPr>
      </w:pPr>
      <w:r>
        <w:rPr>
          <w:rFonts w:hint="eastAsia"/>
        </w:rPr>
        <w:t xml:space="preserve">(2)Department of Epidemiology, Center for Global Health, School of Public </w:t>
      </w:r>
    </w:p>
    <w:p w14:paraId="73F38F30">
      <w:pPr>
        <w:pStyle w:val="5"/>
        <w:rPr>
          <w:rFonts w:hint="eastAsia"/>
        </w:rPr>
      </w:pPr>
      <w:r>
        <w:rPr>
          <w:rFonts w:hint="eastAsia"/>
        </w:rPr>
        <w:t>Health, Nanjing Medical University, Nanjing, 211166, China.</w:t>
      </w:r>
    </w:p>
    <w:p w14:paraId="52BA21C8">
      <w:pPr>
        <w:pStyle w:val="5"/>
        <w:rPr>
          <w:rFonts w:hint="eastAsia"/>
        </w:rPr>
      </w:pPr>
      <w:r>
        <w:rPr>
          <w:rFonts w:hint="eastAsia"/>
        </w:rPr>
        <w:t xml:space="preserve">(3)Department of Naval Medicine, Naval Medical University, Shanghai, 200433, </w:t>
      </w:r>
    </w:p>
    <w:p w14:paraId="22CE4C22">
      <w:pPr>
        <w:pStyle w:val="5"/>
        <w:rPr>
          <w:rFonts w:hint="eastAsia"/>
        </w:rPr>
      </w:pPr>
      <w:r>
        <w:rPr>
          <w:rFonts w:hint="eastAsia"/>
        </w:rPr>
        <w:t>China.</w:t>
      </w:r>
    </w:p>
    <w:p w14:paraId="742B68FE">
      <w:pPr>
        <w:pStyle w:val="5"/>
        <w:rPr>
          <w:rFonts w:hint="eastAsia"/>
        </w:rPr>
      </w:pPr>
      <w:r>
        <w:rPr>
          <w:rFonts w:hint="eastAsia"/>
        </w:rPr>
        <w:t>(4)School of Public Health, Southeast University, Nanjing, 210009, China.</w:t>
      </w:r>
    </w:p>
    <w:p w14:paraId="6C02C6FD">
      <w:pPr>
        <w:pStyle w:val="5"/>
        <w:rPr>
          <w:rFonts w:hint="eastAsia"/>
        </w:rPr>
      </w:pPr>
      <w:r>
        <w:rPr>
          <w:rFonts w:hint="eastAsia"/>
        </w:rPr>
        <w:t xml:space="preserve">(5)Department of Chronic Communicable Disease, Jiangsu Provincial Center for </w:t>
      </w:r>
    </w:p>
    <w:p w14:paraId="1D0E7AFB">
      <w:pPr>
        <w:pStyle w:val="5"/>
        <w:rPr>
          <w:rFonts w:hint="eastAsia"/>
        </w:rPr>
      </w:pPr>
      <w:r>
        <w:rPr>
          <w:rFonts w:hint="eastAsia"/>
        </w:rPr>
        <w:t>Disease Control and Prevention, Nanjing, 210009, China.</w:t>
      </w:r>
    </w:p>
    <w:p w14:paraId="196C0CE3">
      <w:pPr>
        <w:pStyle w:val="5"/>
        <w:rPr>
          <w:rFonts w:hint="eastAsia"/>
        </w:rPr>
      </w:pPr>
    </w:p>
    <w:p w14:paraId="452FA521">
      <w:pPr>
        <w:pStyle w:val="5"/>
        <w:rPr>
          <w:rFonts w:hint="eastAsia"/>
        </w:rPr>
      </w:pPr>
      <w:r>
        <w:rPr>
          <w:rFonts w:hint="eastAsia"/>
          <w:b/>
          <w:bCs/>
        </w:rPr>
        <w:t>RATIONALE:</w:t>
      </w:r>
      <w:r>
        <w:rPr>
          <w:rFonts w:hint="eastAsia"/>
        </w:rPr>
        <w:t xml:space="preserve"> Outdoor PM2.5 has been increasingly implicated in tuberculosis, yet </w:t>
      </w:r>
    </w:p>
    <w:p w14:paraId="24768D21">
      <w:pPr>
        <w:pStyle w:val="5"/>
        <w:rPr>
          <w:rFonts w:hint="eastAsia"/>
        </w:rPr>
      </w:pPr>
      <w:r>
        <w:rPr>
          <w:rFonts w:hint="eastAsia"/>
        </w:rPr>
        <w:t xml:space="preserve">evidence has largely focused on total PM2.5 mass and has usually considered </w:t>
      </w:r>
    </w:p>
    <w:p w14:paraId="4765169D">
      <w:pPr>
        <w:pStyle w:val="5"/>
        <w:rPr>
          <w:rFonts w:hint="eastAsia"/>
        </w:rPr>
      </w:pPr>
      <w:r>
        <w:rPr>
          <w:rFonts w:hint="eastAsia"/>
        </w:rPr>
        <w:t xml:space="preserve">Mycobacterium tuberculosis (M. tuberculosis) infection and active tuberculosis </w:t>
      </w:r>
    </w:p>
    <w:p w14:paraId="77D08DF0">
      <w:pPr>
        <w:pStyle w:val="5"/>
        <w:rPr>
          <w:rFonts w:hint="eastAsia"/>
        </w:rPr>
      </w:pPr>
      <w:r>
        <w:rPr>
          <w:rFonts w:hint="eastAsia"/>
        </w:rPr>
        <w:t xml:space="preserve">separately. Whether specific PM2.5 chemical constituents differ in their </w:t>
      </w:r>
    </w:p>
    <w:p w14:paraId="1B61C2C9">
      <w:pPr>
        <w:pStyle w:val="5"/>
        <w:rPr>
          <w:rFonts w:hint="eastAsia"/>
        </w:rPr>
      </w:pPr>
      <w:r>
        <w:rPr>
          <w:rFonts w:hint="eastAsia"/>
        </w:rPr>
        <w:t xml:space="preserve">associations with infection and subsequent progression to active disease remains </w:t>
      </w:r>
    </w:p>
    <w:p w14:paraId="6C63FB30">
      <w:pPr>
        <w:pStyle w:val="5"/>
        <w:rPr>
          <w:rFonts w:hint="eastAsia"/>
        </w:rPr>
      </w:pPr>
      <w:r>
        <w:rPr>
          <w:rFonts w:hint="eastAsia"/>
        </w:rPr>
        <w:t>unclear.</w:t>
      </w:r>
    </w:p>
    <w:p w14:paraId="7CE01769">
      <w:pPr>
        <w:pStyle w:val="5"/>
        <w:rPr>
          <w:rFonts w:hint="eastAsia"/>
        </w:rPr>
      </w:pPr>
      <w:r>
        <w:rPr>
          <w:rFonts w:hint="eastAsia"/>
          <w:b/>
          <w:bCs/>
        </w:rPr>
        <w:t>OBJECTIVES:</w:t>
      </w:r>
      <w:r>
        <w:rPr>
          <w:rFonts w:hint="eastAsia"/>
        </w:rPr>
        <w:t xml:space="preserve"> To assess the associations of PM2.5 and five major constituents with </w:t>
      </w:r>
    </w:p>
    <w:p w14:paraId="24C62919">
      <w:pPr>
        <w:pStyle w:val="5"/>
        <w:rPr>
          <w:rFonts w:hint="eastAsia"/>
        </w:rPr>
      </w:pPr>
      <w:r>
        <w:rPr>
          <w:rFonts w:hint="eastAsia"/>
        </w:rPr>
        <w:t xml:space="preserve">M. tuberculosis infection and subsequent progression to active tuberculosis </w:t>
      </w:r>
    </w:p>
    <w:p w14:paraId="141A4969">
      <w:pPr>
        <w:pStyle w:val="5"/>
        <w:rPr>
          <w:rFonts w:hint="eastAsia"/>
        </w:rPr>
      </w:pPr>
      <w:r>
        <w:rPr>
          <w:rFonts w:hint="eastAsia"/>
        </w:rPr>
        <w:t>within the same high-risk population.</w:t>
      </w:r>
    </w:p>
    <w:p w14:paraId="0DACBFC3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We conducted two complementary analyses among student close contacts of </w:t>
      </w:r>
    </w:p>
    <w:p w14:paraId="70FC3C87">
      <w:pPr>
        <w:pStyle w:val="5"/>
        <w:rPr>
          <w:rFonts w:hint="eastAsia"/>
        </w:rPr>
      </w:pPr>
      <w:r>
        <w:rPr>
          <w:rFonts w:hint="eastAsia"/>
        </w:rPr>
        <w:t xml:space="preserve">tuberculosis patients from 458 schools in 12 cities in eastern China during </w:t>
      </w:r>
    </w:p>
    <w:p w14:paraId="7097A3E5">
      <w:pPr>
        <w:pStyle w:val="5"/>
        <w:rPr>
          <w:rFonts w:hint="eastAsia"/>
        </w:rPr>
      </w:pPr>
      <w:r>
        <w:rPr>
          <w:rFonts w:hint="eastAsia"/>
        </w:rPr>
        <w:t xml:space="preserve">2020-2024. Daily residential outdoor exposures were assigned from daily modeled </w:t>
      </w:r>
    </w:p>
    <w:p w14:paraId="54DD4913">
      <w:pPr>
        <w:pStyle w:val="5"/>
        <w:rPr>
          <w:rFonts w:hint="eastAsia"/>
        </w:rPr>
      </w:pPr>
      <w:r>
        <w:rPr>
          <w:rFonts w:hint="eastAsia"/>
        </w:rPr>
        <w:t xml:space="preserve">estimates of PM2.5 and five major constituents (sulfate, nitrate, ammonium, </w:t>
      </w:r>
    </w:p>
    <w:p w14:paraId="5A675AA2">
      <w:pPr>
        <w:pStyle w:val="5"/>
        <w:rPr>
          <w:rFonts w:hint="eastAsia"/>
        </w:rPr>
      </w:pPr>
      <w:r>
        <w:rPr>
          <w:rFonts w:hint="eastAsia"/>
        </w:rPr>
        <w:t xml:space="preserve">organic matter, and black carbon) on an approximately 10-km grid, which were </w:t>
      </w:r>
    </w:p>
    <w:p w14:paraId="0BAF279F">
      <w:pPr>
        <w:pStyle w:val="5"/>
        <w:rPr>
          <w:rFonts w:hint="eastAsia"/>
        </w:rPr>
      </w:pPr>
      <w:r>
        <w:rPr>
          <w:rFonts w:hint="eastAsia"/>
        </w:rPr>
        <w:t xml:space="preserve">interpolated to geocoded addresses. We first assessed associations between </w:t>
      </w:r>
    </w:p>
    <w:p w14:paraId="53EAA9E7">
      <w:pPr>
        <w:pStyle w:val="5"/>
        <w:rPr>
          <w:rFonts w:hint="eastAsia"/>
        </w:rPr>
      </w:pPr>
      <w:r>
        <w:rPr>
          <w:rFonts w:hint="eastAsia"/>
        </w:rPr>
        <w:t xml:space="preserve">exposure averaged over the five years preceding contact screening and M. </w:t>
      </w:r>
    </w:p>
    <w:p w14:paraId="2486095A">
      <w:pPr>
        <w:pStyle w:val="5"/>
        <w:rPr>
          <w:rFonts w:hint="eastAsia"/>
        </w:rPr>
      </w:pPr>
      <w:r>
        <w:rPr>
          <w:rFonts w:hint="eastAsia"/>
        </w:rPr>
        <w:t xml:space="preserve">tuberculosis infection identified by the ESAT6-CFP10 skin test during the </w:t>
      </w:r>
    </w:p>
    <w:p w14:paraId="2C18528B">
      <w:pPr>
        <w:pStyle w:val="5"/>
        <w:rPr>
          <w:rFonts w:hint="eastAsia"/>
        </w:rPr>
      </w:pPr>
      <w:r>
        <w:rPr>
          <w:rFonts w:hint="eastAsia"/>
        </w:rPr>
        <w:t xml:space="preserve">contact investigation. We then followed infected students identified at the </w:t>
      </w:r>
    </w:p>
    <w:p w14:paraId="285CAA1B">
      <w:pPr>
        <w:pStyle w:val="5"/>
        <w:rPr>
          <w:rFonts w:hint="eastAsia"/>
        </w:rPr>
      </w:pPr>
      <w:r>
        <w:rPr>
          <w:rFonts w:hint="eastAsia"/>
        </w:rPr>
        <w:t xml:space="preserve">contact screening to examine associations between time-varying annual exposure </w:t>
      </w:r>
    </w:p>
    <w:p w14:paraId="4E3EDB29">
      <w:pPr>
        <w:pStyle w:val="5"/>
        <w:rPr>
          <w:rFonts w:hint="eastAsia"/>
        </w:rPr>
      </w:pPr>
      <w:r>
        <w:rPr>
          <w:rFonts w:hint="eastAsia"/>
        </w:rPr>
        <w:t>and progression to active tuberculosis.</w:t>
      </w:r>
    </w:p>
    <w:p w14:paraId="05608315">
      <w:pPr>
        <w:pStyle w:val="5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Among 40,379 students, 1,269 had M. tuberculosis infection, and 70 </w:t>
      </w:r>
    </w:p>
    <w:p w14:paraId="59F3085B">
      <w:pPr>
        <w:pStyle w:val="5"/>
        <w:rPr>
          <w:rFonts w:hint="eastAsia"/>
        </w:rPr>
      </w:pPr>
      <w:r>
        <w:rPr>
          <w:rFonts w:hint="eastAsia"/>
        </w:rPr>
        <w:t xml:space="preserve">infected students progressed to active tuberculosis during follow-up. Each </w:t>
      </w:r>
    </w:p>
    <w:p w14:paraId="39D2E027">
      <w:pPr>
        <w:pStyle w:val="5"/>
        <w:rPr>
          <w:rFonts w:hint="eastAsia"/>
        </w:rPr>
      </w:pPr>
      <w:r>
        <w:rPr>
          <w:rFonts w:hint="eastAsia"/>
        </w:rPr>
        <w:t xml:space="preserve">1-µg/m3 increase in PM2.5 was associated with higher infection risk (OR: 1.043; </w:t>
      </w:r>
    </w:p>
    <w:p w14:paraId="23AFDCF9">
      <w:pPr>
        <w:pStyle w:val="5"/>
        <w:rPr>
          <w:rFonts w:hint="eastAsia"/>
        </w:rPr>
      </w:pPr>
      <w:r>
        <w:rPr>
          <w:rFonts w:hint="eastAsia"/>
        </w:rPr>
        <w:t xml:space="preserve">95% CI: 1.018, 1.068) and progression risk (HR: 1.094; 95% CI: 1.010, 1.185). </w:t>
      </w:r>
    </w:p>
    <w:p w14:paraId="4B523336">
      <w:pPr>
        <w:pStyle w:val="5"/>
        <w:rPr>
          <w:rFonts w:hint="eastAsia"/>
        </w:rPr>
      </w:pPr>
      <w:r>
        <w:rPr>
          <w:rFonts w:hint="eastAsia"/>
        </w:rPr>
        <w:t xml:space="preserve">All five constituents were positively associated with infection (ORs: </w:t>
      </w:r>
    </w:p>
    <w:p w14:paraId="062F28BD">
      <w:pPr>
        <w:pStyle w:val="5"/>
        <w:rPr>
          <w:rFonts w:hint="eastAsia"/>
        </w:rPr>
      </w:pPr>
      <w:r>
        <w:rPr>
          <w:rFonts w:hint="eastAsia"/>
        </w:rPr>
        <w:t xml:space="preserve">1.156-5.390). Sulfate, nitrate, and ammonium were also positively associated </w:t>
      </w:r>
    </w:p>
    <w:p w14:paraId="738BC563">
      <w:pPr>
        <w:pStyle w:val="5"/>
        <w:rPr>
          <w:rFonts w:hint="eastAsia"/>
        </w:rPr>
      </w:pPr>
      <w:r>
        <w:rPr>
          <w:rFonts w:hint="eastAsia"/>
        </w:rPr>
        <w:t xml:space="preserve">with progression to active tuberculosis (HRs: 1.462-2.680). The findings </w:t>
      </w:r>
    </w:p>
    <w:p w14:paraId="7870267D">
      <w:pPr>
        <w:pStyle w:val="5"/>
        <w:rPr>
          <w:rFonts w:hint="eastAsia"/>
        </w:rPr>
      </w:pPr>
      <w:r>
        <w:rPr>
          <w:rFonts w:hint="eastAsia"/>
        </w:rPr>
        <w:t>remained generally consistent in sensitivity analyses.</w:t>
      </w:r>
    </w:p>
    <w:p w14:paraId="1DDAB7F4">
      <w:pPr>
        <w:pStyle w:val="5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In this large multi-city close-contact study, PM2.5 was associated </w:t>
      </w:r>
    </w:p>
    <w:p w14:paraId="145CD0B7">
      <w:pPr>
        <w:pStyle w:val="5"/>
        <w:rPr>
          <w:rFonts w:hint="eastAsia"/>
        </w:rPr>
      </w:pPr>
      <w:r>
        <w:rPr>
          <w:rFonts w:hint="eastAsia"/>
        </w:rPr>
        <w:t xml:space="preserve">with both M. tuberculosis infection and subsequent progression to active </w:t>
      </w:r>
    </w:p>
    <w:p w14:paraId="04434CEB">
      <w:pPr>
        <w:pStyle w:val="5"/>
        <w:rPr>
          <w:rFonts w:hint="eastAsia"/>
        </w:rPr>
      </w:pPr>
      <w:r>
        <w:rPr>
          <w:rFonts w:hint="eastAsia"/>
        </w:rPr>
        <w:t xml:space="preserve">tuberculosis. Three secondary inorganic aerosol (SIA) constituents, namely </w:t>
      </w:r>
    </w:p>
    <w:p w14:paraId="275FEDCA">
      <w:pPr>
        <w:pStyle w:val="5"/>
        <w:rPr>
          <w:rFonts w:hint="eastAsia"/>
        </w:rPr>
      </w:pPr>
      <w:r>
        <w:rPr>
          <w:rFonts w:hint="eastAsia"/>
        </w:rPr>
        <w:t xml:space="preserve">sulfate, nitrate, and ammonium, showed the most consistent association patterns </w:t>
      </w:r>
    </w:p>
    <w:p w14:paraId="7B2E12A8">
      <w:pPr>
        <w:pStyle w:val="5"/>
        <w:rPr>
          <w:rFonts w:hint="eastAsia"/>
        </w:rPr>
      </w:pPr>
      <w:r>
        <w:rPr>
          <w:rFonts w:hint="eastAsia"/>
        </w:rPr>
        <w:t xml:space="preserve">across the two outcomes. These findings reinforce the importance of overall </w:t>
      </w:r>
    </w:p>
    <w:p w14:paraId="32E7442F">
      <w:pPr>
        <w:pStyle w:val="5"/>
        <w:rPr>
          <w:rFonts w:hint="eastAsia"/>
        </w:rPr>
      </w:pPr>
      <w:r>
        <w:rPr>
          <w:rFonts w:hint="eastAsia"/>
        </w:rPr>
        <w:t xml:space="preserve">PM2.5 control and support further evaluation of coordinated reductions in SIA </w:t>
      </w:r>
    </w:p>
    <w:p w14:paraId="03D89963">
      <w:pPr>
        <w:pStyle w:val="5"/>
        <w:rPr>
          <w:rFonts w:hint="eastAsia"/>
        </w:rPr>
      </w:pPr>
      <w:r>
        <w:rPr>
          <w:rFonts w:hint="eastAsia"/>
        </w:rPr>
        <w:t>precursor emissions.</w:t>
      </w:r>
    </w:p>
    <w:p w14:paraId="7E2F6F93">
      <w:pPr>
        <w:pStyle w:val="5"/>
        <w:rPr>
          <w:rFonts w:hint="eastAsia"/>
        </w:rPr>
      </w:pPr>
    </w:p>
    <w:p w14:paraId="3CF8C80E">
      <w:pPr>
        <w:pStyle w:val="5"/>
        <w:rPr>
          <w:rFonts w:hint="eastAsia"/>
        </w:rPr>
      </w:pPr>
      <w:r>
        <w:rPr>
          <w:rFonts w:hint="eastAsia"/>
        </w:rPr>
        <w:t xml:space="preserve">© The Author(s) 2026. Published by Oxford University Press on behalf of the </w:t>
      </w:r>
    </w:p>
    <w:p w14:paraId="2E88C778">
      <w:pPr>
        <w:pStyle w:val="5"/>
        <w:rPr>
          <w:rFonts w:hint="eastAsia"/>
        </w:rPr>
      </w:pPr>
      <w:r>
        <w:rPr>
          <w:rFonts w:hint="eastAsia"/>
        </w:rPr>
        <w:t xml:space="preserve">American Thoracic Society. All rights reserved. For commercial re-use, please </w:t>
      </w:r>
    </w:p>
    <w:p w14:paraId="16439D94">
      <w:pPr>
        <w:pStyle w:val="5"/>
        <w:rPr>
          <w:rFonts w:hint="eastAsia"/>
        </w:rPr>
      </w:pPr>
      <w:r>
        <w:rPr>
          <w:rFonts w:hint="eastAsia"/>
        </w:rPr>
        <w:t xml:space="preserve">contact reprints@oup.com for reprints and translation rights for reprints. All </w:t>
      </w:r>
    </w:p>
    <w:p w14:paraId="3BF05DBA">
      <w:pPr>
        <w:pStyle w:val="5"/>
        <w:rPr>
          <w:rFonts w:hint="eastAsia"/>
        </w:rPr>
      </w:pPr>
      <w:r>
        <w:rPr>
          <w:rFonts w:hint="eastAsia"/>
        </w:rPr>
        <w:t xml:space="preserve">other permissions can be obtained through our RightsLink service via the </w:t>
      </w:r>
    </w:p>
    <w:p w14:paraId="6159B913">
      <w:pPr>
        <w:pStyle w:val="5"/>
        <w:rPr>
          <w:rFonts w:hint="eastAsia"/>
        </w:rPr>
      </w:pPr>
      <w:r>
        <w:rPr>
          <w:rFonts w:hint="eastAsia"/>
        </w:rPr>
        <w:t xml:space="preserve">Permissions link on the article page on our site—for further information please </w:t>
      </w:r>
    </w:p>
    <w:p w14:paraId="52B6D38C">
      <w:pPr>
        <w:pStyle w:val="5"/>
        <w:rPr>
          <w:rFonts w:hint="eastAsia"/>
        </w:rPr>
      </w:pPr>
      <w:r>
        <w:rPr>
          <w:rFonts w:hint="eastAsia"/>
        </w:rPr>
        <w:t>contact journals.permissions@oup.com.</w:t>
      </w:r>
    </w:p>
    <w:p w14:paraId="2008C61D">
      <w:pPr>
        <w:pStyle w:val="5"/>
        <w:rPr>
          <w:rFonts w:hint="eastAsia"/>
        </w:rPr>
      </w:pPr>
    </w:p>
    <w:p w14:paraId="7527D032">
      <w:pPr>
        <w:pStyle w:val="5"/>
        <w:rPr>
          <w:rFonts w:hint="eastAsia"/>
        </w:rPr>
      </w:pPr>
      <w:r>
        <w:rPr>
          <w:rFonts w:hint="eastAsia"/>
        </w:rPr>
        <w:t>DOI: 10.1093/annalsats/aaoag325</w:t>
      </w:r>
    </w:p>
    <w:p w14:paraId="46B8F474">
      <w:pPr>
        <w:pStyle w:val="5"/>
        <w:rPr>
          <w:rFonts w:hint="eastAsia"/>
        </w:rPr>
      </w:pPr>
      <w:r>
        <w:rPr>
          <w:rFonts w:hint="eastAsia"/>
        </w:rPr>
        <w:t>PMID: 42873570</w:t>
      </w:r>
    </w:p>
    <w:p w14:paraId="567338CD">
      <w:pPr>
        <w:pStyle w:val="5"/>
        <w:rPr>
          <w:rFonts w:hint="eastAsia"/>
        </w:rPr>
      </w:pPr>
    </w:p>
    <w:p w14:paraId="13C0DEB5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14</w:t>
      </w:r>
      <w:r>
        <w:rPr>
          <w:rFonts w:hint="eastAsia"/>
          <w:b/>
          <w:bCs/>
          <w:color w:val="FF0000"/>
        </w:rPr>
        <w:t>. Med Microbiol Immunol. 2026 Oct 14;215(1):31. doi: 10.1007/s00430-026-00894-y.</w:t>
      </w:r>
    </w:p>
    <w:p w14:paraId="6B6C1E4A">
      <w:pPr>
        <w:pStyle w:val="5"/>
        <w:rPr>
          <w:rFonts w:hint="eastAsia"/>
        </w:rPr>
      </w:pPr>
    </w:p>
    <w:p w14:paraId="6DE0C685">
      <w:pPr>
        <w:pStyle w:val="5"/>
        <w:rPr>
          <w:rFonts w:hint="eastAsia"/>
        </w:rPr>
      </w:pPr>
      <w:r>
        <w:rPr>
          <w:rFonts w:hint="eastAsia"/>
        </w:rPr>
        <w:t xml:space="preserve">Identification of mitochondrial metabolism-associated tuberculosis key genes and </w:t>
      </w:r>
    </w:p>
    <w:p w14:paraId="7918CA27">
      <w:pPr>
        <w:pStyle w:val="5"/>
        <w:rPr>
          <w:rFonts w:hint="eastAsia"/>
        </w:rPr>
      </w:pPr>
      <w:r>
        <w:rPr>
          <w:rFonts w:hint="eastAsia"/>
        </w:rPr>
        <w:t>construction of a diagnostic model based on WGCNA.</w:t>
      </w:r>
    </w:p>
    <w:p w14:paraId="668DB897">
      <w:pPr>
        <w:pStyle w:val="5"/>
        <w:rPr>
          <w:rFonts w:hint="eastAsia"/>
        </w:rPr>
      </w:pPr>
    </w:p>
    <w:p w14:paraId="516D856D">
      <w:pPr>
        <w:pStyle w:val="5"/>
        <w:rPr>
          <w:rFonts w:hint="eastAsia"/>
        </w:rPr>
      </w:pPr>
      <w:r>
        <w:rPr>
          <w:rFonts w:hint="eastAsia"/>
        </w:rPr>
        <w:t>Wu Q(1), Zheng Q, Wu C.</w:t>
      </w:r>
    </w:p>
    <w:p w14:paraId="5DDADD1C">
      <w:pPr>
        <w:pStyle w:val="5"/>
        <w:rPr>
          <w:rFonts w:hint="eastAsia"/>
        </w:rPr>
      </w:pPr>
    </w:p>
    <w:p w14:paraId="6F9ED335">
      <w:pPr>
        <w:pStyle w:val="5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Qiaoqiao Wu</w:t>
      </w: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Qiongna Zheng,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Chemin Wu</w:t>
      </w:r>
    </w:p>
    <w:p w14:paraId="43F1BD87">
      <w:pPr>
        <w:pStyle w:val="5"/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</w:pP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Qiaoqiao Wu</w:t>
      </w:r>
      <w:r>
        <w:rPr>
          <w:rFonts w:hint="eastAsia"/>
          <w:b/>
          <w:bCs/>
          <w:color w:val="4472C4" w:themeColor="accent5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wuqiaoqiao2497@163.com</w:t>
      </w:r>
    </w:p>
    <w:p w14:paraId="7A560E85">
      <w:pPr>
        <w:pStyle w:val="5"/>
        <w:rPr>
          <w:rFonts w:hint="eastAsia"/>
        </w:rPr>
      </w:pPr>
    </w:p>
    <w:p w14:paraId="40494284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2DDC6EDC">
      <w:pPr>
        <w:pStyle w:val="5"/>
        <w:rPr>
          <w:rFonts w:hint="eastAsia"/>
        </w:rPr>
      </w:pPr>
      <w:r>
        <w:rPr>
          <w:rFonts w:hint="eastAsia"/>
        </w:rPr>
        <w:t xml:space="preserve">(1)Department of Infectious Disease, Yueqing People's Hospital, No. 338 Qingyuan </w:t>
      </w:r>
    </w:p>
    <w:p w14:paraId="40ED94F0">
      <w:pPr>
        <w:pStyle w:val="5"/>
        <w:rPr>
          <w:rFonts w:hint="eastAsia"/>
        </w:rPr>
      </w:pPr>
      <w:r>
        <w:rPr>
          <w:rFonts w:hint="eastAsia"/>
        </w:rPr>
        <w:t xml:space="preserve">Road, Chengnan Sub-district, Yueqing City, Wenzhou, 325600, Zhejiang, China. </w:t>
      </w:r>
    </w:p>
    <w:p w14:paraId="5EF57DD3">
      <w:pPr>
        <w:pStyle w:val="5"/>
        <w:rPr>
          <w:rFonts w:hint="eastAsia"/>
        </w:rPr>
      </w:pPr>
      <w:r>
        <w:rPr>
          <w:rFonts w:hint="eastAsia"/>
        </w:rPr>
        <w:t>wuqiaoqiao2497@163.com.</w:t>
      </w:r>
    </w:p>
    <w:p w14:paraId="0C815DEC">
      <w:pPr>
        <w:pStyle w:val="5"/>
        <w:rPr>
          <w:rFonts w:hint="eastAsia"/>
        </w:rPr>
      </w:pPr>
    </w:p>
    <w:p w14:paraId="47D06903">
      <w:pPr>
        <w:pStyle w:val="5"/>
        <w:rPr>
          <w:rFonts w:hint="eastAsia"/>
        </w:rPr>
      </w:pPr>
      <w:r>
        <w:rPr>
          <w:rFonts w:hint="eastAsia"/>
        </w:rPr>
        <w:t xml:space="preserve">Despite recent advances, tuberculosis (TB) remains a complex global health </w:t>
      </w:r>
    </w:p>
    <w:p w14:paraId="3F54D011">
      <w:pPr>
        <w:pStyle w:val="5"/>
        <w:rPr>
          <w:rFonts w:hint="eastAsia"/>
        </w:rPr>
      </w:pPr>
      <w:r>
        <w:rPr>
          <w:rFonts w:hint="eastAsia"/>
        </w:rPr>
        <w:t xml:space="preserve">challenge, with its causative bacterium, Mtb, actively manipulating host </w:t>
      </w:r>
    </w:p>
    <w:p w14:paraId="59FA137E">
      <w:pPr>
        <w:pStyle w:val="5"/>
        <w:rPr>
          <w:rFonts w:hint="eastAsia"/>
        </w:rPr>
      </w:pPr>
      <w:r>
        <w:rPr>
          <w:rFonts w:hint="eastAsia"/>
        </w:rPr>
        <w:t xml:space="preserve">cellular metabolism to survive. Therefore, studying mitochondrial </w:t>
      </w:r>
    </w:p>
    <w:p w14:paraId="4ED68022">
      <w:pPr>
        <w:pStyle w:val="5"/>
        <w:rPr>
          <w:rFonts w:hint="eastAsia"/>
        </w:rPr>
      </w:pPr>
      <w:r>
        <w:rPr>
          <w:rFonts w:hint="eastAsia"/>
        </w:rPr>
        <w:t xml:space="preserve">metabolism-related genes is crucial, as they offer a promising avenue for </w:t>
      </w:r>
    </w:p>
    <w:p w14:paraId="2D751018">
      <w:pPr>
        <w:pStyle w:val="5"/>
        <w:rPr>
          <w:rFonts w:hint="eastAsia"/>
        </w:rPr>
      </w:pPr>
      <w:r>
        <w:rPr>
          <w:rFonts w:hint="eastAsia"/>
        </w:rPr>
        <w:t xml:space="preserve">identifying diagnostic biomarkers and developing new host-directed therapies to </w:t>
      </w:r>
    </w:p>
    <w:p w14:paraId="57C83043">
      <w:pPr>
        <w:pStyle w:val="5"/>
        <w:rPr>
          <w:rFonts w:hint="eastAsia"/>
        </w:rPr>
      </w:pPr>
      <w:r>
        <w:rPr>
          <w:rFonts w:hint="eastAsia"/>
        </w:rPr>
        <w:t xml:space="preserve">combat the disease. This study integrated transcriptomic datasets from three TB </w:t>
      </w:r>
    </w:p>
    <w:p w14:paraId="4D6FA20D">
      <w:pPr>
        <w:pStyle w:val="5"/>
        <w:rPr>
          <w:rFonts w:hint="eastAsia"/>
        </w:rPr>
      </w:pPr>
      <w:r>
        <w:rPr>
          <w:rFonts w:hint="eastAsia"/>
        </w:rPr>
        <w:t xml:space="preserve">cohorts in the Gene Expression Omnibus (GEO) database (training set: GSE83456; </w:t>
      </w:r>
    </w:p>
    <w:p w14:paraId="0CB68FD0">
      <w:pPr>
        <w:pStyle w:val="5"/>
        <w:rPr>
          <w:rFonts w:hint="eastAsia"/>
        </w:rPr>
      </w:pPr>
      <w:r>
        <w:rPr>
          <w:rFonts w:hint="eastAsia"/>
        </w:rPr>
        <w:t xml:space="preserve">validation sets: GSE42826 and GSE19444). Differential analysis was performed </w:t>
      </w:r>
    </w:p>
    <w:p w14:paraId="2BDA84E4">
      <w:pPr>
        <w:pStyle w:val="5"/>
        <w:rPr>
          <w:rFonts w:hint="eastAsia"/>
        </w:rPr>
      </w:pPr>
      <w:r>
        <w:rPr>
          <w:rFonts w:hint="eastAsia"/>
        </w:rPr>
        <w:t xml:space="preserve">using the "limma" package (with |logFC| &gt; 1 and adjusted p-value &lt; 0.05) to </w:t>
      </w:r>
    </w:p>
    <w:p w14:paraId="7301EBC6">
      <w:pPr>
        <w:pStyle w:val="5"/>
        <w:rPr>
          <w:rFonts w:hint="eastAsia"/>
        </w:rPr>
      </w:pPr>
      <w:r>
        <w:rPr>
          <w:rFonts w:hint="eastAsia"/>
        </w:rPr>
        <w:t xml:space="preserve">identify mitochondrial metabolism-related differentially expressed genes. </w:t>
      </w:r>
    </w:p>
    <w:p w14:paraId="1CB4429A">
      <w:pPr>
        <w:pStyle w:val="5"/>
        <w:rPr>
          <w:rFonts w:hint="eastAsia"/>
        </w:rPr>
      </w:pPr>
      <w:r>
        <w:rPr>
          <w:rFonts w:hint="eastAsia"/>
        </w:rPr>
        <w:t xml:space="preserve">Diagnostic biomarkers were determined by combining weighted gene co-expression </w:t>
      </w:r>
    </w:p>
    <w:p w14:paraId="4DEF09DB">
      <w:pPr>
        <w:pStyle w:val="5"/>
        <w:rPr>
          <w:rFonts w:hint="eastAsia"/>
        </w:rPr>
      </w:pPr>
      <w:r>
        <w:rPr>
          <w:rFonts w:hint="eastAsia"/>
        </w:rPr>
        <w:t xml:space="preserve">network analysis (WGCNA), and the effectiveness of the model was evaluated using </w:t>
      </w:r>
    </w:p>
    <w:p w14:paraId="7F07DCEF">
      <w:pPr>
        <w:pStyle w:val="5"/>
        <w:rPr>
          <w:rFonts w:hint="eastAsia"/>
        </w:rPr>
      </w:pPr>
      <w:r>
        <w:rPr>
          <w:rFonts w:hint="eastAsia"/>
        </w:rPr>
        <w:t xml:space="preserve">receiver operating characteristic (ROC) curve analysis. Immune infiltration </w:t>
      </w:r>
    </w:p>
    <w:p w14:paraId="2E45B23A">
      <w:pPr>
        <w:pStyle w:val="5"/>
        <w:rPr>
          <w:rFonts w:hint="eastAsia"/>
        </w:rPr>
      </w:pPr>
      <w:r>
        <w:rPr>
          <w:rFonts w:hint="eastAsia"/>
        </w:rPr>
        <w:t xml:space="preserve">characteristics were assessed via single-sample gene set enrichment analysis </w:t>
      </w:r>
    </w:p>
    <w:p w14:paraId="683C51F5">
      <w:pPr>
        <w:pStyle w:val="5"/>
        <w:rPr>
          <w:rFonts w:hint="eastAsia"/>
        </w:rPr>
      </w:pPr>
      <w:r>
        <w:rPr>
          <w:rFonts w:hint="eastAsia"/>
        </w:rPr>
        <w:t xml:space="preserve">(ssGSEA) and Cell-type Identification by Estimating Relative Subsets of RNA </w:t>
      </w:r>
    </w:p>
    <w:p w14:paraId="0263C7A0">
      <w:pPr>
        <w:pStyle w:val="5"/>
        <w:rPr>
          <w:rFonts w:hint="eastAsia"/>
        </w:rPr>
      </w:pPr>
      <w:r>
        <w:rPr>
          <w:rFonts w:hint="eastAsia"/>
        </w:rPr>
        <w:t xml:space="preserve">Transcripts (CIBERSORT), pathway enrichment analysis was conducted through GSEA, </w:t>
      </w:r>
    </w:p>
    <w:p w14:paraId="0061A0A9">
      <w:pPr>
        <w:pStyle w:val="5"/>
        <w:rPr>
          <w:rFonts w:hint="eastAsia"/>
        </w:rPr>
      </w:pPr>
      <w:r>
        <w:rPr>
          <w:rFonts w:hint="eastAsia"/>
        </w:rPr>
        <w:t xml:space="preserve">molecular subtypes were classified using the non-negative matrix factorization </w:t>
      </w:r>
    </w:p>
    <w:p w14:paraId="3AA63374">
      <w:pPr>
        <w:pStyle w:val="5"/>
        <w:rPr>
          <w:rFonts w:hint="eastAsia"/>
        </w:rPr>
      </w:pPr>
      <w:r>
        <w:rPr>
          <w:rFonts w:hint="eastAsia"/>
        </w:rPr>
        <w:t xml:space="preserve">(NMF) algorithm, and MicroRNA (miRNA) and transcription factor (TF) regulatory </w:t>
      </w:r>
    </w:p>
    <w:p w14:paraId="4439A85C">
      <w:pPr>
        <w:pStyle w:val="5"/>
        <w:rPr>
          <w:rFonts w:hint="eastAsia"/>
        </w:rPr>
      </w:pPr>
      <w:r>
        <w:rPr>
          <w:rFonts w:hint="eastAsia"/>
        </w:rPr>
        <w:t xml:space="preserve">networks were predicted using "miRNet" and "NetworkAnalyst". We identified 3 </w:t>
      </w:r>
    </w:p>
    <w:p w14:paraId="41CF8731">
      <w:pPr>
        <w:pStyle w:val="5"/>
        <w:rPr>
          <w:rFonts w:hint="eastAsia"/>
        </w:rPr>
      </w:pPr>
      <w:r>
        <w:rPr>
          <w:rFonts w:hint="eastAsia"/>
        </w:rPr>
        <w:t xml:space="preserve">mitochondrial metabolism-related biomarkers (TYMP, SCO2, GK) with remarkable </w:t>
      </w:r>
    </w:p>
    <w:p w14:paraId="3AEB69D7">
      <w:pPr>
        <w:pStyle w:val="5"/>
        <w:rPr>
          <w:rFonts w:hint="eastAsia"/>
        </w:rPr>
      </w:pPr>
      <w:r>
        <w:rPr>
          <w:rFonts w:hint="eastAsia"/>
        </w:rPr>
        <w:t xml:space="preserve">diagnostic performance (area under the curve [AUC] = 0.973 across cohorts). </w:t>
      </w:r>
    </w:p>
    <w:p w14:paraId="3981FEDF">
      <w:pPr>
        <w:pStyle w:val="5"/>
        <w:rPr>
          <w:rFonts w:hint="eastAsia"/>
        </w:rPr>
      </w:pPr>
      <w:r>
        <w:rPr>
          <w:rFonts w:hint="eastAsia"/>
        </w:rPr>
        <w:t xml:space="preserve">These genes were closely associated with altered immune infiltration patterns, </w:t>
      </w:r>
    </w:p>
    <w:p w14:paraId="23404AE7">
      <w:pPr>
        <w:pStyle w:val="5"/>
        <w:rPr>
          <w:rFonts w:hint="eastAsia"/>
        </w:rPr>
      </w:pPr>
      <w:r>
        <w:rPr>
          <w:rFonts w:hint="eastAsia"/>
        </w:rPr>
        <w:t xml:space="preserve">characterized by enhanced inflammatory responses in macrophages and monocytes, </w:t>
      </w:r>
    </w:p>
    <w:p w14:paraId="57D86907">
      <w:pPr>
        <w:pStyle w:val="5"/>
        <w:rPr>
          <w:rFonts w:hint="eastAsia"/>
        </w:rPr>
      </w:pPr>
      <w:r>
        <w:rPr>
          <w:rFonts w:hint="eastAsia"/>
        </w:rPr>
        <w:t xml:space="preserve">along with a reduction in T-cell subsets. These genes are associated with </w:t>
      </w:r>
    </w:p>
    <w:p w14:paraId="4E10D3F9">
      <w:pPr>
        <w:pStyle w:val="5"/>
        <w:rPr>
          <w:rFonts w:hint="eastAsia"/>
        </w:rPr>
      </w:pPr>
      <w:r>
        <w:rPr>
          <w:rFonts w:hint="eastAsia"/>
        </w:rPr>
        <w:t xml:space="preserve">ribosome and innate immune pathways. Furthermore, tuberculosis patients were </w:t>
      </w:r>
    </w:p>
    <w:p w14:paraId="03EB7B1F">
      <w:pPr>
        <w:pStyle w:val="5"/>
        <w:rPr>
          <w:rFonts w:hint="eastAsia"/>
        </w:rPr>
      </w:pPr>
      <w:r>
        <w:rPr>
          <w:rFonts w:hint="eastAsia"/>
        </w:rPr>
        <w:t xml:space="preserve">stratified into two distinct molecular subtypes exhibiting specific immune </w:t>
      </w:r>
    </w:p>
    <w:p w14:paraId="6F2E52AB">
      <w:pPr>
        <w:pStyle w:val="5"/>
        <w:rPr>
          <w:rFonts w:hint="eastAsia"/>
        </w:rPr>
      </w:pPr>
      <w:r>
        <w:rPr>
          <w:rFonts w:hint="eastAsia"/>
        </w:rPr>
        <w:t xml:space="preserve">microenvironment features. Regulatory network analysis revealed hsa-miR-10b-5p </w:t>
      </w:r>
    </w:p>
    <w:p w14:paraId="586DCA1D">
      <w:pPr>
        <w:pStyle w:val="5"/>
        <w:rPr>
          <w:rFonts w:hint="eastAsia"/>
        </w:rPr>
      </w:pPr>
      <w:r>
        <w:rPr>
          <w:rFonts w:hint="eastAsia"/>
        </w:rPr>
        <w:t xml:space="preserve">and transcription factor hubs (SP3/SP1) as potential master regulators. This </w:t>
      </w:r>
    </w:p>
    <w:p w14:paraId="31BA9344">
      <w:pPr>
        <w:pStyle w:val="5"/>
        <w:rPr>
          <w:rFonts w:hint="eastAsia"/>
        </w:rPr>
      </w:pPr>
      <w:r>
        <w:rPr>
          <w:rFonts w:hint="eastAsia"/>
        </w:rPr>
        <w:t xml:space="preserve">study identifies a mitochondrial metabolism-based gene signature for TB </w:t>
      </w:r>
    </w:p>
    <w:p w14:paraId="2D8925AA">
      <w:pPr>
        <w:pStyle w:val="5"/>
        <w:rPr>
          <w:rFonts w:hint="eastAsia"/>
        </w:rPr>
      </w:pPr>
      <w:r>
        <w:rPr>
          <w:rFonts w:hint="eastAsia"/>
        </w:rPr>
        <w:t xml:space="preserve">diagnosis, revealing novel host-pathogen mechanisms and enabling potential </w:t>
      </w:r>
    </w:p>
    <w:p w14:paraId="76D3426F">
      <w:pPr>
        <w:pStyle w:val="5"/>
        <w:rPr>
          <w:rFonts w:hint="eastAsia"/>
        </w:rPr>
      </w:pPr>
      <w:r>
        <w:rPr>
          <w:rFonts w:hint="eastAsia"/>
        </w:rPr>
        <w:t>targeted therapies for precision medicine.</w:t>
      </w:r>
    </w:p>
    <w:p w14:paraId="49EE8E17">
      <w:pPr>
        <w:pStyle w:val="5"/>
        <w:rPr>
          <w:rFonts w:hint="eastAsia"/>
        </w:rPr>
      </w:pPr>
    </w:p>
    <w:p w14:paraId="23271C8B">
      <w:pPr>
        <w:pStyle w:val="5"/>
        <w:rPr>
          <w:rFonts w:hint="eastAsia"/>
        </w:rPr>
      </w:pPr>
      <w:r>
        <w:rPr>
          <w:rFonts w:hint="eastAsia"/>
        </w:rPr>
        <w:t xml:space="preserve">© 2026. The Author(s), under exclusive licence to Springer-Verlag GmbH Germany, </w:t>
      </w:r>
    </w:p>
    <w:p w14:paraId="6EB84EF5">
      <w:pPr>
        <w:pStyle w:val="5"/>
        <w:rPr>
          <w:rFonts w:hint="eastAsia"/>
        </w:rPr>
      </w:pPr>
      <w:r>
        <w:rPr>
          <w:rFonts w:hint="eastAsia"/>
        </w:rPr>
        <w:t>part of Springer Nature.</w:t>
      </w:r>
    </w:p>
    <w:p w14:paraId="7C5A9ED4">
      <w:pPr>
        <w:pStyle w:val="5"/>
        <w:rPr>
          <w:rFonts w:hint="eastAsia"/>
        </w:rPr>
      </w:pPr>
    </w:p>
    <w:p w14:paraId="3D894008">
      <w:pPr>
        <w:pStyle w:val="5"/>
        <w:rPr>
          <w:rFonts w:hint="eastAsia"/>
        </w:rPr>
      </w:pPr>
      <w:r>
        <w:rPr>
          <w:rFonts w:hint="eastAsia"/>
        </w:rPr>
        <w:t>DOI: 10.1007/s00430-026-00894-y</w:t>
      </w:r>
    </w:p>
    <w:p w14:paraId="1E08E337">
      <w:pPr>
        <w:pStyle w:val="5"/>
        <w:rPr>
          <w:rFonts w:hint="eastAsia"/>
        </w:rPr>
      </w:pPr>
      <w:r>
        <w:rPr>
          <w:rFonts w:hint="eastAsia"/>
        </w:rPr>
        <w:t>PMID: 42873341 [Indexed for MEDLINE]</w:t>
      </w:r>
    </w:p>
    <w:p w14:paraId="03021528">
      <w:pPr>
        <w:pStyle w:val="5"/>
        <w:rPr>
          <w:rFonts w:hint="eastAsia"/>
        </w:rPr>
      </w:pPr>
    </w:p>
    <w:p w14:paraId="5A98C0B5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15</w:t>
      </w:r>
      <w:r>
        <w:rPr>
          <w:rFonts w:hint="eastAsia"/>
          <w:b/>
          <w:bCs/>
          <w:color w:val="FF0000"/>
        </w:rPr>
        <w:t xml:space="preserve">. IJTLD Open. 2026 Oct 12;3(10):681-682. doi: 10.5588/ijtldopen.26.0371. </w:t>
      </w:r>
    </w:p>
    <w:p w14:paraId="186499CF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59E62022">
      <w:pPr>
        <w:pStyle w:val="5"/>
        <w:rPr>
          <w:rFonts w:hint="eastAsia"/>
        </w:rPr>
      </w:pPr>
    </w:p>
    <w:p w14:paraId="0E7CD318">
      <w:pPr>
        <w:pStyle w:val="5"/>
        <w:rPr>
          <w:rFonts w:hint="eastAsia"/>
        </w:rPr>
      </w:pPr>
      <w:r>
        <w:rPr>
          <w:rFonts w:hint="eastAsia"/>
        </w:rPr>
        <w:t>Global financing retrenchment threatens the recovery in TB control.</w:t>
      </w:r>
    </w:p>
    <w:p w14:paraId="0EBFF043">
      <w:pPr>
        <w:pStyle w:val="5"/>
        <w:rPr>
          <w:rFonts w:hint="eastAsia"/>
        </w:rPr>
      </w:pPr>
    </w:p>
    <w:p w14:paraId="25C19DEF">
      <w:pPr>
        <w:pStyle w:val="5"/>
        <w:rPr>
          <w:rFonts w:hint="eastAsia"/>
        </w:rPr>
      </w:pPr>
      <w:r>
        <w:rPr>
          <w:rFonts w:hint="eastAsia"/>
        </w:rPr>
        <w:t>Chen F(1), Zhang Y(1), Chen L(1).</w:t>
      </w:r>
    </w:p>
    <w:p w14:paraId="4DEC6450">
      <w:pPr>
        <w:pStyle w:val="5"/>
        <w:rPr>
          <w:rFonts w:hint="eastAsia"/>
        </w:rPr>
      </w:pPr>
    </w:p>
    <w:p w14:paraId="5AE304EC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F Chen,Y Zhang,L Chen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219EB759">
      <w:pPr>
        <w:pStyle w:val="5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Correspondence to: Lingling Chen, E-mail: 13626580747@163.com</w:t>
      </w:r>
    </w:p>
    <w:p w14:paraId="236B3F5D">
      <w:pPr>
        <w:pStyle w:val="5"/>
        <w:rPr>
          <w:rFonts w:hint="eastAsia"/>
        </w:rPr>
      </w:pPr>
    </w:p>
    <w:p w14:paraId="2426A8BC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159A37A1">
      <w:pPr>
        <w:pStyle w:val="5"/>
        <w:rPr>
          <w:rFonts w:hint="eastAsia"/>
        </w:rPr>
      </w:pPr>
      <w:r>
        <w:rPr>
          <w:rFonts w:hint="eastAsia"/>
        </w:rPr>
        <w:t xml:space="preserve">(1)Department of Child Healthcare, Wenzhou People's Hospital, The Third Clinical </w:t>
      </w:r>
    </w:p>
    <w:p w14:paraId="1149E877">
      <w:pPr>
        <w:pStyle w:val="5"/>
        <w:rPr>
          <w:rFonts w:hint="eastAsia"/>
        </w:rPr>
      </w:pPr>
      <w:r>
        <w:rPr>
          <w:rFonts w:hint="eastAsia"/>
        </w:rPr>
        <w:t>Institute Affiliated to Wenzhou Medical University, Wenzhou, Zhejiang, China.</w:t>
      </w:r>
    </w:p>
    <w:p w14:paraId="4FF63544">
      <w:pPr>
        <w:pStyle w:val="5"/>
        <w:rPr>
          <w:rFonts w:hint="eastAsia"/>
        </w:rPr>
      </w:pPr>
    </w:p>
    <w:p w14:paraId="7EAD83DE">
      <w:pPr>
        <w:pStyle w:val="5"/>
        <w:rPr>
          <w:rFonts w:hint="eastAsia"/>
        </w:rPr>
      </w:pPr>
      <w:r>
        <w:rPr>
          <w:rFonts w:hint="eastAsia"/>
        </w:rPr>
        <w:t>DOI: 10.5588/ijtldopen.26.0371</w:t>
      </w:r>
    </w:p>
    <w:p w14:paraId="5EF4ACA3">
      <w:pPr>
        <w:pStyle w:val="5"/>
        <w:rPr>
          <w:rFonts w:hint="eastAsia"/>
        </w:rPr>
      </w:pPr>
      <w:r>
        <w:rPr>
          <w:rFonts w:hint="eastAsia"/>
        </w:rPr>
        <w:t>PMCID: PMC13657025</w:t>
      </w:r>
    </w:p>
    <w:p w14:paraId="6BFE5854">
      <w:pPr>
        <w:pStyle w:val="5"/>
        <w:rPr>
          <w:rFonts w:hint="eastAsia"/>
        </w:rPr>
      </w:pPr>
      <w:r>
        <w:rPr>
          <w:rFonts w:hint="eastAsia"/>
        </w:rPr>
        <w:t>PMID: 42866169</w:t>
      </w:r>
    </w:p>
    <w:p w14:paraId="68D2589C">
      <w:pPr>
        <w:pStyle w:val="5"/>
        <w:rPr>
          <w:rFonts w:hint="eastAsia"/>
        </w:rPr>
      </w:pPr>
    </w:p>
    <w:p w14:paraId="7012F0DC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</w:t>
      </w:r>
      <w:r>
        <w:rPr>
          <w:rFonts w:hint="eastAsia"/>
          <w:b/>
          <w:bCs/>
          <w:color w:val="FF0000"/>
          <w:lang w:val="en-US" w:eastAsia="zh-CN"/>
        </w:rPr>
        <w:t>6</w:t>
      </w:r>
      <w:r>
        <w:rPr>
          <w:rFonts w:hint="eastAsia"/>
          <w:b/>
          <w:bCs/>
          <w:color w:val="FF0000"/>
        </w:rPr>
        <w:t>. BMC Complement Med Ther. 2026 Aug 24;26(1):304. doi: 10.1186/s12906-026-05537-6.</w:t>
      </w:r>
    </w:p>
    <w:p w14:paraId="633D4FC3">
      <w:pPr>
        <w:pStyle w:val="5"/>
        <w:rPr>
          <w:rFonts w:hint="eastAsia"/>
        </w:rPr>
      </w:pPr>
    </w:p>
    <w:p w14:paraId="16D7D487">
      <w:pPr>
        <w:pStyle w:val="5"/>
        <w:rPr>
          <w:rFonts w:hint="eastAsia"/>
        </w:rPr>
      </w:pPr>
      <w:r>
        <w:rPr>
          <w:rFonts w:hint="eastAsia"/>
        </w:rPr>
        <w:t xml:space="preserve">Tuberculous spinal epidural abscess: a cautionary case report of permanent </w:t>
      </w:r>
    </w:p>
    <w:p w14:paraId="4F83FEDD">
      <w:pPr>
        <w:pStyle w:val="5"/>
        <w:rPr>
          <w:rFonts w:hint="eastAsia"/>
        </w:rPr>
      </w:pPr>
      <w:r>
        <w:rPr>
          <w:rFonts w:hint="eastAsia"/>
        </w:rPr>
        <w:t>paraplegia due to delayed diagnosis and management.</w:t>
      </w:r>
    </w:p>
    <w:p w14:paraId="708FD9B8">
      <w:pPr>
        <w:pStyle w:val="5"/>
        <w:rPr>
          <w:rFonts w:hint="eastAsia"/>
        </w:rPr>
      </w:pPr>
    </w:p>
    <w:p w14:paraId="73DEBD48">
      <w:pPr>
        <w:pStyle w:val="5"/>
        <w:rPr>
          <w:rFonts w:hint="eastAsia"/>
        </w:rPr>
      </w:pPr>
      <w:r>
        <w:rPr>
          <w:rFonts w:hint="eastAsia"/>
        </w:rPr>
        <w:t>Hu Y(1), Wang A(1), Wang Y(1), Qiu X(2).</w:t>
      </w:r>
    </w:p>
    <w:p w14:paraId="34E5AD71">
      <w:pPr>
        <w:pStyle w:val="5"/>
        <w:rPr>
          <w:rFonts w:hint="eastAsia"/>
        </w:rPr>
      </w:pPr>
    </w:p>
    <w:p w14:paraId="03871B6D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Yanan Hu,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Anlong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Yijing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Xiaowei Qiu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516EA980">
      <w:pPr>
        <w:pStyle w:val="5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* Correspondence: Xiaowei Qiu</w:t>
      </w:r>
      <w:r>
        <w:rPr>
          <w:rFonts w:hint="eastAsia"/>
          <w:b/>
          <w:bCs/>
          <w:color w:val="0070C0"/>
          <w:lang w:eastAsia="zh-CN"/>
        </w:rPr>
        <w:t>，</w:t>
      </w:r>
      <w:r>
        <w:rPr>
          <w:rFonts w:hint="eastAsia"/>
          <w:b/>
          <w:bCs/>
          <w:color w:val="0070C0"/>
        </w:rPr>
        <w:t>1536824041@qq.com</w:t>
      </w:r>
    </w:p>
    <w:p w14:paraId="63C79B99">
      <w:pPr>
        <w:pStyle w:val="5"/>
        <w:rPr>
          <w:rFonts w:hint="eastAsia"/>
        </w:rPr>
      </w:pPr>
    </w:p>
    <w:p w14:paraId="25866E9A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5F889F2F">
      <w:pPr>
        <w:pStyle w:val="5"/>
        <w:rPr>
          <w:rFonts w:hint="eastAsia"/>
        </w:rPr>
      </w:pPr>
      <w:r>
        <w:rPr>
          <w:rFonts w:hint="eastAsia"/>
        </w:rPr>
        <w:t>(1)Hangzhou Red Cross Hospital, Hangzhou, China.</w:t>
      </w:r>
    </w:p>
    <w:p w14:paraId="064FB5D8">
      <w:pPr>
        <w:pStyle w:val="5"/>
        <w:rPr>
          <w:rFonts w:hint="eastAsia"/>
        </w:rPr>
      </w:pPr>
      <w:r>
        <w:rPr>
          <w:rFonts w:hint="eastAsia"/>
        </w:rPr>
        <w:t>(2)Hangzhou Red Cross Hospital, Hangzhou, China. 1536824041@qq.com.</w:t>
      </w:r>
    </w:p>
    <w:p w14:paraId="626453F8">
      <w:pPr>
        <w:pStyle w:val="5"/>
        <w:rPr>
          <w:rFonts w:hint="eastAsia"/>
        </w:rPr>
      </w:pPr>
    </w:p>
    <w:p w14:paraId="61875FF7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Spinal epidural abscess caused by tuberculosis is a rare but serious </w:t>
      </w:r>
    </w:p>
    <w:p w14:paraId="34E72E33">
      <w:pPr>
        <w:pStyle w:val="5"/>
        <w:rPr>
          <w:rFonts w:hint="eastAsia"/>
        </w:rPr>
      </w:pPr>
      <w:r>
        <w:rPr>
          <w:rFonts w:hint="eastAsia"/>
        </w:rPr>
        <w:t xml:space="preserve">complication of spinal tuberculosis. Its atypical presentation predisposes to </w:t>
      </w:r>
    </w:p>
    <w:p w14:paraId="693A0905">
      <w:pPr>
        <w:pStyle w:val="5"/>
        <w:rPr>
          <w:rFonts w:hint="eastAsia"/>
        </w:rPr>
      </w:pPr>
      <w:r>
        <w:rPr>
          <w:rFonts w:hint="eastAsia"/>
        </w:rPr>
        <w:t xml:space="preserve">diagnostic delay and a poor prognosis. This case not only documents the clinical </w:t>
      </w:r>
    </w:p>
    <w:p w14:paraId="679DC4B1">
      <w:pPr>
        <w:pStyle w:val="5"/>
        <w:rPr>
          <w:rFonts w:hint="eastAsia"/>
        </w:rPr>
      </w:pPr>
      <w:r>
        <w:rPr>
          <w:rFonts w:hint="eastAsia"/>
        </w:rPr>
        <w:t xml:space="preserve">and radiologic evolution of tuberculous spinal epidural abscess but also </w:t>
      </w:r>
    </w:p>
    <w:p w14:paraId="48761F5E">
      <w:pPr>
        <w:pStyle w:val="5"/>
        <w:rPr>
          <w:rFonts w:hint="eastAsia"/>
        </w:rPr>
      </w:pPr>
      <w:r>
        <w:rPr>
          <w:rFonts w:hint="eastAsia"/>
        </w:rPr>
        <w:t xml:space="preserve">suggests that delays in diagnosis and treatment may jointly contribute to </w:t>
      </w:r>
    </w:p>
    <w:p w14:paraId="66DD4D6B">
      <w:pPr>
        <w:pStyle w:val="5"/>
        <w:rPr>
          <w:rFonts w:hint="eastAsia"/>
        </w:rPr>
      </w:pPr>
      <w:r>
        <w:rPr>
          <w:rFonts w:hint="eastAsia"/>
        </w:rPr>
        <w:t>serious neurological outcomes.</w:t>
      </w:r>
    </w:p>
    <w:p w14:paraId="0E71B8EE">
      <w:pPr>
        <w:pStyle w:val="5"/>
        <w:rPr>
          <w:rFonts w:hint="eastAsia"/>
        </w:rPr>
      </w:pPr>
      <w:r>
        <w:rPr>
          <w:rFonts w:hint="eastAsia"/>
          <w:b/>
          <w:bCs/>
        </w:rPr>
        <w:t>CASE PRESENTATION:</w:t>
      </w:r>
      <w:r>
        <w:rPr>
          <w:rFonts w:hint="eastAsia"/>
        </w:rPr>
        <w:t xml:space="preserve"> A 39-year-old man initially underwent acupotomy for recurrent </w:t>
      </w:r>
    </w:p>
    <w:p w14:paraId="2FAB888A">
      <w:pPr>
        <w:pStyle w:val="5"/>
        <w:rPr>
          <w:rFonts w:hint="eastAsia"/>
        </w:rPr>
      </w:pPr>
      <w:r>
        <w:rPr>
          <w:rFonts w:hint="eastAsia"/>
        </w:rPr>
        <w:t xml:space="preserve">low back pain with recent exacerbation. Subsequent imaging revealed a paraspinal </w:t>
      </w:r>
    </w:p>
    <w:p w14:paraId="3154AC24">
      <w:pPr>
        <w:pStyle w:val="5"/>
        <w:rPr>
          <w:rFonts w:hint="eastAsia"/>
        </w:rPr>
      </w:pPr>
      <w:r>
        <w:rPr>
          <w:rFonts w:hint="eastAsia"/>
        </w:rPr>
        <w:t xml:space="preserve">abscess within the erector spinae muscle. Ten days later, the abscess was </w:t>
      </w:r>
    </w:p>
    <w:p w14:paraId="6C57B4B8">
      <w:pPr>
        <w:pStyle w:val="5"/>
        <w:rPr>
          <w:rFonts w:hint="eastAsia"/>
        </w:rPr>
      </w:pPr>
      <w:r>
        <w:rPr>
          <w:rFonts w:hint="eastAsia"/>
        </w:rPr>
        <w:t xml:space="preserve">drained. However, the patient experienced rapidly progressive neurological </w:t>
      </w:r>
    </w:p>
    <w:p w14:paraId="272AFDFA">
      <w:pPr>
        <w:pStyle w:val="5"/>
        <w:rPr>
          <w:rFonts w:hint="eastAsia"/>
        </w:rPr>
      </w:pPr>
      <w:r>
        <w:rPr>
          <w:rFonts w:hint="eastAsia"/>
        </w:rPr>
        <w:t xml:space="preserve">deficits, including bilateral lower limb weakness. Magnetic resonance imaging </w:t>
      </w:r>
    </w:p>
    <w:p w14:paraId="53D6769C">
      <w:pPr>
        <w:pStyle w:val="5"/>
        <w:rPr>
          <w:rFonts w:hint="eastAsia"/>
        </w:rPr>
      </w:pPr>
      <w:r>
        <w:rPr>
          <w:rFonts w:hint="eastAsia"/>
        </w:rPr>
        <w:t xml:space="preserve">revealed long-segment epidural granulation tissue compressing the spinal cord, </w:t>
      </w:r>
    </w:p>
    <w:p w14:paraId="350B8F44">
      <w:pPr>
        <w:pStyle w:val="5"/>
        <w:rPr>
          <w:rFonts w:hint="eastAsia"/>
        </w:rPr>
      </w:pPr>
      <w:r>
        <w:rPr>
          <w:rFonts w:hint="eastAsia"/>
        </w:rPr>
        <w:t xml:space="preserve">and etiological testing confirmed tuberculosis infection. Due to prolonged </w:t>
      </w:r>
    </w:p>
    <w:p w14:paraId="508C831C">
      <w:pPr>
        <w:pStyle w:val="5"/>
        <w:rPr>
          <w:rFonts w:hint="eastAsia"/>
        </w:rPr>
      </w:pPr>
      <w:r>
        <w:rPr>
          <w:rFonts w:hint="eastAsia"/>
        </w:rPr>
        <w:t xml:space="preserve">delays in diagnosis and surgical decision, the patient remained paraplegic for </w:t>
      </w:r>
    </w:p>
    <w:p w14:paraId="5D82C19D">
      <w:pPr>
        <w:pStyle w:val="5"/>
        <w:rPr>
          <w:rFonts w:hint="eastAsia"/>
        </w:rPr>
      </w:pPr>
      <w:r>
        <w:rPr>
          <w:rFonts w:hint="eastAsia"/>
        </w:rPr>
        <w:t xml:space="preserve">five days before being transferred to our hospital, where he underwent spinal </w:t>
      </w:r>
    </w:p>
    <w:p w14:paraId="037555F9">
      <w:pPr>
        <w:pStyle w:val="5"/>
        <w:rPr>
          <w:rFonts w:hint="eastAsia"/>
        </w:rPr>
      </w:pPr>
      <w:r>
        <w:rPr>
          <w:rFonts w:hint="eastAsia"/>
        </w:rPr>
        <w:t xml:space="preserve">canal decompression and debridement. Nevertheless, permanent paraplegia </w:t>
      </w:r>
    </w:p>
    <w:p w14:paraId="0DEACD16">
      <w:pPr>
        <w:pStyle w:val="5"/>
        <w:rPr>
          <w:rFonts w:hint="eastAsia"/>
        </w:rPr>
      </w:pPr>
      <w:r>
        <w:rPr>
          <w:rFonts w:hint="eastAsia"/>
        </w:rPr>
        <w:t>persisted after the intervention.</w:t>
      </w:r>
    </w:p>
    <w:p w14:paraId="1F926A78">
      <w:pPr>
        <w:pStyle w:val="5"/>
        <w:rPr>
          <w:rFonts w:hint="eastAsia"/>
        </w:rPr>
      </w:pPr>
      <w:r>
        <w:rPr>
          <w:rFonts w:hint="eastAsia"/>
          <w:b/>
          <w:bCs/>
        </w:rPr>
        <w:t>CONCLUSIONS</w:t>
      </w:r>
      <w:r>
        <w:rPr>
          <w:rFonts w:hint="eastAsia"/>
        </w:rPr>
        <w:t xml:space="preserve">: For patients with intractable back pain of suspected spinal origin, </w:t>
      </w:r>
    </w:p>
    <w:p w14:paraId="273402A2">
      <w:pPr>
        <w:pStyle w:val="5"/>
        <w:rPr>
          <w:rFonts w:hint="eastAsia"/>
        </w:rPr>
      </w:pPr>
      <w:r>
        <w:rPr>
          <w:rFonts w:hint="eastAsia"/>
        </w:rPr>
        <w:t xml:space="preserve">early Magnetic resonance imaging is recommended to rule out spinal epidural </w:t>
      </w:r>
    </w:p>
    <w:p w14:paraId="2579DB64">
      <w:pPr>
        <w:pStyle w:val="5"/>
        <w:rPr>
          <w:rFonts w:hint="eastAsia"/>
        </w:rPr>
      </w:pPr>
      <w:r>
        <w:rPr>
          <w:rFonts w:hint="eastAsia"/>
        </w:rPr>
        <w:t xml:space="preserve">abscess and to assess the necessity of surgical intervention. Once neurological </w:t>
      </w:r>
    </w:p>
    <w:p w14:paraId="659F7CD0">
      <w:pPr>
        <w:pStyle w:val="5"/>
        <w:rPr>
          <w:rFonts w:hint="eastAsia"/>
        </w:rPr>
      </w:pPr>
      <w:r>
        <w:rPr>
          <w:rFonts w:hint="eastAsia"/>
        </w:rPr>
        <w:t xml:space="preserve">deficits develop, early diagnosis, timely surgery, and appropriate </w:t>
      </w:r>
    </w:p>
    <w:p w14:paraId="322784EB">
      <w:pPr>
        <w:pStyle w:val="5"/>
        <w:rPr>
          <w:rFonts w:hint="eastAsia"/>
        </w:rPr>
      </w:pPr>
      <w:r>
        <w:rPr>
          <w:rFonts w:hint="eastAsia"/>
        </w:rPr>
        <w:t xml:space="preserve">anti-tuberculosis therapy are key to improving outcomes in patients with </w:t>
      </w:r>
    </w:p>
    <w:p w14:paraId="3EC8FB0F">
      <w:pPr>
        <w:pStyle w:val="5"/>
        <w:rPr>
          <w:rFonts w:hint="eastAsia"/>
        </w:rPr>
      </w:pPr>
      <w:r>
        <w:rPr>
          <w:rFonts w:hint="eastAsia"/>
        </w:rPr>
        <w:t xml:space="preserve">tuberculous spinal epidural abscess. The prognosis for patients with rapidly </w:t>
      </w:r>
    </w:p>
    <w:p w14:paraId="154CDDA7">
      <w:pPr>
        <w:pStyle w:val="5"/>
        <w:rPr>
          <w:rFonts w:hint="eastAsia"/>
        </w:rPr>
      </w:pPr>
      <w:r>
        <w:rPr>
          <w:rFonts w:hint="eastAsia"/>
        </w:rPr>
        <w:t>progressive, complete paraplegia is generally poor.</w:t>
      </w:r>
    </w:p>
    <w:p w14:paraId="4D20CDBB">
      <w:pPr>
        <w:pStyle w:val="5"/>
        <w:rPr>
          <w:rFonts w:hint="eastAsia"/>
        </w:rPr>
      </w:pPr>
    </w:p>
    <w:p w14:paraId="1544F803">
      <w:pPr>
        <w:pStyle w:val="5"/>
        <w:rPr>
          <w:rFonts w:hint="eastAsia"/>
        </w:rPr>
      </w:pPr>
      <w:r>
        <w:rPr>
          <w:rFonts w:hint="eastAsia"/>
        </w:rPr>
        <w:t>© 2026. The Author(s).</w:t>
      </w:r>
    </w:p>
    <w:p w14:paraId="5E7CD822">
      <w:pPr>
        <w:pStyle w:val="5"/>
        <w:rPr>
          <w:rFonts w:hint="eastAsia"/>
        </w:rPr>
      </w:pPr>
    </w:p>
    <w:p w14:paraId="26C72DB8">
      <w:pPr>
        <w:pStyle w:val="5"/>
        <w:rPr>
          <w:rFonts w:hint="eastAsia"/>
        </w:rPr>
      </w:pPr>
      <w:r>
        <w:rPr>
          <w:rFonts w:hint="eastAsia"/>
        </w:rPr>
        <w:t>DOI: 10.1186/s12906-026-05537-6</w:t>
      </w:r>
    </w:p>
    <w:p w14:paraId="3ADFCBCD">
      <w:pPr>
        <w:pStyle w:val="5"/>
        <w:rPr>
          <w:rFonts w:hint="eastAsia"/>
        </w:rPr>
      </w:pPr>
      <w:r>
        <w:rPr>
          <w:rFonts w:hint="eastAsia"/>
        </w:rPr>
        <w:t>PMID: 42892690 [Indexed for MEDLINE]</w:t>
      </w:r>
    </w:p>
    <w:p w14:paraId="3C95521F">
      <w:pPr>
        <w:pStyle w:val="5"/>
        <w:rPr>
          <w:rFonts w:hint="eastAsia"/>
        </w:rPr>
      </w:pPr>
    </w:p>
    <w:p w14:paraId="156A8EE0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17</w:t>
      </w:r>
      <w:r>
        <w:rPr>
          <w:rFonts w:hint="eastAsia"/>
          <w:b/>
          <w:bCs/>
          <w:color w:val="FF0000"/>
        </w:rPr>
        <w:t xml:space="preserve">. Front Cell Infect Microbiol. 2026 Oct 2;16:1937385. doi: </w:t>
      </w:r>
    </w:p>
    <w:p w14:paraId="423273C3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10.3389/fcimb.2026.1937385. eCollection 2026.</w:t>
      </w:r>
    </w:p>
    <w:p w14:paraId="2163C688">
      <w:pPr>
        <w:pStyle w:val="5"/>
        <w:rPr>
          <w:rFonts w:hint="eastAsia"/>
        </w:rPr>
      </w:pPr>
    </w:p>
    <w:p w14:paraId="47165868">
      <w:pPr>
        <w:pStyle w:val="5"/>
        <w:rPr>
          <w:rFonts w:hint="eastAsia"/>
        </w:rPr>
      </w:pPr>
      <w:r>
        <w:rPr>
          <w:rFonts w:hint="eastAsia"/>
        </w:rPr>
        <w:t xml:space="preserve">Association analysis of CCL5, P2RX7, and SP110 gene polymorphisms with inactive </w:t>
      </w:r>
    </w:p>
    <w:p w14:paraId="16E4A7E2">
      <w:pPr>
        <w:pStyle w:val="5"/>
        <w:rPr>
          <w:rFonts w:hint="eastAsia"/>
        </w:rPr>
      </w:pPr>
      <w:r>
        <w:rPr>
          <w:rFonts w:hint="eastAsia"/>
        </w:rPr>
        <w:t>pulmonary tuberculosis.</w:t>
      </w:r>
    </w:p>
    <w:p w14:paraId="3B6DE89D">
      <w:pPr>
        <w:pStyle w:val="5"/>
        <w:rPr>
          <w:rFonts w:hint="eastAsia"/>
        </w:rPr>
      </w:pPr>
    </w:p>
    <w:p w14:paraId="2CE17E9A">
      <w:pPr>
        <w:pStyle w:val="5"/>
        <w:rPr>
          <w:rFonts w:hint="eastAsia"/>
        </w:rPr>
      </w:pPr>
      <w:r>
        <w:rPr>
          <w:rFonts w:hint="eastAsia"/>
        </w:rPr>
        <w:t>Chen F(1), Wang H(2), Ren J(3), Cao J(1), Liu C(1), Tong S(1), Wu C(1).</w:t>
      </w:r>
    </w:p>
    <w:p w14:paraId="41FABCEB">
      <w:pPr>
        <w:pStyle w:val="5"/>
        <w:rPr>
          <w:rFonts w:hint="eastAsia"/>
        </w:rPr>
      </w:pPr>
    </w:p>
    <w:p w14:paraId="60DF0348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Fengting Chen,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Haitao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Junfeng Ren,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Jifeng Cao,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Chong Liu,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Shanying Tong,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Changdong Wu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3B161CE6">
      <w:pPr>
        <w:pStyle w:val="5"/>
        <w:rPr>
          <w:rFonts w:hint="eastAsia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  <w:lang w:val="en-US" w:eastAsia="zh-CN"/>
        </w:rPr>
        <w:t>*RESPONDENCE Changdong Wu，haotian199@sina.com</w:t>
      </w:r>
    </w:p>
    <w:p w14:paraId="333D4DC3">
      <w:pPr>
        <w:pStyle w:val="5"/>
        <w:rPr>
          <w:rFonts w:hint="eastAsia"/>
        </w:rPr>
      </w:pPr>
    </w:p>
    <w:p w14:paraId="603AB867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714B0843">
      <w:pPr>
        <w:pStyle w:val="5"/>
        <w:rPr>
          <w:rFonts w:hint="eastAsia"/>
        </w:rPr>
      </w:pPr>
      <w:r>
        <w:rPr>
          <w:rFonts w:hint="eastAsia"/>
        </w:rPr>
        <w:t xml:space="preserve">(1)Xinjiang Emergency Center, People's Hospital of Xinjiang Uygur Autonomous </w:t>
      </w:r>
    </w:p>
    <w:p w14:paraId="04741000">
      <w:pPr>
        <w:pStyle w:val="5"/>
        <w:rPr>
          <w:rFonts w:hint="eastAsia"/>
        </w:rPr>
      </w:pPr>
      <w:r>
        <w:rPr>
          <w:rFonts w:hint="eastAsia"/>
        </w:rPr>
        <w:t>Region, Urumqi, Xinjiang, China.</w:t>
      </w:r>
    </w:p>
    <w:p w14:paraId="4B60D518">
      <w:pPr>
        <w:pStyle w:val="5"/>
        <w:rPr>
          <w:rFonts w:hint="eastAsia"/>
        </w:rPr>
      </w:pPr>
      <w:r>
        <w:rPr>
          <w:rFonts w:hint="eastAsia"/>
        </w:rPr>
        <w:t xml:space="preserve">(2)Department of Respiratory Medicine, People's Hospital of Xinjiang Uygur </w:t>
      </w:r>
    </w:p>
    <w:p w14:paraId="3A2D60CA">
      <w:pPr>
        <w:pStyle w:val="5"/>
        <w:rPr>
          <w:rFonts w:hint="eastAsia"/>
        </w:rPr>
      </w:pPr>
      <w:r>
        <w:rPr>
          <w:rFonts w:hint="eastAsia"/>
        </w:rPr>
        <w:t>Autonomous Region, Xinjiang, China.</w:t>
      </w:r>
    </w:p>
    <w:p w14:paraId="52C6F5BA">
      <w:pPr>
        <w:pStyle w:val="5"/>
        <w:rPr>
          <w:rFonts w:hint="eastAsia"/>
        </w:rPr>
      </w:pPr>
      <w:r>
        <w:rPr>
          <w:rFonts w:hint="eastAsia"/>
        </w:rPr>
        <w:t xml:space="preserve">(3)Department of Respiratory Medicine, The First Affiliated Hospital of Shihezi </w:t>
      </w:r>
    </w:p>
    <w:p w14:paraId="3AE3C65E">
      <w:pPr>
        <w:pStyle w:val="5"/>
        <w:rPr>
          <w:rFonts w:hint="eastAsia"/>
        </w:rPr>
      </w:pPr>
      <w:r>
        <w:rPr>
          <w:rFonts w:hint="eastAsia"/>
        </w:rPr>
        <w:t>University, Shihezi, Xinjiang, China.</w:t>
      </w:r>
    </w:p>
    <w:p w14:paraId="2A9AA733">
      <w:pPr>
        <w:pStyle w:val="5"/>
        <w:rPr>
          <w:rFonts w:hint="eastAsia"/>
        </w:rPr>
      </w:pPr>
    </w:p>
    <w:p w14:paraId="0CA6F41D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Host genetic background plays a crucial role in Mycobacterium </w:t>
      </w:r>
    </w:p>
    <w:p w14:paraId="02246F42">
      <w:pPr>
        <w:pStyle w:val="5"/>
        <w:rPr>
          <w:rFonts w:hint="eastAsia"/>
        </w:rPr>
      </w:pPr>
      <w:r>
        <w:rPr>
          <w:rFonts w:hint="eastAsia"/>
        </w:rPr>
        <w:t xml:space="preserve">tuberculosis infection and the development of pulmonary tuberculosis. This study </w:t>
      </w:r>
    </w:p>
    <w:p w14:paraId="42F2183C">
      <w:pPr>
        <w:pStyle w:val="5"/>
        <w:rPr>
          <w:rFonts w:hint="eastAsia"/>
        </w:rPr>
      </w:pPr>
      <w:r>
        <w:rPr>
          <w:rFonts w:hint="eastAsia"/>
        </w:rPr>
        <w:t xml:space="preserve">aims to investigate the association between the polymorphisms of the CCL5, </w:t>
      </w:r>
    </w:p>
    <w:p w14:paraId="364A3F31">
      <w:pPr>
        <w:pStyle w:val="5"/>
        <w:rPr>
          <w:rFonts w:hint="eastAsia"/>
        </w:rPr>
      </w:pPr>
      <w:r>
        <w:rPr>
          <w:rFonts w:hint="eastAsia"/>
        </w:rPr>
        <w:t>P2RX7, and SP110 genes and the pathogenesis of inactive pulmonary tuberculosis.</w:t>
      </w:r>
    </w:p>
    <w:p w14:paraId="2D3C2109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Identify hub genes based on GEO transcriptome data. A case-control </w:t>
      </w:r>
    </w:p>
    <w:p w14:paraId="66BF22E9">
      <w:pPr>
        <w:pStyle w:val="5"/>
        <w:rPr>
          <w:rFonts w:hint="eastAsia"/>
        </w:rPr>
      </w:pPr>
      <w:r>
        <w:rPr>
          <w:rFonts w:hint="eastAsia"/>
        </w:rPr>
        <w:t xml:space="preserve">study was conducted, enrolling 154 patients with inactive Pulmonary Tuberculosis </w:t>
      </w:r>
    </w:p>
    <w:p w14:paraId="4DB51B9F">
      <w:pPr>
        <w:pStyle w:val="5"/>
        <w:rPr>
          <w:rFonts w:hint="eastAsia"/>
        </w:rPr>
      </w:pPr>
      <w:r>
        <w:rPr>
          <w:rFonts w:hint="eastAsia"/>
        </w:rPr>
        <w:t xml:space="preserve">(comprising 84 untreated and 70 treated cases) and 87 controls. Peripheral blood </w:t>
      </w:r>
    </w:p>
    <w:p w14:paraId="34EB76D3">
      <w:pPr>
        <w:pStyle w:val="5"/>
        <w:rPr>
          <w:rFonts w:hint="eastAsia"/>
        </w:rPr>
      </w:pPr>
      <w:r>
        <w:rPr>
          <w:rFonts w:hint="eastAsia"/>
        </w:rPr>
        <w:t xml:space="preserve">DNA was extracted, and six polymorphic loci within the SP110, CCL5, and P2RX7 </w:t>
      </w:r>
    </w:p>
    <w:p w14:paraId="5A033021">
      <w:pPr>
        <w:pStyle w:val="5"/>
        <w:rPr>
          <w:rFonts w:hint="eastAsia"/>
        </w:rPr>
      </w:pPr>
      <w:r>
        <w:rPr>
          <w:rFonts w:hint="eastAsia"/>
        </w:rPr>
        <w:t xml:space="preserve">genes were genotyped using PCR and DNA sequencing. Univariate and multivariate </w:t>
      </w:r>
    </w:p>
    <w:p w14:paraId="596D1AAB">
      <w:pPr>
        <w:pStyle w:val="5"/>
        <w:rPr>
          <w:rFonts w:hint="eastAsia"/>
        </w:rPr>
      </w:pPr>
      <w:r>
        <w:rPr>
          <w:rFonts w:hint="eastAsia"/>
        </w:rPr>
        <w:t xml:space="preserve">logistic regression analyses were performed to evaluate genotypic and allelic </w:t>
      </w:r>
    </w:p>
    <w:p w14:paraId="20B424C5">
      <w:pPr>
        <w:pStyle w:val="5"/>
        <w:rPr>
          <w:rFonts w:hint="eastAsia"/>
        </w:rPr>
      </w:pPr>
      <w:r>
        <w:rPr>
          <w:rFonts w:hint="eastAsia"/>
        </w:rPr>
        <w:t>distributions.</w:t>
      </w:r>
    </w:p>
    <w:p w14:paraId="54FD8521">
      <w:pPr>
        <w:pStyle w:val="5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Two hub genes, SP110 and CCL5, were identified from the transcriptome </w:t>
      </w:r>
    </w:p>
    <w:p w14:paraId="146BFCE0">
      <w:pPr>
        <w:pStyle w:val="5"/>
        <w:rPr>
          <w:rFonts w:hint="eastAsia"/>
        </w:rPr>
      </w:pPr>
      <w:r>
        <w:rPr>
          <w:rFonts w:hint="eastAsia"/>
        </w:rPr>
        <w:t xml:space="preserve">data. At the SP110 rs9061 locus, the frequency of the A allele was lower in the </w:t>
      </w:r>
    </w:p>
    <w:p w14:paraId="6EDF924F">
      <w:pPr>
        <w:pStyle w:val="5"/>
        <w:rPr>
          <w:rFonts w:hint="eastAsia"/>
        </w:rPr>
      </w:pPr>
      <w:r>
        <w:rPr>
          <w:rFonts w:hint="eastAsia"/>
        </w:rPr>
        <w:t xml:space="preserve">untreated group compared to the control group, showing nominal significance </w:t>
      </w:r>
    </w:p>
    <w:p w14:paraId="393F521C">
      <w:pPr>
        <w:pStyle w:val="5"/>
        <w:rPr>
          <w:rFonts w:hint="eastAsia"/>
        </w:rPr>
      </w:pPr>
      <w:r>
        <w:rPr>
          <w:rFonts w:hint="eastAsia"/>
        </w:rPr>
        <w:t xml:space="preserve">(P = 0.015); however, this association did not remain significant after FDR </w:t>
      </w:r>
    </w:p>
    <w:p w14:paraId="21EADB93">
      <w:pPr>
        <w:pStyle w:val="5"/>
        <w:rPr>
          <w:rFonts w:hint="eastAsia"/>
        </w:rPr>
      </w:pPr>
      <w:r>
        <w:rPr>
          <w:rFonts w:hint="eastAsia"/>
        </w:rPr>
        <w:t xml:space="preserve">correction (PFDR  = 0.09). After adjusting for multiple factors, the A allele </w:t>
      </w:r>
    </w:p>
    <w:p w14:paraId="5F22BC86">
      <w:pPr>
        <w:pStyle w:val="5"/>
        <w:rPr>
          <w:rFonts w:hint="eastAsia"/>
        </w:rPr>
      </w:pPr>
      <w:r>
        <w:rPr>
          <w:rFonts w:hint="eastAsia"/>
        </w:rPr>
        <w:t xml:space="preserve">showed a nominally significant association with reduced IPTB risk (P = 0.042). </w:t>
      </w:r>
    </w:p>
    <w:p w14:paraId="1A569C03">
      <w:pPr>
        <w:pStyle w:val="5"/>
        <w:rPr>
          <w:rFonts w:hint="eastAsia"/>
        </w:rPr>
      </w:pPr>
      <w:r>
        <w:rPr>
          <w:rFonts w:hint="eastAsia"/>
        </w:rPr>
        <w:t xml:space="preserve">Furthermore, although interaction (P = 0.682) and homogeneity tests (P = 0.584) </w:t>
      </w:r>
    </w:p>
    <w:p w14:paraId="7F629858">
      <w:pPr>
        <w:pStyle w:val="5"/>
        <w:rPr>
          <w:rFonts w:hint="eastAsia"/>
        </w:rPr>
      </w:pPr>
      <w:r>
        <w:rPr>
          <w:rFonts w:hint="eastAsia"/>
        </w:rPr>
        <w:t xml:space="preserve">were not statistically significant, limited subgroup sample sizes preclude </w:t>
      </w:r>
    </w:p>
    <w:p w14:paraId="280BB765">
      <w:pPr>
        <w:pStyle w:val="5"/>
        <w:rPr>
          <w:rFonts w:hint="eastAsia"/>
        </w:rPr>
      </w:pPr>
      <w:r>
        <w:rPr>
          <w:rFonts w:hint="eastAsia"/>
        </w:rPr>
        <w:t xml:space="preserve">claiming true homogeneity across subgroups. CMH stratified analysis revealed a </w:t>
      </w:r>
    </w:p>
    <w:p w14:paraId="6B78DD1F">
      <w:pPr>
        <w:pStyle w:val="5"/>
        <w:rPr>
          <w:rFonts w:hint="eastAsia"/>
        </w:rPr>
      </w:pPr>
      <w:r>
        <w:rPr>
          <w:rFonts w:hint="eastAsia"/>
        </w:rPr>
        <w:t xml:space="preserve">nominally significant association (P = 0.034). Importantly, these adjusted </w:t>
      </w:r>
    </w:p>
    <w:p w14:paraId="5A25773C">
      <w:pPr>
        <w:pStyle w:val="5"/>
        <w:rPr>
          <w:rFonts w:hint="eastAsia"/>
        </w:rPr>
      </w:pPr>
      <w:r>
        <w:rPr>
          <w:rFonts w:hint="eastAsia"/>
        </w:rPr>
        <w:t>results do not overcome the multiple-testing issue.</w:t>
      </w:r>
    </w:p>
    <w:p w14:paraId="3BCAE132">
      <w:pPr>
        <w:pStyle w:val="5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The A allele at the SP110 rs9061 locus may show a suggestive and </w:t>
      </w:r>
    </w:p>
    <w:p w14:paraId="02E090C5">
      <w:pPr>
        <w:pStyle w:val="5"/>
        <w:rPr>
          <w:rFonts w:hint="eastAsia"/>
        </w:rPr>
      </w:pPr>
      <w:r>
        <w:rPr>
          <w:rFonts w:hint="eastAsia"/>
        </w:rPr>
        <w:t xml:space="preserve">exploratory association with decreased susceptibility to inactive pulmonary </w:t>
      </w:r>
    </w:p>
    <w:p w14:paraId="38BF46D8">
      <w:pPr>
        <w:pStyle w:val="5"/>
        <w:rPr>
          <w:rFonts w:hint="eastAsia"/>
        </w:rPr>
      </w:pPr>
      <w:r>
        <w:rPr>
          <w:rFonts w:hint="eastAsia"/>
        </w:rPr>
        <w:t>tuberculosis.</w:t>
      </w:r>
    </w:p>
    <w:p w14:paraId="59733CE9">
      <w:pPr>
        <w:pStyle w:val="5"/>
        <w:rPr>
          <w:rFonts w:hint="eastAsia"/>
        </w:rPr>
      </w:pPr>
    </w:p>
    <w:p w14:paraId="64A78C99">
      <w:pPr>
        <w:pStyle w:val="5"/>
        <w:rPr>
          <w:rFonts w:hint="eastAsia"/>
        </w:rPr>
      </w:pPr>
      <w:r>
        <w:rPr>
          <w:rFonts w:hint="eastAsia"/>
        </w:rPr>
        <w:t>Copyright © 2026 Chen, Wang, Ren, Cao, Liu, Tong and Wu.</w:t>
      </w:r>
    </w:p>
    <w:p w14:paraId="52B2CB35">
      <w:pPr>
        <w:pStyle w:val="5"/>
        <w:rPr>
          <w:rFonts w:hint="eastAsia"/>
        </w:rPr>
      </w:pPr>
    </w:p>
    <w:p w14:paraId="7D47702F">
      <w:pPr>
        <w:pStyle w:val="5"/>
        <w:rPr>
          <w:rFonts w:hint="eastAsia"/>
        </w:rPr>
      </w:pPr>
      <w:r>
        <w:rPr>
          <w:rFonts w:hint="eastAsia"/>
        </w:rPr>
        <w:t>DOI: 10.3389/fcimb.2026.1937385</w:t>
      </w:r>
    </w:p>
    <w:p w14:paraId="5EAF0C67">
      <w:pPr>
        <w:pStyle w:val="5"/>
        <w:rPr>
          <w:rFonts w:hint="eastAsia"/>
        </w:rPr>
      </w:pPr>
      <w:r>
        <w:rPr>
          <w:rFonts w:hint="eastAsia"/>
        </w:rPr>
        <w:t>PMCID: PMC13671932</w:t>
      </w:r>
    </w:p>
    <w:p w14:paraId="4F49E30A">
      <w:pPr>
        <w:pStyle w:val="5"/>
        <w:rPr>
          <w:rFonts w:hint="eastAsia"/>
        </w:rPr>
      </w:pPr>
      <w:r>
        <w:rPr>
          <w:rFonts w:hint="eastAsia"/>
        </w:rPr>
        <w:t>PMID: 42889986 [Indexed for MEDLINE]</w:t>
      </w:r>
    </w:p>
    <w:p w14:paraId="1DA93FDB">
      <w:pPr>
        <w:pStyle w:val="5"/>
        <w:rPr>
          <w:rFonts w:hint="eastAsia"/>
        </w:rPr>
      </w:pPr>
    </w:p>
    <w:p w14:paraId="43B4AFD0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18</w:t>
      </w:r>
      <w:r>
        <w:rPr>
          <w:rFonts w:hint="eastAsia"/>
          <w:b/>
          <w:bCs/>
          <w:color w:val="FF0000"/>
        </w:rPr>
        <w:t xml:space="preserve">. Front Pediatr. 2026 Oct 1;14:1910674. doi: 10.3389/fped.2026.1910674. </w:t>
      </w:r>
    </w:p>
    <w:p w14:paraId="683CC1A9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1CF2CD9F">
      <w:pPr>
        <w:pStyle w:val="5"/>
        <w:rPr>
          <w:rFonts w:hint="eastAsia"/>
        </w:rPr>
      </w:pPr>
    </w:p>
    <w:p w14:paraId="114D43E7">
      <w:pPr>
        <w:pStyle w:val="5"/>
        <w:rPr>
          <w:rFonts w:hint="eastAsia"/>
        </w:rPr>
      </w:pPr>
      <w:r>
        <w:rPr>
          <w:rFonts w:hint="eastAsia"/>
        </w:rPr>
        <w:t xml:space="preserve">S100A8/A9 as a biomarker for differentiating pulmonary tuberculosis from </w:t>
      </w:r>
    </w:p>
    <w:p w14:paraId="5BEC8EB1">
      <w:pPr>
        <w:pStyle w:val="5"/>
        <w:rPr>
          <w:rFonts w:hint="eastAsia"/>
        </w:rPr>
      </w:pPr>
      <w:r>
        <w:rPr>
          <w:rFonts w:hint="eastAsia"/>
        </w:rPr>
        <w:t>community-acquired pneumonia in children: a multicenter cohort study in China.</w:t>
      </w:r>
    </w:p>
    <w:p w14:paraId="69C2B3EB">
      <w:pPr>
        <w:pStyle w:val="5"/>
        <w:rPr>
          <w:rFonts w:hint="eastAsia"/>
        </w:rPr>
      </w:pPr>
    </w:p>
    <w:p w14:paraId="4EBD69C6">
      <w:pPr>
        <w:pStyle w:val="5"/>
        <w:rPr>
          <w:rFonts w:hint="eastAsia"/>
        </w:rPr>
      </w:pPr>
      <w:r>
        <w:rPr>
          <w:rFonts w:hint="eastAsia"/>
        </w:rPr>
        <w:t xml:space="preserve">Li X(#)(1), Li X(#)(1), Fang M(#)(2), Liu X(3), Duan L(2), Li M(3), Fu Y(3), </w:t>
      </w:r>
    </w:p>
    <w:p w14:paraId="3144E9A2">
      <w:pPr>
        <w:pStyle w:val="5"/>
        <w:rPr>
          <w:rFonts w:hint="eastAsia"/>
        </w:rPr>
      </w:pPr>
      <w:r>
        <w:rPr>
          <w:rFonts w:hint="eastAsia"/>
        </w:rPr>
        <w:t xml:space="preserve">Wang Y(3), Jiang L(3), Yang X(3), Jiang T(4), Tang H(4), Tan L(3), Wang M(3), </w:t>
      </w:r>
    </w:p>
    <w:p w14:paraId="4370D0C5">
      <w:pPr>
        <w:pStyle w:val="5"/>
        <w:rPr>
          <w:rFonts w:hint="eastAsia"/>
        </w:rPr>
      </w:pPr>
      <w:r>
        <w:rPr>
          <w:rFonts w:hint="eastAsia"/>
        </w:rPr>
        <w:t>Liu Y(5), Zhu Y(5), Bi J(4), Shen A(1)(4).</w:t>
      </w:r>
    </w:p>
    <w:p w14:paraId="75D59D86">
      <w:pPr>
        <w:pStyle w:val="5"/>
        <w:rPr>
          <w:rFonts w:hint="eastAsia"/>
        </w:rPr>
      </w:pPr>
    </w:p>
    <w:p w14:paraId="12527865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Xiaoxue Li,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Xu Li,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Min Fang,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Xiaomei Liu,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Li Duan,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Ming Li,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Yanan Fu,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Yanchun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Li Jiang,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Xiaotao Yang,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Tingting Jiang,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He Tang,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Li Tan,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Meifen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Yang Liu,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Yu Zhu,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Jing Bi</w:t>
      </w: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Adong Shen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2B957B7B">
      <w:pPr>
        <w:pStyle w:val="5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*CORRESPONDENCE Adong Shen</w:t>
      </w:r>
      <w:r>
        <w:rPr>
          <w:rFonts w:hint="eastAsia"/>
          <w:b/>
          <w:bCs/>
          <w:color w:val="0070C0"/>
          <w:lang w:eastAsia="zh-CN"/>
        </w:rPr>
        <w:t>，</w:t>
      </w:r>
      <w:r>
        <w:rPr>
          <w:rFonts w:hint="eastAsia"/>
          <w:b/>
          <w:bCs/>
          <w:color w:val="0070C0"/>
        </w:rPr>
        <w:t>13370115087@163.com</w:t>
      </w:r>
      <w:r>
        <w:rPr>
          <w:rFonts w:hint="eastAsia"/>
          <w:b/>
          <w:bCs/>
          <w:color w:val="0070C0"/>
          <w:lang w:eastAsia="zh-CN"/>
        </w:rPr>
        <w:t>；</w:t>
      </w:r>
      <w:r>
        <w:rPr>
          <w:rFonts w:hint="eastAsia"/>
          <w:b/>
          <w:bCs/>
          <w:color w:val="0070C0"/>
        </w:rPr>
        <w:t>Jing Bi</w:t>
      </w:r>
      <w:r>
        <w:rPr>
          <w:rFonts w:hint="eastAsia"/>
          <w:b/>
          <w:bCs/>
          <w:color w:val="0070C0"/>
          <w:lang w:eastAsia="zh-CN"/>
        </w:rPr>
        <w:t>，</w:t>
      </w:r>
      <w:r>
        <w:rPr>
          <w:rFonts w:hint="eastAsia"/>
          <w:b/>
          <w:bCs/>
          <w:color w:val="0070C0"/>
        </w:rPr>
        <w:t>1459976111@qq.com</w:t>
      </w:r>
    </w:p>
    <w:p w14:paraId="1B388F16">
      <w:pPr>
        <w:pStyle w:val="5"/>
        <w:rPr>
          <w:rFonts w:hint="eastAsia"/>
        </w:rPr>
      </w:pPr>
    </w:p>
    <w:p w14:paraId="5A0F0970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20900472">
      <w:pPr>
        <w:pStyle w:val="5"/>
        <w:rPr>
          <w:rFonts w:hint="eastAsia"/>
        </w:rPr>
      </w:pPr>
      <w:r>
        <w:rPr>
          <w:rFonts w:hint="eastAsia"/>
        </w:rPr>
        <w:t xml:space="preserve">(1)Beijing Key Laboratory of Pediatric Respiratory Infection Diseases, Key </w:t>
      </w:r>
    </w:p>
    <w:p w14:paraId="4F7B8BA2">
      <w:pPr>
        <w:pStyle w:val="5"/>
        <w:rPr>
          <w:rFonts w:hint="eastAsia"/>
        </w:rPr>
      </w:pPr>
      <w:r>
        <w:rPr>
          <w:rFonts w:hint="eastAsia"/>
        </w:rPr>
        <w:t xml:space="preserve">Laboratory of Major Diseases in Children, Ministry of Education, National </w:t>
      </w:r>
    </w:p>
    <w:p w14:paraId="4F79ECD4">
      <w:pPr>
        <w:pStyle w:val="5"/>
        <w:rPr>
          <w:rFonts w:hint="eastAsia"/>
        </w:rPr>
      </w:pPr>
      <w:r>
        <w:rPr>
          <w:rFonts w:hint="eastAsia"/>
        </w:rPr>
        <w:t xml:space="preserve">Clinical Research Center for Respiratory Diseases, Laboratory of Respiratory </w:t>
      </w:r>
    </w:p>
    <w:p w14:paraId="72C436C7">
      <w:pPr>
        <w:pStyle w:val="5"/>
        <w:rPr>
          <w:rFonts w:hint="eastAsia"/>
        </w:rPr>
      </w:pPr>
      <w:r>
        <w:rPr>
          <w:rFonts w:hint="eastAsia"/>
        </w:rPr>
        <w:t xml:space="preserve">Diseases, Beijing Pediatric Research Institute, Beijing Children's Hospital, </w:t>
      </w:r>
    </w:p>
    <w:p w14:paraId="1126F6D7">
      <w:pPr>
        <w:pStyle w:val="5"/>
        <w:rPr>
          <w:rFonts w:hint="eastAsia"/>
        </w:rPr>
      </w:pPr>
      <w:r>
        <w:rPr>
          <w:rFonts w:hint="eastAsia"/>
        </w:rPr>
        <w:t xml:space="preserve">Capital Medical University, National Center for Children's Health, Beijing, </w:t>
      </w:r>
    </w:p>
    <w:p w14:paraId="68AA02C7">
      <w:pPr>
        <w:pStyle w:val="5"/>
        <w:rPr>
          <w:rFonts w:hint="eastAsia"/>
        </w:rPr>
      </w:pPr>
      <w:r>
        <w:rPr>
          <w:rFonts w:hint="eastAsia"/>
        </w:rPr>
        <w:t>China.</w:t>
      </w:r>
    </w:p>
    <w:p w14:paraId="54D5F1BA">
      <w:pPr>
        <w:pStyle w:val="5"/>
        <w:rPr>
          <w:rFonts w:hint="eastAsia"/>
        </w:rPr>
      </w:pPr>
      <w:r>
        <w:rPr>
          <w:rFonts w:hint="eastAsia"/>
        </w:rPr>
        <w:t>(2)The No. 7 People's Hospital of Liangshan Prefecture, Liangshan, China.</w:t>
      </w:r>
    </w:p>
    <w:p w14:paraId="303E1463">
      <w:pPr>
        <w:pStyle w:val="5"/>
        <w:rPr>
          <w:rFonts w:hint="eastAsia"/>
        </w:rPr>
      </w:pPr>
      <w:r>
        <w:rPr>
          <w:rFonts w:hint="eastAsia"/>
        </w:rPr>
        <w:t>(3)Kunming Children's Hospital, Kunming Medical University, Kunming, China.</w:t>
      </w:r>
    </w:p>
    <w:p w14:paraId="513BCCB9">
      <w:pPr>
        <w:pStyle w:val="5"/>
        <w:rPr>
          <w:rFonts w:hint="eastAsia"/>
        </w:rPr>
      </w:pPr>
      <w:r>
        <w:rPr>
          <w:rFonts w:hint="eastAsia"/>
        </w:rPr>
        <w:t xml:space="preserve">(4)Baoding Key Laboratory for Precision Diagnosis and Treatment of Infectious </w:t>
      </w:r>
    </w:p>
    <w:p w14:paraId="4026BFBB">
      <w:pPr>
        <w:pStyle w:val="5"/>
        <w:rPr>
          <w:rFonts w:hint="eastAsia"/>
        </w:rPr>
      </w:pPr>
      <w:r>
        <w:rPr>
          <w:rFonts w:hint="eastAsia"/>
        </w:rPr>
        <w:t xml:space="preserve">Diseases in Children, Hebei Key Laboratory of Infectious Diseases Pathogenesis </w:t>
      </w:r>
    </w:p>
    <w:p w14:paraId="7CCA5F63">
      <w:pPr>
        <w:pStyle w:val="5"/>
        <w:rPr>
          <w:rFonts w:hint="eastAsia"/>
        </w:rPr>
      </w:pPr>
      <w:r>
        <w:rPr>
          <w:rFonts w:hint="eastAsia"/>
        </w:rPr>
        <w:t xml:space="preserve">and Precise Diagnosis and Treatment, Baoding Hospital of Beijing Children's </w:t>
      </w:r>
    </w:p>
    <w:p w14:paraId="49A428E7">
      <w:pPr>
        <w:pStyle w:val="5"/>
        <w:rPr>
          <w:rFonts w:hint="eastAsia"/>
        </w:rPr>
      </w:pPr>
      <w:r>
        <w:rPr>
          <w:rFonts w:hint="eastAsia"/>
        </w:rPr>
        <w:t>Hospital, Capital Medical University, Baoding, China.</w:t>
      </w:r>
    </w:p>
    <w:p w14:paraId="78225B36">
      <w:pPr>
        <w:pStyle w:val="5"/>
        <w:rPr>
          <w:rFonts w:hint="eastAsia"/>
        </w:rPr>
      </w:pPr>
      <w:r>
        <w:rPr>
          <w:rFonts w:hint="eastAsia"/>
        </w:rPr>
        <w:t>(5)West China Second Hospital, Sichuan University, Chengdu, China.</w:t>
      </w:r>
    </w:p>
    <w:p w14:paraId="39A1DB7F">
      <w:pPr>
        <w:pStyle w:val="5"/>
        <w:rPr>
          <w:rFonts w:hint="eastAsia"/>
        </w:rPr>
      </w:pPr>
      <w:r>
        <w:rPr>
          <w:rFonts w:hint="eastAsia"/>
        </w:rPr>
        <w:t>(#)Contributed equally</w:t>
      </w:r>
    </w:p>
    <w:p w14:paraId="589E25BC">
      <w:pPr>
        <w:pStyle w:val="5"/>
        <w:rPr>
          <w:rFonts w:hint="eastAsia"/>
        </w:rPr>
      </w:pPr>
    </w:p>
    <w:p w14:paraId="6780C632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Differentiating pulmonary tuberculosis (PTB) from community-acquired </w:t>
      </w:r>
    </w:p>
    <w:p w14:paraId="1289E01E">
      <w:pPr>
        <w:pStyle w:val="5"/>
        <w:rPr>
          <w:rFonts w:hint="eastAsia"/>
        </w:rPr>
      </w:pPr>
      <w:r>
        <w:rPr>
          <w:rFonts w:hint="eastAsia"/>
        </w:rPr>
        <w:t xml:space="preserve">pneumonia (CAP) in children remains a significant diagnostic challenge. This </w:t>
      </w:r>
    </w:p>
    <w:p w14:paraId="760F4246">
      <w:pPr>
        <w:pStyle w:val="5"/>
        <w:rPr>
          <w:rFonts w:hint="eastAsia"/>
        </w:rPr>
      </w:pPr>
      <w:r>
        <w:rPr>
          <w:rFonts w:hint="eastAsia"/>
        </w:rPr>
        <w:t xml:space="preserve">study aimed to evaluate the diagnostic value of serum S100A8/A9 in pediatric </w:t>
      </w:r>
    </w:p>
    <w:p w14:paraId="66CDB664">
      <w:pPr>
        <w:pStyle w:val="5"/>
        <w:rPr>
          <w:rFonts w:hint="eastAsia"/>
        </w:rPr>
      </w:pPr>
      <w:r>
        <w:rPr>
          <w:rFonts w:hint="eastAsia"/>
        </w:rPr>
        <w:t>populations.</w:t>
      </w:r>
    </w:p>
    <w:p w14:paraId="2D76FFF6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This multicenter prospective study enrolled 1,629 children aged 0∼≤ 18 years with definitive diagnostic classifications, including a discovery cohort </w:t>
      </w:r>
    </w:p>
    <w:p w14:paraId="4D6147C7">
      <w:pPr>
        <w:pStyle w:val="5"/>
        <w:rPr>
          <w:rFonts w:hint="eastAsia"/>
        </w:rPr>
      </w:pPr>
      <w:r>
        <w:rPr>
          <w:rFonts w:hint="eastAsia"/>
        </w:rPr>
        <w:t xml:space="preserve">(n = 1,092) and a validation cohort (n = 537). Participants were stratified into </w:t>
      </w:r>
    </w:p>
    <w:p w14:paraId="7513DF61">
      <w:pPr>
        <w:pStyle w:val="5"/>
        <w:rPr>
          <w:rFonts w:hint="eastAsia"/>
        </w:rPr>
      </w:pPr>
      <w:r>
        <w:rPr>
          <w:rFonts w:hint="eastAsia"/>
        </w:rPr>
        <w:t xml:space="preserve">three groups: PTB (Confirmed, Unconfirmed), CAP (Viral, Bacterial, Mycoplasma </w:t>
      </w:r>
    </w:p>
    <w:p w14:paraId="53B83BBC">
      <w:pPr>
        <w:pStyle w:val="5"/>
        <w:rPr>
          <w:rFonts w:hint="eastAsia"/>
        </w:rPr>
      </w:pPr>
      <w:r>
        <w:rPr>
          <w:rFonts w:hint="eastAsia"/>
        </w:rPr>
        <w:t xml:space="preserve">pneumoniae, Mixed), and healthy controls (HC). Serum S100A8/A9 levels were </w:t>
      </w:r>
    </w:p>
    <w:p w14:paraId="7AD0651F">
      <w:pPr>
        <w:pStyle w:val="5"/>
        <w:rPr>
          <w:rFonts w:hint="eastAsia"/>
        </w:rPr>
      </w:pPr>
      <w:r>
        <w:rPr>
          <w:rFonts w:hint="eastAsia"/>
        </w:rPr>
        <w:t xml:space="preserve">quantified by enzyme-linked immunosorbent assay, and diagnostic performance was </w:t>
      </w:r>
    </w:p>
    <w:p w14:paraId="76C67C01">
      <w:pPr>
        <w:pStyle w:val="5"/>
        <w:rPr>
          <w:rFonts w:hint="eastAsia"/>
        </w:rPr>
      </w:pPr>
      <w:r>
        <w:rPr>
          <w:rFonts w:hint="eastAsia"/>
        </w:rPr>
        <w:t>assessed using ROC analysis.</w:t>
      </w:r>
    </w:p>
    <w:p w14:paraId="6F1D786C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In both cohorts, S100A8/A9 levels were markedly lower in PTB than in </w:t>
      </w:r>
    </w:p>
    <w:p w14:paraId="64001D59">
      <w:pPr>
        <w:pStyle w:val="5"/>
        <w:rPr>
          <w:rFonts w:hint="eastAsia"/>
        </w:rPr>
      </w:pPr>
      <w:r>
        <w:rPr>
          <w:rFonts w:hint="eastAsia"/>
        </w:rPr>
        <w:t xml:space="preserve">CAP but higher than in healthy controls. (both p &lt; 0.001). For distinguishing </w:t>
      </w:r>
    </w:p>
    <w:p w14:paraId="37B4D2C9">
      <w:pPr>
        <w:pStyle w:val="5"/>
        <w:rPr>
          <w:rFonts w:hint="eastAsia"/>
        </w:rPr>
      </w:pPr>
      <w:r>
        <w:rPr>
          <w:rFonts w:hint="eastAsia"/>
        </w:rPr>
        <w:t xml:space="preserve">PTB from CAP, S100A8/A9 achieved AUC values of 0.916 (95% CI: 0.895-0.937, </w:t>
      </w:r>
    </w:p>
    <w:p w14:paraId="26FFA336">
      <w:pPr>
        <w:pStyle w:val="5"/>
        <w:rPr>
          <w:rFonts w:hint="eastAsia"/>
        </w:rPr>
      </w:pPr>
      <w:r>
        <w:rPr>
          <w:rFonts w:hint="eastAsia"/>
        </w:rPr>
        <w:t xml:space="preserve">sensitivity 87.1%, specificity 81.8%) in the discovery cohort and 0.932 (95% CI: </w:t>
      </w:r>
    </w:p>
    <w:p w14:paraId="70AABB38">
      <w:pPr>
        <w:pStyle w:val="5"/>
        <w:rPr>
          <w:rFonts w:hint="eastAsia"/>
        </w:rPr>
      </w:pPr>
      <w:r>
        <w:rPr>
          <w:rFonts w:hint="eastAsia"/>
        </w:rPr>
        <w:t xml:space="preserve">0.906-0.958, sensitivity 87.5%, specificity 86.4%) in the validation cohort. </w:t>
      </w:r>
    </w:p>
    <w:p w14:paraId="14401BE5">
      <w:pPr>
        <w:pStyle w:val="5"/>
        <w:rPr>
          <w:rFonts w:hint="eastAsia"/>
        </w:rPr>
      </w:pPr>
      <w:r>
        <w:rPr>
          <w:rFonts w:hint="eastAsia"/>
        </w:rPr>
        <w:t xml:space="preserve">Compared with all CAP etiological subgroups, PTB children had the lowest </w:t>
      </w:r>
    </w:p>
    <w:p w14:paraId="74CF4995">
      <w:pPr>
        <w:pStyle w:val="5"/>
        <w:rPr>
          <w:rFonts w:hint="eastAsia"/>
        </w:rPr>
      </w:pPr>
      <w:r>
        <w:rPr>
          <w:rFonts w:hint="eastAsia"/>
        </w:rPr>
        <w:t xml:space="preserve">S100A8/A9 levels, with the highest AUC of 0.954 for PTB vs. Mycoplasma </w:t>
      </w:r>
    </w:p>
    <w:p w14:paraId="2B4CE64D">
      <w:pPr>
        <w:pStyle w:val="5"/>
        <w:rPr>
          <w:rFonts w:hint="eastAsia"/>
        </w:rPr>
      </w:pPr>
      <w:r>
        <w:rPr>
          <w:rFonts w:hint="eastAsia"/>
        </w:rPr>
        <w:t xml:space="preserve">pneumoniae CAP. Age-stratified analysis revealed excellent discriminatory </w:t>
      </w:r>
    </w:p>
    <w:p w14:paraId="26EDB697">
      <w:pPr>
        <w:pStyle w:val="5"/>
        <w:rPr>
          <w:rFonts w:hint="eastAsia"/>
        </w:rPr>
      </w:pPr>
      <w:r>
        <w:rPr>
          <w:rFonts w:hint="eastAsia"/>
        </w:rPr>
        <w:t xml:space="preserve">performance in children aged 5-18 years (AUC = 0.955 for PTB versus overall </w:t>
      </w:r>
    </w:p>
    <w:p w14:paraId="6BC8CC6A">
      <w:pPr>
        <w:pStyle w:val="5"/>
        <w:rPr>
          <w:rFonts w:hint="eastAsia"/>
        </w:rPr>
      </w:pPr>
      <w:r>
        <w:rPr>
          <w:rFonts w:hint="eastAsia"/>
        </w:rPr>
        <w:t xml:space="preserve">CAP). but impaired in children under 5 years (AUC = 0.838 for PTB versus overall </w:t>
      </w:r>
    </w:p>
    <w:p w14:paraId="2141406C">
      <w:pPr>
        <w:pStyle w:val="5"/>
        <w:rPr>
          <w:rFonts w:hint="eastAsia"/>
        </w:rPr>
      </w:pPr>
      <w:r>
        <w:rPr>
          <w:rFonts w:hint="eastAsia"/>
        </w:rPr>
        <w:t xml:space="preserve">CAP), with lower sensitivity (57.4%) for discriminating PTB from Viral-CAP. </w:t>
      </w:r>
    </w:p>
    <w:p w14:paraId="3344D21A">
      <w:pPr>
        <w:pStyle w:val="5"/>
        <w:rPr>
          <w:rFonts w:hint="eastAsia"/>
        </w:rPr>
      </w:pPr>
      <w:r>
        <w:rPr>
          <w:rFonts w:hint="eastAsia"/>
        </w:rPr>
        <w:t xml:space="preserve">Furthermore, a concentration-dependent distribution was observed, with higher </w:t>
      </w:r>
    </w:p>
    <w:p w14:paraId="69785A15">
      <w:pPr>
        <w:pStyle w:val="5"/>
        <w:rPr>
          <w:rFonts w:hint="eastAsia"/>
        </w:rPr>
      </w:pPr>
      <w:r>
        <w:rPr>
          <w:rFonts w:hint="eastAsia"/>
        </w:rPr>
        <w:t xml:space="preserve">S100A8/A9 levels associated with a decreasing proportion of PTB and an </w:t>
      </w:r>
    </w:p>
    <w:p w14:paraId="10353936">
      <w:pPr>
        <w:pStyle w:val="5"/>
        <w:rPr>
          <w:rFonts w:hint="eastAsia"/>
        </w:rPr>
      </w:pPr>
      <w:r>
        <w:rPr>
          <w:rFonts w:hint="eastAsia"/>
        </w:rPr>
        <w:t xml:space="preserve">increasing proportion of CAP. In children aged 5-18 years, levels &lt; 1,000 ng/mL </w:t>
      </w:r>
    </w:p>
    <w:p w14:paraId="102A3275">
      <w:pPr>
        <w:pStyle w:val="5"/>
        <w:rPr>
          <w:rFonts w:hint="eastAsia"/>
        </w:rPr>
      </w:pPr>
      <w:r>
        <w:rPr>
          <w:rFonts w:hint="eastAsia"/>
        </w:rPr>
        <w:t xml:space="preserve">were predominantly PTB (92.1%), and levels &gt; 1,900 ng/mL were highly predictive </w:t>
      </w:r>
    </w:p>
    <w:p w14:paraId="702DD7F4">
      <w:pPr>
        <w:pStyle w:val="5"/>
        <w:rPr>
          <w:rFonts w:hint="eastAsia"/>
        </w:rPr>
      </w:pPr>
      <w:r>
        <w:rPr>
          <w:rFonts w:hint="eastAsia"/>
        </w:rPr>
        <w:t>of CAP (96.8%).</w:t>
      </w:r>
    </w:p>
    <w:p w14:paraId="4603769E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Serum S100A8/A9 is a promising potential biomarker for </w:t>
      </w:r>
    </w:p>
    <w:p w14:paraId="4F53DC9F">
      <w:pPr>
        <w:pStyle w:val="5"/>
        <w:rPr>
          <w:rFonts w:hint="eastAsia"/>
        </w:rPr>
      </w:pPr>
      <w:r>
        <w:rPr>
          <w:rFonts w:hint="eastAsia"/>
        </w:rPr>
        <w:t xml:space="preserve">distinguishing pediatric PTB from CAP, characterized by age-related distribution </w:t>
      </w:r>
    </w:p>
    <w:p w14:paraId="422B465C">
      <w:pPr>
        <w:pStyle w:val="5"/>
        <w:rPr>
          <w:rFonts w:hint="eastAsia"/>
        </w:rPr>
      </w:pPr>
      <w:r>
        <w:rPr>
          <w:rFonts w:hint="eastAsia"/>
        </w:rPr>
        <w:t>and concentration-dependent diagnostic pattern.</w:t>
      </w:r>
    </w:p>
    <w:p w14:paraId="05D38DC9">
      <w:pPr>
        <w:pStyle w:val="5"/>
        <w:rPr>
          <w:rFonts w:hint="eastAsia"/>
        </w:rPr>
      </w:pPr>
    </w:p>
    <w:p w14:paraId="4FE34F0D">
      <w:pPr>
        <w:pStyle w:val="5"/>
        <w:rPr>
          <w:rFonts w:hint="eastAsia"/>
        </w:rPr>
      </w:pPr>
      <w:r>
        <w:rPr>
          <w:rFonts w:hint="eastAsia"/>
        </w:rPr>
        <w:t xml:space="preserve">© 2026 Li, Li, Fang, Liu, Duan, Li, Fu, Wang, Jiang, Yang, Jiang, Tang, Tan, </w:t>
      </w:r>
    </w:p>
    <w:p w14:paraId="32AE03D3">
      <w:pPr>
        <w:pStyle w:val="5"/>
        <w:rPr>
          <w:rFonts w:hint="eastAsia"/>
        </w:rPr>
      </w:pPr>
      <w:r>
        <w:rPr>
          <w:rFonts w:hint="eastAsia"/>
        </w:rPr>
        <w:t>Wang, Liu, Zhu, Bi and Shen.</w:t>
      </w:r>
    </w:p>
    <w:p w14:paraId="03814B9D">
      <w:pPr>
        <w:pStyle w:val="5"/>
        <w:rPr>
          <w:rFonts w:hint="eastAsia"/>
        </w:rPr>
      </w:pPr>
    </w:p>
    <w:p w14:paraId="65E3E8A7">
      <w:pPr>
        <w:pStyle w:val="5"/>
        <w:rPr>
          <w:rFonts w:hint="eastAsia"/>
        </w:rPr>
      </w:pPr>
      <w:r>
        <w:rPr>
          <w:rFonts w:hint="eastAsia"/>
        </w:rPr>
        <w:t>DOI: 10.3389/fped.2026.1910674</w:t>
      </w:r>
    </w:p>
    <w:p w14:paraId="1DBCC824">
      <w:pPr>
        <w:pStyle w:val="5"/>
        <w:rPr>
          <w:rFonts w:hint="eastAsia"/>
        </w:rPr>
      </w:pPr>
      <w:r>
        <w:rPr>
          <w:rFonts w:hint="eastAsia"/>
        </w:rPr>
        <w:t>PMCID: PMC13670915</w:t>
      </w:r>
    </w:p>
    <w:p w14:paraId="1DC7EDE9">
      <w:pPr>
        <w:pStyle w:val="5"/>
        <w:rPr>
          <w:rFonts w:hint="eastAsia"/>
        </w:rPr>
      </w:pPr>
      <w:r>
        <w:rPr>
          <w:rFonts w:hint="eastAsia"/>
        </w:rPr>
        <w:t>PMID: 42889662</w:t>
      </w:r>
    </w:p>
    <w:p w14:paraId="1D0B57A0">
      <w:pPr>
        <w:pStyle w:val="5"/>
        <w:rPr>
          <w:rFonts w:hint="eastAsia"/>
        </w:rPr>
      </w:pPr>
    </w:p>
    <w:p w14:paraId="01A35B59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19</w:t>
      </w:r>
      <w:r>
        <w:rPr>
          <w:rFonts w:hint="eastAsia"/>
          <w:b/>
          <w:bCs/>
          <w:color w:val="FF0000"/>
        </w:rPr>
        <w:t xml:space="preserve">. Front Pharmacol. 2026 Oct 1;17:1941682. doi: 10.3389/fphar.2026.1941682. </w:t>
      </w:r>
    </w:p>
    <w:p w14:paraId="744ED07B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4C55CC41">
      <w:pPr>
        <w:pStyle w:val="5"/>
        <w:rPr>
          <w:rFonts w:hint="eastAsia"/>
        </w:rPr>
      </w:pPr>
    </w:p>
    <w:p w14:paraId="7BD3E402">
      <w:pPr>
        <w:pStyle w:val="5"/>
        <w:rPr>
          <w:rFonts w:hint="eastAsia"/>
        </w:rPr>
      </w:pPr>
      <w:r>
        <w:rPr>
          <w:rFonts w:hint="eastAsia"/>
        </w:rPr>
        <w:t xml:space="preserve">Bedaquiline pharmacokinetics in drug-resistant tuberculosis: from exposure </w:t>
      </w:r>
    </w:p>
    <w:p w14:paraId="766650C7">
      <w:pPr>
        <w:pStyle w:val="5"/>
        <w:rPr>
          <w:rFonts w:hint="eastAsia"/>
        </w:rPr>
      </w:pPr>
      <w:r>
        <w:rPr>
          <w:rFonts w:hint="eastAsia"/>
        </w:rPr>
        <w:t>variability to individualized therapy.</w:t>
      </w:r>
    </w:p>
    <w:p w14:paraId="3D0EB06D">
      <w:pPr>
        <w:pStyle w:val="5"/>
        <w:rPr>
          <w:rFonts w:hint="eastAsia"/>
        </w:rPr>
      </w:pPr>
    </w:p>
    <w:p w14:paraId="21587F2D">
      <w:pPr>
        <w:pStyle w:val="5"/>
        <w:rPr>
          <w:rFonts w:hint="eastAsia"/>
        </w:rPr>
      </w:pPr>
      <w:r>
        <w:rPr>
          <w:rFonts w:hint="eastAsia"/>
        </w:rPr>
        <w:t>Xiong Y(1), Wang JL(2), Wei DY(3)(4), Huang YY(3), Wang MS(5).</w:t>
      </w:r>
    </w:p>
    <w:p w14:paraId="4DE871CF">
      <w:pPr>
        <w:pStyle w:val="5"/>
        <w:rPr>
          <w:rFonts w:hint="eastAsia"/>
        </w:rPr>
      </w:pPr>
    </w:p>
    <w:p w14:paraId="15E20333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Yu Xiong,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Jun-Li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Dong-Yan Wei,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Yue-Yan Huang</w:t>
      </w: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Mao-Shui Wang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30BB928F">
      <w:pPr>
        <w:pStyle w:val="5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*CORRESPONDENCE Yue-Yan Huang, huangyueyan2005@163.com</w:t>
      </w:r>
      <w:r>
        <w:rPr>
          <w:rFonts w:hint="eastAsia"/>
          <w:b/>
          <w:bCs/>
          <w:color w:val="0070C0"/>
          <w:lang w:eastAsia="zh-CN"/>
        </w:rPr>
        <w:t>；</w:t>
      </w:r>
      <w:r>
        <w:rPr>
          <w:rFonts w:hint="eastAsia"/>
          <w:b/>
          <w:bCs/>
          <w:color w:val="0070C0"/>
        </w:rPr>
        <w:t xml:space="preserve">Mao-Shui Wang, </w:t>
      </w:r>
    </w:p>
    <w:p w14:paraId="43C5F20D">
      <w:pPr>
        <w:pStyle w:val="5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wangmaoshui@gmail.com</w:t>
      </w:r>
    </w:p>
    <w:p w14:paraId="581D7450">
      <w:pPr>
        <w:pStyle w:val="5"/>
        <w:rPr>
          <w:rFonts w:hint="eastAsia"/>
        </w:rPr>
      </w:pPr>
    </w:p>
    <w:p w14:paraId="56B50625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3E1458C3">
      <w:pPr>
        <w:pStyle w:val="5"/>
        <w:rPr>
          <w:rFonts w:hint="eastAsia"/>
        </w:rPr>
      </w:pPr>
      <w:r>
        <w:rPr>
          <w:rFonts w:hint="eastAsia"/>
        </w:rPr>
        <w:t xml:space="preserve">(1)Department of Tuberculosis, Shandong Public Health Clinical Center, Shandong </w:t>
      </w:r>
    </w:p>
    <w:p w14:paraId="2CABA6BF">
      <w:pPr>
        <w:pStyle w:val="5"/>
        <w:rPr>
          <w:rFonts w:hint="eastAsia"/>
        </w:rPr>
      </w:pPr>
      <w:r>
        <w:rPr>
          <w:rFonts w:hint="eastAsia"/>
        </w:rPr>
        <w:t>University, Jinan, China.</w:t>
      </w:r>
    </w:p>
    <w:p w14:paraId="2D470220">
      <w:pPr>
        <w:pStyle w:val="5"/>
        <w:rPr>
          <w:rFonts w:hint="eastAsia"/>
        </w:rPr>
      </w:pPr>
      <w:r>
        <w:rPr>
          <w:rFonts w:hint="eastAsia"/>
        </w:rPr>
        <w:t xml:space="preserve">(2)Guangxi Key Laboratory of Artificial Intelligence for Genetic Diseases of </w:t>
      </w:r>
    </w:p>
    <w:p w14:paraId="5D7FEC6C">
      <w:pPr>
        <w:pStyle w:val="5"/>
        <w:rPr>
          <w:rFonts w:hint="eastAsia"/>
        </w:rPr>
      </w:pPr>
      <w:r>
        <w:rPr>
          <w:rFonts w:hint="eastAsia"/>
        </w:rPr>
        <w:t>Long-Dwelling Nationalities, Baise, China.</w:t>
      </w:r>
    </w:p>
    <w:p w14:paraId="2111FE10">
      <w:pPr>
        <w:pStyle w:val="5"/>
        <w:rPr>
          <w:rFonts w:hint="eastAsia"/>
        </w:rPr>
      </w:pPr>
      <w:r>
        <w:rPr>
          <w:rFonts w:hint="eastAsia"/>
        </w:rPr>
        <w:t xml:space="preserve">(3)Department of Pediatrics, Affiliated Hospital of Youjiang Medical University </w:t>
      </w:r>
    </w:p>
    <w:p w14:paraId="71474491">
      <w:pPr>
        <w:pStyle w:val="5"/>
        <w:rPr>
          <w:rFonts w:hint="eastAsia"/>
        </w:rPr>
      </w:pPr>
      <w:r>
        <w:rPr>
          <w:rFonts w:hint="eastAsia"/>
        </w:rPr>
        <w:t>for Nationalities, Baise, Guangxi, China.</w:t>
      </w:r>
    </w:p>
    <w:p w14:paraId="230610CB">
      <w:pPr>
        <w:pStyle w:val="5"/>
        <w:rPr>
          <w:rFonts w:hint="eastAsia"/>
        </w:rPr>
      </w:pPr>
      <w:r>
        <w:rPr>
          <w:rFonts w:hint="eastAsia"/>
        </w:rPr>
        <w:t xml:space="preserve">(4)Department of Pediatrics, The People's Hospital of Chongzuo, Chongzuo, </w:t>
      </w:r>
    </w:p>
    <w:p w14:paraId="745DE065">
      <w:pPr>
        <w:pStyle w:val="5"/>
        <w:rPr>
          <w:rFonts w:hint="eastAsia"/>
        </w:rPr>
      </w:pPr>
      <w:r>
        <w:rPr>
          <w:rFonts w:hint="eastAsia"/>
        </w:rPr>
        <w:t>Guangxi, China.</w:t>
      </w:r>
    </w:p>
    <w:p w14:paraId="31C05B67">
      <w:pPr>
        <w:pStyle w:val="5"/>
        <w:rPr>
          <w:rFonts w:hint="eastAsia"/>
        </w:rPr>
      </w:pPr>
      <w:r>
        <w:rPr>
          <w:rFonts w:hint="eastAsia"/>
        </w:rPr>
        <w:t xml:space="preserve">(5)Department of Lab Medicine, Shandong Public Health Clinical Center, Shandong </w:t>
      </w:r>
    </w:p>
    <w:p w14:paraId="71CB6283">
      <w:pPr>
        <w:pStyle w:val="5"/>
        <w:rPr>
          <w:rFonts w:hint="eastAsia"/>
        </w:rPr>
      </w:pPr>
      <w:r>
        <w:rPr>
          <w:rFonts w:hint="eastAsia"/>
        </w:rPr>
        <w:t>University, Jinan, China.</w:t>
      </w:r>
    </w:p>
    <w:p w14:paraId="630715C1">
      <w:pPr>
        <w:pStyle w:val="5"/>
        <w:rPr>
          <w:rFonts w:hint="eastAsia"/>
        </w:rPr>
      </w:pPr>
    </w:p>
    <w:p w14:paraId="6C6293C1">
      <w:pPr>
        <w:pStyle w:val="5"/>
        <w:rPr>
          <w:rFonts w:hint="eastAsia"/>
        </w:rPr>
      </w:pPr>
      <w:r>
        <w:rPr>
          <w:rFonts w:hint="eastAsia"/>
        </w:rPr>
        <w:t xml:space="preserve">Bedaquiline has transformed the treatment of multidrug- and rifampicin-resistant </w:t>
      </w:r>
    </w:p>
    <w:p w14:paraId="2D653773">
      <w:pPr>
        <w:pStyle w:val="5"/>
        <w:rPr>
          <w:rFonts w:hint="eastAsia"/>
        </w:rPr>
      </w:pPr>
      <w:r>
        <w:rPr>
          <w:rFonts w:hint="eastAsia"/>
        </w:rPr>
        <w:t xml:space="preserve">tuberculosis (MDR/RR-TB) and is now a core component of contemporary all-oral </w:t>
      </w:r>
    </w:p>
    <w:p w14:paraId="7525B4C3">
      <w:pPr>
        <w:pStyle w:val="5"/>
        <w:rPr>
          <w:rFonts w:hint="eastAsia"/>
        </w:rPr>
      </w:pPr>
      <w:r>
        <w:rPr>
          <w:rFonts w:hint="eastAsia"/>
        </w:rPr>
        <w:t xml:space="preserve">regimens. However, translating its distinctive pharmacokinetic properties into </w:t>
      </w:r>
    </w:p>
    <w:p w14:paraId="0D3DA4FA">
      <w:pPr>
        <w:pStyle w:val="5"/>
        <w:rPr>
          <w:rFonts w:hint="eastAsia"/>
        </w:rPr>
      </w:pPr>
      <w:r>
        <w:rPr>
          <w:rFonts w:hint="eastAsia"/>
        </w:rPr>
        <w:t xml:space="preserve">individualized clinical management remains challenging. Bedaquiline exhibits </w:t>
      </w:r>
    </w:p>
    <w:p w14:paraId="0D50D587">
      <w:pPr>
        <w:pStyle w:val="5"/>
        <w:rPr>
          <w:rFonts w:hint="eastAsia"/>
        </w:rPr>
      </w:pPr>
      <w:r>
        <w:rPr>
          <w:rFonts w:hint="eastAsia"/>
        </w:rPr>
        <w:t xml:space="preserve">food-enhanced absorption, extensive plasma protein binding, broad but </w:t>
      </w:r>
    </w:p>
    <w:p w14:paraId="2B0E62FC">
      <w:pPr>
        <w:pStyle w:val="5"/>
        <w:rPr>
          <w:rFonts w:hint="eastAsia"/>
        </w:rPr>
      </w:pPr>
      <w:r>
        <w:rPr>
          <w:rFonts w:hint="eastAsia"/>
        </w:rPr>
        <w:t xml:space="preserve">heterogeneous tissue distribution, cytochrome P450 3A4-mediated metabolism to </w:t>
      </w:r>
    </w:p>
    <w:p w14:paraId="2478492A">
      <w:pPr>
        <w:pStyle w:val="5"/>
        <w:rPr>
          <w:rFonts w:hint="eastAsia"/>
        </w:rPr>
      </w:pPr>
      <w:r>
        <w:rPr>
          <w:rFonts w:hint="eastAsia"/>
        </w:rPr>
        <w:t xml:space="preserve">the N-monodesmethyl metabolite M2, and prolonged persistence caused by tissue </w:t>
      </w:r>
    </w:p>
    <w:p w14:paraId="1FFCACFA">
      <w:pPr>
        <w:pStyle w:val="5"/>
        <w:rPr>
          <w:rFonts w:hint="eastAsia"/>
        </w:rPr>
      </w:pPr>
      <w:r>
        <w:rPr>
          <w:rFonts w:hint="eastAsia"/>
        </w:rPr>
        <w:t xml:space="preserve">sequestration and slow redistribution. These features contribute to substantial </w:t>
      </w:r>
    </w:p>
    <w:p w14:paraId="1576BB23">
      <w:pPr>
        <w:pStyle w:val="5"/>
        <w:rPr>
          <w:rFonts w:hint="eastAsia"/>
        </w:rPr>
      </w:pPr>
      <w:r>
        <w:rPr>
          <w:rFonts w:hint="eastAsia"/>
        </w:rPr>
        <w:t xml:space="preserve">interindividual variability, clinically important drug-drug interactions, </w:t>
      </w:r>
    </w:p>
    <w:p w14:paraId="3513ADE6">
      <w:pPr>
        <w:pStyle w:val="5"/>
        <w:rPr>
          <w:rFonts w:hint="eastAsia"/>
        </w:rPr>
      </w:pPr>
      <w:r>
        <w:rPr>
          <w:rFonts w:hint="eastAsia"/>
        </w:rPr>
        <w:t xml:space="preserve">delayed accumulation, and residual exposure long after treatment </w:t>
      </w:r>
    </w:p>
    <w:p w14:paraId="0625BBF1">
      <w:pPr>
        <w:pStyle w:val="5"/>
        <w:rPr>
          <w:rFonts w:hint="eastAsia"/>
        </w:rPr>
      </w:pPr>
      <w:r>
        <w:rPr>
          <w:rFonts w:hint="eastAsia"/>
        </w:rPr>
        <w:t xml:space="preserve">discontinuation. This narrative review synthesizes current evidence on the </w:t>
      </w:r>
    </w:p>
    <w:p w14:paraId="4A944B67">
      <w:pPr>
        <w:pStyle w:val="5"/>
        <w:rPr>
          <w:rFonts w:hint="eastAsia"/>
        </w:rPr>
      </w:pPr>
      <w:r>
        <w:rPr>
          <w:rFonts w:hint="eastAsia"/>
        </w:rPr>
        <w:t xml:space="preserve">absorption, distribution, metabolism, and elimination of bedaquiline; population </w:t>
      </w:r>
    </w:p>
    <w:p w14:paraId="704D6661">
      <w:pPr>
        <w:pStyle w:val="5"/>
        <w:rPr>
          <w:rFonts w:hint="eastAsia"/>
        </w:rPr>
      </w:pPr>
      <w:r>
        <w:rPr>
          <w:rFonts w:hint="eastAsia"/>
        </w:rPr>
        <w:t xml:space="preserve">pharmacokinetic models and determinants of exposure variability; target-site </w:t>
      </w:r>
    </w:p>
    <w:p w14:paraId="51F4B4AF">
      <w:pPr>
        <w:pStyle w:val="5"/>
        <w:rPr>
          <w:rFonts w:hint="eastAsia"/>
        </w:rPr>
      </w:pPr>
      <w:r>
        <w:rPr>
          <w:rFonts w:hint="eastAsia"/>
        </w:rPr>
        <w:t xml:space="preserve">penetration; pharmacokinetics in children, pregnancy, organ dysfunction, and HIV </w:t>
      </w:r>
    </w:p>
    <w:p w14:paraId="0CAFD120">
      <w:pPr>
        <w:pStyle w:val="5"/>
        <w:rPr>
          <w:rFonts w:hint="eastAsia"/>
        </w:rPr>
      </w:pPr>
      <w:r>
        <w:rPr>
          <w:rFonts w:hint="eastAsia"/>
        </w:rPr>
        <w:t xml:space="preserve">coinfection; and clinically relevant interactions with antituberculosis and </w:t>
      </w:r>
    </w:p>
    <w:p w14:paraId="7227240A">
      <w:pPr>
        <w:pStyle w:val="5"/>
        <w:rPr>
          <w:rFonts w:hint="eastAsia"/>
        </w:rPr>
      </w:pPr>
      <w:r>
        <w:rPr>
          <w:rFonts w:hint="eastAsia"/>
        </w:rPr>
        <w:t xml:space="preserve">antiretroviral drugs. We also critically evaluate exposure-efficacy and </w:t>
      </w:r>
    </w:p>
    <w:p w14:paraId="7D872A60">
      <w:pPr>
        <w:pStyle w:val="5"/>
        <w:rPr>
          <w:rFonts w:hint="eastAsia"/>
        </w:rPr>
      </w:pPr>
      <w:r>
        <w:rPr>
          <w:rFonts w:hint="eastAsia"/>
        </w:rPr>
        <w:t xml:space="preserve">exposure-toxicity relationships, including evidence from bedaquiline-containing </w:t>
      </w:r>
    </w:p>
    <w:p w14:paraId="6023AA17">
      <w:pPr>
        <w:pStyle w:val="5"/>
        <w:rPr>
          <w:rFonts w:hint="eastAsia"/>
        </w:rPr>
      </w:pPr>
      <w:r>
        <w:rPr>
          <w:rFonts w:hint="eastAsia"/>
        </w:rPr>
        <w:t xml:space="preserve">multidrug regimens, and examine the potential roles of therapeutic drug </w:t>
      </w:r>
    </w:p>
    <w:p w14:paraId="44713FBF">
      <w:pPr>
        <w:pStyle w:val="5"/>
        <w:rPr>
          <w:rFonts w:hint="eastAsia"/>
        </w:rPr>
      </w:pPr>
      <w:r>
        <w:rPr>
          <w:rFonts w:hint="eastAsia"/>
        </w:rPr>
        <w:t xml:space="preserve">monitoring, minimum inhibitory concentration-normalized exposure indices, and </w:t>
      </w:r>
    </w:p>
    <w:p w14:paraId="65A2E39B">
      <w:pPr>
        <w:pStyle w:val="5"/>
        <w:rPr>
          <w:rFonts w:hint="eastAsia"/>
        </w:rPr>
      </w:pPr>
      <w:r>
        <w:rPr>
          <w:rFonts w:hint="eastAsia"/>
        </w:rPr>
        <w:t xml:space="preserve">model-informed precision dosing. Current evidence supports administration with </w:t>
      </w:r>
    </w:p>
    <w:p w14:paraId="0A4D8B2E">
      <w:pPr>
        <w:pStyle w:val="5"/>
        <w:rPr>
          <w:rFonts w:hint="eastAsia"/>
        </w:rPr>
      </w:pPr>
      <w:r>
        <w:rPr>
          <w:rFonts w:hint="eastAsia"/>
        </w:rPr>
        <w:t xml:space="preserve">food, avoidance of potent CYP3A inducers, caution during prolonged CYP3A </w:t>
      </w:r>
    </w:p>
    <w:p w14:paraId="535B6F97">
      <w:pPr>
        <w:pStyle w:val="5"/>
        <w:rPr>
          <w:rFonts w:hint="eastAsia"/>
        </w:rPr>
      </w:pPr>
      <w:r>
        <w:rPr>
          <w:rFonts w:hint="eastAsia"/>
        </w:rPr>
        <w:t xml:space="preserve">inhibition, and intensified electrocardiographic and electrolyte monitoring when </w:t>
      </w:r>
    </w:p>
    <w:p w14:paraId="31F644CF">
      <w:pPr>
        <w:pStyle w:val="5"/>
        <w:rPr>
          <w:rFonts w:hint="eastAsia"/>
        </w:rPr>
      </w:pPr>
      <w:r>
        <w:rPr>
          <w:rFonts w:hint="eastAsia"/>
        </w:rPr>
        <w:t xml:space="preserve">QT-prolonging agents are combined. Nevertheless, no plasma, M2, </w:t>
      </w:r>
    </w:p>
    <w:p w14:paraId="2E153876">
      <w:pPr>
        <w:pStyle w:val="5"/>
        <w:rPr>
          <w:rFonts w:hint="eastAsia"/>
        </w:rPr>
      </w:pPr>
      <w:r>
        <w:rPr>
          <w:rFonts w:hint="eastAsia"/>
        </w:rPr>
        <w:t xml:space="preserve">area-under-the-curve, or susceptibility-normalized exposure target has been </w:t>
      </w:r>
    </w:p>
    <w:p w14:paraId="524F98FF">
      <w:pPr>
        <w:pStyle w:val="5"/>
        <w:rPr>
          <w:rFonts w:hint="eastAsia"/>
        </w:rPr>
      </w:pPr>
      <w:r>
        <w:rPr>
          <w:rFonts w:hint="eastAsia"/>
        </w:rPr>
        <w:t xml:space="preserve">prospectively validated for routine dose adjustment. Covariate effects </w:t>
      </w:r>
    </w:p>
    <w:p w14:paraId="7FF0532E">
      <w:pPr>
        <w:pStyle w:val="5"/>
        <w:rPr>
          <w:rFonts w:hint="eastAsia"/>
        </w:rPr>
      </w:pPr>
      <w:r>
        <w:rPr>
          <w:rFonts w:hint="eastAsia"/>
        </w:rPr>
        <w:t xml:space="preserve">identified by population models are inconsistent across cohorts, and </w:t>
      </w:r>
    </w:p>
    <w:p w14:paraId="6E730835">
      <w:pPr>
        <w:pStyle w:val="5"/>
        <w:rPr>
          <w:rFonts w:hint="eastAsia"/>
        </w:rPr>
      </w:pPr>
      <w:r>
        <w:rPr>
          <w:rFonts w:hint="eastAsia"/>
        </w:rPr>
        <w:t xml:space="preserve">pharmacokinetic evidence remains limited in several special populations. </w:t>
      </w:r>
    </w:p>
    <w:p w14:paraId="24114570">
      <w:pPr>
        <w:pStyle w:val="5"/>
        <w:rPr>
          <w:rFonts w:hint="eastAsia"/>
        </w:rPr>
      </w:pPr>
      <w:r>
        <w:rPr>
          <w:rFonts w:hint="eastAsia"/>
        </w:rPr>
        <w:t xml:space="preserve">Individualized assessment may therefore be appropriate when clinically </w:t>
      </w:r>
    </w:p>
    <w:p w14:paraId="2455A232">
      <w:pPr>
        <w:pStyle w:val="5"/>
        <w:rPr>
          <w:rFonts w:hint="eastAsia"/>
        </w:rPr>
      </w:pPr>
      <w:r>
        <w:rPr>
          <w:rFonts w:hint="eastAsia"/>
        </w:rPr>
        <w:t xml:space="preserve">meaningful uncertainty exists, but empirical departure from standard dosing is </w:t>
      </w:r>
    </w:p>
    <w:p w14:paraId="40C7756A">
      <w:pPr>
        <w:pStyle w:val="5"/>
        <w:rPr>
          <w:rFonts w:hint="eastAsia"/>
        </w:rPr>
      </w:pPr>
      <w:r>
        <w:rPr>
          <w:rFonts w:hint="eastAsia"/>
        </w:rPr>
        <w:t xml:space="preserve">not currently justified. Progress toward precision dosing will require </w:t>
      </w:r>
    </w:p>
    <w:p w14:paraId="7D5AC39F">
      <w:pPr>
        <w:pStyle w:val="5"/>
        <w:rPr>
          <w:rFonts w:hint="eastAsia"/>
        </w:rPr>
      </w:pPr>
      <w:r>
        <w:rPr>
          <w:rFonts w:hint="eastAsia"/>
        </w:rPr>
        <w:t xml:space="preserve">standardized sampling and susceptibility testing, measurement of unbound and </w:t>
      </w:r>
    </w:p>
    <w:p w14:paraId="05A00757">
      <w:pPr>
        <w:pStyle w:val="5"/>
        <w:rPr>
          <w:rFonts w:hint="eastAsia"/>
        </w:rPr>
      </w:pPr>
      <w:r>
        <w:rPr>
          <w:rFonts w:hint="eastAsia"/>
        </w:rPr>
        <w:t xml:space="preserve">target-site exposure, externally validated pharmacokinetic-pharmacodynamic </w:t>
      </w:r>
    </w:p>
    <w:p w14:paraId="7B0D7ECA">
      <w:pPr>
        <w:pStyle w:val="5"/>
        <w:rPr>
          <w:rFonts w:hint="eastAsia"/>
        </w:rPr>
      </w:pPr>
      <w:r>
        <w:rPr>
          <w:rFonts w:hint="eastAsia"/>
        </w:rPr>
        <w:t xml:space="preserve">models, and prospective demonstration that exposure-guided interventions improve </w:t>
      </w:r>
    </w:p>
    <w:p w14:paraId="36081333">
      <w:pPr>
        <w:pStyle w:val="5"/>
        <w:rPr>
          <w:rFonts w:hint="eastAsia"/>
        </w:rPr>
      </w:pPr>
      <w:r>
        <w:rPr>
          <w:rFonts w:hint="eastAsia"/>
        </w:rPr>
        <w:t>clinical outcomes.</w:t>
      </w:r>
    </w:p>
    <w:p w14:paraId="5639580C">
      <w:pPr>
        <w:pStyle w:val="5"/>
        <w:rPr>
          <w:rFonts w:hint="eastAsia"/>
        </w:rPr>
      </w:pPr>
    </w:p>
    <w:p w14:paraId="15868BB8">
      <w:pPr>
        <w:pStyle w:val="5"/>
        <w:rPr>
          <w:rFonts w:hint="eastAsia"/>
        </w:rPr>
      </w:pPr>
      <w:r>
        <w:rPr>
          <w:rFonts w:hint="eastAsia"/>
        </w:rPr>
        <w:t>Copyright © 2026 Xiong, Wang, Wei, Huang and Wang.</w:t>
      </w:r>
    </w:p>
    <w:p w14:paraId="1371BF0F">
      <w:pPr>
        <w:pStyle w:val="5"/>
        <w:rPr>
          <w:rFonts w:hint="eastAsia"/>
        </w:rPr>
      </w:pPr>
    </w:p>
    <w:p w14:paraId="5F8C514B">
      <w:pPr>
        <w:pStyle w:val="5"/>
        <w:rPr>
          <w:rFonts w:hint="eastAsia"/>
        </w:rPr>
      </w:pPr>
      <w:r>
        <w:rPr>
          <w:rFonts w:hint="eastAsia"/>
        </w:rPr>
        <w:t>DOI: 10.3389/fphar.2026.1941682</w:t>
      </w:r>
    </w:p>
    <w:p w14:paraId="3382A917">
      <w:pPr>
        <w:pStyle w:val="5"/>
        <w:rPr>
          <w:rFonts w:hint="eastAsia"/>
        </w:rPr>
      </w:pPr>
      <w:r>
        <w:rPr>
          <w:rFonts w:hint="eastAsia"/>
        </w:rPr>
        <w:t>PMCID: PMC13670025</w:t>
      </w:r>
    </w:p>
    <w:p w14:paraId="069D0AB3">
      <w:pPr>
        <w:pStyle w:val="5"/>
        <w:rPr>
          <w:rFonts w:hint="eastAsia"/>
        </w:rPr>
      </w:pPr>
      <w:r>
        <w:rPr>
          <w:rFonts w:hint="eastAsia"/>
        </w:rPr>
        <w:t>PMID: 42889390</w:t>
      </w:r>
    </w:p>
    <w:p w14:paraId="5AF9E5CC">
      <w:pPr>
        <w:pStyle w:val="5"/>
        <w:rPr>
          <w:rFonts w:hint="eastAsia"/>
        </w:rPr>
      </w:pPr>
    </w:p>
    <w:p w14:paraId="16383C5A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20</w:t>
      </w:r>
      <w:r>
        <w:rPr>
          <w:rFonts w:hint="eastAsia"/>
          <w:b/>
          <w:bCs/>
          <w:color w:val="FF0000"/>
        </w:rPr>
        <w:t xml:space="preserve">. Front Cell Infect Microbiol. 2026 Oct 1;16:1938907. doi: </w:t>
      </w:r>
    </w:p>
    <w:p w14:paraId="4E9CE9FE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10.3389/fcimb.2026.1938907. eCollection 2026.</w:t>
      </w:r>
    </w:p>
    <w:p w14:paraId="08155934">
      <w:pPr>
        <w:pStyle w:val="5"/>
        <w:rPr>
          <w:rFonts w:hint="eastAsia"/>
        </w:rPr>
      </w:pPr>
    </w:p>
    <w:p w14:paraId="6CC1621F">
      <w:pPr>
        <w:pStyle w:val="5"/>
        <w:rPr>
          <w:rFonts w:hint="eastAsia"/>
        </w:rPr>
      </w:pPr>
      <w:r>
        <w:rPr>
          <w:rFonts w:hint="eastAsia"/>
        </w:rPr>
        <w:t xml:space="preserve">KLRG1(+)CD28(⁻)CD57(+) Ag85A-specific CD8(+) T cells mark a severity-associated </w:t>
      </w:r>
    </w:p>
    <w:p w14:paraId="495B1053">
      <w:pPr>
        <w:pStyle w:val="5"/>
        <w:rPr>
          <w:rFonts w:hint="eastAsia"/>
        </w:rPr>
      </w:pPr>
      <w:r>
        <w:rPr>
          <w:rFonts w:hint="eastAsia"/>
        </w:rPr>
        <w:t>terminal-differentiation imprint in pulmonary tuberculosis.</w:t>
      </w:r>
    </w:p>
    <w:p w14:paraId="4EF21DFE">
      <w:pPr>
        <w:pStyle w:val="5"/>
        <w:rPr>
          <w:rFonts w:hint="eastAsia"/>
        </w:rPr>
      </w:pPr>
    </w:p>
    <w:p w14:paraId="44E0CDE8">
      <w:pPr>
        <w:pStyle w:val="5"/>
        <w:rPr>
          <w:rFonts w:hint="eastAsia"/>
        </w:rPr>
      </w:pPr>
      <w:r>
        <w:rPr>
          <w:rFonts w:hint="eastAsia"/>
        </w:rPr>
        <w:t xml:space="preserve">Wu J(#)(1), Chen S(#)(2), Qiang R(3), Cheng L(1), Yao M(1), Zhang Z(4), Yu </w:t>
      </w:r>
    </w:p>
    <w:p w14:paraId="37FE5E34">
      <w:pPr>
        <w:pStyle w:val="5"/>
        <w:rPr>
          <w:rFonts w:hint="eastAsia"/>
        </w:rPr>
      </w:pPr>
      <w:r>
        <w:rPr>
          <w:rFonts w:hint="eastAsia"/>
        </w:rPr>
        <w:t>X(1)(4), Xu J(1)(2), Zhang J(1)(4).</w:t>
      </w:r>
    </w:p>
    <w:p w14:paraId="0C5B60F2">
      <w:pPr>
        <w:pStyle w:val="5"/>
        <w:rPr>
          <w:rFonts w:hint="eastAsia"/>
        </w:rPr>
      </w:pPr>
    </w:p>
    <w:p w14:paraId="287319B4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Jiaming Wu,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Sufang Chen,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Rui Qiang,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Longji Cheng,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Minyan Yao,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Zhen Zhang,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Xin Yu</w:t>
      </w: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Junchi Xu</w:t>
      </w: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Jianping Zhang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04CF0A08">
      <w:pPr>
        <w:pStyle w:val="5"/>
        <w:jc w:val="left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*CORRESPONDENCE Jianping Zhang</w:t>
      </w:r>
      <w:r>
        <w:rPr>
          <w:rFonts w:hint="eastAsia"/>
          <w:b/>
          <w:bCs/>
          <w:color w:val="0070C0"/>
          <w:lang w:eastAsia="zh-CN"/>
        </w:rPr>
        <w:t>，</w:t>
      </w:r>
      <w:r>
        <w:rPr>
          <w:rFonts w:hint="eastAsia"/>
          <w:b/>
          <w:bCs/>
          <w:color w:val="0070C0"/>
        </w:rPr>
        <w:t>zhangjianping_yb@suda.edu.cn</w:t>
      </w:r>
      <w:r>
        <w:rPr>
          <w:rFonts w:hint="eastAsia"/>
          <w:b/>
          <w:bCs/>
          <w:color w:val="0070C0"/>
          <w:lang w:eastAsia="zh-CN"/>
        </w:rPr>
        <w:t>；</w:t>
      </w:r>
      <w:r>
        <w:rPr>
          <w:rFonts w:hint="eastAsia"/>
          <w:b/>
          <w:bCs/>
          <w:color w:val="0070C0"/>
        </w:rPr>
        <w:t xml:space="preserve"> Junchi Xu</w:t>
      </w:r>
      <w:r>
        <w:rPr>
          <w:rFonts w:hint="eastAsia"/>
          <w:b/>
          <w:bCs/>
          <w:color w:val="0070C0"/>
          <w:lang w:eastAsia="zh-CN"/>
        </w:rPr>
        <w:t>，</w:t>
      </w:r>
      <w:r>
        <w:rPr>
          <w:rFonts w:hint="eastAsia"/>
          <w:b/>
          <w:bCs/>
          <w:color w:val="0070C0"/>
        </w:rPr>
        <w:t xml:space="preserve"> xujunchi19850504@126.com</w:t>
      </w:r>
      <w:r>
        <w:rPr>
          <w:rFonts w:hint="eastAsia"/>
          <w:b/>
          <w:bCs/>
          <w:color w:val="0070C0"/>
          <w:lang w:eastAsia="zh-CN"/>
        </w:rPr>
        <w:t>；</w:t>
      </w:r>
      <w:r>
        <w:rPr>
          <w:rFonts w:hint="eastAsia"/>
          <w:b/>
          <w:bCs/>
          <w:color w:val="0070C0"/>
        </w:rPr>
        <w:t xml:space="preserve"> Xin Yu</w:t>
      </w:r>
      <w:r>
        <w:rPr>
          <w:rFonts w:hint="eastAsia"/>
          <w:b/>
          <w:bCs/>
          <w:color w:val="0070C0"/>
          <w:lang w:eastAsia="zh-CN"/>
        </w:rPr>
        <w:t>，</w:t>
      </w:r>
      <w:r>
        <w:rPr>
          <w:rFonts w:hint="eastAsia"/>
          <w:b/>
          <w:bCs/>
          <w:color w:val="0070C0"/>
        </w:rPr>
        <w:t>xinxin810104@126.com</w:t>
      </w:r>
    </w:p>
    <w:p w14:paraId="7BC5E8D1">
      <w:pPr>
        <w:pStyle w:val="5"/>
        <w:jc w:val="left"/>
        <w:rPr>
          <w:rFonts w:hint="eastAsia"/>
        </w:rPr>
      </w:pPr>
    </w:p>
    <w:p w14:paraId="414ED10A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3260B67F">
      <w:pPr>
        <w:pStyle w:val="5"/>
        <w:rPr>
          <w:rFonts w:hint="eastAsia"/>
        </w:rPr>
      </w:pPr>
      <w:r>
        <w:rPr>
          <w:rFonts w:hint="eastAsia"/>
        </w:rPr>
        <w:t>(1)Suzhou Medical College of Soochow University, Suzhou, China.</w:t>
      </w:r>
    </w:p>
    <w:p w14:paraId="4364A142">
      <w:pPr>
        <w:pStyle w:val="5"/>
        <w:rPr>
          <w:rFonts w:hint="eastAsia"/>
        </w:rPr>
      </w:pPr>
      <w:r>
        <w:rPr>
          <w:rFonts w:hint="eastAsia"/>
        </w:rPr>
        <w:t xml:space="preserve">(2)Department of Clinical Laboratory, The Fifth People's Hospital of Suzhou &amp; </w:t>
      </w:r>
    </w:p>
    <w:p w14:paraId="5C4EC8AD">
      <w:pPr>
        <w:pStyle w:val="5"/>
        <w:rPr>
          <w:rFonts w:hint="eastAsia"/>
        </w:rPr>
      </w:pPr>
      <w:r>
        <w:rPr>
          <w:rFonts w:hint="eastAsia"/>
        </w:rPr>
        <w:t xml:space="preserve">The Affiliated Infectious Diseases Hospital of Soochow University, </w:t>
      </w:r>
    </w:p>
    <w:p w14:paraId="25FFD210">
      <w:pPr>
        <w:pStyle w:val="5"/>
        <w:rPr>
          <w:rFonts w:hint="eastAsia"/>
        </w:rPr>
      </w:pPr>
      <w:r>
        <w:rPr>
          <w:rFonts w:hint="eastAsia"/>
        </w:rPr>
        <w:t>Suzhou, China.</w:t>
      </w:r>
    </w:p>
    <w:p w14:paraId="06B3B86E">
      <w:pPr>
        <w:pStyle w:val="5"/>
        <w:rPr>
          <w:rFonts w:hint="eastAsia"/>
        </w:rPr>
      </w:pPr>
      <w:r>
        <w:rPr>
          <w:rFonts w:hint="eastAsia"/>
        </w:rPr>
        <w:t xml:space="preserve">(3)Department of Clinical Laboratory, The Second Affiliated Hospital of Soochow </w:t>
      </w:r>
    </w:p>
    <w:p w14:paraId="5121BF8E">
      <w:pPr>
        <w:pStyle w:val="5"/>
        <w:rPr>
          <w:rFonts w:hint="eastAsia"/>
        </w:rPr>
      </w:pPr>
      <w:r>
        <w:rPr>
          <w:rFonts w:hint="eastAsia"/>
        </w:rPr>
        <w:t>University, Suzhou, China.</w:t>
      </w:r>
    </w:p>
    <w:p w14:paraId="5F7955D6">
      <w:pPr>
        <w:pStyle w:val="5"/>
        <w:rPr>
          <w:rFonts w:hint="eastAsia"/>
        </w:rPr>
      </w:pPr>
      <w:r>
        <w:rPr>
          <w:rFonts w:hint="eastAsia"/>
        </w:rPr>
        <w:t xml:space="preserve">(4)Department of Tuberculosis, The Fifth People's Hospital of Suzhou &amp; The </w:t>
      </w:r>
    </w:p>
    <w:p w14:paraId="2AE2A379">
      <w:pPr>
        <w:pStyle w:val="5"/>
        <w:rPr>
          <w:rFonts w:hint="eastAsia"/>
        </w:rPr>
      </w:pPr>
      <w:r>
        <w:rPr>
          <w:rFonts w:hint="eastAsia"/>
        </w:rPr>
        <w:t>Affiliated Infectious Diseases Hospital of Soochow University, Suzhou, China.</w:t>
      </w:r>
    </w:p>
    <w:p w14:paraId="3640A4BA">
      <w:pPr>
        <w:pStyle w:val="5"/>
        <w:rPr>
          <w:rFonts w:hint="eastAsia"/>
        </w:rPr>
      </w:pPr>
      <w:r>
        <w:rPr>
          <w:rFonts w:hint="eastAsia"/>
        </w:rPr>
        <w:t>(#)Contributed equally</w:t>
      </w:r>
    </w:p>
    <w:p w14:paraId="3B2989AC">
      <w:pPr>
        <w:pStyle w:val="5"/>
        <w:rPr>
          <w:rFonts w:hint="eastAsia"/>
        </w:rPr>
      </w:pPr>
    </w:p>
    <w:p w14:paraId="1F54DA90">
      <w:pPr>
        <w:pStyle w:val="5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Pulmonary tuberculosis (PTB) is characterized by prolonged </w:t>
      </w:r>
    </w:p>
    <w:p w14:paraId="47DB1D63">
      <w:pPr>
        <w:pStyle w:val="5"/>
        <w:rPr>
          <w:rFonts w:hint="eastAsia"/>
        </w:rPr>
      </w:pPr>
      <w:r>
        <w:rPr>
          <w:rFonts w:hint="eastAsia"/>
        </w:rPr>
        <w:t xml:space="preserve">host-pathogen interaction, chronic granulomatous inflammation, and sustained </w:t>
      </w:r>
    </w:p>
    <w:p w14:paraId="6C7D69AF">
      <w:pPr>
        <w:pStyle w:val="5"/>
        <w:rPr>
          <w:rFonts w:hint="eastAsia"/>
        </w:rPr>
      </w:pPr>
      <w:r>
        <w:rPr>
          <w:rFonts w:hint="eastAsia"/>
        </w:rPr>
        <w:t xml:space="preserve">exposure to Mycobacterium tuberculosis (Mtb) antigens. How Mtb antigen-specific </w:t>
      </w:r>
    </w:p>
    <w:p w14:paraId="740F2470">
      <w:pPr>
        <w:pStyle w:val="5"/>
        <w:rPr>
          <w:rFonts w:hint="eastAsia"/>
        </w:rPr>
      </w:pPr>
      <w:r>
        <w:rPr>
          <w:rFonts w:hint="eastAsia"/>
        </w:rPr>
        <w:t xml:space="preserve">CD8+ T cell differentiation states relate to clinical disease activity and </w:t>
      </w:r>
    </w:p>
    <w:p w14:paraId="6A0D7834">
      <w:pPr>
        <w:pStyle w:val="5"/>
        <w:rPr>
          <w:rFonts w:hint="eastAsia"/>
        </w:rPr>
      </w:pPr>
      <w:r>
        <w:rPr>
          <w:rFonts w:hint="eastAsia"/>
        </w:rPr>
        <w:t xml:space="preserve">severity remains incompletely defined. This study investigated the clinical </w:t>
      </w:r>
    </w:p>
    <w:p w14:paraId="4D94FB70">
      <w:pPr>
        <w:pStyle w:val="5"/>
        <w:rPr>
          <w:rFonts w:hint="eastAsia"/>
        </w:rPr>
      </w:pPr>
      <w:r>
        <w:rPr>
          <w:rFonts w:hint="eastAsia"/>
        </w:rPr>
        <w:t xml:space="preserve">relevance of a terminal differentiation-associated phenotype within </w:t>
      </w:r>
    </w:p>
    <w:p w14:paraId="5446C3EE">
      <w:pPr>
        <w:pStyle w:val="5"/>
        <w:rPr>
          <w:rFonts w:hint="eastAsia"/>
        </w:rPr>
      </w:pPr>
      <w:r>
        <w:rPr>
          <w:rFonts w:hint="eastAsia"/>
        </w:rPr>
        <w:t xml:space="preserve">Ag85A-specific CD8+ T cells across clinically defined states of Mtb infection </w:t>
      </w:r>
    </w:p>
    <w:p w14:paraId="66492522">
      <w:pPr>
        <w:pStyle w:val="5"/>
        <w:rPr>
          <w:rFonts w:hint="eastAsia"/>
        </w:rPr>
      </w:pPr>
      <w:r>
        <w:rPr>
          <w:rFonts w:hint="eastAsia"/>
        </w:rPr>
        <w:t>and disease.</w:t>
      </w:r>
    </w:p>
    <w:p w14:paraId="3C946877">
      <w:pPr>
        <w:pStyle w:val="5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A total of 124 participants were enrolled, including 55 patients with </w:t>
      </w:r>
    </w:p>
    <w:p w14:paraId="270013BE">
      <w:pPr>
        <w:pStyle w:val="5"/>
        <w:rPr>
          <w:rFonts w:hint="eastAsia"/>
        </w:rPr>
      </w:pPr>
      <w:r>
        <w:rPr>
          <w:rFonts w:hint="eastAsia"/>
        </w:rPr>
        <w:t xml:space="preserve">PTB, 33 individuals with latent tuberculosis infection (LTBI), and 36 healthy </w:t>
      </w:r>
    </w:p>
    <w:p w14:paraId="1C6819D6">
      <w:pPr>
        <w:pStyle w:val="5"/>
        <w:rPr>
          <w:rFonts w:hint="eastAsia"/>
        </w:rPr>
      </w:pPr>
      <w:r>
        <w:rPr>
          <w:rFonts w:hint="eastAsia"/>
        </w:rPr>
        <w:t xml:space="preserve">controls (HCs). Peripheral blood mononuclear cells were analyzed by flow </w:t>
      </w:r>
    </w:p>
    <w:p w14:paraId="19D3134F">
      <w:pPr>
        <w:pStyle w:val="5"/>
        <w:rPr>
          <w:rFonts w:hint="eastAsia"/>
        </w:rPr>
      </w:pPr>
      <w:r>
        <w:rPr>
          <w:rFonts w:hint="eastAsia"/>
        </w:rPr>
        <w:t xml:space="preserve">cytometry to quantify KLRG1+CD28⁻CD57+ cells among HLA-A*02:01-restricted </w:t>
      </w:r>
    </w:p>
    <w:p w14:paraId="1D734FB6">
      <w:pPr>
        <w:pStyle w:val="5"/>
        <w:rPr>
          <w:rFonts w:hint="eastAsia"/>
        </w:rPr>
      </w:pPr>
      <w:r>
        <w:rPr>
          <w:rFonts w:hint="eastAsia"/>
        </w:rPr>
        <w:t xml:space="preserve">Ag85A48-56 tetramer+CD8+ T cells. Associations with active disease, sputum smear </w:t>
      </w:r>
    </w:p>
    <w:p w14:paraId="222DF6D5">
      <w:pPr>
        <w:pStyle w:val="5"/>
        <w:rPr>
          <w:rFonts w:hint="eastAsia"/>
        </w:rPr>
      </w:pPr>
      <w:r>
        <w:rPr>
          <w:rFonts w:hint="eastAsia"/>
        </w:rPr>
        <w:t xml:space="preserve">status, clinical severity, selected host-status parameters, and exploratory </w:t>
      </w:r>
    </w:p>
    <w:p w14:paraId="4EA47C17">
      <w:pPr>
        <w:pStyle w:val="5"/>
        <w:rPr>
          <w:rFonts w:hint="eastAsia"/>
        </w:rPr>
      </w:pPr>
      <w:r>
        <w:rPr>
          <w:rFonts w:hint="eastAsia"/>
        </w:rPr>
        <w:t>treatment-related outcomes were assessed.</w:t>
      </w:r>
    </w:p>
    <w:p w14:paraId="17325ABE">
      <w:pPr>
        <w:pStyle w:val="5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Patients with PTB showed a significantly higher proportion of </w:t>
      </w:r>
    </w:p>
    <w:p w14:paraId="6982DD75">
      <w:pPr>
        <w:pStyle w:val="5"/>
        <w:rPr>
          <w:rFonts w:hint="eastAsia"/>
        </w:rPr>
      </w:pPr>
      <w:r>
        <w:rPr>
          <w:rFonts w:hint="eastAsia"/>
        </w:rPr>
        <w:t xml:space="preserve">KLRG1+CD28⁻CD57+ Ag85A-specific CD8+ T cells than HCs. This phenotype was </w:t>
      </w:r>
    </w:p>
    <w:p w14:paraId="616417ED">
      <w:pPr>
        <w:pStyle w:val="5"/>
        <w:rPr>
          <w:rFonts w:hint="eastAsia"/>
        </w:rPr>
      </w:pPr>
      <w:r>
        <w:rPr>
          <w:rFonts w:hint="eastAsia"/>
        </w:rPr>
        <w:t xml:space="preserve">enriched in active PTB and was associated with clinically relevant features of </w:t>
      </w:r>
    </w:p>
    <w:p w14:paraId="68E4899C">
      <w:pPr>
        <w:pStyle w:val="5"/>
        <w:rPr>
          <w:rFonts w:hint="eastAsia"/>
        </w:rPr>
      </w:pPr>
      <w:r>
        <w:rPr>
          <w:rFonts w:hint="eastAsia"/>
        </w:rPr>
        <w:t xml:space="preserve">disease burden, including sputum smear positivity, higher smear grade, </w:t>
      </w:r>
    </w:p>
    <w:p w14:paraId="64F71968">
      <w:pPr>
        <w:pStyle w:val="5"/>
        <w:rPr>
          <w:rFonts w:hint="eastAsia"/>
        </w:rPr>
      </w:pPr>
      <w:r>
        <w:rPr>
          <w:rFonts w:hint="eastAsia"/>
        </w:rPr>
        <w:t xml:space="preserve">lymphocyte imbalance, and severe pulmonary involvement. Patients with severe PTB </w:t>
      </w:r>
    </w:p>
    <w:p w14:paraId="5CBB7177">
      <w:pPr>
        <w:pStyle w:val="5"/>
        <w:rPr>
          <w:rFonts w:hint="eastAsia"/>
        </w:rPr>
      </w:pPr>
      <w:r>
        <w:rPr>
          <w:rFonts w:hint="eastAsia"/>
        </w:rPr>
        <w:t xml:space="preserve">had higher proportions of this subset than patients with non-severe PTB. In </w:t>
      </w:r>
    </w:p>
    <w:p w14:paraId="030B874A">
      <w:pPr>
        <w:pStyle w:val="5"/>
        <w:rPr>
          <w:rFonts w:hint="eastAsia"/>
        </w:rPr>
      </w:pPr>
      <w:r>
        <w:rPr>
          <w:rFonts w:hint="eastAsia"/>
        </w:rPr>
        <w:t xml:space="preserve">receiver operating characteristic analysis, this phenotype showed exploratory </w:t>
      </w:r>
    </w:p>
    <w:p w14:paraId="42668272">
      <w:pPr>
        <w:pStyle w:val="5"/>
        <w:rPr>
          <w:rFonts w:hint="eastAsia"/>
        </w:rPr>
      </w:pPr>
      <w:r>
        <w:rPr>
          <w:rFonts w:hint="eastAsia"/>
        </w:rPr>
        <w:t xml:space="preserve">in-cohort discriminative potential for distinguishing severe from non-severe </w:t>
      </w:r>
    </w:p>
    <w:p w14:paraId="11AC277A">
      <w:pPr>
        <w:pStyle w:val="5"/>
        <w:rPr>
          <w:rFonts w:hint="eastAsia"/>
        </w:rPr>
      </w:pPr>
      <w:r>
        <w:rPr>
          <w:rFonts w:hint="eastAsia"/>
        </w:rPr>
        <w:t xml:space="preserve">PTB, with an apparent area under the curve of 0.8333 (95% CI, 0.7268-0.9398; </w:t>
      </w:r>
    </w:p>
    <w:p w14:paraId="092C0EBD">
      <w:pPr>
        <w:pStyle w:val="5"/>
        <w:rPr>
          <w:rFonts w:hint="eastAsia"/>
        </w:rPr>
      </w:pPr>
      <w:r>
        <w:rPr>
          <w:rFonts w:hint="eastAsia"/>
        </w:rPr>
        <w:t xml:space="preserve">P&lt;0.0001); patient-level bootstrap resampling yielded a bias-corrected AUC of </w:t>
      </w:r>
    </w:p>
    <w:p w14:paraId="42DA3BC6">
      <w:pPr>
        <w:pStyle w:val="5"/>
        <w:rPr>
          <w:rFonts w:hint="eastAsia"/>
        </w:rPr>
      </w:pPr>
      <w:r>
        <w:rPr>
          <w:rFonts w:hint="eastAsia"/>
        </w:rPr>
        <w:t>0.8333.</w:t>
      </w:r>
    </w:p>
    <w:p w14:paraId="763AEAD1">
      <w:pPr>
        <w:pStyle w:val="5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The accumulation of KLRG1+CD28⁻CD57+ Ag85A-specific CD8+ T cells is closely associated with active and clinically severe PTB. Rather than </w:t>
      </w:r>
    </w:p>
    <w:p w14:paraId="48710B6F">
      <w:pPr>
        <w:pStyle w:val="5"/>
        <w:rPr>
          <w:rFonts w:hint="eastAsia"/>
        </w:rPr>
      </w:pPr>
      <w:r>
        <w:rPr>
          <w:rFonts w:hint="eastAsia"/>
        </w:rPr>
        <w:t xml:space="preserve">establishing a causal mechanism, these findings identify an antigen-specific, </w:t>
      </w:r>
    </w:p>
    <w:p w14:paraId="57561E1D">
      <w:pPr>
        <w:pStyle w:val="5"/>
        <w:rPr>
          <w:rFonts w:hint="eastAsia"/>
        </w:rPr>
      </w:pPr>
      <w:r>
        <w:rPr>
          <w:rFonts w:hint="eastAsia"/>
        </w:rPr>
        <w:t xml:space="preserve">terminal differentiation-associated CD8+ T-cell phenotype as a potential </w:t>
      </w:r>
    </w:p>
    <w:p w14:paraId="1BAA7474">
      <w:pPr>
        <w:pStyle w:val="5"/>
        <w:rPr>
          <w:rFonts w:hint="eastAsia"/>
        </w:rPr>
      </w:pPr>
      <w:r>
        <w:rPr>
          <w:rFonts w:hint="eastAsia"/>
        </w:rPr>
        <w:t xml:space="preserve">translational immune correlate of disease severity in human Mtb infection. Its </w:t>
      </w:r>
    </w:p>
    <w:p w14:paraId="32D07775">
      <w:pPr>
        <w:pStyle w:val="5"/>
        <w:rPr>
          <w:rFonts w:hint="eastAsia"/>
        </w:rPr>
      </w:pPr>
      <w:r>
        <w:rPr>
          <w:rFonts w:hint="eastAsia"/>
        </w:rPr>
        <w:t xml:space="preserve">discriminative ability should be regarded as preliminary and requires external </w:t>
      </w:r>
    </w:p>
    <w:p w14:paraId="4DD26BB9">
      <w:pPr>
        <w:pStyle w:val="5"/>
        <w:rPr>
          <w:rFonts w:hint="eastAsia"/>
        </w:rPr>
      </w:pPr>
      <w:r>
        <w:rPr>
          <w:rFonts w:hint="eastAsia"/>
        </w:rPr>
        <w:t>validation in larger, prospective, and independently recruited cohorts.</w:t>
      </w:r>
    </w:p>
    <w:p w14:paraId="0ADDD9C1">
      <w:pPr>
        <w:pStyle w:val="5"/>
        <w:rPr>
          <w:rFonts w:hint="eastAsia"/>
        </w:rPr>
      </w:pPr>
    </w:p>
    <w:p w14:paraId="2850AA03">
      <w:pPr>
        <w:pStyle w:val="5"/>
        <w:rPr>
          <w:rFonts w:hint="eastAsia"/>
        </w:rPr>
      </w:pPr>
      <w:r>
        <w:rPr>
          <w:rFonts w:hint="eastAsia"/>
        </w:rPr>
        <w:t>Copyright © 2026 Wu, Chen, Qiang, Cheng, Yao, Zhang, Yu, Xu and Zhang.</w:t>
      </w:r>
    </w:p>
    <w:p w14:paraId="63CE3589">
      <w:pPr>
        <w:pStyle w:val="5"/>
        <w:rPr>
          <w:rFonts w:hint="eastAsia"/>
        </w:rPr>
      </w:pPr>
    </w:p>
    <w:p w14:paraId="6FE4204F">
      <w:pPr>
        <w:pStyle w:val="5"/>
        <w:rPr>
          <w:rFonts w:hint="eastAsia"/>
        </w:rPr>
      </w:pPr>
      <w:r>
        <w:rPr>
          <w:rFonts w:hint="eastAsia"/>
        </w:rPr>
        <w:t>DOI: 10.3389/fcimb.2026.1938907</w:t>
      </w:r>
    </w:p>
    <w:p w14:paraId="1F1534B2">
      <w:pPr>
        <w:pStyle w:val="5"/>
        <w:rPr>
          <w:rFonts w:hint="eastAsia"/>
        </w:rPr>
      </w:pPr>
      <w:r>
        <w:rPr>
          <w:rFonts w:hint="eastAsia"/>
        </w:rPr>
        <w:t>PMCID: PMC13668559</w:t>
      </w:r>
    </w:p>
    <w:p w14:paraId="596D4BA8">
      <w:pPr>
        <w:pStyle w:val="5"/>
        <w:rPr>
          <w:rFonts w:hint="eastAsia"/>
        </w:rPr>
      </w:pPr>
      <w:r>
        <w:rPr>
          <w:rFonts w:hint="eastAsia"/>
        </w:rPr>
        <w:t>PMID: 42889127 [Indexed for MEDLINE]</w:t>
      </w:r>
    </w:p>
    <w:p w14:paraId="4F4A6713">
      <w:pPr>
        <w:pStyle w:val="5"/>
        <w:rPr>
          <w:rFonts w:hint="eastAsia"/>
        </w:rPr>
      </w:pPr>
    </w:p>
    <w:p w14:paraId="1C361E7A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21</w:t>
      </w:r>
      <w:r>
        <w:rPr>
          <w:rFonts w:hint="eastAsia"/>
          <w:b/>
          <w:bCs/>
          <w:color w:val="FF0000"/>
        </w:rPr>
        <w:t>. Transbound Emerg Dis. 2026;2026(1):e5410388. doi: 10.1155/tbed/5410388.</w:t>
      </w:r>
    </w:p>
    <w:p w14:paraId="321E25A0">
      <w:pPr>
        <w:pStyle w:val="5"/>
        <w:rPr>
          <w:rFonts w:hint="eastAsia"/>
        </w:rPr>
      </w:pPr>
    </w:p>
    <w:p w14:paraId="51901AFC">
      <w:pPr>
        <w:pStyle w:val="5"/>
        <w:rPr>
          <w:rFonts w:hint="eastAsia"/>
        </w:rPr>
      </w:pPr>
      <w:r>
        <w:rPr>
          <w:rFonts w:hint="eastAsia"/>
        </w:rPr>
        <w:t xml:space="preserve">Monoclonal Antibodies Targeting Bacillus Calmette-Guérin (BCG) Outer Membrane </w:t>
      </w:r>
    </w:p>
    <w:p w14:paraId="5B776F31">
      <w:pPr>
        <w:pStyle w:val="5"/>
        <w:rPr>
          <w:rFonts w:hint="eastAsia"/>
        </w:rPr>
      </w:pPr>
      <w:r>
        <w:rPr>
          <w:rFonts w:hint="eastAsia"/>
        </w:rPr>
        <w:t>Proteins Confer Protection Against Tuberculosis.</w:t>
      </w:r>
    </w:p>
    <w:p w14:paraId="51FCC8CF">
      <w:pPr>
        <w:pStyle w:val="5"/>
        <w:rPr>
          <w:rFonts w:hint="eastAsia"/>
        </w:rPr>
      </w:pPr>
    </w:p>
    <w:p w14:paraId="67AD2E1B">
      <w:pPr>
        <w:pStyle w:val="5"/>
        <w:rPr>
          <w:rFonts w:hint="eastAsia"/>
        </w:rPr>
      </w:pPr>
      <w:r>
        <w:rPr>
          <w:rFonts w:hint="eastAsia"/>
        </w:rPr>
        <w:t>Li H(1)(2)(3), Jiang Y(3), Shi C(3), Zuo Y(3), Li H(3).</w:t>
      </w:r>
    </w:p>
    <w:p w14:paraId="25C5FE4F">
      <w:pPr>
        <w:pStyle w:val="5"/>
        <w:rPr>
          <w:rFonts w:hint="eastAsia"/>
        </w:rPr>
      </w:pPr>
    </w:p>
    <w:p w14:paraId="12A3E384">
      <w:pPr>
        <w:pStyle w:val="5"/>
        <w:rPr>
          <w:rFonts w:hint="eastAsia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Huoming Li,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Yanyan Jiang,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Chenxi Shi,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You Zuo,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Hao Li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4CC4C206">
      <w:pPr>
        <w:pStyle w:val="5"/>
        <w:rPr>
          <w:rFonts w:hint="eastAsia" w:eastAsia="宋体"/>
          <w:b/>
          <w:bCs/>
          <w:color w:val="4472C4" w:themeColor="accent5"/>
          <w:lang w:eastAsia="zh-CN"/>
          <w14:textFill>
            <w14:solidFill>
              <w14:schemeClr w14:val="accent5"/>
            </w14:solidFill>
          </w14:textFill>
        </w:rPr>
      </w:pP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Correspondence: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Hao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Li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(lihao_thu@hotmail.com</w:t>
      </w:r>
      <w:r>
        <w:rPr>
          <w:rFonts w:hint="eastAsia"/>
          <w:b/>
          <w:bCs/>
          <w:color w:val="4472C4" w:themeColor="accent5"/>
          <w:lang w:eastAsia="zh-CN"/>
          <w14:textFill>
            <w14:solidFill>
              <w14:schemeClr w14:val="accent5"/>
            </w14:solidFill>
          </w14:textFill>
        </w:rPr>
        <w:t>）</w:t>
      </w:r>
    </w:p>
    <w:p w14:paraId="2A05469F">
      <w:pPr>
        <w:pStyle w:val="5"/>
        <w:rPr>
          <w:rFonts w:hint="eastAsia"/>
        </w:rPr>
      </w:pPr>
    </w:p>
    <w:p w14:paraId="7D2B9E20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70B20B9E">
      <w:pPr>
        <w:pStyle w:val="5"/>
        <w:rPr>
          <w:rFonts w:hint="eastAsia"/>
        </w:rPr>
      </w:pPr>
      <w:r>
        <w:rPr>
          <w:rFonts w:hint="eastAsia"/>
        </w:rPr>
        <w:t xml:space="preserve">(1)College of Animal Husbandry and Veterinary Medicine, Jinzhou Medical </w:t>
      </w:r>
    </w:p>
    <w:p w14:paraId="44F7D0C9">
      <w:pPr>
        <w:pStyle w:val="5"/>
        <w:rPr>
          <w:rFonts w:hint="eastAsia"/>
        </w:rPr>
      </w:pPr>
      <w:r>
        <w:rPr>
          <w:rFonts w:hint="eastAsia"/>
        </w:rPr>
        <w:t>University, Jinzhou, 121001, China, jzmu.edu.cn.</w:t>
      </w:r>
    </w:p>
    <w:p w14:paraId="037E30B8">
      <w:pPr>
        <w:pStyle w:val="5"/>
        <w:rPr>
          <w:rFonts w:hint="eastAsia"/>
        </w:rPr>
      </w:pPr>
      <w:r>
        <w:rPr>
          <w:rFonts w:hint="eastAsia"/>
        </w:rPr>
        <w:t xml:space="preserve">(2)Collaborative Innovation Center for Prevention and Control of Zoonoses, </w:t>
      </w:r>
    </w:p>
    <w:p w14:paraId="2AB19372">
      <w:pPr>
        <w:pStyle w:val="5"/>
        <w:rPr>
          <w:rFonts w:hint="eastAsia"/>
        </w:rPr>
      </w:pPr>
      <w:r>
        <w:rPr>
          <w:rFonts w:hint="eastAsia"/>
        </w:rPr>
        <w:t xml:space="preserve">Provincial Key Laboratory of Animal Product Quality and Safety, Jinzhou Medical </w:t>
      </w:r>
    </w:p>
    <w:p w14:paraId="08F7A697">
      <w:pPr>
        <w:pStyle w:val="5"/>
        <w:rPr>
          <w:rFonts w:hint="eastAsia"/>
        </w:rPr>
      </w:pPr>
      <w:r>
        <w:rPr>
          <w:rFonts w:hint="eastAsia"/>
        </w:rPr>
        <w:t>University, Jinzhou, 121001, China, jzmu.edu.cn.</w:t>
      </w:r>
    </w:p>
    <w:p w14:paraId="5FFF2AB1">
      <w:pPr>
        <w:pStyle w:val="5"/>
        <w:rPr>
          <w:rFonts w:hint="eastAsia"/>
        </w:rPr>
      </w:pPr>
      <w:r>
        <w:rPr>
          <w:rFonts w:hint="eastAsia"/>
        </w:rPr>
        <w:t xml:space="preserve">(3)State Key Laboratory of Veterinary Public Health and Safety, College of </w:t>
      </w:r>
    </w:p>
    <w:p w14:paraId="2EA0DE1E">
      <w:pPr>
        <w:pStyle w:val="5"/>
        <w:rPr>
          <w:rFonts w:hint="eastAsia"/>
        </w:rPr>
      </w:pPr>
      <w:r>
        <w:rPr>
          <w:rFonts w:hint="eastAsia"/>
        </w:rPr>
        <w:t>Veterinary Medicine, China Agricultural University, Beijing, China, cau.edu.cn.</w:t>
      </w:r>
    </w:p>
    <w:p w14:paraId="5BF34DE2">
      <w:pPr>
        <w:pStyle w:val="5"/>
        <w:rPr>
          <w:rFonts w:hint="eastAsia"/>
        </w:rPr>
      </w:pPr>
    </w:p>
    <w:p w14:paraId="5A9D4957">
      <w:pPr>
        <w:pStyle w:val="5"/>
        <w:rPr>
          <w:rFonts w:hint="eastAsia"/>
        </w:rPr>
      </w:pPr>
      <w:r>
        <w:rPr>
          <w:rFonts w:hint="eastAsia"/>
        </w:rPr>
        <w:t xml:space="preserve">Tuberculosis (TB), caused by the Mycobacterium tuberculosis complex (MTBC), is a </w:t>
      </w:r>
    </w:p>
    <w:p w14:paraId="7F8AA788">
      <w:pPr>
        <w:pStyle w:val="5"/>
        <w:rPr>
          <w:rFonts w:hint="eastAsia"/>
        </w:rPr>
      </w:pPr>
      <w:r>
        <w:rPr>
          <w:rFonts w:hint="eastAsia"/>
        </w:rPr>
        <w:t xml:space="preserve">persistent global health crisis, remaining the world's leading infectious </w:t>
      </w:r>
    </w:p>
    <w:p w14:paraId="1F5D5DBB">
      <w:pPr>
        <w:pStyle w:val="5"/>
        <w:rPr>
          <w:rFonts w:hint="eastAsia"/>
        </w:rPr>
      </w:pPr>
      <w:r>
        <w:rPr>
          <w:rFonts w:hint="eastAsia"/>
        </w:rPr>
        <w:t xml:space="preserve">killer. There were abundant outer membrane proteins (OMPs) distributed in the </w:t>
      </w:r>
    </w:p>
    <w:p w14:paraId="23A0C113">
      <w:pPr>
        <w:pStyle w:val="5"/>
        <w:rPr>
          <w:rFonts w:hint="eastAsia"/>
        </w:rPr>
      </w:pPr>
      <w:r>
        <w:rPr>
          <w:rFonts w:hint="eastAsia"/>
        </w:rPr>
        <w:t xml:space="preserve">bacterial cell wall, while fewer proteins were identified and characterized as </w:t>
      </w:r>
    </w:p>
    <w:p w14:paraId="3EDBA74F">
      <w:pPr>
        <w:pStyle w:val="5"/>
        <w:rPr>
          <w:rFonts w:hint="eastAsia"/>
        </w:rPr>
      </w:pPr>
      <w:r>
        <w:rPr>
          <w:rFonts w:hint="eastAsia"/>
        </w:rPr>
        <w:t xml:space="preserve">antigens that could induce protective antibodies against TB. The OMPs of BCG </w:t>
      </w:r>
    </w:p>
    <w:p w14:paraId="411C3085">
      <w:pPr>
        <w:pStyle w:val="5"/>
        <w:rPr>
          <w:rFonts w:hint="eastAsia"/>
        </w:rPr>
      </w:pPr>
      <w:r>
        <w:rPr>
          <w:rFonts w:hint="eastAsia"/>
        </w:rPr>
        <w:t xml:space="preserve">were extracted with the detergent N-octyl-β-D-glucopyranoside, and the extracted </w:t>
      </w:r>
    </w:p>
    <w:p w14:paraId="18A42603">
      <w:pPr>
        <w:pStyle w:val="5"/>
        <w:rPr>
          <w:rFonts w:hint="eastAsia"/>
        </w:rPr>
      </w:pPr>
      <w:r>
        <w:rPr>
          <w:rFonts w:hint="eastAsia"/>
        </w:rPr>
        <w:t xml:space="preserve">proteins were used to immunize mice to generate an antibody library. </w:t>
      </w:r>
    </w:p>
    <w:p w14:paraId="7C400E74">
      <w:pPr>
        <w:pStyle w:val="5"/>
        <w:rPr>
          <w:rFonts w:hint="eastAsia"/>
        </w:rPr>
      </w:pPr>
      <w:r>
        <w:rPr>
          <w:rFonts w:hint="eastAsia"/>
        </w:rPr>
        <w:t xml:space="preserve">Subsequently, the library underwent HAT/HT screening, and five specific </w:t>
      </w:r>
    </w:p>
    <w:p w14:paraId="2A63C8DF">
      <w:pPr>
        <w:pStyle w:val="5"/>
        <w:rPr>
          <w:rFonts w:hint="eastAsia"/>
        </w:rPr>
      </w:pPr>
      <w:r>
        <w:rPr>
          <w:rFonts w:hint="eastAsia"/>
        </w:rPr>
        <w:t xml:space="preserve">monoclonal antibodies (mAbs) targeting OMPs with higher titers named 9C5, 14E9, </w:t>
      </w:r>
    </w:p>
    <w:p w14:paraId="6BF80E77">
      <w:pPr>
        <w:pStyle w:val="5"/>
        <w:rPr>
          <w:rFonts w:hint="eastAsia"/>
        </w:rPr>
      </w:pPr>
      <w:r>
        <w:rPr>
          <w:rFonts w:hint="eastAsia"/>
        </w:rPr>
        <w:t xml:space="preserve">9F6, 7B10, and 6F4 were obtained. Among the five mAbs, 9C5, 14E9, and 9F6 could </w:t>
      </w:r>
    </w:p>
    <w:p w14:paraId="01CFFF78">
      <w:pPr>
        <w:pStyle w:val="5"/>
        <w:rPr>
          <w:rFonts w:hint="eastAsia"/>
        </w:rPr>
      </w:pPr>
      <w:r>
        <w:rPr>
          <w:rFonts w:hint="eastAsia"/>
        </w:rPr>
        <w:t xml:space="preserve">increase macrophage phagocytosis, inhibit the mycobacteria growth in peripheral </w:t>
      </w:r>
    </w:p>
    <w:p w14:paraId="5161A848">
      <w:pPr>
        <w:pStyle w:val="5"/>
        <w:rPr>
          <w:rFonts w:hint="eastAsia"/>
        </w:rPr>
      </w:pPr>
      <w:r>
        <w:rPr>
          <w:rFonts w:hint="eastAsia"/>
        </w:rPr>
        <w:t xml:space="preserve">blood mononuclear cells (PBMCs), and enhance the fusion of phagosomes and </w:t>
      </w:r>
    </w:p>
    <w:p w14:paraId="2D4A4510">
      <w:pPr>
        <w:pStyle w:val="5"/>
        <w:rPr>
          <w:rFonts w:hint="eastAsia"/>
        </w:rPr>
      </w:pPr>
      <w:r>
        <w:rPr>
          <w:rFonts w:hint="eastAsia"/>
        </w:rPr>
        <w:t xml:space="preserve">lysosomes in macrophages. Mice were immunized with the three antibodies before </w:t>
      </w:r>
    </w:p>
    <w:p w14:paraId="38F94162">
      <w:pPr>
        <w:pStyle w:val="5"/>
        <w:rPr>
          <w:rFonts w:hint="eastAsia"/>
        </w:rPr>
      </w:pPr>
      <w:r>
        <w:rPr>
          <w:rFonts w:hint="eastAsia"/>
        </w:rPr>
        <w:t xml:space="preserve">being challenged with M. bovis, among which two antibodies, 14E9 and 9C5, </w:t>
      </w:r>
    </w:p>
    <w:p w14:paraId="15A7A06B">
      <w:pPr>
        <w:pStyle w:val="5"/>
        <w:rPr>
          <w:rFonts w:hint="eastAsia"/>
        </w:rPr>
      </w:pPr>
      <w:r>
        <w:rPr>
          <w:rFonts w:hint="eastAsia"/>
        </w:rPr>
        <w:t xml:space="preserve">exhibited a preventive effect against TB infection. Furthermore, antibody 9C5 </w:t>
      </w:r>
    </w:p>
    <w:p w14:paraId="115B7EE3">
      <w:pPr>
        <w:pStyle w:val="5"/>
        <w:rPr>
          <w:rFonts w:hint="eastAsia"/>
        </w:rPr>
      </w:pPr>
      <w:r>
        <w:rPr>
          <w:rFonts w:hint="eastAsia"/>
        </w:rPr>
        <w:t xml:space="preserve">also showed a therapeutic effect, characterized by significant decreases in lung </w:t>
      </w:r>
    </w:p>
    <w:p w14:paraId="7E239DA1">
      <w:pPr>
        <w:pStyle w:val="5"/>
        <w:rPr>
          <w:rFonts w:hint="eastAsia"/>
        </w:rPr>
      </w:pPr>
      <w:r>
        <w:rPr>
          <w:rFonts w:hint="eastAsia"/>
        </w:rPr>
        <w:t xml:space="preserve">burden and ameliorated lung lesions. The antigens targeted by the two antibodies </w:t>
      </w:r>
    </w:p>
    <w:p w14:paraId="39CB5177">
      <w:pPr>
        <w:pStyle w:val="5"/>
        <w:rPr>
          <w:rFonts w:hint="eastAsia"/>
        </w:rPr>
      </w:pPr>
      <w:r>
        <w:rPr>
          <w:rFonts w:hint="eastAsia"/>
        </w:rPr>
        <w:t xml:space="preserve">9C5 and 14E9 were identified by coimmunoprecipitation (co-IP) combined with mass </w:t>
      </w:r>
    </w:p>
    <w:p w14:paraId="74257116">
      <w:pPr>
        <w:pStyle w:val="5"/>
        <w:rPr>
          <w:rFonts w:hint="eastAsia"/>
        </w:rPr>
      </w:pPr>
      <w:r>
        <w:rPr>
          <w:rFonts w:hint="eastAsia"/>
        </w:rPr>
        <w:t xml:space="preserve">spectrometry (MS), and the results demonstrated that antibodies 9C5 and 14E9 </w:t>
      </w:r>
    </w:p>
    <w:p w14:paraId="63B72F77">
      <w:pPr>
        <w:pStyle w:val="5"/>
        <w:rPr>
          <w:rFonts w:hint="eastAsia"/>
        </w:rPr>
      </w:pPr>
      <w:r>
        <w:rPr>
          <w:rFonts w:hint="eastAsia"/>
        </w:rPr>
        <w:t xml:space="preserve">recognize BCG_2760c and MPB83, respectively. This research promotes a better </w:t>
      </w:r>
    </w:p>
    <w:p w14:paraId="410EAD6C">
      <w:pPr>
        <w:pStyle w:val="5"/>
        <w:rPr>
          <w:rFonts w:hint="eastAsia"/>
        </w:rPr>
      </w:pPr>
      <w:r>
        <w:rPr>
          <w:rFonts w:hint="eastAsia"/>
        </w:rPr>
        <w:t xml:space="preserve">understanding of host protective humoral immunity by BCG vaccination and the </w:t>
      </w:r>
    </w:p>
    <w:p w14:paraId="7D73E3A3">
      <w:pPr>
        <w:pStyle w:val="5"/>
        <w:rPr>
          <w:rFonts w:hint="eastAsia"/>
        </w:rPr>
      </w:pPr>
      <w:r>
        <w:rPr>
          <w:rFonts w:hint="eastAsia"/>
        </w:rPr>
        <w:t>roles of antibodies in TB vaccine design and development.</w:t>
      </w:r>
    </w:p>
    <w:p w14:paraId="4AA96FD4">
      <w:pPr>
        <w:pStyle w:val="5"/>
        <w:rPr>
          <w:rFonts w:hint="eastAsia"/>
        </w:rPr>
      </w:pPr>
    </w:p>
    <w:p w14:paraId="6A7C9A95">
      <w:pPr>
        <w:pStyle w:val="5"/>
        <w:rPr>
          <w:rFonts w:hint="eastAsia"/>
        </w:rPr>
      </w:pPr>
      <w:r>
        <w:rPr>
          <w:rFonts w:hint="eastAsia"/>
        </w:rPr>
        <w:t xml:space="preserve">Copyright © 2026 Huoming Li et al. Transboundary and Emerging Diseases published </w:t>
      </w:r>
    </w:p>
    <w:p w14:paraId="5CCD9FE8">
      <w:pPr>
        <w:pStyle w:val="5"/>
        <w:rPr>
          <w:rFonts w:hint="eastAsia"/>
        </w:rPr>
      </w:pPr>
      <w:r>
        <w:rPr>
          <w:rFonts w:hint="eastAsia"/>
        </w:rPr>
        <w:t>by John Wiley &amp; Sons Ltd.</w:t>
      </w:r>
    </w:p>
    <w:p w14:paraId="4C220223">
      <w:pPr>
        <w:pStyle w:val="5"/>
        <w:rPr>
          <w:rFonts w:hint="eastAsia"/>
        </w:rPr>
      </w:pPr>
    </w:p>
    <w:p w14:paraId="14797838">
      <w:pPr>
        <w:pStyle w:val="5"/>
        <w:rPr>
          <w:rFonts w:hint="eastAsia"/>
        </w:rPr>
      </w:pPr>
      <w:r>
        <w:rPr>
          <w:rFonts w:hint="eastAsia"/>
        </w:rPr>
        <w:t>DOI: 10.1155/tbed/5410388</w:t>
      </w:r>
    </w:p>
    <w:p w14:paraId="2E44DB5B">
      <w:pPr>
        <w:pStyle w:val="5"/>
        <w:rPr>
          <w:rFonts w:hint="eastAsia"/>
        </w:rPr>
      </w:pPr>
      <w:r>
        <w:rPr>
          <w:rFonts w:hint="eastAsia"/>
        </w:rPr>
        <w:t>PMCID: PMC13673303</w:t>
      </w:r>
    </w:p>
    <w:p w14:paraId="6969A44F">
      <w:pPr>
        <w:pStyle w:val="5"/>
        <w:rPr>
          <w:rFonts w:hint="eastAsia"/>
        </w:rPr>
      </w:pPr>
      <w:r>
        <w:rPr>
          <w:rFonts w:hint="eastAsia"/>
        </w:rPr>
        <w:t>PMID: 42885427 [Indexed for MEDLINE]</w:t>
      </w:r>
    </w:p>
    <w:p w14:paraId="127B0AA8">
      <w:pPr>
        <w:pStyle w:val="5"/>
        <w:rPr>
          <w:rFonts w:hint="eastAsia"/>
        </w:rPr>
      </w:pPr>
    </w:p>
    <w:p w14:paraId="4BB0D732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22</w:t>
      </w:r>
      <w:r>
        <w:rPr>
          <w:rFonts w:hint="eastAsia"/>
          <w:b/>
          <w:bCs/>
          <w:color w:val="FF0000"/>
        </w:rPr>
        <w:t xml:space="preserve">. Front Cell Infect Microbiol. 2026 Sep 30;16:1912983. doi: </w:t>
      </w:r>
    </w:p>
    <w:p w14:paraId="38F2DD5B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10.3389/fcimb.2026.1912983. eCollection 2026.</w:t>
      </w:r>
    </w:p>
    <w:p w14:paraId="61FF7666">
      <w:pPr>
        <w:pStyle w:val="5"/>
        <w:rPr>
          <w:rFonts w:hint="eastAsia"/>
        </w:rPr>
      </w:pPr>
    </w:p>
    <w:p w14:paraId="0857D6F6">
      <w:pPr>
        <w:pStyle w:val="5"/>
        <w:rPr>
          <w:rFonts w:hint="eastAsia"/>
        </w:rPr>
      </w:pPr>
      <w:r>
        <w:rPr>
          <w:rFonts w:hint="eastAsia"/>
        </w:rPr>
        <w:t xml:space="preserve">Immunogenicity and protective efficacy of recombinant BCG expressing a </w:t>
      </w:r>
    </w:p>
    <w:p w14:paraId="0E98A4E7">
      <w:pPr>
        <w:pStyle w:val="5"/>
        <w:rPr>
          <w:rFonts w:hint="eastAsia"/>
        </w:rPr>
      </w:pPr>
      <w:r>
        <w:rPr>
          <w:rFonts w:hint="eastAsia"/>
        </w:rPr>
        <w:t>multi-epitope vaccine against mycobacterium tuberculosis.</w:t>
      </w:r>
    </w:p>
    <w:p w14:paraId="0EF01B89">
      <w:pPr>
        <w:pStyle w:val="5"/>
        <w:rPr>
          <w:rFonts w:hint="eastAsia"/>
        </w:rPr>
      </w:pPr>
    </w:p>
    <w:p w14:paraId="31D33C1B">
      <w:pPr>
        <w:pStyle w:val="5"/>
        <w:rPr>
          <w:rFonts w:hint="eastAsia"/>
        </w:rPr>
      </w:pPr>
      <w:r>
        <w:rPr>
          <w:rFonts w:hint="eastAsia"/>
        </w:rPr>
        <w:t xml:space="preserve">Zhang XJ(#)(1), Luo JR(#)(1), Tian TT(1), Shi J(1), Chai ZL(1), Li C(1), Zhang </w:t>
      </w:r>
    </w:p>
    <w:p w14:paraId="3ADD8A9D">
      <w:pPr>
        <w:pStyle w:val="5"/>
        <w:rPr>
          <w:rFonts w:hint="eastAsia"/>
        </w:rPr>
      </w:pPr>
      <w:r>
        <w:rPr>
          <w:rFonts w:hint="eastAsia"/>
        </w:rPr>
        <w:t>SY(1), Qu T(2), Zhang FB(1), Zhu YJ(3).</w:t>
      </w:r>
    </w:p>
    <w:p w14:paraId="6F433BD6">
      <w:pPr>
        <w:pStyle w:val="5"/>
        <w:rPr>
          <w:rFonts w:hint="eastAsia"/>
        </w:rPr>
      </w:pPr>
    </w:p>
    <w:p w14:paraId="5D98123E">
      <w:pPr>
        <w:pStyle w:val="5"/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Xuan-Ji Zhang,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Jia-Rui Luo,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Ting-Ting Tian,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Juan Shi,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Zheng-Long Chai,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Chuang Li,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Si-Yu Zhang,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Tao Qu,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Feng-Bo Zhang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,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Yue-Jie Zhu</w:t>
      </w:r>
      <w:r>
        <w:rPr>
          <w:rFonts w:hint="eastAsia"/>
          <w:b/>
          <w:bCs/>
          <w:color w:val="4472C4" w:themeColor="accent5"/>
          <w:lang w:val="en-US" w:eastAsia="zh-CN"/>
          <w14:textFill>
            <w14:solidFill>
              <w14:schemeClr w14:val="accent5"/>
            </w14:solidFill>
          </w14:textFill>
        </w:rPr>
        <w:t>*</w:t>
      </w:r>
    </w:p>
    <w:p w14:paraId="1D091DE4">
      <w:pPr>
        <w:pStyle w:val="5"/>
        <w:jc w:val="left"/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</w:pP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*CORRESPONDENCE Feng-bo Zhang</w:t>
      </w:r>
      <w:r>
        <w:rPr>
          <w:rFonts w:hint="eastAsia"/>
          <w:b/>
          <w:bCs/>
          <w:color w:val="4472C4" w:themeColor="accent5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zfb131@163.com</w:t>
      </w:r>
      <w:r>
        <w:rPr>
          <w:rFonts w:hint="eastAsia"/>
          <w:b/>
          <w:bCs/>
          <w:color w:val="4472C4" w:themeColor="accent5"/>
          <w:lang w:eastAsia="zh-CN"/>
          <w14:textFill>
            <w14:solidFill>
              <w14:schemeClr w14:val="accent5"/>
            </w14:solidFill>
          </w14:textFill>
        </w:rPr>
        <w:t>；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Yue-jie Zhu</w:t>
      </w:r>
      <w:r>
        <w:rPr>
          <w:rFonts w:hint="eastAsia"/>
          <w:b/>
          <w:bCs/>
          <w:color w:val="4472C4" w:themeColor="accent5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/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 xml:space="preserve"> zhuyuejie_1216@163.com</w:t>
      </w:r>
    </w:p>
    <w:p w14:paraId="13B2F833">
      <w:pPr>
        <w:pStyle w:val="5"/>
        <w:rPr>
          <w:rFonts w:hint="eastAsia"/>
        </w:rPr>
      </w:pPr>
    </w:p>
    <w:p w14:paraId="69BE061B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3ED18FEE">
      <w:pPr>
        <w:pStyle w:val="5"/>
        <w:rPr>
          <w:rFonts w:hint="eastAsia"/>
        </w:rPr>
      </w:pPr>
      <w:r>
        <w:rPr>
          <w:rFonts w:hint="eastAsia"/>
        </w:rPr>
        <w:t xml:space="preserve">(1)Department of Clinical Laboratory, The First Affiliated Hospital of Xinjiang </w:t>
      </w:r>
    </w:p>
    <w:p w14:paraId="6CA015C8">
      <w:pPr>
        <w:pStyle w:val="5"/>
        <w:rPr>
          <w:rFonts w:hint="eastAsia"/>
        </w:rPr>
      </w:pPr>
      <w:r>
        <w:rPr>
          <w:rFonts w:hint="eastAsia"/>
        </w:rPr>
        <w:t>Medical University, Urumqi, Xinjiang, China.</w:t>
      </w:r>
    </w:p>
    <w:p w14:paraId="364554F5">
      <w:pPr>
        <w:pStyle w:val="5"/>
        <w:rPr>
          <w:rFonts w:hint="eastAsia"/>
        </w:rPr>
      </w:pPr>
      <w:r>
        <w:rPr>
          <w:rFonts w:hint="eastAsia"/>
        </w:rPr>
        <w:t xml:space="preserve">(2)Department of Clinical Laboratory, The Second People's Hospital of Kashgar </w:t>
      </w:r>
    </w:p>
    <w:p w14:paraId="45194DB8">
      <w:pPr>
        <w:pStyle w:val="5"/>
        <w:rPr>
          <w:rFonts w:hint="eastAsia"/>
        </w:rPr>
      </w:pPr>
      <w:r>
        <w:rPr>
          <w:rFonts w:hint="eastAsia"/>
        </w:rPr>
        <w:t>Prefecture, Kashgar, Xinjiang, China.</w:t>
      </w:r>
    </w:p>
    <w:p w14:paraId="2A7DFDA2">
      <w:pPr>
        <w:pStyle w:val="5"/>
        <w:rPr>
          <w:rFonts w:hint="eastAsia"/>
        </w:rPr>
      </w:pPr>
      <w:r>
        <w:rPr>
          <w:rFonts w:hint="eastAsia"/>
        </w:rPr>
        <w:t xml:space="preserve">(3)Reproductive Medicine Center, The First Affiliated Hospital of Xinjiang </w:t>
      </w:r>
    </w:p>
    <w:p w14:paraId="1AE80A8B">
      <w:pPr>
        <w:pStyle w:val="5"/>
        <w:rPr>
          <w:rFonts w:hint="eastAsia"/>
        </w:rPr>
      </w:pPr>
      <w:r>
        <w:rPr>
          <w:rFonts w:hint="eastAsia"/>
        </w:rPr>
        <w:t>Medical University, Urumqi, Xinjiang, China.</w:t>
      </w:r>
    </w:p>
    <w:p w14:paraId="5753D34B">
      <w:pPr>
        <w:pStyle w:val="5"/>
        <w:rPr>
          <w:rFonts w:hint="eastAsia"/>
        </w:rPr>
      </w:pPr>
      <w:r>
        <w:rPr>
          <w:rFonts w:hint="eastAsia"/>
        </w:rPr>
        <w:t>(#)Contributed equally</w:t>
      </w:r>
    </w:p>
    <w:p w14:paraId="021E79DC">
      <w:pPr>
        <w:pStyle w:val="5"/>
        <w:rPr>
          <w:rFonts w:hint="eastAsia"/>
        </w:rPr>
      </w:pPr>
    </w:p>
    <w:p w14:paraId="582CAAE5">
      <w:pPr>
        <w:pStyle w:val="5"/>
        <w:rPr>
          <w:rFonts w:hint="eastAsia"/>
        </w:rPr>
      </w:pPr>
      <w:r>
        <w:rPr>
          <w:rFonts w:hint="eastAsia"/>
          <w:b/>
          <w:bCs/>
        </w:rPr>
        <w:t>INTRODUCTION:</w:t>
      </w:r>
      <w:r>
        <w:rPr>
          <w:rFonts w:hint="eastAsia"/>
        </w:rPr>
        <w:t xml:space="preserve"> Mycobacterium tuberculosis (Mtb) infects approximately one-quarter </w:t>
      </w:r>
    </w:p>
    <w:p w14:paraId="3F26BDC4">
      <w:pPr>
        <w:pStyle w:val="5"/>
        <w:rPr>
          <w:rFonts w:hint="eastAsia"/>
        </w:rPr>
      </w:pPr>
      <w:r>
        <w:rPr>
          <w:rFonts w:hint="eastAsia"/>
        </w:rPr>
        <w:t xml:space="preserve">of the global population, of whom 5%-10% develop active tuberculosis (TB). </w:t>
      </w:r>
    </w:p>
    <w:p w14:paraId="1F17D59F">
      <w:pPr>
        <w:pStyle w:val="5"/>
        <w:rPr>
          <w:rFonts w:hint="eastAsia"/>
        </w:rPr>
      </w:pPr>
      <w:r>
        <w:rPr>
          <w:rFonts w:hint="eastAsia"/>
        </w:rPr>
        <w:t xml:space="preserve">Although Bacillus Calmette-Guérin (BCG) remains the cornerstone vaccine against </w:t>
      </w:r>
    </w:p>
    <w:p w14:paraId="582E824E">
      <w:pPr>
        <w:pStyle w:val="5"/>
        <w:rPr>
          <w:rFonts w:hint="eastAsia"/>
        </w:rPr>
      </w:pPr>
      <w:r>
        <w:rPr>
          <w:rFonts w:hint="eastAsia"/>
        </w:rPr>
        <w:t xml:space="preserve">severe infant TB, its efficacy in adults is limited, underscoring the need for </w:t>
      </w:r>
    </w:p>
    <w:p w14:paraId="735F97E0">
      <w:pPr>
        <w:pStyle w:val="5"/>
        <w:rPr>
          <w:rFonts w:hint="eastAsia"/>
        </w:rPr>
      </w:pPr>
      <w:r>
        <w:rPr>
          <w:rFonts w:hint="eastAsia"/>
        </w:rPr>
        <w:t xml:space="preserve">novel TB vaccines. This study aimed to design a multi-epitope vaccine, tMEV, and </w:t>
      </w:r>
    </w:p>
    <w:p w14:paraId="3E89243F">
      <w:pPr>
        <w:pStyle w:val="5"/>
        <w:rPr>
          <w:rFonts w:hint="eastAsia"/>
        </w:rPr>
      </w:pPr>
      <w:r>
        <w:rPr>
          <w:rFonts w:hint="eastAsia"/>
        </w:rPr>
        <w:t xml:space="preserve">validate its protective potential through bioinformatic prediction and in vivo </w:t>
      </w:r>
    </w:p>
    <w:p w14:paraId="02CC8E89">
      <w:pPr>
        <w:pStyle w:val="5"/>
        <w:rPr>
          <w:rFonts w:hint="eastAsia"/>
        </w:rPr>
      </w:pPr>
      <w:r>
        <w:rPr>
          <w:rFonts w:hint="eastAsia"/>
        </w:rPr>
        <w:t>experiments.</w:t>
      </w:r>
    </w:p>
    <w:p w14:paraId="62E97F5A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tMEV was constructed from dominant T- and B-cell epitopes derived from </w:t>
      </w:r>
    </w:p>
    <w:p w14:paraId="70D42FB4">
      <w:pPr>
        <w:pStyle w:val="5"/>
        <w:rPr>
          <w:rFonts w:hint="eastAsia"/>
        </w:rPr>
      </w:pPr>
      <w:r>
        <w:rPr>
          <w:rFonts w:hint="eastAsia"/>
        </w:rPr>
        <w:t xml:space="preserve">Mtb ESAT-6, PE35, PPE38, and PE4 proteins, fused with an adjuvant. Its vaccine </w:t>
      </w:r>
    </w:p>
    <w:p w14:paraId="45792B28">
      <w:pPr>
        <w:pStyle w:val="5"/>
        <w:rPr>
          <w:rFonts w:hint="eastAsia"/>
        </w:rPr>
      </w:pPr>
      <w:r>
        <w:rPr>
          <w:rFonts w:hint="eastAsia"/>
        </w:rPr>
        <w:t xml:space="preserve">candidacy was assessed via physicochemical and solubility profiling, secondary </w:t>
      </w:r>
    </w:p>
    <w:p w14:paraId="6C69D662">
      <w:pPr>
        <w:pStyle w:val="5"/>
        <w:rPr>
          <w:rFonts w:hint="eastAsia"/>
        </w:rPr>
      </w:pPr>
      <w:r>
        <w:rPr>
          <w:rFonts w:hint="eastAsia"/>
        </w:rPr>
        <w:t xml:space="preserve">and tertiary structure modeling, TLR-4 molecular docking, molecular dynamics </w:t>
      </w:r>
    </w:p>
    <w:p w14:paraId="7CB306BF">
      <w:pPr>
        <w:pStyle w:val="5"/>
        <w:rPr>
          <w:rFonts w:hint="eastAsia"/>
        </w:rPr>
      </w:pPr>
      <w:r>
        <w:rPr>
          <w:rFonts w:hint="eastAsia"/>
        </w:rPr>
        <w:t xml:space="preserve">simulation, and immune simulation. The tMEV coding sequence was cloned into </w:t>
      </w:r>
    </w:p>
    <w:p w14:paraId="4EA679E9">
      <w:pPr>
        <w:pStyle w:val="5"/>
        <w:rPr>
          <w:rFonts w:hint="eastAsia"/>
        </w:rPr>
      </w:pPr>
      <w:r>
        <w:rPr>
          <w:rFonts w:hint="eastAsia"/>
        </w:rPr>
        <w:t xml:space="preserve">pMV361 and transformed into BCG to generate recombinant BCG (rBCG-tMEV). </w:t>
      </w:r>
    </w:p>
    <w:p w14:paraId="65BFC940">
      <w:pPr>
        <w:pStyle w:val="5"/>
        <w:rPr>
          <w:rFonts w:hint="eastAsia"/>
        </w:rPr>
      </w:pPr>
      <w:r>
        <w:rPr>
          <w:rFonts w:hint="eastAsia"/>
        </w:rPr>
        <w:t xml:space="preserve">Immunogenicity, antigenicity, and protective efficacy were evaluated in mouse </w:t>
      </w:r>
    </w:p>
    <w:p w14:paraId="14CA0006">
      <w:pPr>
        <w:pStyle w:val="5"/>
        <w:rPr>
          <w:rFonts w:hint="eastAsia"/>
        </w:rPr>
      </w:pPr>
      <w:r>
        <w:rPr>
          <w:rFonts w:hint="eastAsia"/>
        </w:rPr>
        <w:t>immunization and Mtb challenge models.</w:t>
      </w:r>
    </w:p>
    <w:p w14:paraId="773E0E3D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tMEV exhibited favorable vaccine-like properties in silico. In mice, </w:t>
      </w:r>
    </w:p>
    <w:p w14:paraId="3EAF7826">
      <w:pPr>
        <w:pStyle w:val="5"/>
        <w:rPr>
          <w:rFonts w:hint="eastAsia"/>
        </w:rPr>
      </w:pPr>
      <w:r>
        <w:rPr>
          <w:rFonts w:hint="eastAsia"/>
        </w:rPr>
        <w:t xml:space="preserve">both tMEV and rBCG-tMEV induced Mtb-specific immune responses. Compared with </w:t>
      </w:r>
    </w:p>
    <w:p w14:paraId="2E2FA463">
      <w:pPr>
        <w:pStyle w:val="5"/>
        <w:rPr>
          <w:rFonts w:hint="eastAsia"/>
        </w:rPr>
      </w:pPr>
      <w:r>
        <w:rPr>
          <w:rFonts w:hint="eastAsia"/>
        </w:rPr>
        <w:t xml:space="preserve">PBS, tMEV significantly enhanced cellular and humoral immunity with a Th2-biased </w:t>
      </w:r>
    </w:p>
    <w:p w14:paraId="37C9D520">
      <w:pPr>
        <w:pStyle w:val="5"/>
        <w:rPr>
          <w:rFonts w:hint="eastAsia"/>
        </w:rPr>
      </w:pPr>
      <w:r>
        <w:rPr>
          <w:rFonts w:hint="eastAsia"/>
        </w:rPr>
        <w:t xml:space="preserve">profile. Relative to conventional BCG, rBCG-tMEV elicited a superior mixed </w:t>
      </w:r>
    </w:p>
    <w:p w14:paraId="2FBA086A">
      <w:pPr>
        <w:pStyle w:val="5"/>
        <w:rPr>
          <w:rFonts w:hint="eastAsia"/>
        </w:rPr>
      </w:pPr>
      <w:r>
        <w:rPr>
          <w:rFonts w:hint="eastAsia"/>
        </w:rPr>
        <w:t xml:space="preserve">Th1-Th2 response and higher antigen-specific immunity, accompanied by increased </w:t>
      </w:r>
    </w:p>
    <w:p w14:paraId="153AB346">
      <w:pPr>
        <w:pStyle w:val="5"/>
        <w:rPr>
          <w:rFonts w:hint="eastAsia"/>
        </w:rPr>
      </w:pPr>
      <w:r>
        <w:rPr>
          <w:rFonts w:hint="eastAsia"/>
        </w:rPr>
        <w:t xml:space="preserve">secretion of IFN-γ, IL-2, TNF-α, granzyme B, and perforin. Moreover, rBCG-tMEV </w:t>
      </w:r>
    </w:p>
    <w:p w14:paraId="1D9CAAF6">
      <w:pPr>
        <w:pStyle w:val="5"/>
        <w:rPr>
          <w:rFonts w:hint="eastAsia"/>
        </w:rPr>
      </w:pPr>
      <w:r>
        <w:rPr>
          <w:rFonts w:hint="eastAsia"/>
        </w:rPr>
        <w:t xml:space="preserve">markedly reduced bacterial loads in the lungs and spleens of Mtb-infected mice, </w:t>
      </w:r>
    </w:p>
    <w:p w14:paraId="0CBE5266">
      <w:pPr>
        <w:pStyle w:val="5"/>
        <w:rPr>
          <w:rFonts w:hint="eastAsia"/>
        </w:rPr>
      </w:pPr>
      <w:r>
        <w:rPr>
          <w:rFonts w:hint="eastAsia"/>
        </w:rPr>
        <w:t>conferring partial protection.</w:t>
      </w:r>
    </w:p>
    <w:p w14:paraId="351D3AE2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DISCUSSION: </w:t>
      </w:r>
      <w:r>
        <w:rPr>
          <w:rFonts w:hint="eastAsia"/>
        </w:rPr>
        <w:t xml:space="preserve">These findings demonstrate that tMEV and rBCG-tMEV possess robust </w:t>
      </w:r>
    </w:p>
    <w:p w14:paraId="66D8FE32">
      <w:pPr>
        <w:pStyle w:val="5"/>
        <w:rPr>
          <w:rFonts w:hint="eastAsia"/>
        </w:rPr>
      </w:pPr>
      <w:r>
        <w:rPr>
          <w:rFonts w:hint="eastAsia"/>
        </w:rPr>
        <w:t xml:space="preserve">immunogenicity and protective potential against Mtb, representing promising </w:t>
      </w:r>
    </w:p>
    <w:p w14:paraId="06432857">
      <w:pPr>
        <w:pStyle w:val="5"/>
        <w:rPr>
          <w:rFonts w:hint="eastAsia"/>
        </w:rPr>
      </w:pPr>
      <w:r>
        <w:rPr>
          <w:rFonts w:hint="eastAsia"/>
        </w:rPr>
        <w:t xml:space="preserve">novel TB vaccine candidates and providing a rationale for future vaccine </w:t>
      </w:r>
    </w:p>
    <w:p w14:paraId="1D8FA836">
      <w:pPr>
        <w:pStyle w:val="5"/>
        <w:rPr>
          <w:rFonts w:hint="eastAsia"/>
        </w:rPr>
      </w:pPr>
      <w:r>
        <w:rPr>
          <w:rFonts w:hint="eastAsia"/>
        </w:rPr>
        <w:t>development and optimization.</w:t>
      </w:r>
    </w:p>
    <w:p w14:paraId="1E594F6D">
      <w:pPr>
        <w:pStyle w:val="5"/>
        <w:rPr>
          <w:rFonts w:hint="eastAsia"/>
        </w:rPr>
      </w:pPr>
    </w:p>
    <w:p w14:paraId="344C281E">
      <w:pPr>
        <w:pStyle w:val="5"/>
        <w:rPr>
          <w:rFonts w:hint="eastAsia"/>
        </w:rPr>
      </w:pPr>
      <w:r>
        <w:rPr>
          <w:rFonts w:hint="eastAsia"/>
        </w:rPr>
        <w:t>Copyright © 2026 Zhang, Luo, Tian, Shi, Chai, Li, Zhang, Qu, Zhang and Zhu.</w:t>
      </w:r>
    </w:p>
    <w:p w14:paraId="67CC09FE">
      <w:pPr>
        <w:pStyle w:val="5"/>
        <w:rPr>
          <w:rFonts w:hint="eastAsia"/>
        </w:rPr>
      </w:pPr>
    </w:p>
    <w:p w14:paraId="30421CB7">
      <w:pPr>
        <w:pStyle w:val="5"/>
        <w:rPr>
          <w:rFonts w:hint="eastAsia"/>
        </w:rPr>
      </w:pPr>
      <w:r>
        <w:rPr>
          <w:rFonts w:hint="eastAsia"/>
        </w:rPr>
        <w:t>DOI: 10.3389/fcimb.2026.1912983</w:t>
      </w:r>
    </w:p>
    <w:p w14:paraId="0AE5B2C7">
      <w:pPr>
        <w:pStyle w:val="5"/>
        <w:rPr>
          <w:rFonts w:hint="eastAsia"/>
        </w:rPr>
      </w:pPr>
      <w:r>
        <w:rPr>
          <w:rFonts w:hint="eastAsia"/>
        </w:rPr>
        <w:t>PMCID: PMC13661456</w:t>
      </w:r>
    </w:p>
    <w:p w14:paraId="0DE2F361">
      <w:pPr>
        <w:pStyle w:val="5"/>
        <w:rPr>
          <w:rFonts w:hint="eastAsia"/>
        </w:rPr>
      </w:pPr>
      <w:r>
        <w:rPr>
          <w:rFonts w:hint="eastAsia"/>
        </w:rPr>
        <w:t>PMID: 42876677 [Indexed for MEDLINE]</w:t>
      </w:r>
    </w:p>
    <w:p w14:paraId="5A0CBDBD">
      <w:pPr>
        <w:pStyle w:val="5"/>
        <w:rPr>
          <w:rFonts w:hint="eastAsia"/>
        </w:rPr>
      </w:pPr>
    </w:p>
    <w:p w14:paraId="7F8B1226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23</w:t>
      </w:r>
      <w:r>
        <w:rPr>
          <w:rFonts w:hint="eastAsia"/>
          <w:b/>
          <w:bCs/>
          <w:color w:val="FF0000"/>
        </w:rPr>
        <w:t xml:space="preserve">. Front Med (Lausanne). 2026 Sep 30;13:1968738. doi: 10.3389/fmed.2026.1968738. </w:t>
      </w:r>
    </w:p>
    <w:p w14:paraId="2D49D39E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136D5D76">
      <w:pPr>
        <w:pStyle w:val="5"/>
        <w:rPr>
          <w:rFonts w:hint="eastAsia"/>
        </w:rPr>
      </w:pPr>
    </w:p>
    <w:p w14:paraId="49AD9742">
      <w:pPr>
        <w:pStyle w:val="5"/>
        <w:rPr>
          <w:rFonts w:hint="eastAsia"/>
        </w:rPr>
      </w:pPr>
      <w:r>
        <w:rPr>
          <w:rFonts w:hint="eastAsia"/>
        </w:rPr>
        <w:t xml:space="preserve">Case Report: Analysis of antimicrobial therapy and pharmaceutical care of mixed </w:t>
      </w:r>
    </w:p>
    <w:p w14:paraId="1AD322A3">
      <w:pPr>
        <w:pStyle w:val="5"/>
        <w:rPr>
          <w:rFonts w:hint="eastAsia"/>
        </w:rPr>
      </w:pPr>
      <w:r>
        <w:rPr>
          <w:rFonts w:hint="eastAsia"/>
        </w:rPr>
        <w:t xml:space="preserve">Aspergillus and Mycobacterium tuberculosis infection following renal </w:t>
      </w:r>
    </w:p>
    <w:p w14:paraId="7EA0A823">
      <w:pPr>
        <w:pStyle w:val="5"/>
        <w:rPr>
          <w:rFonts w:hint="eastAsia"/>
        </w:rPr>
      </w:pPr>
      <w:r>
        <w:rPr>
          <w:rFonts w:hint="eastAsia"/>
        </w:rPr>
        <w:t>transplantation: a case study.</w:t>
      </w:r>
    </w:p>
    <w:p w14:paraId="27FE7E3B">
      <w:pPr>
        <w:pStyle w:val="5"/>
        <w:rPr>
          <w:rFonts w:hint="eastAsia"/>
        </w:rPr>
      </w:pPr>
    </w:p>
    <w:p w14:paraId="0D0E17C0">
      <w:pPr>
        <w:pStyle w:val="5"/>
        <w:rPr>
          <w:rFonts w:hint="eastAsia"/>
        </w:rPr>
      </w:pPr>
      <w:r>
        <w:rPr>
          <w:rFonts w:hint="eastAsia"/>
        </w:rPr>
        <w:t>Zhang J(1), Zhao Y(1), Peng Y(2), Zheng X(2).</w:t>
      </w:r>
    </w:p>
    <w:p w14:paraId="7E3D0F52">
      <w:pPr>
        <w:pStyle w:val="5"/>
        <w:rPr>
          <w:rFonts w:hint="eastAsia"/>
        </w:rPr>
      </w:pPr>
    </w:p>
    <w:p w14:paraId="6E588375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Jiao Zhang,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Yue Zhao,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Yang Peng</w:t>
      </w: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Xin Zheng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18CADE8E">
      <w:pPr>
        <w:pStyle w:val="5"/>
        <w:jc w:val="left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*CORRESPONDENCE Xin Zheng</w:t>
      </w:r>
      <w:r>
        <w:rPr>
          <w:rFonts w:hint="eastAsia"/>
          <w:b/>
          <w:bCs/>
          <w:color w:val="0070C0"/>
          <w:lang w:eastAsia="zh-CN"/>
        </w:rPr>
        <w:t>，</w:t>
      </w:r>
      <w:r>
        <w:rPr>
          <w:rFonts w:hint="eastAsia"/>
          <w:b/>
          <w:bCs/>
          <w:color w:val="0070C0"/>
        </w:rPr>
        <w:t>rickyzheng0906@gmail.com</w:t>
      </w:r>
      <w:r>
        <w:rPr>
          <w:rFonts w:hint="eastAsia"/>
          <w:b/>
          <w:bCs/>
          <w:color w:val="0070C0"/>
          <w:lang w:eastAsia="zh-CN"/>
        </w:rPr>
        <w:t>；</w:t>
      </w:r>
      <w:r>
        <w:rPr>
          <w:rFonts w:hint="eastAsia"/>
          <w:b/>
          <w:bCs/>
          <w:color w:val="0070C0"/>
        </w:rPr>
        <w:t>Yang Peng</w:t>
      </w:r>
      <w:r>
        <w:rPr>
          <w:rFonts w:hint="eastAsia"/>
          <w:b/>
          <w:bCs/>
          <w:color w:val="0070C0"/>
          <w:lang w:eastAsia="zh-CN"/>
        </w:rPr>
        <w:t>，</w:t>
      </w:r>
      <w:r>
        <w:rPr>
          <w:rFonts w:hint="eastAsia"/>
          <w:b/>
          <w:bCs/>
          <w:color w:val="0070C0"/>
        </w:rPr>
        <w:t xml:space="preserve"> qfmy_djxrmyy@163.com</w:t>
      </w:r>
    </w:p>
    <w:p w14:paraId="58B89AD3">
      <w:pPr>
        <w:pStyle w:val="5"/>
        <w:rPr>
          <w:rFonts w:hint="eastAsia"/>
        </w:rPr>
      </w:pPr>
    </w:p>
    <w:p w14:paraId="40C3623B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7F89D6A0">
      <w:pPr>
        <w:pStyle w:val="5"/>
        <w:rPr>
          <w:rFonts w:hint="eastAsia"/>
        </w:rPr>
      </w:pPr>
      <w:r>
        <w:rPr>
          <w:rFonts w:hint="eastAsia"/>
        </w:rPr>
        <w:t xml:space="preserve">(1)Department of Pharmacy, the First Affiliated Hospital of Army Medical </w:t>
      </w:r>
    </w:p>
    <w:p w14:paraId="2E46F903">
      <w:pPr>
        <w:pStyle w:val="5"/>
        <w:rPr>
          <w:rFonts w:hint="eastAsia"/>
        </w:rPr>
      </w:pPr>
      <w:r>
        <w:rPr>
          <w:rFonts w:hint="eastAsia"/>
        </w:rPr>
        <w:t>University, Chongqing, China.</w:t>
      </w:r>
    </w:p>
    <w:p w14:paraId="6F85AC16">
      <w:pPr>
        <w:pStyle w:val="5"/>
        <w:rPr>
          <w:rFonts w:hint="eastAsia"/>
        </w:rPr>
      </w:pPr>
      <w:r>
        <w:rPr>
          <w:rFonts w:hint="eastAsia"/>
        </w:rPr>
        <w:t xml:space="preserve">(2)Department of Pharmacy, Dianjiang People's Hospital of Chongqing, Chongqing, </w:t>
      </w:r>
    </w:p>
    <w:p w14:paraId="2CF3DF83">
      <w:pPr>
        <w:pStyle w:val="5"/>
        <w:rPr>
          <w:rFonts w:hint="eastAsia"/>
        </w:rPr>
      </w:pPr>
      <w:r>
        <w:rPr>
          <w:rFonts w:hint="eastAsia"/>
        </w:rPr>
        <w:t>China.</w:t>
      </w:r>
    </w:p>
    <w:p w14:paraId="5920D120">
      <w:pPr>
        <w:pStyle w:val="5"/>
        <w:rPr>
          <w:rFonts w:hint="eastAsia"/>
        </w:rPr>
      </w:pPr>
    </w:p>
    <w:p w14:paraId="766D7DC9">
      <w:pPr>
        <w:pStyle w:val="5"/>
        <w:rPr>
          <w:rFonts w:hint="eastAsia"/>
        </w:rPr>
      </w:pPr>
      <w:r>
        <w:rPr>
          <w:rFonts w:hint="eastAsia"/>
        </w:rPr>
        <w:t xml:space="preserve">Invasive infection is a significant complication following renal </w:t>
      </w:r>
    </w:p>
    <w:p w14:paraId="71C9F4B5">
      <w:pPr>
        <w:pStyle w:val="5"/>
        <w:rPr>
          <w:rFonts w:hint="eastAsia"/>
        </w:rPr>
      </w:pPr>
      <w:r>
        <w:rPr>
          <w:rFonts w:hint="eastAsia"/>
        </w:rPr>
        <w:t xml:space="preserve">transplantation. Due to long-term immunosuppressive therapy, renal transplant </w:t>
      </w:r>
    </w:p>
    <w:p w14:paraId="699704CA">
      <w:pPr>
        <w:pStyle w:val="5"/>
        <w:rPr>
          <w:rFonts w:hint="eastAsia"/>
        </w:rPr>
      </w:pPr>
      <w:r>
        <w:rPr>
          <w:rFonts w:hint="eastAsia"/>
        </w:rPr>
        <w:t xml:space="preserve">recipients are at high risk for fungal infections and tuberculosis, which are </w:t>
      </w:r>
    </w:p>
    <w:p w14:paraId="20EDE005">
      <w:pPr>
        <w:pStyle w:val="5"/>
        <w:rPr>
          <w:rFonts w:hint="eastAsia"/>
        </w:rPr>
      </w:pPr>
      <w:r>
        <w:rPr>
          <w:rFonts w:hint="eastAsia"/>
        </w:rPr>
        <w:t xml:space="preserve">also major causes of mortality in this population. Triazole drugs, as first-line </w:t>
      </w:r>
    </w:p>
    <w:p w14:paraId="7DE3D1E6">
      <w:pPr>
        <w:pStyle w:val="5"/>
        <w:rPr>
          <w:rFonts w:hint="eastAsia"/>
        </w:rPr>
      </w:pPr>
      <w:r>
        <w:rPr>
          <w:rFonts w:hint="eastAsia"/>
        </w:rPr>
        <w:t xml:space="preserve">agents for invasive fungal infections, can cause fluctuations in the blood </w:t>
      </w:r>
    </w:p>
    <w:p w14:paraId="6D95CA9A">
      <w:pPr>
        <w:pStyle w:val="5"/>
        <w:rPr>
          <w:rFonts w:hint="eastAsia"/>
        </w:rPr>
      </w:pPr>
      <w:r>
        <w:rPr>
          <w:rFonts w:hint="eastAsia"/>
        </w:rPr>
        <w:t xml:space="preserve">levels of immunosuppressants due to drug-drug interactions. Furthermore, the </w:t>
      </w:r>
    </w:p>
    <w:p w14:paraId="7723921B">
      <w:pPr>
        <w:pStyle w:val="5"/>
        <w:rPr>
          <w:rFonts w:hint="eastAsia"/>
        </w:rPr>
      </w:pPr>
      <w:r>
        <w:rPr>
          <w:rFonts w:hint="eastAsia"/>
        </w:rPr>
        <w:t xml:space="preserve">concomitant use of antituberculosis drugs further complicates the balance </w:t>
      </w:r>
    </w:p>
    <w:p w14:paraId="28227C4E">
      <w:pPr>
        <w:pStyle w:val="5"/>
        <w:rPr>
          <w:rFonts w:hint="eastAsia"/>
        </w:rPr>
      </w:pPr>
      <w:r>
        <w:rPr>
          <w:rFonts w:hint="eastAsia"/>
        </w:rPr>
        <w:t xml:space="preserve">between maintaining immunosuppression and anti-infective therapy, often </w:t>
      </w:r>
    </w:p>
    <w:p w14:paraId="0381D4A2">
      <w:pPr>
        <w:pStyle w:val="5"/>
        <w:rPr>
          <w:rFonts w:hint="eastAsia"/>
        </w:rPr>
      </w:pPr>
      <w:r>
        <w:rPr>
          <w:rFonts w:hint="eastAsia"/>
        </w:rPr>
        <w:t xml:space="preserve">presenting a challenge to clinical decision-making. This article discusses the </w:t>
      </w:r>
    </w:p>
    <w:p w14:paraId="060C992C">
      <w:pPr>
        <w:pStyle w:val="5"/>
        <w:rPr>
          <w:rFonts w:hint="eastAsia"/>
        </w:rPr>
      </w:pPr>
      <w:r>
        <w:rPr>
          <w:rFonts w:hint="eastAsia"/>
        </w:rPr>
        <w:t xml:space="preserve">role of the clinical pharmacist in the treatment of a renal transplant recipient </w:t>
      </w:r>
    </w:p>
    <w:p w14:paraId="45A68353">
      <w:pPr>
        <w:pStyle w:val="5"/>
        <w:rPr>
          <w:rFonts w:hint="eastAsia"/>
        </w:rPr>
      </w:pPr>
      <w:r>
        <w:rPr>
          <w:rFonts w:hint="eastAsia"/>
        </w:rPr>
        <w:t xml:space="preserve">who developed concurrent pulmonary tuberculosis and aspergillus infection. By </w:t>
      </w:r>
    </w:p>
    <w:p w14:paraId="40B1323A">
      <w:pPr>
        <w:pStyle w:val="5"/>
        <w:rPr>
          <w:rFonts w:hint="eastAsia"/>
        </w:rPr>
      </w:pPr>
      <w:r>
        <w:rPr>
          <w:rFonts w:hint="eastAsia"/>
        </w:rPr>
        <w:t xml:space="preserve">recommending initial regimens, adjusting doses during outpatient follow-ups, and </w:t>
      </w:r>
    </w:p>
    <w:p w14:paraId="51278C4E">
      <w:pPr>
        <w:pStyle w:val="5"/>
        <w:rPr>
          <w:rFonts w:hint="eastAsia"/>
        </w:rPr>
      </w:pPr>
      <w:r>
        <w:rPr>
          <w:rFonts w:hint="eastAsia"/>
        </w:rPr>
        <w:t xml:space="preserve">assessing adverse drug reactions, the clinical pharmacist provided systematic </w:t>
      </w:r>
    </w:p>
    <w:p w14:paraId="46A17F6E">
      <w:pPr>
        <w:pStyle w:val="5"/>
        <w:rPr>
          <w:rFonts w:hint="eastAsia"/>
        </w:rPr>
      </w:pPr>
      <w:r>
        <w:rPr>
          <w:rFonts w:hint="eastAsia"/>
        </w:rPr>
        <w:t xml:space="preserve">pharmaceutical services. This collaboration assisted physicians in developing a </w:t>
      </w:r>
    </w:p>
    <w:p w14:paraId="1366A7E4">
      <w:pPr>
        <w:pStyle w:val="5"/>
        <w:rPr>
          <w:rFonts w:hint="eastAsia"/>
        </w:rPr>
      </w:pPr>
      <w:r>
        <w:rPr>
          <w:rFonts w:hint="eastAsia"/>
        </w:rPr>
        <w:t xml:space="preserve">personalized treatment plan, ultimately achieving favorable therapeutic outcomes </w:t>
      </w:r>
    </w:p>
    <w:p w14:paraId="19BAAF16">
      <w:pPr>
        <w:pStyle w:val="5"/>
        <w:rPr>
          <w:rFonts w:hint="eastAsia"/>
        </w:rPr>
      </w:pPr>
      <w:r>
        <w:rPr>
          <w:rFonts w:hint="eastAsia"/>
        </w:rPr>
        <w:t>for the patient.</w:t>
      </w:r>
    </w:p>
    <w:p w14:paraId="081E756B">
      <w:pPr>
        <w:pStyle w:val="5"/>
        <w:rPr>
          <w:rFonts w:hint="eastAsia"/>
        </w:rPr>
      </w:pPr>
    </w:p>
    <w:p w14:paraId="6CE6FBCB">
      <w:pPr>
        <w:pStyle w:val="5"/>
        <w:rPr>
          <w:rFonts w:hint="eastAsia"/>
        </w:rPr>
      </w:pPr>
      <w:r>
        <w:rPr>
          <w:rFonts w:hint="eastAsia"/>
        </w:rPr>
        <w:t>© 2026 Zhang, Zhao, Peng and Zheng.</w:t>
      </w:r>
    </w:p>
    <w:p w14:paraId="3A20D90B">
      <w:pPr>
        <w:pStyle w:val="5"/>
        <w:rPr>
          <w:rFonts w:hint="eastAsia"/>
        </w:rPr>
      </w:pPr>
    </w:p>
    <w:p w14:paraId="14F231B5">
      <w:pPr>
        <w:pStyle w:val="5"/>
        <w:rPr>
          <w:rFonts w:hint="eastAsia"/>
        </w:rPr>
      </w:pPr>
      <w:r>
        <w:rPr>
          <w:rFonts w:hint="eastAsia"/>
        </w:rPr>
        <w:t>DOI: 10.3389/fmed.2026.1968738</w:t>
      </w:r>
    </w:p>
    <w:p w14:paraId="376402CC">
      <w:pPr>
        <w:pStyle w:val="5"/>
        <w:rPr>
          <w:rFonts w:hint="eastAsia"/>
        </w:rPr>
      </w:pPr>
      <w:r>
        <w:rPr>
          <w:rFonts w:hint="eastAsia"/>
        </w:rPr>
        <w:t>PMCID: PMC13661378</w:t>
      </w:r>
    </w:p>
    <w:p w14:paraId="6F0B3A93">
      <w:pPr>
        <w:pStyle w:val="5"/>
        <w:rPr>
          <w:rFonts w:hint="eastAsia"/>
        </w:rPr>
      </w:pPr>
      <w:r>
        <w:rPr>
          <w:rFonts w:hint="eastAsia"/>
        </w:rPr>
        <w:t>PMID: 42876480</w:t>
      </w:r>
    </w:p>
    <w:p w14:paraId="2575EC0A">
      <w:pPr>
        <w:pStyle w:val="5"/>
        <w:rPr>
          <w:rFonts w:hint="eastAsia"/>
        </w:rPr>
      </w:pPr>
    </w:p>
    <w:p w14:paraId="3A0D4043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24</w:t>
      </w:r>
      <w:r>
        <w:rPr>
          <w:rFonts w:hint="eastAsia"/>
          <w:b/>
          <w:bCs/>
          <w:color w:val="FF0000"/>
        </w:rPr>
        <w:t xml:space="preserve">. Biosens Bioelectron. 2026 Oct 10;316:119329. doi: 10.1016/j.bios.2026.119329. </w:t>
      </w:r>
    </w:p>
    <w:p w14:paraId="53BCD88A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Online ahead of print.</w:t>
      </w:r>
    </w:p>
    <w:p w14:paraId="29CFB7BA">
      <w:pPr>
        <w:pStyle w:val="5"/>
        <w:rPr>
          <w:rFonts w:hint="eastAsia"/>
        </w:rPr>
      </w:pPr>
    </w:p>
    <w:p w14:paraId="14161E00">
      <w:pPr>
        <w:pStyle w:val="5"/>
        <w:rPr>
          <w:rFonts w:hint="eastAsia"/>
        </w:rPr>
      </w:pPr>
      <w:r>
        <w:rPr>
          <w:rFonts w:hint="eastAsia"/>
        </w:rPr>
        <w:t xml:space="preserve">Unified hybrid RNA-regulated CRISPR diagnostic for concurrent Mycobacterium </w:t>
      </w:r>
    </w:p>
    <w:p w14:paraId="20336B0A">
      <w:pPr>
        <w:pStyle w:val="5"/>
        <w:rPr>
          <w:rFonts w:hint="eastAsia"/>
        </w:rPr>
      </w:pPr>
      <w:r>
        <w:rPr>
          <w:rFonts w:hint="eastAsia"/>
        </w:rPr>
        <w:t>tuberculosis detection and rifampicin resistance profiling.</w:t>
      </w:r>
    </w:p>
    <w:p w14:paraId="78541C68">
      <w:pPr>
        <w:pStyle w:val="5"/>
        <w:rPr>
          <w:rFonts w:hint="eastAsia"/>
        </w:rPr>
      </w:pPr>
    </w:p>
    <w:p w14:paraId="7977EEB0">
      <w:pPr>
        <w:pStyle w:val="5"/>
        <w:rPr>
          <w:rFonts w:hint="eastAsia"/>
        </w:rPr>
      </w:pPr>
      <w:r>
        <w:rPr>
          <w:rFonts w:hint="eastAsia"/>
        </w:rPr>
        <w:t xml:space="preserve">Yang X(1), Zeng X(2), Qi G(3), Wang J(4), Wei X(5), Hu Q(6), Huang J(5), Chen </w:t>
      </w:r>
    </w:p>
    <w:p w14:paraId="5A41853D">
      <w:pPr>
        <w:pStyle w:val="5"/>
        <w:rPr>
          <w:rFonts w:hint="eastAsia"/>
        </w:rPr>
      </w:pPr>
      <w:r>
        <w:rPr>
          <w:rFonts w:hint="eastAsia"/>
        </w:rPr>
        <w:t>Y(5), Xie Y(3), Li Y(3), Zhong Y(3), Li S(7), Yang X(8).</w:t>
      </w:r>
    </w:p>
    <w:p w14:paraId="040F060F">
      <w:pPr>
        <w:pStyle w:val="5"/>
        <w:rPr>
          <w:rFonts w:hint="eastAsia"/>
        </w:rPr>
      </w:pPr>
    </w:p>
    <w:p w14:paraId="212E9DED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Xinggui Yang,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Xiaoyan Zeng,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Guorong Qi,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Jiangfei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Xiaoyu Wei,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Qianfang Hu,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Junfei Huang,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Yijiang Chen,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Yaxing Xie,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Ying Li,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Yuting Zhong,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Shijun Li</w:t>
      </w: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Xiaolan Yang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612DDACE">
      <w:pPr>
        <w:pStyle w:val="5"/>
        <w:jc w:val="left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*Corresponding author. E-mail addresses: zjumedjun@163.com(Shijun Li), xiaolanyang666@cqmu.edu.cn(Xiaolan Yang).</w:t>
      </w:r>
    </w:p>
    <w:p w14:paraId="0DA314D1">
      <w:pPr>
        <w:pStyle w:val="5"/>
        <w:rPr>
          <w:rFonts w:hint="eastAsia"/>
        </w:rPr>
      </w:pPr>
    </w:p>
    <w:p w14:paraId="3D9ECA91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1605E89D">
      <w:pPr>
        <w:pStyle w:val="5"/>
        <w:rPr>
          <w:rFonts w:hint="eastAsia"/>
        </w:rPr>
      </w:pPr>
      <w:r>
        <w:rPr>
          <w:rFonts w:hint="eastAsia"/>
        </w:rPr>
        <w:t xml:space="preserve">(1)Key Laboratory of Medical Laboratory Diagnostics of the Education Ministry, </w:t>
      </w:r>
    </w:p>
    <w:p w14:paraId="66BBFCEC">
      <w:pPr>
        <w:pStyle w:val="5"/>
        <w:rPr>
          <w:rFonts w:hint="eastAsia"/>
        </w:rPr>
      </w:pPr>
      <w:r>
        <w:rPr>
          <w:rFonts w:hint="eastAsia"/>
        </w:rPr>
        <w:t xml:space="preserve">College of Laboratory Medicine, Chongqing Medical University, Chongqing, 400016, </w:t>
      </w:r>
    </w:p>
    <w:p w14:paraId="4DAA52BC">
      <w:pPr>
        <w:pStyle w:val="5"/>
        <w:rPr>
          <w:rFonts w:hint="eastAsia"/>
        </w:rPr>
      </w:pPr>
      <w:r>
        <w:rPr>
          <w:rFonts w:hint="eastAsia"/>
        </w:rPr>
        <w:t xml:space="preserve">PR China; Laboratory of Bacterial Disease, Experimental Center, Guizhou </w:t>
      </w:r>
    </w:p>
    <w:p w14:paraId="79E6B545">
      <w:pPr>
        <w:pStyle w:val="5"/>
        <w:rPr>
          <w:rFonts w:hint="eastAsia"/>
        </w:rPr>
      </w:pPr>
      <w:r>
        <w:rPr>
          <w:rFonts w:hint="eastAsia"/>
        </w:rPr>
        <w:t xml:space="preserve">Provincial Center for Disease Control and Prevention, Guiyang, Guizhou, 550004, </w:t>
      </w:r>
    </w:p>
    <w:p w14:paraId="07903782">
      <w:pPr>
        <w:pStyle w:val="5"/>
        <w:rPr>
          <w:rFonts w:hint="eastAsia"/>
        </w:rPr>
      </w:pPr>
      <w:r>
        <w:rPr>
          <w:rFonts w:hint="eastAsia"/>
        </w:rPr>
        <w:t>PR China.</w:t>
      </w:r>
    </w:p>
    <w:p w14:paraId="622644E6">
      <w:pPr>
        <w:pStyle w:val="5"/>
        <w:rPr>
          <w:rFonts w:hint="eastAsia"/>
        </w:rPr>
      </w:pPr>
      <w:r>
        <w:rPr>
          <w:rFonts w:hint="eastAsia"/>
        </w:rPr>
        <w:t xml:space="preserve">(2)The Second Affiliated Hospital, Guizhou University of Traditional Chinese </w:t>
      </w:r>
    </w:p>
    <w:p w14:paraId="7771231F">
      <w:pPr>
        <w:pStyle w:val="5"/>
        <w:rPr>
          <w:rFonts w:hint="eastAsia"/>
        </w:rPr>
      </w:pPr>
      <w:r>
        <w:rPr>
          <w:rFonts w:hint="eastAsia"/>
        </w:rPr>
        <w:t>Medicine, Guiyang, Guizhou, 550003, PR China.</w:t>
      </w:r>
    </w:p>
    <w:p w14:paraId="5603130D">
      <w:pPr>
        <w:pStyle w:val="5"/>
        <w:rPr>
          <w:rFonts w:hint="eastAsia"/>
        </w:rPr>
      </w:pPr>
      <w:r>
        <w:rPr>
          <w:rFonts w:hint="eastAsia"/>
        </w:rPr>
        <w:t xml:space="preserve">(3)Key Laboratory of Medical Laboratory Diagnostics of the Education Ministry, </w:t>
      </w:r>
    </w:p>
    <w:p w14:paraId="524907DC">
      <w:pPr>
        <w:pStyle w:val="5"/>
        <w:rPr>
          <w:rFonts w:hint="eastAsia"/>
        </w:rPr>
      </w:pPr>
      <w:r>
        <w:rPr>
          <w:rFonts w:hint="eastAsia"/>
        </w:rPr>
        <w:t xml:space="preserve">College of Laboratory Medicine, Chongqing Medical University, Chongqing, 400016, </w:t>
      </w:r>
    </w:p>
    <w:p w14:paraId="1AD2C9D4">
      <w:pPr>
        <w:pStyle w:val="5"/>
        <w:rPr>
          <w:rFonts w:hint="eastAsia"/>
        </w:rPr>
      </w:pPr>
      <w:r>
        <w:rPr>
          <w:rFonts w:hint="eastAsia"/>
        </w:rPr>
        <w:t>PR China.</w:t>
      </w:r>
    </w:p>
    <w:p w14:paraId="4533220C">
      <w:pPr>
        <w:pStyle w:val="5"/>
        <w:rPr>
          <w:rFonts w:hint="eastAsia"/>
        </w:rPr>
      </w:pPr>
      <w:r>
        <w:rPr>
          <w:rFonts w:hint="eastAsia"/>
        </w:rPr>
        <w:t xml:space="preserve">(4)Laboratory of Bacterial Disease, Experimental Center, Guizhou Provincial </w:t>
      </w:r>
    </w:p>
    <w:p w14:paraId="6FFD2EA9">
      <w:pPr>
        <w:pStyle w:val="5"/>
        <w:rPr>
          <w:rFonts w:hint="eastAsia"/>
        </w:rPr>
      </w:pPr>
      <w:r>
        <w:rPr>
          <w:rFonts w:hint="eastAsia"/>
        </w:rPr>
        <w:t xml:space="preserve">Center for Disease Control and Prevention, Guiyang, Guizhou, 550004, PR China; </w:t>
      </w:r>
    </w:p>
    <w:p w14:paraId="77A543D1">
      <w:pPr>
        <w:pStyle w:val="5"/>
        <w:rPr>
          <w:rFonts w:hint="eastAsia"/>
        </w:rPr>
      </w:pPr>
      <w:r>
        <w:rPr>
          <w:rFonts w:hint="eastAsia"/>
        </w:rPr>
        <w:t xml:space="preserve">School of Public Health, The Key Laboratory of Environmental Pollution </w:t>
      </w:r>
    </w:p>
    <w:p w14:paraId="4CF643C9">
      <w:pPr>
        <w:pStyle w:val="5"/>
        <w:rPr>
          <w:rFonts w:hint="eastAsia"/>
        </w:rPr>
      </w:pPr>
      <w:r>
        <w:rPr>
          <w:rFonts w:hint="eastAsia"/>
        </w:rPr>
        <w:t xml:space="preserve">Monitoring and Disease Control, Ministry of Education, Guizhou Medical </w:t>
      </w:r>
    </w:p>
    <w:p w14:paraId="07D97728">
      <w:pPr>
        <w:pStyle w:val="5"/>
        <w:rPr>
          <w:rFonts w:hint="eastAsia"/>
        </w:rPr>
      </w:pPr>
      <w:r>
        <w:rPr>
          <w:rFonts w:hint="eastAsia"/>
        </w:rPr>
        <w:t>University, Guiyang, 561113, PR China.</w:t>
      </w:r>
    </w:p>
    <w:p w14:paraId="0C925017">
      <w:pPr>
        <w:pStyle w:val="5"/>
        <w:rPr>
          <w:rFonts w:hint="eastAsia"/>
        </w:rPr>
      </w:pPr>
      <w:r>
        <w:rPr>
          <w:rFonts w:hint="eastAsia"/>
        </w:rPr>
        <w:t xml:space="preserve">(5)Laboratory of Bacterial Disease, Experimental Center, Guizhou Provincial </w:t>
      </w:r>
    </w:p>
    <w:p w14:paraId="553FF6C8">
      <w:pPr>
        <w:pStyle w:val="5"/>
        <w:rPr>
          <w:rFonts w:hint="eastAsia"/>
        </w:rPr>
      </w:pPr>
      <w:r>
        <w:rPr>
          <w:rFonts w:hint="eastAsia"/>
        </w:rPr>
        <w:t>Center for Disease Control and Prevention, Guiyang, Guizhou, 550004, PR China.</w:t>
      </w:r>
    </w:p>
    <w:p w14:paraId="76B5E990">
      <w:pPr>
        <w:pStyle w:val="5"/>
        <w:rPr>
          <w:rFonts w:hint="eastAsia"/>
        </w:rPr>
      </w:pPr>
      <w:r>
        <w:rPr>
          <w:rFonts w:hint="eastAsia"/>
        </w:rPr>
        <w:t xml:space="preserve">(6)Department of Respiratory and Critical Care Medicine, The First Affiliated </w:t>
      </w:r>
    </w:p>
    <w:p w14:paraId="3E03AC05">
      <w:pPr>
        <w:pStyle w:val="5"/>
        <w:rPr>
          <w:rFonts w:hint="eastAsia"/>
        </w:rPr>
      </w:pPr>
      <w:r>
        <w:rPr>
          <w:rFonts w:hint="eastAsia"/>
        </w:rPr>
        <w:t>Hospital, Chongqing Medical University, Chongqing, 400016, PR China.</w:t>
      </w:r>
    </w:p>
    <w:p w14:paraId="43EF244B">
      <w:pPr>
        <w:pStyle w:val="5"/>
        <w:rPr>
          <w:rFonts w:hint="eastAsia"/>
        </w:rPr>
      </w:pPr>
      <w:r>
        <w:rPr>
          <w:rFonts w:hint="eastAsia"/>
        </w:rPr>
        <w:t xml:space="preserve">(7)Laboratory of Bacterial Disease, Experimental Center, Guizhou Provincial </w:t>
      </w:r>
    </w:p>
    <w:p w14:paraId="1C19A73A">
      <w:pPr>
        <w:pStyle w:val="5"/>
        <w:rPr>
          <w:rFonts w:hint="eastAsia"/>
        </w:rPr>
      </w:pPr>
      <w:r>
        <w:rPr>
          <w:rFonts w:hint="eastAsia"/>
        </w:rPr>
        <w:t xml:space="preserve">Center for Disease Control and Prevention, Guiyang, Guizhou, 550004, PR China. </w:t>
      </w:r>
    </w:p>
    <w:p w14:paraId="789DA112">
      <w:pPr>
        <w:pStyle w:val="5"/>
        <w:rPr>
          <w:rFonts w:hint="eastAsia"/>
        </w:rPr>
      </w:pPr>
      <w:r>
        <w:rPr>
          <w:rFonts w:hint="eastAsia"/>
        </w:rPr>
        <w:t>Electronic address: zjumedjun@163.com.</w:t>
      </w:r>
    </w:p>
    <w:p w14:paraId="2AF18EDB">
      <w:pPr>
        <w:pStyle w:val="5"/>
        <w:rPr>
          <w:rFonts w:hint="eastAsia"/>
        </w:rPr>
      </w:pPr>
      <w:r>
        <w:rPr>
          <w:rFonts w:hint="eastAsia"/>
        </w:rPr>
        <w:t xml:space="preserve">(8)Key Laboratory of Medical Laboratory Diagnostics of the Education Ministry, </w:t>
      </w:r>
    </w:p>
    <w:p w14:paraId="205DF22E">
      <w:pPr>
        <w:pStyle w:val="5"/>
        <w:rPr>
          <w:rFonts w:hint="eastAsia"/>
        </w:rPr>
      </w:pPr>
      <w:r>
        <w:rPr>
          <w:rFonts w:hint="eastAsia"/>
        </w:rPr>
        <w:t xml:space="preserve">College of Laboratory Medicine, Chongqing Medical University, Chongqing, 400016, </w:t>
      </w:r>
    </w:p>
    <w:p w14:paraId="5B9A01A1">
      <w:pPr>
        <w:pStyle w:val="5"/>
        <w:rPr>
          <w:rFonts w:hint="eastAsia"/>
        </w:rPr>
      </w:pPr>
      <w:r>
        <w:rPr>
          <w:rFonts w:hint="eastAsia"/>
        </w:rPr>
        <w:t>PR China. Electronic address: xiaolanyang666@cqmu.edu.cn.</w:t>
      </w:r>
    </w:p>
    <w:p w14:paraId="1C661C65">
      <w:pPr>
        <w:pStyle w:val="5"/>
        <w:rPr>
          <w:rFonts w:hint="eastAsia"/>
        </w:rPr>
      </w:pPr>
    </w:p>
    <w:p w14:paraId="7AC417A0">
      <w:pPr>
        <w:pStyle w:val="5"/>
        <w:rPr>
          <w:rFonts w:hint="eastAsia"/>
        </w:rPr>
      </w:pPr>
      <w:r>
        <w:rPr>
          <w:rFonts w:hint="eastAsia"/>
        </w:rPr>
        <w:t xml:space="preserve">CRISPR-based nucleic acid detection is challenged by protospacer adjacent motif </w:t>
      </w:r>
    </w:p>
    <w:p w14:paraId="21788452">
      <w:pPr>
        <w:pStyle w:val="5"/>
        <w:rPr>
          <w:rFonts w:hint="eastAsia"/>
        </w:rPr>
      </w:pPr>
      <w:r>
        <w:rPr>
          <w:rFonts w:hint="eastAsia"/>
        </w:rPr>
        <w:t xml:space="preserve">(PAM) dependency, amplicon consumption and single-tube multiplexing barriers, </w:t>
      </w:r>
    </w:p>
    <w:p w14:paraId="48994880">
      <w:pPr>
        <w:pStyle w:val="5"/>
        <w:rPr>
          <w:rFonts w:hint="eastAsia"/>
        </w:rPr>
      </w:pPr>
      <w:r>
        <w:rPr>
          <w:rFonts w:hint="eastAsia"/>
        </w:rPr>
        <w:t xml:space="preserve">and poor discrimination of single-nucleotide variations (SNVs). These </w:t>
      </w:r>
    </w:p>
    <w:p w14:paraId="2663F30F">
      <w:pPr>
        <w:pStyle w:val="5"/>
        <w:rPr>
          <w:rFonts w:hint="eastAsia"/>
        </w:rPr>
      </w:pPr>
      <w:r>
        <w:rPr>
          <w:rFonts w:hint="eastAsia"/>
        </w:rPr>
        <w:t xml:space="preserve">limitations are particularly acute in detecting Mycobacterium tuberculosis (MTB) </w:t>
      </w:r>
    </w:p>
    <w:p w14:paraId="50C93B76">
      <w:pPr>
        <w:pStyle w:val="5"/>
        <w:rPr>
          <w:rFonts w:hint="eastAsia"/>
        </w:rPr>
      </w:pPr>
      <w:r>
        <w:rPr>
          <w:rFonts w:hint="eastAsia"/>
        </w:rPr>
        <w:t xml:space="preserve">and rifampicin (RIF) resistance mutations for tuberculosis (TB) diagnostics. </w:t>
      </w:r>
    </w:p>
    <w:p w14:paraId="101E93DB">
      <w:pPr>
        <w:pStyle w:val="5"/>
        <w:rPr>
          <w:rFonts w:hint="eastAsia"/>
        </w:rPr>
      </w:pPr>
      <w:r>
        <w:rPr>
          <w:rFonts w:hint="eastAsia"/>
        </w:rPr>
        <w:t xml:space="preserve">Herein, we devised TB-SCANER, a broad-spectrum, one-pot CRISPR-Cas12a diagnostic </w:t>
      </w:r>
    </w:p>
    <w:p w14:paraId="1B75CA86">
      <w:pPr>
        <w:pStyle w:val="5"/>
        <w:rPr>
          <w:rFonts w:hint="eastAsia"/>
        </w:rPr>
      </w:pPr>
      <w:r>
        <w:rPr>
          <w:rFonts w:hint="eastAsia"/>
        </w:rPr>
        <w:t xml:space="preserve">platform for MTB detection and RIF resistance profiling. The assay employs two </w:t>
      </w:r>
    </w:p>
    <w:p w14:paraId="1C87FEE7">
      <w:pPr>
        <w:pStyle w:val="5"/>
        <w:rPr>
          <w:rFonts w:hint="eastAsia"/>
        </w:rPr>
      </w:pPr>
      <w:r>
        <w:rPr>
          <w:rFonts w:hint="eastAsia"/>
        </w:rPr>
        <w:t xml:space="preserve">unlocking single-stranded RNAs (uLsRNAs) transcribed from RPA products to unlock </w:t>
      </w:r>
    </w:p>
    <w:p w14:paraId="4B12DEAF">
      <w:pPr>
        <w:pStyle w:val="5"/>
        <w:rPr>
          <w:rFonts w:hint="eastAsia"/>
        </w:rPr>
      </w:pPr>
      <w:r>
        <w:rPr>
          <w:rFonts w:hint="eastAsia"/>
        </w:rPr>
        <w:t xml:space="preserve">four cis-cleavage-locked CRISPR-Cas12a systems via distinct locking </w:t>
      </w:r>
    </w:p>
    <w:p w14:paraId="52E2C5ED">
      <w:pPr>
        <w:pStyle w:val="5"/>
        <w:rPr>
          <w:rFonts w:hint="eastAsia"/>
        </w:rPr>
      </w:pPr>
      <w:r>
        <w:rPr>
          <w:rFonts w:hint="eastAsia"/>
        </w:rPr>
        <w:t xml:space="preserve">single-stranded RNAs (LsRNAs), establishing a two-to-four hybrid logic: one </w:t>
      </w:r>
    </w:p>
    <w:p w14:paraId="3C4B630D">
      <w:pPr>
        <w:pStyle w:val="5"/>
        <w:rPr>
          <w:rFonts w:hint="eastAsia"/>
        </w:rPr>
      </w:pPr>
      <w:r>
        <w:rPr>
          <w:rFonts w:hint="eastAsia"/>
        </w:rPr>
        <w:t xml:space="preserve">uLsRNA carries a single unlocking module for the M channel (targeting mpb64 </w:t>
      </w:r>
    </w:p>
    <w:p w14:paraId="2C88D7CC">
      <w:pPr>
        <w:pStyle w:val="5"/>
        <w:rPr>
          <w:rFonts w:hint="eastAsia"/>
        </w:rPr>
      </w:pPr>
      <w:r>
        <w:rPr>
          <w:rFonts w:hint="eastAsia"/>
        </w:rPr>
        <w:t xml:space="preserve">gene), whereas the other contains three tandem modules engaging LsRNAs for </w:t>
      </w:r>
    </w:p>
    <w:p w14:paraId="767849D9">
      <w:pPr>
        <w:pStyle w:val="5"/>
        <w:rPr>
          <w:rFonts w:hint="eastAsia"/>
        </w:rPr>
      </w:pPr>
      <w:r>
        <w:rPr>
          <w:rFonts w:hint="eastAsia"/>
        </w:rPr>
        <w:t xml:space="preserve">subregions R1, R2, R3 within rpoB gene. With genomic DNA, detection limits are </w:t>
      </w:r>
    </w:p>
    <w:p w14:paraId="35CA9A7B">
      <w:pPr>
        <w:pStyle w:val="5"/>
        <w:rPr>
          <w:rFonts w:hint="eastAsia"/>
        </w:rPr>
      </w:pPr>
      <w:r>
        <w:rPr>
          <w:rFonts w:hint="eastAsia"/>
        </w:rPr>
        <w:t xml:space="preserve">50 fg/reaction (∼10 copies) for mpb64 and 500 fg/reaction (∼100 copies) for </w:t>
      </w:r>
    </w:p>
    <w:p w14:paraId="428F0BBC">
      <w:pPr>
        <w:pStyle w:val="5"/>
        <w:rPr>
          <w:rFonts w:hint="eastAsia"/>
        </w:rPr>
      </w:pPr>
      <w:r>
        <w:rPr>
          <w:rFonts w:hint="eastAsia"/>
        </w:rPr>
        <w:t xml:space="preserve">rpoB. The assay reliably identified clinically dominant rpoB mutations </w:t>
      </w:r>
    </w:p>
    <w:p w14:paraId="10CA1ABB">
      <w:pPr>
        <w:pStyle w:val="5"/>
        <w:rPr>
          <w:rFonts w:hint="eastAsia"/>
        </w:rPr>
      </w:pPr>
      <w:r>
        <w:rPr>
          <w:rFonts w:hint="eastAsia"/>
        </w:rPr>
        <w:t xml:space="preserve">(Leu511Pro, Asp516Gly, His526Tyr, Ser531Leu) and low-prevalence variants </w:t>
      </w:r>
    </w:p>
    <w:p w14:paraId="130DF7F9">
      <w:pPr>
        <w:pStyle w:val="5"/>
        <w:rPr>
          <w:rFonts w:hint="eastAsia"/>
        </w:rPr>
      </w:pPr>
      <w:r>
        <w:rPr>
          <w:rFonts w:hint="eastAsia"/>
        </w:rPr>
        <w:t xml:space="preserve">(Ser522Met, His526Arg, Leu533Pro). For cultured isolates, TB-SCANER was 100% </w:t>
      </w:r>
    </w:p>
    <w:p w14:paraId="4F7F5627">
      <w:pPr>
        <w:pStyle w:val="5"/>
        <w:rPr>
          <w:rFonts w:hint="eastAsia"/>
        </w:rPr>
      </w:pPr>
      <w:r>
        <w:rPr>
          <w:rFonts w:hint="eastAsia"/>
        </w:rPr>
        <w:t xml:space="preserve">concordant with Sanger sequencing for RIF resistance mutation profiling; in </w:t>
      </w:r>
    </w:p>
    <w:p w14:paraId="5A0068FB">
      <w:pPr>
        <w:pStyle w:val="5"/>
        <w:rPr>
          <w:rFonts w:hint="eastAsia"/>
        </w:rPr>
      </w:pPr>
      <w:r>
        <w:rPr>
          <w:rFonts w:hint="eastAsia"/>
        </w:rPr>
        <w:t xml:space="preserve">clinical samples, it matched Xpert for MTB detection (100%), outperformed </w:t>
      </w:r>
    </w:p>
    <w:p w14:paraId="07BF3C76">
      <w:pPr>
        <w:pStyle w:val="5"/>
        <w:rPr>
          <w:rFonts w:hint="eastAsia"/>
        </w:rPr>
      </w:pPr>
      <w:r>
        <w:rPr>
          <w:rFonts w:hint="eastAsia"/>
        </w:rPr>
        <w:t xml:space="preserve">culture sensitivity (100% vs. 93.8%), and was fully concordant with Sanger </w:t>
      </w:r>
    </w:p>
    <w:p w14:paraId="51EC6D3C">
      <w:pPr>
        <w:pStyle w:val="5"/>
        <w:rPr>
          <w:rFonts w:hint="eastAsia"/>
        </w:rPr>
      </w:pPr>
      <w:r>
        <w:rPr>
          <w:rFonts w:hint="eastAsia"/>
        </w:rPr>
        <w:t xml:space="preserve">sequencing for RIF resistance, eliminating Xpert's false-positive while </w:t>
      </w:r>
    </w:p>
    <w:p w14:paraId="22036592">
      <w:pPr>
        <w:pStyle w:val="5"/>
        <w:rPr>
          <w:rFonts w:hint="eastAsia"/>
        </w:rPr>
      </w:pPr>
      <w:r>
        <w:rPr>
          <w:rFonts w:hint="eastAsia"/>
        </w:rPr>
        <w:t xml:space="preserve">identifying all resistant strains. Collectively, TB-SCANER is a rapid, accurate, </w:t>
      </w:r>
    </w:p>
    <w:p w14:paraId="20B78BE0">
      <w:pPr>
        <w:pStyle w:val="5"/>
        <w:rPr>
          <w:rFonts w:hint="eastAsia"/>
        </w:rPr>
      </w:pPr>
      <w:r>
        <w:rPr>
          <w:rFonts w:hint="eastAsia"/>
        </w:rPr>
        <w:t xml:space="preserve">low-cost, one-pot CRISPR diagnostic that overcomes multiplexing barriers, </w:t>
      </w:r>
    </w:p>
    <w:p w14:paraId="1298FFE5">
      <w:pPr>
        <w:pStyle w:val="5"/>
        <w:rPr>
          <w:rFonts w:hint="eastAsia"/>
        </w:rPr>
      </w:pPr>
      <w:r>
        <w:rPr>
          <w:rFonts w:hint="eastAsia"/>
        </w:rPr>
        <w:t xml:space="preserve">enabling concurrent MTB detection and RIF resistance profiling particularly in </w:t>
      </w:r>
    </w:p>
    <w:p w14:paraId="3AE53A2E">
      <w:pPr>
        <w:pStyle w:val="5"/>
        <w:rPr>
          <w:rFonts w:hint="eastAsia"/>
        </w:rPr>
      </w:pPr>
      <w:r>
        <w:rPr>
          <w:rFonts w:hint="eastAsia"/>
        </w:rPr>
        <w:t xml:space="preserve">resource-limited settings, and features built-in adaptability to other </w:t>
      </w:r>
    </w:p>
    <w:p w14:paraId="52C10C53">
      <w:pPr>
        <w:pStyle w:val="5"/>
        <w:rPr>
          <w:rFonts w:hint="eastAsia"/>
        </w:rPr>
      </w:pPr>
      <w:r>
        <w:rPr>
          <w:rFonts w:hint="eastAsia"/>
        </w:rPr>
        <w:t>pathogens.</w:t>
      </w:r>
    </w:p>
    <w:p w14:paraId="7F98FD14">
      <w:pPr>
        <w:pStyle w:val="5"/>
        <w:rPr>
          <w:rFonts w:hint="eastAsia"/>
        </w:rPr>
      </w:pPr>
    </w:p>
    <w:p w14:paraId="78FB36E6">
      <w:pPr>
        <w:pStyle w:val="5"/>
        <w:rPr>
          <w:rFonts w:hint="eastAsia"/>
        </w:rPr>
      </w:pPr>
      <w:r>
        <w:rPr>
          <w:rFonts w:hint="eastAsia"/>
        </w:rPr>
        <w:t>Copyright © 2026 Elsevier B.V. All rights reserved.</w:t>
      </w:r>
    </w:p>
    <w:p w14:paraId="4354F310">
      <w:pPr>
        <w:pStyle w:val="5"/>
        <w:rPr>
          <w:rFonts w:hint="eastAsia"/>
        </w:rPr>
      </w:pPr>
    </w:p>
    <w:p w14:paraId="44018B65">
      <w:pPr>
        <w:pStyle w:val="5"/>
        <w:rPr>
          <w:rFonts w:hint="eastAsia"/>
        </w:rPr>
      </w:pPr>
      <w:r>
        <w:rPr>
          <w:rFonts w:hint="eastAsia"/>
        </w:rPr>
        <w:t>DOI: 10.1016/j.bios.2026.119329</w:t>
      </w:r>
    </w:p>
    <w:p w14:paraId="4EF9F017">
      <w:pPr>
        <w:pStyle w:val="5"/>
        <w:rPr>
          <w:rFonts w:hint="eastAsia"/>
        </w:rPr>
      </w:pPr>
      <w:r>
        <w:rPr>
          <w:rFonts w:hint="eastAsia"/>
        </w:rPr>
        <w:t>PMID: 42874256</w:t>
      </w:r>
    </w:p>
    <w:p w14:paraId="7FCAFBB6">
      <w:pPr>
        <w:pStyle w:val="5"/>
        <w:rPr>
          <w:rFonts w:hint="eastAsia"/>
        </w:rPr>
      </w:pPr>
    </w:p>
    <w:p w14:paraId="3CC79C87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25</w:t>
      </w:r>
      <w:r>
        <w:rPr>
          <w:rFonts w:hint="eastAsia"/>
          <w:b/>
          <w:bCs/>
          <w:color w:val="FF0000"/>
        </w:rPr>
        <w:t xml:space="preserve">. Front Microbiol. 2026 Sep 29;17:1958414. doi: 10.3389/fmicb.2026.1958414. </w:t>
      </w:r>
    </w:p>
    <w:p w14:paraId="383F2DE3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62DEF32E">
      <w:pPr>
        <w:pStyle w:val="5"/>
        <w:rPr>
          <w:rFonts w:hint="eastAsia"/>
        </w:rPr>
      </w:pPr>
    </w:p>
    <w:p w14:paraId="4B0A6533">
      <w:pPr>
        <w:pStyle w:val="5"/>
        <w:rPr>
          <w:rFonts w:hint="eastAsia"/>
        </w:rPr>
      </w:pPr>
      <w:r>
        <w:rPr>
          <w:rFonts w:hint="eastAsia"/>
        </w:rPr>
        <w:t xml:space="preserve">An FTA card-based CRISPR/Cas12a platform with isothermal amplification for </w:t>
      </w:r>
    </w:p>
    <w:p w14:paraId="135E62AE">
      <w:pPr>
        <w:pStyle w:val="5"/>
        <w:rPr>
          <w:rFonts w:hint="eastAsia"/>
        </w:rPr>
      </w:pPr>
      <w:r>
        <w:rPr>
          <w:rFonts w:hint="eastAsia"/>
        </w:rPr>
        <w:t>portable tuberculosis diagnosis.</w:t>
      </w:r>
    </w:p>
    <w:p w14:paraId="0D3B8763">
      <w:pPr>
        <w:pStyle w:val="5"/>
        <w:rPr>
          <w:rFonts w:hint="eastAsia"/>
        </w:rPr>
      </w:pPr>
    </w:p>
    <w:p w14:paraId="61F2FC38">
      <w:pPr>
        <w:pStyle w:val="5"/>
        <w:rPr>
          <w:rFonts w:hint="eastAsia"/>
        </w:rPr>
      </w:pPr>
      <w:r>
        <w:rPr>
          <w:rFonts w:hint="eastAsia"/>
        </w:rPr>
        <w:t xml:space="preserve">Xing J(#)(1), Zhao X(#)(1), Wang G(1), Ren S(1), Chen L(2), Diao W(2), Qu M(2), </w:t>
      </w:r>
    </w:p>
    <w:p w14:paraId="452434E3">
      <w:pPr>
        <w:pStyle w:val="5"/>
        <w:rPr>
          <w:rFonts w:hint="eastAsia"/>
        </w:rPr>
      </w:pPr>
      <w:r>
        <w:rPr>
          <w:rFonts w:hint="eastAsia"/>
        </w:rPr>
        <w:t>Chang Z(1), Wang X(1), Zhao S(1), Zhang Y(2), Song N(1).</w:t>
      </w:r>
    </w:p>
    <w:p w14:paraId="6A1AC009">
      <w:pPr>
        <w:pStyle w:val="5"/>
        <w:rPr>
          <w:rFonts w:hint="eastAsia"/>
        </w:rPr>
      </w:pPr>
    </w:p>
    <w:p w14:paraId="08CB41AB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Jiayin Xing,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Xiangxiang Zhao,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Gaojie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Shilong Ren,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Lei Chen,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Wenbin Diao,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Meihua Qu,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Zhimin Chang,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Xiaoqian Wang,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Shihao Zhao,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Yong Zhang</w:t>
      </w: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Ningning Song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4C1D18E7">
      <w:pPr>
        <w:pStyle w:val="5"/>
        <w:jc w:val="left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*CORRESPONDENCE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Ningning Song</w:t>
      </w:r>
      <w:r>
        <w:rPr>
          <w:rFonts w:hint="eastAsia"/>
          <w:b/>
          <w:bCs/>
          <w:color w:val="0070C0"/>
          <w:lang w:eastAsia="zh-CN"/>
        </w:rPr>
        <w:t>，</w:t>
      </w:r>
      <w:r>
        <w:rPr>
          <w:rFonts w:hint="eastAsia"/>
          <w:b/>
          <w:bCs/>
          <w:color w:val="0070C0"/>
        </w:rPr>
        <w:t>songningning@sdsmu.edu.cn</w:t>
      </w:r>
      <w:r>
        <w:rPr>
          <w:rFonts w:hint="eastAsia"/>
          <w:b/>
          <w:bCs/>
          <w:color w:val="0070C0"/>
          <w:lang w:eastAsia="zh-CN"/>
        </w:rPr>
        <w:t>；</w:t>
      </w:r>
      <w:r>
        <w:rPr>
          <w:rFonts w:hint="eastAsia"/>
          <w:b/>
          <w:bCs/>
          <w:color w:val="0070C0"/>
        </w:rPr>
        <w:t>Yong Zhang</w:t>
      </w:r>
      <w:r>
        <w:rPr>
          <w:rFonts w:hint="eastAsia"/>
          <w:b/>
          <w:bCs/>
          <w:color w:val="0070C0"/>
          <w:lang w:eastAsia="zh-CN"/>
        </w:rPr>
        <w:t>，</w:t>
      </w:r>
      <w:r>
        <w:rPr>
          <w:rFonts w:hint="eastAsia"/>
          <w:b/>
          <w:bCs/>
          <w:color w:val="0070C0"/>
        </w:rPr>
        <w:t>wfeyzy@163.com</w:t>
      </w:r>
    </w:p>
    <w:p w14:paraId="181C2E91">
      <w:pPr>
        <w:pStyle w:val="5"/>
        <w:rPr>
          <w:rFonts w:hint="eastAsia"/>
        </w:rPr>
      </w:pPr>
    </w:p>
    <w:p w14:paraId="28672216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0EEAA89C">
      <w:pPr>
        <w:pStyle w:val="5"/>
        <w:rPr>
          <w:rFonts w:hint="eastAsia"/>
        </w:rPr>
      </w:pPr>
      <w:r>
        <w:rPr>
          <w:rFonts w:hint="eastAsia"/>
        </w:rPr>
        <w:t xml:space="preserve">(1)Weifang Key Laboratory of Respiratory Tract Pathogens and Drug Therapy, </w:t>
      </w:r>
    </w:p>
    <w:p w14:paraId="4A503B9F">
      <w:pPr>
        <w:pStyle w:val="5"/>
        <w:rPr>
          <w:rFonts w:hint="eastAsia"/>
        </w:rPr>
      </w:pPr>
      <w:r>
        <w:rPr>
          <w:rFonts w:hint="eastAsia"/>
        </w:rPr>
        <w:t xml:space="preserve">School of Life Science and Technology, Shandong Second Medical University, </w:t>
      </w:r>
    </w:p>
    <w:p w14:paraId="78562CC4">
      <w:pPr>
        <w:pStyle w:val="5"/>
        <w:rPr>
          <w:rFonts w:hint="eastAsia"/>
        </w:rPr>
      </w:pPr>
      <w:r>
        <w:rPr>
          <w:rFonts w:hint="eastAsia"/>
        </w:rPr>
        <w:t>Weifang, China.</w:t>
      </w:r>
    </w:p>
    <w:p w14:paraId="7380C994">
      <w:pPr>
        <w:pStyle w:val="5"/>
        <w:rPr>
          <w:rFonts w:hint="eastAsia"/>
        </w:rPr>
      </w:pPr>
      <w:r>
        <w:rPr>
          <w:rFonts w:hint="eastAsia"/>
        </w:rPr>
        <w:t>(2)Weifang No.2 People's Hospital, Weifang, Shandong, China.</w:t>
      </w:r>
    </w:p>
    <w:p w14:paraId="3BF5A44B">
      <w:pPr>
        <w:pStyle w:val="5"/>
        <w:rPr>
          <w:rFonts w:hint="eastAsia"/>
        </w:rPr>
      </w:pPr>
      <w:r>
        <w:rPr>
          <w:rFonts w:hint="eastAsia"/>
        </w:rPr>
        <w:t>(#)Contributed equally</w:t>
      </w:r>
    </w:p>
    <w:p w14:paraId="72A28C0A">
      <w:pPr>
        <w:pStyle w:val="5"/>
        <w:rPr>
          <w:rFonts w:hint="eastAsia"/>
        </w:rPr>
      </w:pPr>
    </w:p>
    <w:p w14:paraId="469B712F">
      <w:pPr>
        <w:pStyle w:val="5"/>
        <w:rPr>
          <w:rFonts w:hint="eastAsia"/>
        </w:rPr>
      </w:pPr>
      <w:r>
        <w:rPr>
          <w:rFonts w:hint="eastAsia"/>
        </w:rPr>
        <w:t xml:space="preserve">Mycobacterium tuberculosis remains a major global public health threat, imposing </w:t>
      </w:r>
    </w:p>
    <w:p w14:paraId="027A3ED2">
      <w:pPr>
        <w:pStyle w:val="5"/>
        <w:rPr>
          <w:rFonts w:hint="eastAsia"/>
        </w:rPr>
      </w:pPr>
      <w:r>
        <w:rPr>
          <w:rFonts w:hint="eastAsia"/>
        </w:rPr>
        <w:t xml:space="preserve">significant socioeconomic burdens. Current molecular diagnostics rely heavily on </w:t>
      </w:r>
    </w:p>
    <w:p w14:paraId="5CC9380A">
      <w:pPr>
        <w:pStyle w:val="5"/>
        <w:rPr>
          <w:rFonts w:hint="eastAsia"/>
        </w:rPr>
      </w:pPr>
      <w:r>
        <w:rPr>
          <w:rFonts w:hint="eastAsia"/>
        </w:rPr>
        <w:t xml:space="preserve">nucleic acid extraction and specialized equipment, which limits their use in </w:t>
      </w:r>
    </w:p>
    <w:p w14:paraId="16A08C4C">
      <w:pPr>
        <w:pStyle w:val="5"/>
        <w:rPr>
          <w:rFonts w:hint="eastAsia"/>
        </w:rPr>
      </w:pPr>
      <w:r>
        <w:rPr>
          <w:rFonts w:hint="eastAsia"/>
        </w:rPr>
        <w:t xml:space="preserve">resource-limited settings. We developed a rapid, sensitive platform suitable for </w:t>
      </w:r>
    </w:p>
    <w:p w14:paraId="346AEDED">
      <w:pPr>
        <w:pStyle w:val="5"/>
        <w:rPr>
          <w:rFonts w:hint="eastAsia"/>
        </w:rPr>
      </w:pPr>
      <w:r>
        <w:rPr>
          <w:rFonts w:hint="eastAsia"/>
        </w:rPr>
        <w:t xml:space="preserve">point-of-care detection by integrating FTA cards with ERA/RT-ERA amplification </w:t>
      </w:r>
    </w:p>
    <w:p w14:paraId="46AAA36C">
      <w:pPr>
        <w:pStyle w:val="5"/>
        <w:rPr>
          <w:rFonts w:hint="eastAsia"/>
        </w:rPr>
      </w:pPr>
      <w:r>
        <w:rPr>
          <w:rFonts w:hint="eastAsia"/>
        </w:rPr>
        <w:t xml:space="preserve">and CRISPR/Cas12a, enabling direct analysis of samples without conventional </w:t>
      </w:r>
    </w:p>
    <w:p w14:paraId="3787EEDD">
      <w:pPr>
        <w:pStyle w:val="5"/>
        <w:rPr>
          <w:rFonts w:hint="eastAsia"/>
        </w:rPr>
      </w:pPr>
      <w:r>
        <w:rPr>
          <w:rFonts w:hint="eastAsia"/>
        </w:rPr>
        <w:t xml:space="preserve">nucleic acid purification. Leveraging FTA cards for efficient nucleic acid </w:t>
      </w:r>
    </w:p>
    <w:p w14:paraId="24F6537F">
      <w:pPr>
        <w:pStyle w:val="5"/>
        <w:rPr>
          <w:rFonts w:hint="eastAsia"/>
        </w:rPr>
      </w:pPr>
      <w:r>
        <w:rPr>
          <w:rFonts w:hint="eastAsia"/>
        </w:rPr>
        <w:t xml:space="preserve">release and stable preservation, we established assays targeting IS6110, esxB, </w:t>
      </w:r>
    </w:p>
    <w:p w14:paraId="233F483D">
      <w:pPr>
        <w:pStyle w:val="5"/>
        <w:rPr>
          <w:rFonts w:hint="eastAsia"/>
        </w:rPr>
      </w:pPr>
      <w:r>
        <w:rPr>
          <w:rFonts w:hint="eastAsia"/>
        </w:rPr>
        <w:t xml:space="preserve">gyrB, and the RNA target ASdes. Integration of FTA-based sample processing, </w:t>
      </w:r>
    </w:p>
    <w:p w14:paraId="0CCED563">
      <w:pPr>
        <w:pStyle w:val="5"/>
        <w:rPr>
          <w:rFonts w:hint="eastAsia"/>
        </w:rPr>
      </w:pPr>
      <w:r>
        <w:rPr>
          <w:rFonts w:hint="eastAsia"/>
        </w:rPr>
        <w:t xml:space="preserve">ERA/RT-ERA amplification, and Cas12a detection enables fast and reliable </w:t>
      </w:r>
    </w:p>
    <w:p w14:paraId="786AF2FB">
      <w:pPr>
        <w:pStyle w:val="5"/>
        <w:rPr>
          <w:rFonts w:hint="eastAsia"/>
        </w:rPr>
      </w:pPr>
      <w:r>
        <w:rPr>
          <w:rFonts w:hint="eastAsia"/>
        </w:rPr>
        <w:t xml:space="preserve">identification of nucleic acid markers. The detection limits were 12.5 pM for </w:t>
      </w:r>
    </w:p>
    <w:p w14:paraId="4FC20476">
      <w:pPr>
        <w:pStyle w:val="5"/>
        <w:rPr>
          <w:rFonts w:hint="eastAsia"/>
        </w:rPr>
      </w:pPr>
      <w:r>
        <w:rPr>
          <w:rFonts w:hint="eastAsia"/>
        </w:rPr>
        <w:t xml:space="preserve">IS6110, 6.25 pM for esxB, 25 pM for gyrB, and 12.5 pM for ASdes. Our results </w:t>
      </w:r>
    </w:p>
    <w:p w14:paraId="7DF24A21">
      <w:pPr>
        <w:pStyle w:val="5"/>
        <w:rPr>
          <w:rFonts w:hint="eastAsia"/>
        </w:rPr>
      </w:pPr>
      <w:r>
        <w:rPr>
          <w:rFonts w:hint="eastAsia"/>
        </w:rPr>
        <w:t xml:space="preserve">showed strong concordance between endpoint fluorescence and qPCR results, </w:t>
      </w:r>
    </w:p>
    <w:p w14:paraId="3C9AC85D">
      <w:pPr>
        <w:pStyle w:val="5"/>
        <w:rPr>
          <w:rFonts w:hint="eastAsia"/>
        </w:rPr>
      </w:pPr>
      <w:r>
        <w:rPr>
          <w:rFonts w:hint="eastAsia"/>
        </w:rPr>
        <w:t xml:space="preserve">demonstrating robust quantitative performance for both DNA and RNA targets. In </w:t>
      </w:r>
    </w:p>
    <w:p w14:paraId="63FDBFA7">
      <w:pPr>
        <w:pStyle w:val="5"/>
        <w:rPr>
          <w:rFonts w:hint="eastAsia"/>
        </w:rPr>
      </w:pPr>
      <w:r>
        <w:rPr>
          <w:rFonts w:hint="eastAsia"/>
        </w:rPr>
        <w:t xml:space="preserve">clinical serum samples, the fluorescence readouts and lateral flow strip outputs </w:t>
      </w:r>
    </w:p>
    <w:p w14:paraId="24AB56E0">
      <w:pPr>
        <w:pStyle w:val="5"/>
        <w:rPr>
          <w:rFonts w:hint="eastAsia"/>
        </w:rPr>
      </w:pPr>
      <w:r>
        <w:rPr>
          <w:rFonts w:hint="eastAsia"/>
        </w:rPr>
        <w:t xml:space="preserve">showed strong concordance with quantitative PCR results across all four targets. </w:t>
      </w:r>
    </w:p>
    <w:p w14:paraId="4F52DBD3">
      <w:pPr>
        <w:pStyle w:val="5"/>
        <w:rPr>
          <w:rFonts w:hint="eastAsia"/>
        </w:rPr>
      </w:pPr>
      <w:r>
        <w:rPr>
          <w:rFonts w:hint="eastAsia"/>
        </w:rPr>
        <w:t xml:space="preserve">Collectively, the FTA-ERA-CRISPR/Cas12a platform serves as a practical and </w:t>
      </w:r>
    </w:p>
    <w:p w14:paraId="310CC347">
      <w:pPr>
        <w:pStyle w:val="5"/>
        <w:rPr>
          <w:rFonts w:hint="eastAsia"/>
        </w:rPr>
      </w:pPr>
      <w:r>
        <w:rPr>
          <w:rFonts w:hint="eastAsia"/>
        </w:rPr>
        <w:t xml:space="preserve">offers a reliable approach for rapid tuberculosis diagnosis at the point of </w:t>
      </w:r>
    </w:p>
    <w:p w14:paraId="6FA09102">
      <w:pPr>
        <w:pStyle w:val="5"/>
        <w:rPr>
          <w:rFonts w:hint="eastAsia"/>
        </w:rPr>
      </w:pPr>
      <w:r>
        <w:rPr>
          <w:rFonts w:hint="eastAsia"/>
        </w:rPr>
        <w:t xml:space="preserve">need. This integrated multiple distinct targets strategy provides a versatile </w:t>
      </w:r>
    </w:p>
    <w:p w14:paraId="6DF61D6A">
      <w:pPr>
        <w:pStyle w:val="5"/>
        <w:rPr>
          <w:rFonts w:hint="eastAsia"/>
        </w:rPr>
      </w:pPr>
      <w:r>
        <w:rPr>
          <w:rFonts w:hint="eastAsia"/>
        </w:rPr>
        <w:t xml:space="preserve">framework for portable molecular diagnostics and holds promise for improving TB </w:t>
      </w:r>
    </w:p>
    <w:p w14:paraId="744AF153">
      <w:pPr>
        <w:pStyle w:val="5"/>
        <w:rPr>
          <w:rFonts w:hint="eastAsia"/>
        </w:rPr>
      </w:pPr>
      <w:r>
        <w:rPr>
          <w:rFonts w:hint="eastAsia"/>
        </w:rPr>
        <w:t>case detection in resource-limited settings.</w:t>
      </w:r>
    </w:p>
    <w:p w14:paraId="4FEB3045">
      <w:pPr>
        <w:pStyle w:val="5"/>
        <w:rPr>
          <w:rFonts w:hint="eastAsia"/>
        </w:rPr>
      </w:pPr>
    </w:p>
    <w:p w14:paraId="40EDE29D">
      <w:pPr>
        <w:pStyle w:val="5"/>
        <w:rPr>
          <w:rFonts w:hint="eastAsia"/>
        </w:rPr>
      </w:pPr>
      <w:r>
        <w:rPr>
          <w:rFonts w:hint="eastAsia"/>
        </w:rPr>
        <w:t xml:space="preserve">Copyright © 2026 Xing, Zhao, Wang, Ren, Chen, Diao, Qu, Chang, Wang, Zhao, Zhang </w:t>
      </w:r>
    </w:p>
    <w:p w14:paraId="16C10778">
      <w:pPr>
        <w:pStyle w:val="5"/>
        <w:rPr>
          <w:rFonts w:hint="eastAsia"/>
        </w:rPr>
      </w:pPr>
      <w:r>
        <w:rPr>
          <w:rFonts w:hint="eastAsia"/>
        </w:rPr>
        <w:t>and Song.</w:t>
      </w:r>
    </w:p>
    <w:p w14:paraId="22E746FE">
      <w:pPr>
        <w:pStyle w:val="5"/>
        <w:rPr>
          <w:rFonts w:hint="eastAsia"/>
        </w:rPr>
      </w:pPr>
    </w:p>
    <w:p w14:paraId="10ED5FDB">
      <w:pPr>
        <w:pStyle w:val="5"/>
        <w:rPr>
          <w:rFonts w:hint="eastAsia"/>
        </w:rPr>
      </w:pPr>
      <w:r>
        <w:rPr>
          <w:rFonts w:hint="eastAsia"/>
        </w:rPr>
        <w:t>DOI: 10.3389/fmicb.2026.1958414</w:t>
      </w:r>
    </w:p>
    <w:p w14:paraId="0BCC6EA5">
      <w:pPr>
        <w:pStyle w:val="5"/>
        <w:rPr>
          <w:rFonts w:hint="eastAsia"/>
        </w:rPr>
      </w:pPr>
      <w:r>
        <w:rPr>
          <w:rFonts w:hint="eastAsia"/>
        </w:rPr>
        <w:t>PMCID: PMC13658155</w:t>
      </w:r>
    </w:p>
    <w:p w14:paraId="44BE965D">
      <w:pPr>
        <w:pStyle w:val="5"/>
        <w:rPr>
          <w:rFonts w:hint="eastAsia"/>
        </w:rPr>
      </w:pPr>
      <w:r>
        <w:rPr>
          <w:rFonts w:hint="eastAsia"/>
        </w:rPr>
        <w:t>PMID: 42871210</w:t>
      </w:r>
    </w:p>
    <w:p w14:paraId="29D44FA5">
      <w:pPr>
        <w:pStyle w:val="5"/>
        <w:rPr>
          <w:rFonts w:hint="eastAsia"/>
        </w:rPr>
      </w:pPr>
    </w:p>
    <w:p w14:paraId="65927AA8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26</w:t>
      </w:r>
      <w:r>
        <w:rPr>
          <w:rFonts w:hint="eastAsia"/>
          <w:b/>
          <w:bCs/>
          <w:color w:val="FF0000"/>
        </w:rPr>
        <w:t>. J Thorac Dis. 2026 Sep 30;18(9):1052. doi: 10.21037/jtd-2026-2039. Epub 2026 Aug 28.</w:t>
      </w:r>
    </w:p>
    <w:p w14:paraId="296027EA">
      <w:pPr>
        <w:pStyle w:val="5"/>
        <w:rPr>
          <w:rFonts w:hint="eastAsia"/>
        </w:rPr>
      </w:pPr>
    </w:p>
    <w:p w14:paraId="188C6FE1">
      <w:pPr>
        <w:pStyle w:val="5"/>
        <w:rPr>
          <w:rFonts w:hint="eastAsia"/>
        </w:rPr>
      </w:pPr>
      <w:r>
        <w:rPr>
          <w:rFonts w:hint="eastAsia"/>
        </w:rPr>
        <w:t xml:space="preserve">Upper respiratory tract commensal Streptococcus oralis inhibits mycobacterial </w:t>
      </w:r>
    </w:p>
    <w:p w14:paraId="7F073579">
      <w:pPr>
        <w:pStyle w:val="5"/>
        <w:rPr>
          <w:rFonts w:hint="eastAsia"/>
        </w:rPr>
      </w:pPr>
      <w:r>
        <w:rPr>
          <w:rFonts w:hint="eastAsia"/>
        </w:rPr>
        <w:t>growth by producing bioactive molecules and inducing macrophage autophagy.</w:t>
      </w:r>
    </w:p>
    <w:p w14:paraId="4BB75801">
      <w:pPr>
        <w:pStyle w:val="5"/>
        <w:rPr>
          <w:rFonts w:hint="eastAsia"/>
        </w:rPr>
      </w:pPr>
    </w:p>
    <w:p w14:paraId="46D5B9C6">
      <w:pPr>
        <w:pStyle w:val="5"/>
        <w:rPr>
          <w:rFonts w:hint="eastAsia"/>
        </w:rPr>
      </w:pPr>
      <w:r>
        <w:rPr>
          <w:rFonts w:hint="eastAsia"/>
        </w:rPr>
        <w:t>Liu J(1), Peng Y(2), Shen H(2), Sha W(2).</w:t>
      </w:r>
    </w:p>
    <w:p w14:paraId="677C93C5">
      <w:pPr>
        <w:pStyle w:val="5"/>
        <w:rPr>
          <w:rFonts w:hint="eastAsia"/>
        </w:rPr>
      </w:pPr>
    </w:p>
    <w:p w14:paraId="4D94820E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Jiawen Liu,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Ying Peng,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Hongbo Shen,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Wei Sha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2885A071">
      <w:pPr>
        <w:pStyle w:val="5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  <w:lang w:val="en-US" w:eastAsia="zh-CN"/>
        </w:rPr>
        <w:t>*</w:t>
      </w:r>
      <w:r>
        <w:rPr>
          <w:rFonts w:hint="eastAsia"/>
          <w:b/>
          <w:bCs/>
          <w:color w:val="0070C0"/>
        </w:rPr>
        <w:t>Correspondence to:</w:t>
      </w:r>
      <w:r>
        <w:rPr>
          <w:rFonts w:hint="default"/>
          <w:b/>
          <w:bCs/>
          <w:color w:val="0070C0"/>
        </w:rPr>
        <w:t xml:space="preserve"> Wei Sha, MD. Email: </w:t>
      </w:r>
      <w:r>
        <w:rPr>
          <w:rFonts w:hint="eastAsia"/>
          <w:b/>
          <w:bCs/>
          <w:color w:val="0070C0"/>
        </w:rPr>
        <w:t>shfksw@126.com</w:t>
      </w:r>
    </w:p>
    <w:p w14:paraId="6845A3BB">
      <w:pPr>
        <w:pStyle w:val="5"/>
        <w:rPr>
          <w:rFonts w:hint="eastAsia"/>
        </w:rPr>
      </w:pPr>
    </w:p>
    <w:p w14:paraId="164A1698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1947C9C3">
      <w:pPr>
        <w:pStyle w:val="5"/>
        <w:rPr>
          <w:rFonts w:hint="eastAsia"/>
        </w:rPr>
      </w:pPr>
      <w:r>
        <w:rPr>
          <w:rFonts w:hint="eastAsia"/>
        </w:rPr>
        <w:t xml:space="preserve">(1)Department of Immunology, School of Medicine, Tongji University, Shanghai, </w:t>
      </w:r>
    </w:p>
    <w:p w14:paraId="7D857952">
      <w:pPr>
        <w:pStyle w:val="5"/>
        <w:rPr>
          <w:rFonts w:hint="eastAsia"/>
        </w:rPr>
      </w:pPr>
      <w:r>
        <w:rPr>
          <w:rFonts w:hint="eastAsia"/>
        </w:rPr>
        <w:t>China.</w:t>
      </w:r>
    </w:p>
    <w:p w14:paraId="78894623">
      <w:pPr>
        <w:pStyle w:val="5"/>
        <w:rPr>
          <w:rFonts w:hint="eastAsia"/>
        </w:rPr>
      </w:pPr>
      <w:r>
        <w:rPr>
          <w:rFonts w:hint="eastAsia"/>
        </w:rPr>
        <w:t xml:space="preserve">(2)Department of Tuberculosis, Shanghai Pulmonary Hospital, School of Medicine, </w:t>
      </w:r>
    </w:p>
    <w:p w14:paraId="24E08961">
      <w:pPr>
        <w:pStyle w:val="5"/>
        <w:rPr>
          <w:rFonts w:hint="eastAsia"/>
        </w:rPr>
      </w:pPr>
      <w:r>
        <w:rPr>
          <w:rFonts w:hint="eastAsia"/>
        </w:rPr>
        <w:t>Tongji University, Shanghai, China.</w:t>
      </w:r>
    </w:p>
    <w:p w14:paraId="51799DCC">
      <w:pPr>
        <w:pStyle w:val="5"/>
        <w:rPr>
          <w:rFonts w:hint="eastAsia"/>
        </w:rPr>
      </w:pPr>
    </w:p>
    <w:p w14:paraId="49920926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Tuberculosis (TB) is caused by Mycobacterium tuberculosis (Mtb) and </w:t>
      </w:r>
    </w:p>
    <w:p w14:paraId="246452AE">
      <w:pPr>
        <w:pStyle w:val="5"/>
        <w:rPr>
          <w:rFonts w:hint="eastAsia"/>
        </w:rPr>
      </w:pPr>
      <w:r>
        <w:rPr>
          <w:rFonts w:hint="eastAsia"/>
        </w:rPr>
        <w:t xml:space="preserve">remains a major global health challenge. Although host immunity is critical for </w:t>
      </w:r>
    </w:p>
    <w:p w14:paraId="0337A55C">
      <w:pPr>
        <w:pStyle w:val="5"/>
        <w:rPr>
          <w:rFonts w:hint="eastAsia"/>
        </w:rPr>
      </w:pPr>
      <w:r>
        <w:rPr>
          <w:rFonts w:hint="eastAsia"/>
        </w:rPr>
        <w:t xml:space="preserve">controlling infection, the role of upper respiratory tract commensal microbiota </w:t>
      </w:r>
    </w:p>
    <w:p w14:paraId="56171360">
      <w:pPr>
        <w:pStyle w:val="5"/>
        <w:rPr>
          <w:rFonts w:hint="eastAsia"/>
        </w:rPr>
      </w:pPr>
      <w:r>
        <w:rPr>
          <w:rFonts w:hint="eastAsia"/>
        </w:rPr>
        <w:t xml:space="preserve">in anti-mycobacterial defense remains unclear. This study investigated whether </w:t>
      </w:r>
    </w:p>
    <w:p w14:paraId="7B509E0B">
      <w:pPr>
        <w:pStyle w:val="5"/>
        <w:rPr>
          <w:rFonts w:hint="eastAsia"/>
        </w:rPr>
      </w:pPr>
      <w:r>
        <w:rPr>
          <w:rFonts w:hint="eastAsia"/>
        </w:rPr>
        <w:t xml:space="preserve">commensal bacteria from close contacts of patients with TB, who remained </w:t>
      </w:r>
    </w:p>
    <w:p w14:paraId="33318337">
      <w:pPr>
        <w:pStyle w:val="5"/>
        <w:rPr>
          <w:rFonts w:hint="eastAsia"/>
        </w:rPr>
      </w:pPr>
      <w:r>
        <w:rPr>
          <w:rFonts w:hint="eastAsia"/>
        </w:rPr>
        <w:t xml:space="preserve">persistently tuberculin skin test- (TST) and QuantiFERON-TB (QFT) Gold-negative </w:t>
      </w:r>
    </w:p>
    <w:p w14:paraId="51B592C7">
      <w:pPr>
        <w:pStyle w:val="5"/>
        <w:rPr>
          <w:rFonts w:hint="eastAsia"/>
        </w:rPr>
      </w:pPr>
      <w:r>
        <w:rPr>
          <w:rFonts w:hint="eastAsia"/>
        </w:rPr>
        <w:t xml:space="preserve">after long-term exposure, produce factors capable of inhibiting mycobacterial </w:t>
      </w:r>
    </w:p>
    <w:p w14:paraId="677A5D04">
      <w:pPr>
        <w:pStyle w:val="5"/>
        <w:rPr>
          <w:rFonts w:hint="eastAsia"/>
        </w:rPr>
      </w:pPr>
      <w:r>
        <w:rPr>
          <w:rFonts w:hint="eastAsia"/>
        </w:rPr>
        <w:t>growth.</w:t>
      </w:r>
    </w:p>
    <w:p w14:paraId="106148BA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Throat swabs were collected from close contacts of patients with TB and </w:t>
      </w:r>
    </w:p>
    <w:p w14:paraId="264690E5">
      <w:pPr>
        <w:pStyle w:val="5"/>
        <w:rPr>
          <w:rFonts w:hint="eastAsia"/>
        </w:rPr>
      </w:pPr>
      <w:r>
        <w:rPr>
          <w:rFonts w:hint="eastAsia"/>
        </w:rPr>
        <w:t xml:space="preserve">subjected to ex vivo enrichment culture. Cell-free microbial culture </w:t>
      </w:r>
    </w:p>
    <w:p w14:paraId="5A129779">
      <w:pPr>
        <w:pStyle w:val="5"/>
        <w:rPr>
          <w:rFonts w:hint="eastAsia"/>
        </w:rPr>
      </w:pPr>
      <w:r>
        <w:rPr>
          <w:rFonts w:hint="eastAsia"/>
        </w:rPr>
        <w:t xml:space="preserve">supernatants were tested for activity against Bacillus Calmette-Guérin (BCG), </w:t>
      </w:r>
    </w:p>
    <w:p w14:paraId="31CBDA90">
      <w:pPr>
        <w:pStyle w:val="5"/>
        <w:rPr>
          <w:rFonts w:hint="eastAsia"/>
        </w:rPr>
      </w:pPr>
      <w:r>
        <w:rPr>
          <w:rFonts w:hint="eastAsia"/>
        </w:rPr>
        <w:t xml:space="preserve">H37Rv, and Mycobacterium smegmatis (M. smegmatis) in cell-free culture and </w:t>
      </w:r>
    </w:p>
    <w:p w14:paraId="4DBFD3BF">
      <w:pPr>
        <w:pStyle w:val="5"/>
        <w:rPr>
          <w:rFonts w:hint="eastAsia"/>
        </w:rPr>
      </w:pPr>
      <w:r>
        <w:rPr>
          <w:rFonts w:hint="eastAsia"/>
        </w:rPr>
        <w:t xml:space="preserve">THP-1-derived macrophage infection models. Microbiota composition was analyzed </w:t>
      </w:r>
    </w:p>
    <w:p w14:paraId="2F35CC6A">
      <w:pPr>
        <w:pStyle w:val="5"/>
        <w:rPr>
          <w:rFonts w:hint="eastAsia"/>
        </w:rPr>
      </w:pPr>
      <w:r>
        <w:rPr>
          <w:rFonts w:hint="eastAsia"/>
        </w:rPr>
        <w:t xml:space="preserve">by 16S ribosomal ribonucleic acid (rRNA) gene amplicon sequencing, and </w:t>
      </w:r>
    </w:p>
    <w:p w14:paraId="06FB6F45">
      <w:pPr>
        <w:pStyle w:val="5"/>
        <w:rPr>
          <w:rFonts w:hint="eastAsia"/>
        </w:rPr>
      </w:pPr>
      <w:r>
        <w:rPr>
          <w:rFonts w:hint="eastAsia"/>
        </w:rPr>
        <w:t xml:space="preserve">functional strains were isolated and identified by whole-genome sequencing. The </w:t>
      </w:r>
    </w:p>
    <w:p w14:paraId="4A4AAB58">
      <w:pPr>
        <w:pStyle w:val="5"/>
        <w:rPr>
          <w:rFonts w:hint="eastAsia"/>
        </w:rPr>
      </w:pPr>
      <w:r>
        <w:rPr>
          <w:rFonts w:hint="eastAsia"/>
        </w:rPr>
        <w:t xml:space="preserve">physicochemical properties of active components were examined using ethanol </w:t>
      </w:r>
    </w:p>
    <w:p w14:paraId="5FD3DC18">
      <w:pPr>
        <w:pStyle w:val="5"/>
        <w:rPr>
          <w:rFonts w:hint="eastAsia"/>
        </w:rPr>
      </w:pPr>
      <w:r>
        <w:rPr>
          <w:rFonts w:hint="eastAsia"/>
        </w:rPr>
        <w:t xml:space="preserve">precipitation and proteinase K digestion. Autophagy-related proteins were </w:t>
      </w:r>
    </w:p>
    <w:p w14:paraId="3BF03706">
      <w:pPr>
        <w:pStyle w:val="5"/>
        <w:rPr>
          <w:rFonts w:hint="eastAsia"/>
        </w:rPr>
      </w:pPr>
      <w:r>
        <w:rPr>
          <w:rFonts w:hint="eastAsia"/>
        </w:rPr>
        <w:t xml:space="preserve">assessed by Western blotting, and in vivo activity was evaluated in mouse models </w:t>
      </w:r>
    </w:p>
    <w:p w14:paraId="15C485A8">
      <w:pPr>
        <w:pStyle w:val="5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of M. smegmatis and BCG infection.</w:t>
      </w:r>
    </w:p>
    <w:p w14:paraId="2D6AF0EA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Supernatants from selected throat swab cultures significantly inhibited </w:t>
      </w:r>
    </w:p>
    <w:p w14:paraId="4B1010FC">
      <w:pPr>
        <w:pStyle w:val="5"/>
        <w:rPr>
          <w:rFonts w:hint="eastAsia"/>
        </w:rPr>
      </w:pPr>
      <w:r>
        <w:rPr>
          <w:rFonts w:hint="eastAsia"/>
        </w:rPr>
        <w:t xml:space="preserve">mycobacterial growth and reduced intracellular bacterial burdens in macrophages. </w:t>
      </w:r>
    </w:p>
    <w:p w14:paraId="473D1BAD">
      <w:pPr>
        <w:pStyle w:val="5"/>
        <w:rPr>
          <w:rFonts w:hint="eastAsia"/>
        </w:rPr>
      </w:pPr>
      <w:r>
        <w:rPr>
          <w:rFonts w:hint="eastAsia"/>
        </w:rPr>
        <w:t xml:space="preserve">Microbiota analysis and functional screening identified Streptococcus oralis (S. </w:t>
      </w:r>
    </w:p>
    <w:p w14:paraId="040F2590">
      <w:pPr>
        <w:pStyle w:val="5"/>
        <w:rPr>
          <w:rFonts w:hint="eastAsia"/>
        </w:rPr>
      </w:pPr>
      <w:r>
        <w:rPr>
          <w:rFonts w:hint="eastAsia"/>
        </w:rPr>
        <w:t xml:space="preserve">oralis) as a candidate anti-mycobacterial commensal. The culture supernatant of </w:t>
      </w:r>
    </w:p>
    <w:p w14:paraId="3D319A23">
      <w:pPr>
        <w:pStyle w:val="5"/>
        <w:rPr>
          <w:rFonts w:hint="eastAsia"/>
        </w:rPr>
      </w:pPr>
      <w:r>
        <w:rPr>
          <w:rFonts w:hint="eastAsia"/>
        </w:rPr>
        <w:t xml:space="preserve">an isolated S. oralis strain inhibited BCG, H37Rv, and M. smegmatis, and </w:t>
      </w:r>
    </w:p>
    <w:p w14:paraId="31CCA53D">
      <w:pPr>
        <w:pStyle w:val="5"/>
        <w:rPr>
          <w:rFonts w:hint="eastAsia"/>
        </w:rPr>
      </w:pPr>
      <w:r>
        <w:rPr>
          <w:rFonts w:hint="eastAsia"/>
        </w:rPr>
        <w:t xml:space="preserve">decreased intracellular mycobacterial survival. Its activity was enriched in </w:t>
      </w:r>
    </w:p>
    <w:p w14:paraId="7E054F66">
      <w:pPr>
        <w:pStyle w:val="5"/>
        <w:rPr>
          <w:rFonts w:hint="eastAsia"/>
        </w:rPr>
      </w:pPr>
      <w:r>
        <w:rPr>
          <w:rFonts w:hint="eastAsia"/>
        </w:rPr>
        <w:t xml:space="preserve">ethanol-precipitated fractions and was markedly reduced after proteinase K </w:t>
      </w:r>
    </w:p>
    <w:p w14:paraId="5D1B8054">
      <w:pPr>
        <w:pStyle w:val="5"/>
        <w:rPr>
          <w:rFonts w:hint="eastAsia"/>
        </w:rPr>
      </w:pPr>
      <w:r>
        <w:rPr>
          <w:rFonts w:hint="eastAsia"/>
        </w:rPr>
        <w:t xml:space="preserve">digestion, suggesting proteinaceous or peptide-like active components. Treatment </w:t>
      </w:r>
    </w:p>
    <w:p w14:paraId="045BC33A">
      <w:pPr>
        <w:pStyle w:val="5"/>
        <w:rPr>
          <w:rFonts w:hint="eastAsia"/>
        </w:rPr>
      </w:pPr>
      <w:r>
        <w:rPr>
          <w:rFonts w:hint="eastAsia"/>
        </w:rPr>
        <w:t xml:space="preserve">with S. oralis supernatant reduced mTOR and p62 expression and increased LC3B-II </w:t>
      </w:r>
    </w:p>
    <w:p w14:paraId="1ECB4012">
      <w:pPr>
        <w:pStyle w:val="5"/>
        <w:rPr>
          <w:rFonts w:hint="eastAsia"/>
        </w:rPr>
      </w:pPr>
      <w:r>
        <w:rPr>
          <w:rFonts w:hint="eastAsia"/>
        </w:rPr>
        <w:t xml:space="preserve">abundance, consistent with activation of autophagy-related pathways. Oral </w:t>
      </w:r>
    </w:p>
    <w:p w14:paraId="1D2C08A0">
      <w:pPr>
        <w:pStyle w:val="5"/>
        <w:rPr>
          <w:rFonts w:hint="eastAsia"/>
        </w:rPr>
      </w:pPr>
      <w:r>
        <w:rPr>
          <w:rFonts w:hint="eastAsia"/>
        </w:rPr>
        <w:t xml:space="preserve">administration of the supernatant reduced bacterial loads in mouse infection </w:t>
      </w:r>
    </w:p>
    <w:p w14:paraId="4CA6ABD1">
      <w:pPr>
        <w:pStyle w:val="5"/>
        <w:rPr>
          <w:rFonts w:hint="eastAsia"/>
        </w:rPr>
      </w:pPr>
      <w:r>
        <w:rPr>
          <w:rFonts w:hint="eastAsia"/>
        </w:rPr>
        <w:t>models.</w:t>
      </w:r>
    </w:p>
    <w:p w14:paraId="0126A8CC">
      <w:pPr>
        <w:pStyle w:val="5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Upper respiratory tract-derived S. oralis may contribute to </w:t>
      </w:r>
    </w:p>
    <w:p w14:paraId="63AF6654">
      <w:pPr>
        <w:pStyle w:val="5"/>
        <w:rPr>
          <w:rFonts w:hint="eastAsia"/>
        </w:rPr>
      </w:pPr>
      <w:r>
        <w:rPr>
          <w:rFonts w:hint="eastAsia"/>
        </w:rPr>
        <w:t xml:space="preserve">anti-mycobacterial defense by producing protease-sensitive bioactive molecules </w:t>
      </w:r>
    </w:p>
    <w:p w14:paraId="3DCFB057">
      <w:pPr>
        <w:pStyle w:val="5"/>
        <w:rPr>
          <w:rFonts w:hint="eastAsia"/>
        </w:rPr>
      </w:pPr>
      <w:r>
        <w:rPr>
          <w:rFonts w:hint="eastAsia"/>
        </w:rPr>
        <w:t xml:space="preserve">and modulating macrophage autophagy-related pathways. These findings support </w:t>
      </w:r>
    </w:p>
    <w:p w14:paraId="3E56C4B9">
      <w:pPr>
        <w:pStyle w:val="5"/>
        <w:rPr>
          <w:rFonts w:hint="eastAsia"/>
        </w:rPr>
      </w:pPr>
      <w:r>
        <w:rPr>
          <w:rFonts w:hint="eastAsia"/>
        </w:rPr>
        <w:t xml:space="preserve">further investigation of respiratory commensal-derived products as potential </w:t>
      </w:r>
    </w:p>
    <w:p w14:paraId="2A00EB23">
      <w:pPr>
        <w:pStyle w:val="5"/>
        <w:rPr>
          <w:rFonts w:hint="eastAsia"/>
        </w:rPr>
      </w:pPr>
      <w:r>
        <w:rPr>
          <w:rFonts w:hint="eastAsia"/>
        </w:rPr>
        <w:t>host-directed anti-TB strategies.</w:t>
      </w:r>
    </w:p>
    <w:p w14:paraId="3E9E9D3C">
      <w:pPr>
        <w:pStyle w:val="5"/>
        <w:rPr>
          <w:rFonts w:hint="eastAsia"/>
        </w:rPr>
      </w:pPr>
    </w:p>
    <w:p w14:paraId="6384B8F2">
      <w:pPr>
        <w:pStyle w:val="5"/>
        <w:rPr>
          <w:rFonts w:hint="eastAsia"/>
        </w:rPr>
      </w:pPr>
      <w:r>
        <w:rPr>
          <w:rFonts w:hint="eastAsia"/>
        </w:rPr>
        <w:t>© AME Publishing Company.</w:t>
      </w:r>
    </w:p>
    <w:p w14:paraId="596DCEDA">
      <w:pPr>
        <w:pStyle w:val="5"/>
        <w:rPr>
          <w:rFonts w:hint="eastAsia"/>
        </w:rPr>
      </w:pPr>
    </w:p>
    <w:p w14:paraId="747C26F6">
      <w:pPr>
        <w:pStyle w:val="5"/>
        <w:rPr>
          <w:rFonts w:hint="eastAsia"/>
        </w:rPr>
      </w:pPr>
      <w:r>
        <w:rPr>
          <w:rFonts w:hint="eastAsia"/>
        </w:rPr>
        <w:t>DOI: 10.21037/jtd-2026-2039</w:t>
      </w:r>
    </w:p>
    <w:p w14:paraId="027EAF45">
      <w:pPr>
        <w:pStyle w:val="5"/>
        <w:rPr>
          <w:rFonts w:hint="eastAsia"/>
        </w:rPr>
      </w:pPr>
      <w:r>
        <w:rPr>
          <w:rFonts w:hint="eastAsia"/>
        </w:rPr>
        <w:t>PMCID: PMC13655852</w:t>
      </w:r>
    </w:p>
    <w:p w14:paraId="05310FE2">
      <w:pPr>
        <w:pStyle w:val="5"/>
        <w:rPr>
          <w:rFonts w:hint="eastAsia"/>
        </w:rPr>
      </w:pPr>
      <w:r>
        <w:rPr>
          <w:rFonts w:hint="eastAsia"/>
        </w:rPr>
        <w:t>PMID: 42866144</w:t>
      </w:r>
    </w:p>
    <w:p w14:paraId="5D4ED2AA">
      <w:pPr>
        <w:pStyle w:val="5"/>
        <w:rPr>
          <w:rFonts w:hint="eastAsia"/>
        </w:rPr>
      </w:pPr>
    </w:p>
    <w:p w14:paraId="5DC897F6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2</w:t>
      </w:r>
      <w:r>
        <w:rPr>
          <w:rFonts w:hint="eastAsia"/>
          <w:b/>
          <w:bCs/>
          <w:color w:val="FF0000"/>
          <w:lang w:val="en-US" w:eastAsia="zh-CN"/>
        </w:rPr>
        <w:t>7</w:t>
      </w:r>
      <w:r>
        <w:rPr>
          <w:rFonts w:hint="eastAsia"/>
          <w:b/>
          <w:bCs/>
          <w:color w:val="FF0000"/>
        </w:rPr>
        <w:t xml:space="preserve">. Front Immunol. 2026 Sep 28;17:1951983. doi: 10.3389/fimmu.2026.1951983. </w:t>
      </w:r>
    </w:p>
    <w:p w14:paraId="4A7649B7">
      <w:pPr>
        <w:pStyle w:val="5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1F09AA78">
      <w:pPr>
        <w:pStyle w:val="5"/>
        <w:rPr>
          <w:rFonts w:hint="eastAsia"/>
        </w:rPr>
      </w:pPr>
    </w:p>
    <w:p w14:paraId="5E8D4470">
      <w:pPr>
        <w:pStyle w:val="5"/>
        <w:rPr>
          <w:rFonts w:hint="eastAsia"/>
        </w:rPr>
      </w:pPr>
      <w:r>
        <w:rPr>
          <w:rFonts w:hint="eastAsia"/>
        </w:rPr>
        <w:t xml:space="preserve">Diagnostic accuracy of Mycobacterium tuberculosis antigen-induced </w:t>
      </w:r>
    </w:p>
    <w:p w14:paraId="6EC4689B">
      <w:pPr>
        <w:pStyle w:val="5"/>
        <w:rPr>
          <w:rFonts w:hint="eastAsia"/>
        </w:rPr>
      </w:pPr>
      <w:r>
        <w:rPr>
          <w:rFonts w:hint="eastAsia"/>
        </w:rPr>
        <w:t xml:space="preserve">interferon-γ-inducible protein 10 for latent tuberculosis infection among </w:t>
      </w:r>
    </w:p>
    <w:p w14:paraId="49426BD7">
      <w:pPr>
        <w:pStyle w:val="5"/>
        <w:rPr>
          <w:rFonts w:hint="eastAsia"/>
        </w:rPr>
      </w:pPr>
      <w:r>
        <w:rPr>
          <w:rFonts w:hint="eastAsia"/>
        </w:rPr>
        <w:t>high-risk groups: a systematic review and meta-analysis.</w:t>
      </w:r>
    </w:p>
    <w:p w14:paraId="5CBE5061">
      <w:pPr>
        <w:pStyle w:val="5"/>
        <w:rPr>
          <w:rFonts w:hint="eastAsia"/>
        </w:rPr>
      </w:pPr>
    </w:p>
    <w:p w14:paraId="25FC6057">
      <w:pPr>
        <w:pStyle w:val="5"/>
        <w:rPr>
          <w:rFonts w:hint="eastAsia"/>
        </w:rPr>
      </w:pPr>
      <w:r>
        <w:rPr>
          <w:rFonts w:hint="eastAsia"/>
        </w:rPr>
        <w:t>Huang L(1)(2), Hu Y(1)(2), Mao Q(1)(2), Ge L(3), Qiu X(1)(2).</w:t>
      </w:r>
    </w:p>
    <w:p w14:paraId="38B12922">
      <w:pPr>
        <w:pStyle w:val="5"/>
        <w:rPr>
          <w:rFonts w:hint="eastAsia"/>
        </w:rPr>
      </w:pPr>
    </w:p>
    <w:p w14:paraId="05448425">
      <w:pPr>
        <w:pStyle w:val="5"/>
        <w:rPr>
          <w:rFonts w:hint="eastAsia" w:eastAsia="宋体"/>
          <w:b/>
          <w:bCs/>
          <w:color w:val="0070C0"/>
          <w:lang w:val="en-US" w:eastAsia="zh-CN"/>
        </w:rPr>
      </w:pPr>
      <w:r>
        <w:rPr>
          <w:rFonts w:hint="eastAsia"/>
          <w:b/>
          <w:bCs/>
          <w:color w:val="0070C0"/>
        </w:rPr>
        <w:t>Lan Huang,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Yong Hu,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Qian Mao,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Long Ge,</w:t>
      </w:r>
      <w:r>
        <w:rPr>
          <w:rFonts w:hint="eastAsia"/>
          <w:b/>
          <w:bCs/>
          <w:color w:val="0070C0"/>
          <w:lang w:val="en-US" w:eastAsia="zh-CN"/>
        </w:rPr>
        <w:t xml:space="preserve"> </w:t>
      </w:r>
      <w:r>
        <w:rPr>
          <w:rFonts w:hint="eastAsia"/>
          <w:b/>
          <w:bCs/>
          <w:color w:val="0070C0"/>
        </w:rPr>
        <w:t>Xia Qiu</w:t>
      </w:r>
      <w:r>
        <w:rPr>
          <w:rFonts w:hint="eastAsia"/>
          <w:b/>
          <w:bCs/>
          <w:color w:val="0070C0"/>
          <w:lang w:val="en-US" w:eastAsia="zh-CN"/>
        </w:rPr>
        <w:t>*</w:t>
      </w:r>
    </w:p>
    <w:p w14:paraId="0DAB1956">
      <w:pPr>
        <w:pStyle w:val="5"/>
        <w:rPr>
          <w:rFonts w:hint="eastAsia"/>
          <w:b/>
          <w:bCs/>
          <w:color w:val="0070C0"/>
        </w:rPr>
      </w:pPr>
      <w:r>
        <w:rPr>
          <w:rFonts w:hint="eastAsia"/>
          <w:b/>
          <w:bCs/>
          <w:color w:val="0070C0"/>
        </w:rPr>
        <w:t>*CORRESPONDENCE Xia Qiu</w:t>
      </w:r>
      <w:r>
        <w:rPr>
          <w:rFonts w:hint="eastAsia"/>
          <w:b/>
          <w:bCs/>
          <w:color w:val="0070C0"/>
          <w:lang w:eastAsia="zh-CN"/>
        </w:rPr>
        <w:t>，</w:t>
      </w:r>
      <w:r>
        <w:rPr>
          <w:rFonts w:hint="eastAsia"/>
          <w:b/>
          <w:bCs/>
          <w:color w:val="0070C0"/>
        </w:rPr>
        <w:t>qiux17@163.com</w:t>
      </w:r>
    </w:p>
    <w:p w14:paraId="20B12A42">
      <w:pPr>
        <w:pStyle w:val="5"/>
        <w:rPr>
          <w:rFonts w:hint="eastAsia"/>
        </w:rPr>
      </w:pPr>
    </w:p>
    <w:p w14:paraId="4CC7988E">
      <w:pPr>
        <w:pStyle w:val="5"/>
        <w:rPr>
          <w:rFonts w:hint="eastAsia"/>
        </w:rPr>
      </w:pPr>
      <w:r>
        <w:rPr>
          <w:rFonts w:hint="eastAsia"/>
        </w:rPr>
        <w:t>Author information:</w:t>
      </w:r>
    </w:p>
    <w:p w14:paraId="652EF746">
      <w:pPr>
        <w:pStyle w:val="5"/>
        <w:rPr>
          <w:rFonts w:hint="eastAsia"/>
        </w:rPr>
      </w:pPr>
      <w:r>
        <w:rPr>
          <w:rFonts w:hint="eastAsia"/>
        </w:rPr>
        <w:t xml:space="preserve">(1)Department of Pediatrics, West China Second University Hospital, Sichuan </w:t>
      </w:r>
    </w:p>
    <w:p w14:paraId="7A131AD3">
      <w:pPr>
        <w:pStyle w:val="5"/>
        <w:rPr>
          <w:rFonts w:hint="eastAsia"/>
        </w:rPr>
      </w:pPr>
      <w:r>
        <w:rPr>
          <w:rFonts w:hint="eastAsia"/>
        </w:rPr>
        <w:t>University, Chengdu, China.</w:t>
      </w:r>
    </w:p>
    <w:p w14:paraId="03171FF8">
      <w:pPr>
        <w:pStyle w:val="5"/>
        <w:rPr>
          <w:rFonts w:hint="eastAsia"/>
        </w:rPr>
      </w:pPr>
      <w:r>
        <w:rPr>
          <w:rFonts w:hint="eastAsia"/>
        </w:rPr>
        <w:t xml:space="preserve">(2)Key Laboratory of Birth Defects and Related Diseases of Women and Children, </w:t>
      </w:r>
    </w:p>
    <w:p w14:paraId="524C6542">
      <w:pPr>
        <w:pStyle w:val="5"/>
        <w:rPr>
          <w:rFonts w:hint="eastAsia"/>
        </w:rPr>
      </w:pPr>
      <w:r>
        <w:rPr>
          <w:rFonts w:hint="eastAsia"/>
        </w:rPr>
        <w:t>Sichuan University, Ministry of Education, Chengdu, China.</w:t>
      </w:r>
    </w:p>
    <w:p w14:paraId="77E7FC29">
      <w:pPr>
        <w:pStyle w:val="5"/>
        <w:rPr>
          <w:rFonts w:hint="eastAsia"/>
        </w:rPr>
      </w:pPr>
      <w:r>
        <w:rPr>
          <w:rFonts w:hint="eastAsia"/>
        </w:rPr>
        <w:t xml:space="preserve">(3)Department of Social Medicine and Health Management, School of Public Health, </w:t>
      </w:r>
    </w:p>
    <w:p w14:paraId="257E579A">
      <w:pPr>
        <w:pStyle w:val="5"/>
        <w:rPr>
          <w:rFonts w:hint="eastAsia"/>
        </w:rPr>
      </w:pPr>
      <w:r>
        <w:rPr>
          <w:rFonts w:hint="eastAsia"/>
        </w:rPr>
        <w:t>Lanzhou University, Lanzhou, China.</w:t>
      </w:r>
    </w:p>
    <w:p w14:paraId="73F4742A">
      <w:pPr>
        <w:pStyle w:val="5"/>
        <w:rPr>
          <w:rFonts w:hint="eastAsia"/>
        </w:rPr>
      </w:pPr>
    </w:p>
    <w:p w14:paraId="26C7CB71">
      <w:pPr>
        <w:pStyle w:val="5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Latent tuberculosis infection (LTBI) affects nearly a quarter of the </w:t>
      </w:r>
    </w:p>
    <w:p w14:paraId="43864B8F">
      <w:pPr>
        <w:pStyle w:val="5"/>
        <w:rPr>
          <w:rFonts w:hint="eastAsia"/>
        </w:rPr>
      </w:pPr>
      <w:r>
        <w:rPr>
          <w:rFonts w:hint="eastAsia"/>
        </w:rPr>
        <w:t xml:space="preserve">world's population, yet current diagnostic tools are suboptimal. </w:t>
      </w:r>
    </w:p>
    <w:p w14:paraId="3E0E1267">
      <w:pPr>
        <w:pStyle w:val="5"/>
        <w:rPr>
          <w:rFonts w:hint="eastAsia"/>
        </w:rPr>
      </w:pPr>
      <w:r>
        <w:rPr>
          <w:rFonts w:hint="eastAsia"/>
        </w:rPr>
        <w:t xml:space="preserve">Interferon-γ-inducible protein 10 (IP-10) has been proposed as a candidate </w:t>
      </w:r>
    </w:p>
    <w:p w14:paraId="3302DFAC">
      <w:pPr>
        <w:pStyle w:val="5"/>
        <w:rPr>
          <w:rFonts w:hint="eastAsia"/>
        </w:rPr>
      </w:pPr>
      <w:r>
        <w:rPr>
          <w:rFonts w:hint="eastAsia"/>
        </w:rPr>
        <w:t xml:space="preserve">biomarker, but its diagnostic value for LTBI among high-risk groups is unclear. </w:t>
      </w:r>
    </w:p>
    <w:p w14:paraId="69D8FF88">
      <w:pPr>
        <w:pStyle w:val="5"/>
        <w:rPr>
          <w:rFonts w:hint="eastAsia"/>
        </w:rPr>
      </w:pPr>
      <w:r>
        <w:rPr>
          <w:rFonts w:hint="eastAsia"/>
        </w:rPr>
        <w:t xml:space="preserve">To address this, we performed a systematic review and meta-analysis to assess </w:t>
      </w:r>
    </w:p>
    <w:p w14:paraId="1A07C1E5">
      <w:pPr>
        <w:pStyle w:val="5"/>
        <w:rPr>
          <w:rFonts w:hint="eastAsia"/>
        </w:rPr>
      </w:pPr>
      <w:r>
        <w:rPr>
          <w:rFonts w:hint="eastAsia"/>
        </w:rPr>
        <w:t xml:space="preserve">the accuracy of Mycobacterium tuberculosis (Mtb) antigen-induced IP-10 for </w:t>
      </w:r>
    </w:p>
    <w:p w14:paraId="3E1EA1E2">
      <w:pPr>
        <w:pStyle w:val="5"/>
        <w:rPr>
          <w:rFonts w:hint="eastAsia"/>
        </w:rPr>
      </w:pPr>
      <w:r>
        <w:rPr>
          <w:rFonts w:hint="eastAsia"/>
        </w:rPr>
        <w:t>detecting LTBI among high-risk groups.</w:t>
      </w:r>
    </w:p>
    <w:p w14:paraId="172E9968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PubMed, Web of Science, Embase, Scopus, and the Cochrane Library were </w:t>
      </w:r>
    </w:p>
    <w:p w14:paraId="5F6A53D6">
      <w:pPr>
        <w:pStyle w:val="5"/>
        <w:rPr>
          <w:rFonts w:hint="eastAsia"/>
        </w:rPr>
      </w:pPr>
      <w:r>
        <w:rPr>
          <w:rFonts w:hint="eastAsia"/>
        </w:rPr>
        <w:t xml:space="preserve">searched up to April 2026. Cohort and cross-sectional studies evaluating Mtb </w:t>
      </w:r>
    </w:p>
    <w:p w14:paraId="3FF398C6">
      <w:pPr>
        <w:pStyle w:val="5"/>
        <w:rPr>
          <w:rFonts w:hint="eastAsia"/>
        </w:rPr>
      </w:pPr>
      <w:r>
        <w:rPr>
          <w:rFonts w:hint="eastAsia"/>
        </w:rPr>
        <w:t xml:space="preserve">antigen-induced IP-10 for LTBI diagnosis in high-risk groups were included. A </w:t>
      </w:r>
    </w:p>
    <w:p w14:paraId="0326DA5A">
      <w:pPr>
        <w:pStyle w:val="5"/>
        <w:rPr>
          <w:rFonts w:hint="eastAsia"/>
        </w:rPr>
      </w:pPr>
      <w:r>
        <w:rPr>
          <w:rFonts w:hint="eastAsia"/>
        </w:rPr>
        <w:t xml:space="preserve">bivariate random-effects model and a hierarchical summary receiver operating </w:t>
      </w:r>
    </w:p>
    <w:p w14:paraId="72C3C53F">
      <w:pPr>
        <w:pStyle w:val="5"/>
        <w:rPr>
          <w:rFonts w:hint="eastAsia"/>
        </w:rPr>
      </w:pPr>
      <w:r>
        <w:rPr>
          <w:rFonts w:hint="eastAsia"/>
        </w:rPr>
        <w:t xml:space="preserve">characteristic model were used to estimate and summarize the overall diagnostic </w:t>
      </w:r>
    </w:p>
    <w:p w14:paraId="6C031A34">
      <w:pPr>
        <w:pStyle w:val="5"/>
        <w:rPr>
          <w:rFonts w:hint="eastAsia"/>
        </w:rPr>
      </w:pPr>
      <w:r>
        <w:rPr>
          <w:rFonts w:hint="eastAsia"/>
        </w:rPr>
        <w:t>performance.</w:t>
      </w:r>
    </w:p>
    <w:p w14:paraId="4E8C1F86">
      <w:pPr>
        <w:pStyle w:val="5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Nineteen articles comprising 24 studies (2,014 participants) were </w:t>
      </w:r>
    </w:p>
    <w:p w14:paraId="47F30A28">
      <w:pPr>
        <w:pStyle w:val="5"/>
        <w:rPr>
          <w:rFonts w:hint="eastAsia"/>
        </w:rPr>
      </w:pPr>
      <w:r>
        <w:rPr>
          <w:rFonts w:hint="eastAsia"/>
        </w:rPr>
        <w:t xml:space="preserve">included. The pooled sensitivity, specificity, positive and negative likelihood </w:t>
      </w:r>
    </w:p>
    <w:p w14:paraId="5366466D">
      <w:pPr>
        <w:pStyle w:val="5"/>
        <w:rPr>
          <w:rFonts w:hint="eastAsia"/>
        </w:rPr>
      </w:pPr>
      <w:r>
        <w:rPr>
          <w:rFonts w:hint="eastAsia"/>
        </w:rPr>
        <w:t xml:space="preserve">ratios, diagnostic odds ratio, and area under the curve of Mtb antigen-induced </w:t>
      </w:r>
    </w:p>
    <w:p w14:paraId="51DB2E57">
      <w:pPr>
        <w:pStyle w:val="5"/>
        <w:rPr>
          <w:rFonts w:hint="eastAsia"/>
        </w:rPr>
      </w:pPr>
      <w:r>
        <w:rPr>
          <w:rFonts w:hint="eastAsia"/>
        </w:rPr>
        <w:t xml:space="preserve">IP-10 were 0.81, 0.88, 6.93, 0.21, 32.56, and 0.91, respectively, indicating </w:t>
      </w:r>
    </w:p>
    <w:p w14:paraId="10EDF9C5">
      <w:pPr>
        <w:pStyle w:val="5"/>
        <w:rPr>
          <w:rFonts w:hint="eastAsia"/>
        </w:rPr>
      </w:pPr>
      <w:r>
        <w:rPr>
          <w:rFonts w:hint="eastAsia"/>
        </w:rPr>
        <w:t xml:space="preserve">good diagnostic performance of Mtb antigen-induced IP-10 for detecting LTBI </w:t>
      </w:r>
    </w:p>
    <w:p w14:paraId="5C2346F8">
      <w:pPr>
        <w:pStyle w:val="5"/>
        <w:rPr>
          <w:rFonts w:hint="eastAsia"/>
        </w:rPr>
      </w:pPr>
      <w:r>
        <w:rPr>
          <w:rFonts w:hint="eastAsia"/>
        </w:rPr>
        <w:t xml:space="preserve">among high-risk groups. The bivariate boxplot, meta-regression and subgroup </w:t>
      </w:r>
    </w:p>
    <w:p w14:paraId="62B51A35">
      <w:pPr>
        <w:pStyle w:val="5"/>
        <w:rPr>
          <w:rFonts w:hint="eastAsia"/>
        </w:rPr>
      </w:pPr>
      <w:r>
        <w:rPr>
          <w:rFonts w:hint="eastAsia"/>
        </w:rPr>
        <w:t>analysis identified no significant source of heterogeneity.</w:t>
      </w:r>
    </w:p>
    <w:p w14:paraId="3A4B3478">
      <w:pPr>
        <w:pStyle w:val="5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Mtb antigen-induced IP-10 is a promising biomarker for detecting </w:t>
      </w:r>
    </w:p>
    <w:p w14:paraId="4AB7DD3B">
      <w:pPr>
        <w:pStyle w:val="5"/>
        <w:rPr>
          <w:rFonts w:hint="eastAsia"/>
        </w:rPr>
      </w:pPr>
      <w:r>
        <w:rPr>
          <w:rFonts w:hint="eastAsia"/>
        </w:rPr>
        <w:t xml:space="preserve">LTBI among high-risk groups. It may serve as a useful adjunct to IGRAs and TST, </w:t>
      </w:r>
    </w:p>
    <w:p w14:paraId="0F7FAC5E">
      <w:pPr>
        <w:pStyle w:val="5"/>
        <w:rPr>
          <w:rFonts w:hint="eastAsia"/>
        </w:rPr>
      </w:pPr>
      <w:r>
        <w:rPr>
          <w:rFonts w:hint="eastAsia"/>
        </w:rPr>
        <w:t>although its clinical utility requires further validation.</w:t>
      </w:r>
    </w:p>
    <w:p w14:paraId="08B24726">
      <w:pPr>
        <w:pStyle w:val="5"/>
        <w:rPr>
          <w:rFonts w:hint="eastAsia"/>
        </w:rPr>
      </w:pPr>
      <w:r>
        <w:rPr>
          <w:rFonts w:hint="eastAsia"/>
        </w:rPr>
        <w:t xml:space="preserve">SYSTEMATIC REVIEW REGISTRATION: https://www.crd.york.ac.uk/prospero/, identifier </w:t>
      </w:r>
    </w:p>
    <w:p w14:paraId="0010BD07">
      <w:pPr>
        <w:pStyle w:val="5"/>
        <w:rPr>
          <w:rFonts w:hint="eastAsia"/>
        </w:rPr>
      </w:pPr>
      <w:r>
        <w:rPr>
          <w:rFonts w:hint="eastAsia"/>
        </w:rPr>
        <w:t>CRD420261388089.</w:t>
      </w:r>
    </w:p>
    <w:p w14:paraId="3B33EF4F">
      <w:pPr>
        <w:pStyle w:val="5"/>
        <w:rPr>
          <w:rFonts w:hint="eastAsia"/>
        </w:rPr>
      </w:pPr>
    </w:p>
    <w:p w14:paraId="7E1183E7">
      <w:pPr>
        <w:pStyle w:val="5"/>
        <w:rPr>
          <w:rFonts w:hint="eastAsia"/>
        </w:rPr>
      </w:pPr>
      <w:r>
        <w:rPr>
          <w:rFonts w:hint="eastAsia"/>
        </w:rPr>
        <w:t>Copyright © 2026 Huang, Hu, Mao, Ge and Qiu.</w:t>
      </w:r>
    </w:p>
    <w:p w14:paraId="319CBAE4">
      <w:pPr>
        <w:pStyle w:val="5"/>
        <w:rPr>
          <w:rFonts w:hint="eastAsia"/>
        </w:rPr>
      </w:pPr>
    </w:p>
    <w:p w14:paraId="6FF8A402">
      <w:pPr>
        <w:pStyle w:val="5"/>
        <w:rPr>
          <w:rFonts w:hint="eastAsia"/>
        </w:rPr>
      </w:pPr>
      <w:r>
        <w:rPr>
          <w:rFonts w:hint="eastAsia"/>
        </w:rPr>
        <w:t>DOI: 10.3389/fimmu.2026.1951983</w:t>
      </w:r>
    </w:p>
    <w:p w14:paraId="275245BF">
      <w:pPr>
        <w:pStyle w:val="5"/>
        <w:rPr>
          <w:rFonts w:hint="eastAsia"/>
        </w:rPr>
      </w:pPr>
      <w:r>
        <w:rPr>
          <w:rFonts w:hint="eastAsia"/>
        </w:rPr>
        <w:t>PMCID: PMC13654728</w:t>
      </w:r>
    </w:p>
    <w:p w14:paraId="242CB0FC">
      <w:pPr>
        <w:pStyle w:val="5"/>
        <w:rPr>
          <w:rFonts w:hint="eastAsia"/>
        </w:rPr>
      </w:pPr>
      <w:r>
        <w:rPr>
          <w:rFonts w:hint="eastAsia"/>
        </w:rPr>
        <w:t>PMID: 42865435 [Indexed for MEDLINE]</w:t>
      </w:r>
    </w:p>
    <w:p w14:paraId="4FC5BD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53" w:bottom="1440" w:left="17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099"/>
    <w:rsid w:val="00000DB9"/>
    <w:rsid w:val="000014AB"/>
    <w:rsid w:val="00001D3A"/>
    <w:rsid w:val="00002158"/>
    <w:rsid w:val="0000344F"/>
    <w:rsid w:val="00003B7D"/>
    <w:rsid w:val="00004B8B"/>
    <w:rsid w:val="00004DDC"/>
    <w:rsid w:val="00004E0D"/>
    <w:rsid w:val="000053D4"/>
    <w:rsid w:val="00005626"/>
    <w:rsid w:val="00005C57"/>
    <w:rsid w:val="00005DF6"/>
    <w:rsid w:val="00006365"/>
    <w:rsid w:val="00006B5E"/>
    <w:rsid w:val="00006BCA"/>
    <w:rsid w:val="00006DF9"/>
    <w:rsid w:val="00007617"/>
    <w:rsid w:val="00007812"/>
    <w:rsid w:val="00007A28"/>
    <w:rsid w:val="00011C35"/>
    <w:rsid w:val="00012109"/>
    <w:rsid w:val="00012461"/>
    <w:rsid w:val="0001360E"/>
    <w:rsid w:val="0001363A"/>
    <w:rsid w:val="00013BEE"/>
    <w:rsid w:val="00014403"/>
    <w:rsid w:val="00015A87"/>
    <w:rsid w:val="00016B45"/>
    <w:rsid w:val="00016B5F"/>
    <w:rsid w:val="0001711E"/>
    <w:rsid w:val="0001736B"/>
    <w:rsid w:val="0001780F"/>
    <w:rsid w:val="00017F5F"/>
    <w:rsid w:val="0002050B"/>
    <w:rsid w:val="000212B5"/>
    <w:rsid w:val="00021B2B"/>
    <w:rsid w:val="00022216"/>
    <w:rsid w:val="00022C1A"/>
    <w:rsid w:val="00024C92"/>
    <w:rsid w:val="0002517A"/>
    <w:rsid w:val="0002533D"/>
    <w:rsid w:val="0002556C"/>
    <w:rsid w:val="00025EF3"/>
    <w:rsid w:val="00026721"/>
    <w:rsid w:val="00026903"/>
    <w:rsid w:val="00026B44"/>
    <w:rsid w:val="00030C8F"/>
    <w:rsid w:val="00031017"/>
    <w:rsid w:val="00032443"/>
    <w:rsid w:val="0003251D"/>
    <w:rsid w:val="000336F2"/>
    <w:rsid w:val="000341A3"/>
    <w:rsid w:val="000349DB"/>
    <w:rsid w:val="00034C47"/>
    <w:rsid w:val="00035160"/>
    <w:rsid w:val="000369F1"/>
    <w:rsid w:val="000377E0"/>
    <w:rsid w:val="00040D2C"/>
    <w:rsid w:val="000411E9"/>
    <w:rsid w:val="000419D1"/>
    <w:rsid w:val="00041F05"/>
    <w:rsid w:val="00042044"/>
    <w:rsid w:val="00042257"/>
    <w:rsid w:val="00042426"/>
    <w:rsid w:val="00042646"/>
    <w:rsid w:val="000426FD"/>
    <w:rsid w:val="00042BCC"/>
    <w:rsid w:val="00042F87"/>
    <w:rsid w:val="000430FF"/>
    <w:rsid w:val="000439C5"/>
    <w:rsid w:val="00043AA7"/>
    <w:rsid w:val="00043EC1"/>
    <w:rsid w:val="00043F59"/>
    <w:rsid w:val="0004433C"/>
    <w:rsid w:val="0004482E"/>
    <w:rsid w:val="00044BF9"/>
    <w:rsid w:val="00044C1D"/>
    <w:rsid w:val="000467F6"/>
    <w:rsid w:val="00046D3D"/>
    <w:rsid w:val="0004738B"/>
    <w:rsid w:val="0004796A"/>
    <w:rsid w:val="00047D8A"/>
    <w:rsid w:val="00050F4A"/>
    <w:rsid w:val="000512A8"/>
    <w:rsid w:val="000518ED"/>
    <w:rsid w:val="0005269D"/>
    <w:rsid w:val="00052F5C"/>
    <w:rsid w:val="00053092"/>
    <w:rsid w:val="00054174"/>
    <w:rsid w:val="000542D4"/>
    <w:rsid w:val="0005483D"/>
    <w:rsid w:val="00055647"/>
    <w:rsid w:val="000557AE"/>
    <w:rsid w:val="00055A35"/>
    <w:rsid w:val="00055DAE"/>
    <w:rsid w:val="00055E67"/>
    <w:rsid w:val="0005622B"/>
    <w:rsid w:val="00056868"/>
    <w:rsid w:val="00056925"/>
    <w:rsid w:val="00056A0E"/>
    <w:rsid w:val="00056B72"/>
    <w:rsid w:val="0005708E"/>
    <w:rsid w:val="000570CD"/>
    <w:rsid w:val="00057CFD"/>
    <w:rsid w:val="000608E2"/>
    <w:rsid w:val="00061893"/>
    <w:rsid w:val="00061C4A"/>
    <w:rsid w:val="00062457"/>
    <w:rsid w:val="00063178"/>
    <w:rsid w:val="0006337A"/>
    <w:rsid w:val="000637F3"/>
    <w:rsid w:val="00063930"/>
    <w:rsid w:val="00063E49"/>
    <w:rsid w:val="000650D3"/>
    <w:rsid w:val="00065A57"/>
    <w:rsid w:val="00065B56"/>
    <w:rsid w:val="000660CB"/>
    <w:rsid w:val="00066C6B"/>
    <w:rsid w:val="0006702C"/>
    <w:rsid w:val="000672B8"/>
    <w:rsid w:val="00070260"/>
    <w:rsid w:val="0007069D"/>
    <w:rsid w:val="00070FE6"/>
    <w:rsid w:val="000716E0"/>
    <w:rsid w:val="00071D85"/>
    <w:rsid w:val="00071F83"/>
    <w:rsid w:val="00073164"/>
    <w:rsid w:val="0007482C"/>
    <w:rsid w:val="00074A4F"/>
    <w:rsid w:val="00075067"/>
    <w:rsid w:val="000750A2"/>
    <w:rsid w:val="000751FE"/>
    <w:rsid w:val="00075D82"/>
    <w:rsid w:val="00075F42"/>
    <w:rsid w:val="0007684E"/>
    <w:rsid w:val="00076855"/>
    <w:rsid w:val="00076884"/>
    <w:rsid w:val="00076A1E"/>
    <w:rsid w:val="00076E62"/>
    <w:rsid w:val="00076F4D"/>
    <w:rsid w:val="0007729A"/>
    <w:rsid w:val="0007790C"/>
    <w:rsid w:val="0008093D"/>
    <w:rsid w:val="00080EB3"/>
    <w:rsid w:val="00081087"/>
    <w:rsid w:val="000811D4"/>
    <w:rsid w:val="000815C7"/>
    <w:rsid w:val="00082408"/>
    <w:rsid w:val="00082565"/>
    <w:rsid w:val="00082B2E"/>
    <w:rsid w:val="00082B6A"/>
    <w:rsid w:val="00082EB9"/>
    <w:rsid w:val="00083766"/>
    <w:rsid w:val="00083B28"/>
    <w:rsid w:val="00083C1E"/>
    <w:rsid w:val="00083CDE"/>
    <w:rsid w:val="00083F4F"/>
    <w:rsid w:val="00084611"/>
    <w:rsid w:val="00085CBB"/>
    <w:rsid w:val="00086220"/>
    <w:rsid w:val="000866EC"/>
    <w:rsid w:val="000871EA"/>
    <w:rsid w:val="000878F0"/>
    <w:rsid w:val="000879A2"/>
    <w:rsid w:val="000900A1"/>
    <w:rsid w:val="000904A7"/>
    <w:rsid w:val="00090B79"/>
    <w:rsid w:val="00092343"/>
    <w:rsid w:val="00092419"/>
    <w:rsid w:val="0009252C"/>
    <w:rsid w:val="00092C39"/>
    <w:rsid w:val="00092C59"/>
    <w:rsid w:val="00092F3A"/>
    <w:rsid w:val="00093655"/>
    <w:rsid w:val="00093A63"/>
    <w:rsid w:val="00094139"/>
    <w:rsid w:val="00094FD8"/>
    <w:rsid w:val="00094FDF"/>
    <w:rsid w:val="00095EEB"/>
    <w:rsid w:val="00096767"/>
    <w:rsid w:val="00096770"/>
    <w:rsid w:val="00096805"/>
    <w:rsid w:val="00097075"/>
    <w:rsid w:val="000979C8"/>
    <w:rsid w:val="00097C56"/>
    <w:rsid w:val="00097DBB"/>
    <w:rsid w:val="000A0936"/>
    <w:rsid w:val="000A0C4E"/>
    <w:rsid w:val="000A12C3"/>
    <w:rsid w:val="000A1FB5"/>
    <w:rsid w:val="000A2006"/>
    <w:rsid w:val="000A2735"/>
    <w:rsid w:val="000A2DEE"/>
    <w:rsid w:val="000A361C"/>
    <w:rsid w:val="000A3785"/>
    <w:rsid w:val="000A37B4"/>
    <w:rsid w:val="000A3C36"/>
    <w:rsid w:val="000A3DED"/>
    <w:rsid w:val="000A4B87"/>
    <w:rsid w:val="000A4CEA"/>
    <w:rsid w:val="000A50DC"/>
    <w:rsid w:val="000A5E88"/>
    <w:rsid w:val="000A6D28"/>
    <w:rsid w:val="000A6DBA"/>
    <w:rsid w:val="000A73A3"/>
    <w:rsid w:val="000A7D87"/>
    <w:rsid w:val="000B086A"/>
    <w:rsid w:val="000B1292"/>
    <w:rsid w:val="000B15A4"/>
    <w:rsid w:val="000B1B8A"/>
    <w:rsid w:val="000B1EF2"/>
    <w:rsid w:val="000B2066"/>
    <w:rsid w:val="000B207D"/>
    <w:rsid w:val="000B2A58"/>
    <w:rsid w:val="000B37C0"/>
    <w:rsid w:val="000B4814"/>
    <w:rsid w:val="000B53D7"/>
    <w:rsid w:val="000B644B"/>
    <w:rsid w:val="000B64CA"/>
    <w:rsid w:val="000B73F6"/>
    <w:rsid w:val="000B7415"/>
    <w:rsid w:val="000B74EB"/>
    <w:rsid w:val="000B7C3B"/>
    <w:rsid w:val="000C07C5"/>
    <w:rsid w:val="000C09F8"/>
    <w:rsid w:val="000C0A24"/>
    <w:rsid w:val="000C0F9A"/>
    <w:rsid w:val="000C1141"/>
    <w:rsid w:val="000C11D8"/>
    <w:rsid w:val="000C1C1D"/>
    <w:rsid w:val="000C2025"/>
    <w:rsid w:val="000C2538"/>
    <w:rsid w:val="000C31CF"/>
    <w:rsid w:val="000C3599"/>
    <w:rsid w:val="000C3C2C"/>
    <w:rsid w:val="000C4172"/>
    <w:rsid w:val="000C4425"/>
    <w:rsid w:val="000C48BE"/>
    <w:rsid w:val="000C4AA0"/>
    <w:rsid w:val="000C54B5"/>
    <w:rsid w:val="000C5BD0"/>
    <w:rsid w:val="000C5D65"/>
    <w:rsid w:val="000C64E2"/>
    <w:rsid w:val="000C6757"/>
    <w:rsid w:val="000C6BE6"/>
    <w:rsid w:val="000D04AB"/>
    <w:rsid w:val="000D072C"/>
    <w:rsid w:val="000D088A"/>
    <w:rsid w:val="000D0A87"/>
    <w:rsid w:val="000D111E"/>
    <w:rsid w:val="000D1748"/>
    <w:rsid w:val="000D2140"/>
    <w:rsid w:val="000D229A"/>
    <w:rsid w:val="000D2954"/>
    <w:rsid w:val="000D29AC"/>
    <w:rsid w:val="000D29FE"/>
    <w:rsid w:val="000D2A7B"/>
    <w:rsid w:val="000D2D26"/>
    <w:rsid w:val="000D2E2E"/>
    <w:rsid w:val="000D3106"/>
    <w:rsid w:val="000D3334"/>
    <w:rsid w:val="000D38BB"/>
    <w:rsid w:val="000D3E73"/>
    <w:rsid w:val="000D401D"/>
    <w:rsid w:val="000D48F9"/>
    <w:rsid w:val="000D4DA6"/>
    <w:rsid w:val="000D6767"/>
    <w:rsid w:val="000D6B28"/>
    <w:rsid w:val="000D7130"/>
    <w:rsid w:val="000D7225"/>
    <w:rsid w:val="000E0BA3"/>
    <w:rsid w:val="000E0FAD"/>
    <w:rsid w:val="000E160C"/>
    <w:rsid w:val="000E1ED0"/>
    <w:rsid w:val="000E2070"/>
    <w:rsid w:val="000E321F"/>
    <w:rsid w:val="000E350F"/>
    <w:rsid w:val="000E3685"/>
    <w:rsid w:val="000E3861"/>
    <w:rsid w:val="000E3922"/>
    <w:rsid w:val="000E3998"/>
    <w:rsid w:val="000E3CB5"/>
    <w:rsid w:val="000E3E6F"/>
    <w:rsid w:val="000E3FAA"/>
    <w:rsid w:val="000E3FC3"/>
    <w:rsid w:val="000E515E"/>
    <w:rsid w:val="000E5936"/>
    <w:rsid w:val="000E6910"/>
    <w:rsid w:val="000E6B0B"/>
    <w:rsid w:val="000E7095"/>
    <w:rsid w:val="000E7324"/>
    <w:rsid w:val="000E7332"/>
    <w:rsid w:val="000E782C"/>
    <w:rsid w:val="000F02D4"/>
    <w:rsid w:val="000F031F"/>
    <w:rsid w:val="000F0847"/>
    <w:rsid w:val="000F1325"/>
    <w:rsid w:val="000F1799"/>
    <w:rsid w:val="000F1C71"/>
    <w:rsid w:val="000F27EF"/>
    <w:rsid w:val="000F2CAB"/>
    <w:rsid w:val="000F31C8"/>
    <w:rsid w:val="000F352E"/>
    <w:rsid w:val="000F38A7"/>
    <w:rsid w:val="000F4278"/>
    <w:rsid w:val="000F5325"/>
    <w:rsid w:val="000F5B62"/>
    <w:rsid w:val="000F5E34"/>
    <w:rsid w:val="000F64D5"/>
    <w:rsid w:val="000F69E7"/>
    <w:rsid w:val="000F6C96"/>
    <w:rsid w:val="000F6F22"/>
    <w:rsid w:val="000F6FA9"/>
    <w:rsid w:val="000F763E"/>
    <w:rsid w:val="001011E5"/>
    <w:rsid w:val="001014FB"/>
    <w:rsid w:val="00101917"/>
    <w:rsid w:val="00101965"/>
    <w:rsid w:val="0010208F"/>
    <w:rsid w:val="0010233B"/>
    <w:rsid w:val="00102C3A"/>
    <w:rsid w:val="00102CB5"/>
    <w:rsid w:val="00102F6D"/>
    <w:rsid w:val="00104454"/>
    <w:rsid w:val="001054FA"/>
    <w:rsid w:val="001058AC"/>
    <w:rsid w:val="0010615D"/>
    <w:rsid w:val="0010782E"/>
    <w:rsid w:val="0010799E"/>
    <w:rsid w:val="00110110"/>
    <w:rsid w:val="00110765"/>
    <w:rsid w:val="00111272"/>
    <w:rsid w:val="00111661"/>
    <w:rsid w:val="00111A11"/>
    <w:rsid w:val="00112598"/>
    <w:rsid w:val="0011287F"/>
    <w:rsid w:val="00112A13"/>
    <w:rsid w:val="00112A56"/>
    <w:rsid w:val="00112F4B"/>
    <w:rsid w:val="0011324E"/>
    <w:rsid w:val="00113349"/>
    <w:rsid w:val="0011339A"/>
    <w:rsid w:val="001136AC"/>
    <w:rsid w:val="00113A4D"/>
    <w:rsid w:val="00113BD6"/>
    <w:rsid w:val="00114048"/>
    <w:rsid w:val="00114747"/>
    <w:rsid w:val="001148A1"/>
    <w:rsid w:val="00115471"/>
    <w:rsid w:val="00115539"/>
    <w:rsid w:val="00115817"/>
    <w:rsid w:val="00116CC5"/>
    <w:rsid w:val="001170F6"/>
    <w:rsid w:val="00117346"/>
    <w:rsid w:val="001174DF"/>
    <w:rsid w:val="00117773"/>
    <w:rsid w:val="001177F1"/>
    <w:rsid w:val="00117E84"/>
    <w:rsid w:val="00120949"/>
    <w:rsid w:val="001209C1"/>
    <w:rsid w:val="001209CA"/>
    <w:rsid w:val="00120A34"/>
    <w:rsid w:val="00120ED7"/>
    <w:rsid w:val="00122327"/>
    <w:rsid w:val="00122F4E"/>
    <w:rsid w:val="00123068"/>
    <w:rsid w:val="0012347D"/>
    <w:rsid w:val="00123DB0"/>
    <w:rsid w:val="00124801"/>
    <w:rsid w:val="0012481A"/>
    <w:rsid w:val="00125C53"/>
    <w:rsid w:val="001266D9"/>
    <w:rsid w:val="0012692E"/>
    <w:rsid w:val="0012702F"/>
    <w:rsid w:val="00127511"/>
    <w:rsid w:val="00127B6E"/>
    <w:rsid w:val="00127CF5"/>
    <w:rsid w:val="00130E3F"/>
    <w:rsid w:val="00131585"/>
    <w:rsid w:val="00132F43"/>
    <w:rsid w:val="001336F7"/>
    <w:rsid w:val="00133A73"/>
    <w:rsid w:val="00133ACC"/>
    <w:rsid w:val="001346A8"/>
    <w:rsid w:val="00134766"/>
    <w:rsid w:val="00134A12"/>
    <w:rsid w:val="00134A7B"/>
    <w:rsid w:val="00134DEE"/>
    <w:rsid w:val="00135067"/>
    <w:rsid w:val="001356E3"/>
    <w:rsid w:val="0013594B"/>
    <w:rsid w:val="001362DC"/>
    <w:rsid w:val="00136B8B"/>
    <w:rsid w:val="00136FAC"/>
    <w:rsid w:val="001370CD"/>
    <w:rsid w:val="001401A3"/>
    <w:rsid w:val="001405D6"/>
    <w:rsid w:val="00140740"/>
    <w:rsid w:val="0014119D"/>
    <w:rsid w:val="001412B3"/>
    <w:rsid w:val="001415DE"/>
    <w:rsid w:val="00141786"/>
    <w:rsid w:val="00141CE3"/>
    <w:rsid w:val="00142416"/>
    <w:rsid w:val="00142DBF"/>
    <w:rsid w:val="0014494D"/>
    <w:rsid w:val="00145B48"/>
    <w:rsid w:val="001502F0"/>
    <w:rsid w:val="00150583"/>
    <w:rsid w:val="00150794"/>
    <w:rsid w:val="0015126B"/>
    <w:rsid w:val="00151455"/>
    <w:rsid w:val="00151E7D"/>
    <w:rsid w:val="00152B66"/>
    <w:rsid w:val="0015367E"/>
    <w:rsid w:val="00153B0D"/>
    <w:rsid w:val="001559A6"/>
    <w:rsid w:val="00155C7B"/>
    <w:rsid w:val="00156286"/>
    <w:rsid w:val="001565EA"/>
    <w:rsid w:val="00156FBA"/>
    <w:rsid w:val="00157277"/>
    <w:rsid w:val="00157490"/>
    <w:rsid w:val="00157628"/>
    <w:rsid w:val="001609A6"/>
    <w:rsid w:val="00160D4F"/>
    <w:rsid w:val="00161378"/>
    <w:rsid w:val="001615D7"/>
    <w:rsid w:val="00161BF1"/>
    <w:rsid w:val="00161F92"/>
    <w:rsid w:val="00162F9A"/>
    <w:rsid w:val="00163152"/>
    <w:rsid w:val="00164CBA"/>
    <w:rsid w:val="00165A37"/>
    <w:rsid w:val="00165A5C"/>
    <w:rsid w:val="00166250"/>
    <w:rsid w:val="00166477"/>
    <w:rsid w:val="0016753E"/>
    <w:rsid w:val="0016764C"/>
    <w:rsid w:val="00167748"/>
    <w:rsid w:val="00167E31"/>
    <w:rsid w:val="00170319"/>
    <w:rsid w:val="0017116D"/>
    <w:rsid w:val="00171541"/>
    <w:rsid w:val="00172F22"/>
    <w:rsid w:val="00173B35"/>
    <w:rsid w:val="00174065"/>
    <w:rsid w:val="001743F5"/>
    <w:rsid w:val="00175ACE"/>
    <w:rsid w:val="00175B5A"/>
    <w:rsid w:val="00175C0E"/>
    <w:rsid w:val="00175D6E"/>
    <w:rsid w:val="0017715C"/>
    <w:rsid w:val="0017719B"/>
    <w:rsid w:val="00177548"/>
    <w:rsid w:val="00177C94"/>
    <w:rsid w:val="0018099B"/>
    <w:rsid w:val="0018108C"/>
    <w:rsid w:val="001812F4"/>
    <w:rsid w:val="001816CC"/>
    <w:rsid w:val="0018181D"/>
    <w:rsid w:val="001830BE"/>
    <w:rsid w:val="00183788"/>
    <w:rsid w:val="001837F3"/>
    <w:rsid w:val="00183F32"/>
    <w:rsid w:val="001849FC"/>
    <w:rsid w:val="0018564F"/>
    <w:rsid w:val="0018682D"/>
    <w:rsid w:val="00186BCA"/>
    <w:rsid w:val="00187878"/>
    <w:rsid w:val="001878CF"/>
    <w:rsid w:val="00187A92"/>
    <w:rsid w:val="00187DA7"/>
    <w:rsid w:val="00190484"/>
    <w:rsid w:val="001908EB"/>
    <w:rsid w:val="0019192C"/>
    <w:rsid w:val="00191A50"/>
    <w:rsid w:val="001929C1"/>
    <w:rsid w:val="00192D5E"/>
    <w:rsid w:val="001930F1"/>
    <w:rsid w:val="00193AD7"/>
    <w:rsid w:val="00193ADE"/>
    <w:rsid w:val="00194114"/>
    <w:rsid w:val="00194939"/>
    <w:rsid w:val="00194994"/>
    <w:rsid w:val="00195007"/>
    <w:rsid w:val="00195670"/>
    <w:rsid w:val="00196093"/>
    <w:rsid w:val="001960D3"/>
    <w:rsid w:val="0019652D"/>
    <w:rsid w:val="001967CA"/>
    <w:rsid w:val="00196C1E"/>
    <w:rsid w:val="0019757F"/>
    <w:rsid w:val="001A040E"/>
    <w:rsid w:val="001A06AF"/>
    <w:rsid w:val="001A127F"/>
    <w:rsid w:val="001A18AE"/>
    <w:rsid w:val="001A1B60"/>
    <w:rsid w:val="001A1F66"/>
    <w:rsid w:val="001A220A"/>
    <w:rsid w:val="001A3082"/>
    <w:rsid w:val="001A30F9"/>
    <w:rsid w:val="001A3C89"/>
    <w:rsid w:val="001A3ED6"/>
    <w:rsid w:val="001A4B38"/>
    <w:rsid w:val="001A5EB8"/>
    <w:rsid w:val="001A6CD6"/>
    <w:rsid w:val="001A71D4"/>
    <w:rsid w:val="001A7525"/>
    <w:rsid w:val="001A75BC"/>
    <w:rsid w:val="001A75E8"/>
    <w:rsid w:val="001A77F9"/>
    <w:rsid w:val="001A7832"/>
    <w:rsid w:val="001A79CD"/>
    <w:rsid w:val="001A7ADC"/>
    <w:rsid w:val="001B1480"/>
    <w:rsid w:val="001B14E7"/>
    <w:rsid w:val="001B1623"/>
    <w:rsid w:val="001B183C"/>
    <w:rsid w:val="001B1D7B"/>
    <w:rsid w:val="001B2009"/>
    <w:rsid w:val="001B2688"/>
    <w:rsid w:val="001B26E2"/>
    <w:rsid w:val="001B28A8"/>
    <w:rsid w:val="001B2961"/>
    <w:rsid w:val="001B2D3B"/>
    <w:rsid w:val="001B2EE4"/>
    <w:rsid w:val="001B382E"/>
    <w:rsid w:val="001B468D"/>
    <w:rsid w:val="001B4C3C"/>
    <w:rsid w:val="001B4CE6"/>
    <w:rsid w:val="001B4DC6"/>
    <w:rsid w:val="001B51A9"/>
    <w:rsid w:val="001B578C"/>
    <w:rsid w:val="001B59BF"/>
    <w:rsid w:val="001B5DFD"/>
    <w:rsid w:val="001B6637"/>
    <w:rsid w:val="001B6AA0"/>
    <w:rsid w:val="001B6B80"/>
    <w:rsid w:val="001C0858"/>
    <w:rsid w:val="001C0BA3"/>
    <w:rsid w:val="001C0D59"/>
    <w:rsid w:val="001C0DC6"/>
    <w:rsid w:val="001C1546"/>
    <w:rsid w:val="001C1578"/>
    <w:rsid w:val="001C1881"/>
    <w:rsid w:val="001C20B6"/>
    <w:rsid w:val="001C20EB"/>
    <w:rsid w:val="001C2C76"/>
    <w:rsid w:val="001C2D56"/>
    <w:rsid w:val="001C2D8C"/>
    <w:rsid w:val="001C2F64"/>
    <w:rsid w:val="001C3115"/>
    <w:rsid w:val="001C3C4B"/>
    <w:rsid w:val="001C3EF8"/>
    <w:rsid w:val="001C5120"/>
    <w:rsid w:val="001C524A"/>
    <w:rsid w:val="001C5712"/>
    <w:rsid w:val="001C57FB"/>
    <w:rsid w:val="001C58F8"/>
    <w:rsid w:val="001C59F0"/>
    <w:rsid w:val="001C62D4"/>
    <w:rsid w:val="001C694D"/>
    <w:rsid w:val="001C69AE"/>
    <w:rsid w:val="001C6E99"/>
    <w:rsid w:val="001D0089"/>
    <w:rsid w:val="001D0B07"/>
    <w:rsid w:val="001D0DD3"/>
    <w:rsid w:val="001D1737"/>
    <w:rsid w:val="001D1D47"/>
    <w:rsid w:val="001D2534"/>
    <w:rsid w:val="001D2C2F"/>
    <w:rsid w:val="001D4E51"/>
    <w:rsid w:val="001D52DD"/>
    <w:rsid w:val="001D5A05"/>
    <w:rsid w:val="001D5FC7"/>
    <w:rsid w:val="001D6262"/>
    <w:rsid w:val="001D69BF"/>
    <w:rsid w:val="001D6D6C"/>
    <w:rsid w:val="001D74AD"/>
    <w:rsid w:val="001D75E5"/>
    <w:rsid w:val="001D76AC"/>
    <w:rsid w:val="001D7F12"/>
    <w:rsid w:val="001E0201"/>
    <w:rsid w:val="001E02EA"/>
    <w:rsid w:val="001E092D"/>
    <w:rsid w:val="001E0F00"/>
    <w:rsid w:val="001E14F6"/>
    <w:rsid w:val="001E16A8"/>
    <w:rsid w:val="001E179C"/>
    <w:rsid w:val="001E2637"/>
    <w:rsid w:val="001E2B6C"/>
    <w:rsid w:val="001E2D41"/>
    <w:rsid w:val="001E37E1"/>
    <w:rsid w:val="001E4C91"/>
    <w:rsid w:val="001E4D01"/>
    <w:rsid w:val="001E568E"/>
    <w:rsid w:val="001E5B2C"/>
    <w:rsid w:val="001E6528"/>
    <w:rsid w:val="001E697E"/>
    <w:rsid w:val="001E735A"/>
    <w:rsid w:val="001E7838"/>
    <w:rsid w:val="001E7B37"/>
    <w:rsid w:val="001E7CB2"/>
    <w:rsid w:val="001E7CD8"/>
    <w:rsid w:val="001F098B"/>
    <w:rsid w:val="001F0E0C"/>
    <w:rsid w:val="001F1791"/>
    <w:rsid w:val="001F182F"/>
    <w:rsid w:val="001F20FA"/>
    <w:rsid w:val="001F248C"/>
    <w:rsid w:val="001F2638"/>
    <w:rsid w:val="001F2E8E"/>
    <w:rsid w:val="001F3DB3"/>
    <w:rsid w:val="001F4101"/>
    <w:rsid w:val="001F4C90"/>
    <w:rsid w:val="001F55C0"/>
    <w:rsid w:val="001F5BE0"/>
    <w:rsid w:val="001F6243"/>
    <w:rsid w:val="001F6401"/>
    <w:rsid w:val="001F6444"/>
    <w:rsid w:val="001F6920"/>
    <w:rsid w:val="001F6BB5"/>
    <w:rsid w:val="001F7747"/>
    <w:rsid w:val="00200448"/>
    <w:rsid w:val="0020060C"/>
    <w:rsid w:val="00200BFB"/>
    <w:rsid w:val="00201467"/>
    <w:rsid w:val="00201665"/>
    <w:rsid w:val="0020169B"/>
    <w:rsid w:val="00202162"/>
    <w:rsid w:val="00202614"/>
    <w:rsid w:val="0020283E"/>
    <w:rsid w:val="00203136"/>
    <w:rsid w:val="00203B67"/>
    <w:rsid w:val="00203FDE"/>
    <w:rsid w:val="00204B2F"/>
    <w:rsid w:val="00204F38"/>
    <w:rsid w:val="0020515F"/>
    <w:rsid w:val="0020559A"/>
    <w:rsid w:val="00206265"/>
    <w:rsid w:val="00207513"/>
    <w:rsid w:val="00207993"/>
    <w:rsid w:val="0021097D"/>
    <w:rsid w:val="0021160B"/>
    <w:rsid w:val="00211AE3"/>
    <w:rsid w:val="00212521"/>
    <w:rsid w:val="0021256D"/>
    <w:rsid w:val="00212CBB"/>
    <w:rsid w:val="00212D63"/>
    <w:rsid w:val="0021356B"/>
    <w:rsid w:val="00213DC4"/>
    <w:rsid w:val="00213E9D"/>
    <w:rsid w:val="00214099"/>
    <w:rsid w:val="0021415D"/>
    <w:rsid w:val="002143BF"/>
    <w:rsid w:val="00215009"/>
    <w:rsid w:val="00215036"/>
    <w:rsid w:val="00215D68"/>
    <w:rsid w:val="00215E87"/>
    <w:rsid w:val="00216865"/>
    <w:rsid w:val="00216B2D"/>
    <w:rsid w:val="00216B69"/>
    <w:rsid w:val="00216FE3"/>
    <w:rsid w:val="0021718E"/>
    <w:rsid w:val="002172B8"/>
    <w:rsid w:val="00220849"/>
    <w:rsid w:val="0022112B"/>
    <w:rsid w:val="0022177F"/>
    <w:rsid w:val="00222BF8"/>
    <w:rsid w:val="00222C1F"/>
    <w:rsid w:val="002237B6"/>
    <w:rsid w:val="00223EC7"/>
    <w:rsid w:val="00223F13"/>
    <w:rsid w:val="002246F4"/>
    <w:rsid w:val="002250FB"/>
    <w:rsid w:val="0022537C"/>
    <w:rsid w:val="002260D7"/>
    <w:rsid w:val="00226151"/>
    <w:rsid w:val="002261D7"/>
    <w:rsid w:val="0022635E"/>
    <w:rsid w:val="00226417"/>
    <w:rsid w:val="002264F6"/>
    <w:rsid w:val="002269CE"/>
    <w:rsid w:val="00226A07"/>
    <w:rsid w:val="0023030B"/>
    <w:rsid w:val="0023054B"/>
    <w:rsid w:val="002307BF"/>
    <w:rsid w:val="00231B75"/>
    <w:rsid w:val="00232D98"/>
    <w:rsid w:val="0023387B"/>
    <w:rsid w:val="00233B2D"/>
    <w:rsid w:val="00234A90"/>
    <w:rsid w:val="00234AC9"/>
    <w:rsid w:val="00235153"/>
    <w:rsid w:val="0023622E"/>
    <w:rsid w:val="00236497"/>
    <w:rsid w:val="002366B9"/>
    <w:rsid w:val="002368A3"/>
    <w:rsid w:val="0023793E"/>
    <w:rsid w:val="0024004F"/>
    <w:rsid w:val="0024013D"/>
    <w:rsid w:val="002404BC"/>
    <w:rsid w:val="0024079D"/>
    <w:rsid w:val="00240F93"/>
    <w:rsid w:val="0024111C"/>
    <w:rsid w:val="0024123B"/>
    <w:rsid w:val="002414C7"/>
    <w:rsid w:val="002426DE"/>
    <w:rsid w:val="00242B2B"/>
    <w:rsid w:val="002434F4"/>
    <w:rsid w:val="00244832"/>
    <w:rsid w:val="002449AD"/>
    <w:rsid w:val="002465F0"/>
    <w:rsid w:val="00246901"/>
    <w:rsid w:val="0024704A"/>
    <w:rsid w:val="00247E12"/>
    <w:rsid w:val="00250A8B"/>
    <w:rsid w:val="00251271"/>
    <w:rsid w:val="00251922"/>
    <w:rsid w:val="00252068"/>
    <w:rsid w:val="002520B2"/>
    <w:rsid w:val="00252307"/>
    <w:rsid w:val="00252DE3"/>
    <w:rsid w:val="0025362F"/>
    <w:rsid w:val="0025415A"/>
    <w:rsid w:val="00254609"/>
    <w:rsid w:val="00254919"/>
    <w:rsid w:val="00254E56"/>
    <w:rsid w:val="00254F1F"/>
    <w:rsid w:val="00255583"/>
    <w:rsid w:val="002557EB"/>
    <w:rsid w:val="002558A0"/>
    <w:rsid w:val="0025593F"/>
    <w:rsid w:val="0025671A"/>
    <w:rsid w:val="00256A02"/>
    <w:rsid w:val="00256D18"/>
    <w:rsid w:val="0025701C"/>
    <w:rsid w:val="0025720C"/>
    <w:rsid w:val="002573CF"/>
    <w:rsid w:val="002577B2"/>
    <w:rsid w:val="00257A79"/>
    <w:rsid w:val="00257C61"/>
    <w:rsid w:val="0026071D"/>
    <w:rsid w:val="00260828"/>
    <w:rsid w:val="002609CD"/>
    <w:rsid w:val="0026193B"/>
    <w:rsid w:val="002619A4"/>
    <w:rsid w:val="00261A00"/>
    <w:rsid w:val="0026216B"/>
    <w:rsid w:val="002622F1"/>
    <w:rsid w:val="002629E1"/>
    <w:rsid w:val="00262EA3"/>
    <w:rsid w:val="002640D3"/>
    <w:rsid w:val="00264730"/>
    <w:rsid w:val="00264E66"/>
    <w:rsid w:val="00264E82"/>
    <w:rsid w:val="002658B8"/>
    <w:rsid w:val="00265E5B"/>
    <w:rsid w:val="0026605C"/>
    <w:rsid w:val="002662B8"/>
    <w:rsid w:val="0026666D"/>
    <w:rsid w:val="002667A0"/>
    <w:rsid w:val="002667F6"/>
    <w:rsid w:val="00266D93"/>
    <w:rsid w:val="00266F9B"/>
    <w:rsid w:val="0026754E"/>
    <w:rsid w:val="0026793F"/>
    <w:rsid w:val="00270098"/>
    <w:rsid w:val="00270835"/>
    <w:rsid w:val="002708B4"/>
    <w:rsid w:val="00270CE5"/>
    <w:rsid w:val="00271C0B"/>
    <w:rsid w:val="002723F8"/>
    <w:rsid w:val="002734FB"/>
    <w:rsid w:val="00273BB6"/>
    <w:rsid w:val="00275609"/>
    <w:rsid w:val="00275C21"/>
    <w:rsid w:val="00276213"/>
    <w:rsid w:val="00277640"/>
    <w:rsid w:val="00277768"/>
    <w:rsid w:val="00281323"/>
    <w:rsid w:val="00281B09"/>
    <w:rsid w:val="0028258F"/>
    <w:rsid w:val="002839D1"/>
    <w:rsid w:val="00283F3A"/>
    <w:rsid w:val="002849DB"/>
    <w:rsid w:val="00284ADA"/>
    <w:rsid w:val="00284E2C"/>
    <w:rsid w:val="002850C9"/>
    <w:rsid w:val="00285178"/>
    <w:rsid w:val="00285233"/>
    <w:rsid w:val="00285261"/>
    <w:rsid w:val="002856EB"/>
    <w:rsid w:val="00285E2D"/>
    <w:rsid w:val="00286A3C"/>
    <w:rsid w:val="00286C77"/>
    <w:rsid w:val="00287DB6"/>
    <w:rsid w:val="00290166"/>
    <w:rsid w:val="002904A3"/>
    <w:rsid w:val="00290ED2"/>
    <w:rsid w:val="00290F48"/>
    <w:rsid w:val="0029167E"/>
    <w:rsid w:val="00291877"/>
    <w:rsid w:val="00291C13"/>
    <w:rsid w:val="00291F64"/>
    <w:rsid w:val="00292D3A"/>
    <w:rsid w:val="00294399"/>
    <w:rsid w:val="00294A7A"/>
    <w:rsid w:val="00294FFF"/>
    <w:rsid w:val="0029557A"/>
    <w:rsid w:val="002968AF"/>
    <w:rsid w:val="0029720F"/>
    <w:rsid w:val="002975D6"/>
    <w:rsid w:val="002A0CFE"/>
    <w:rsid w:val="002A1B89"/>
    <w:rsid w:val="002A1DB0"/>
    <w:rsid w:val="002A22D6"/>
    <w:rsid w:val="002A2B49"/>
    <w:rsid w:val="002A3C2A"/>
    <w:rsid w:val="002A3C75"/>
    <w:rsid w:val="002A4094"/>
    <w:rsid w:val="002A46B4"/>
    <w:rsid w:val="002A48D6"/>
    <w:rsid w:val="002A52D6"/>
    <w:rsid w:val="002A5755"/>
    <w:rsid w:val="002A59B9"/>
    <w:rsid w:val="002A5A6B"/>
    <w:rsid w:val="002A5EB6"/>
    <w:rsid w:val="002A5EE6"/>
    <w:rsid w:val="002A65C4"/>
    <w:rsid w:val="002A6BE3"/>
    <w:rsid w:val="002A71C7"/>
    <w:rsid w:val="002A730A"/>
    <w:rsid w:val="002A76E3"/>
    <w:rsid w:val="002A7785"/>
    <w:rsid w:val="002A779F"/>
    <w:rsid w:val="002B0853"/>
    <w:rsid w:val="002B0E05"/>
    <w:rsid w:val="002B1029"/>
    <w:rsid w:val="002B164A"/>
    <w:rsid w:val="002B1915"/>
    <w:rsid w:val="002B26DA"/>
    <w:rsid w:val="002B2853"/>
    <w:rsid w:val="002B2AF0"/>
    <w:rsid w:val="002B2F94"/>
    <w:rsid w:val="002B39FD"/>
    <w:rsid w:val="002B3B3E"/>
    <w:rsid w:val="002B3C03"/>
    <w:rsid w:val="002B3E8B"/>
    <w:rsid w:val="002B4525"/>
    <w:rsid w:val="002B4A2B"/>
    <w:rsid w:val="002B6176"/>
    <w:rsid w:val="002B6D55"/>
    <w:rsid w:val="002B6E03"/>
    <w:rsid w:val="002B75F8"/>
    <w:rsid w:val="002B7C6A"/>
    <w:rsid w:val="002B7C9B"/>
    <w:rsid w:val="002C0178"/>
    <w:rsid w:val="002C0AB2"/>
    <w:rsid w:val="002C0C00"/>
    <w:rsid w:val="002C0D87"/>
    <w:rsid w:val="002C0F7F"/>
    <w:rsid w:val="002C1311"/>
    <w:rsid w:val="002C1B3D"/>
    <w:rsid w:val="002C1EE8"/>
    <w:rsid w:val="002C2D59"/>
    <w:rsid w:val="002C4737"/>
    <w:rsid w:val="002C4820"/>
    <w:rsid w:val="002C56DB"/>
    <w:rsid w:val="002C5B8B"/>
    <w:rsid w:val="002C5C4A"/>
    <w:rsid w:val="002C6CB6"/>
    <w:rsid w:val="002C6DF3"/>
    <w:rsid w:val="002C756E"/>
    <w:rsid w:val="002D0691"/>
    <w:rsid w:val="002D08DE"/>
    <w:rsid w:val="002D097F"/>
    <w:rsid w:val="002D0F60"/>
    <w:rsid w:val="002D1036"/>
    <w:rsid w:val="002D1E5D"/>
    <w:rsid w:val="002D1F08"/>
    <w:rsid w:val="002D1F45"/>
    <w:rsid w:val="002D227E"/>
    <w:rsid w:val="002D2B2D"/>
    <w:rsid w:val="002D2C9F"/>
    <w:rsid w:val="002D2D13"/>
    <w:rsid w:val="002D3321"/>
    <w:rsid w:val="002D4623"/>
    <w:rsid w:val="002D4762"/>
    <w:rsid w:val="002D486C"/>
    <w:rsid w:val="002D4B0D"/>
    <w:rsid w:val="002D5297"/>
    <w:rsid w:val="002D56E1"/>
    <w:rsid w:val="002D5D18"/>
    <w:rsid w:val="002D6980"/>
    <w:rsid w:val="002D7004"/>
    <w:rsid w:val="002D70BC"/>
    <w:rsid w:val="002D7167"/>
    <w:rsid w:val="002E07C7"/>
    <w:rsid w:val="002E141B"/>
    <w:rsid w:val="002E1B94"/>
    <w:rsid w:val="002E2195"/>
    <w:rsid w:val="002E271A"/>
    <w:rsid w:val="002E29E7"/>
    <w:rsid w:val="002E3D81"/>
    <w:rsid w:val="002E4F32"/>
    <w:rsid w:val="002E5FCF"/>
    <w:rsid w:val="002E69D6"/>
    <w:rsid w:val="002E6B73"/>
    <w:rsid w:val="002E731D"/>
    <w:rsid w:val="002E7808"/>
    <w:rsid w:val="002E7ACD"/>
    <w:rsid w:val="002E7E95"/>
    <w:rsid w:val="002F01F9"/>
    <w:rsid w:val="002F0230"/>
    <w:rsid w:val="002F0755"/>
    <w:rsid w:val="002F0D59"/>
    <w:rsid w:val="002F0DE0"/>
    <w:rsid w:val="002F1B7B"/>
    <w:rsid w:val="002F25BC"/>
    <w:rsid w:val="002F2E38"/>
    <w:rsid w:val="002F2E7B"/>
    <w:rsid w:val="002F3C7F"/>
    <w:rsid w:val="002F3DAB"/>
    <w:rsid w:val="002F3FA9"/>
    <w:rsid w:val="002F4386"/>
    <w:rsid w:val="002F453E"/>
    <w:rsid w:val="002F4946"/>
    <w:rsid w:val="002F4B1A"/>
    <w:rsid w:val="002F5970"/>
    <w:rsid w:val="002F5B09"/>
    <w:rsid w:val="002F61DE"/>
    <w:rsid w:val="002F6822"/>
    <w:rsid w:val="002F6EBD"/>
    <w:rsid w:val="002F7159"/>
    <w:rsid w:val="002F723D"/>
    <w:rsid w:val="002F7C4D"/>
    <w:rsid w:val="002F7C5D"/>
    <w:rsid w:val="002F7C8C"/>
    <w:rsid w:val="002F7F3B"/>
    <w:rsid w:val="002F7FC3"/>
    <w:rsid w:val="00300459"/>
    <w:rsid w:val="003004F8"/>
    <w:rsid w:val="00300880"/>
    <w:rsid w:val="00300933"/>
    <w:rsid w:val="00300B17"/>
    <w:rsid w:val="00300B25"/>
    <w:rsid w:val="00300BE1"/>
    <w:rsid w:val="00301A69"/>
    <w:rsid w:val="00301AFE"/>
    <w:rsid w:val="00301C1E"/>
    <w:rsid w:val="00302429"/>
    <w:rsid w:val="003036B5"/>
    <w:rsid w:val="00303AD4"/>
    <w:rsid w:val="003047CA"/>
    <w:rsid w:val="003047D4"/>
    <w:rsid w:val="00304D6E"/>
    <w:rsid w:val="003059EA"/>
    <w:rsid w:val="00305BF3"/>
    <w:rsid w:val="003076BD"/>
    <w:rsid w:val="0030788B"/>
    <w:rsid w:val="00307B4D"/>
    <w:rsid w:val="00310C6D"/>
    <w:rsid w:val="003112ED"/>
    <w:rsid w:val="003115CE"/>
    <w:rsid w:val="00311803"/>
    <w:rsid w:val="00311A4A"/>
    <w:rsid w:val="00311AE8"/>
    <w:rsid w:val="00311EB9"/>
    <w:rsid w:val="00312830"/>
    <w:rsid w:val="00313453"/>
    <w:rsid w:val="0031499F"/>
    <w:rsid w:val="00314BD8"/>
    <w:rsid w:val="00314DA8"/>
    <w:rsid w:val="00315619"/>
    <w:rsid w:val="00315723"/>
    <w:rsid w:val="00316469"/>
    <w:rsid w:val="003164FD"/>
    <w:rsid w:val="00316661"/>
    <w:rsid w:val="003168D6"/>
    <w:rsid w:val="00316EAA"/>
    <w:rsid w:val="00316EFC"/>
    <w:rsid w:val="0031733D"/>
    <w:rsid w:val="00317342"/>
    <w:rsid w:val="00317F7F"/>
    <w:rsid w:val="00321B3B"/>
    <w:rsid w:val="00321BA1"/>
    <w:rsid w:val="00322183"/>
    <w:rsid w:val="00322A9A"/>
    <w:rsid w:val="00322C7B"/>
    <w:rsid w:val="003236C4"/>
    <w:rsid w:val="00324282"/>
    <w:rsid w:val="00324324"/>
    <w:rsid w:val="003250B7"/>
    <w:rsid w:val="00325B57"/>
    <w:rsid w:val="00325C09"/>
    <w:rsid w:val="00325FC1"/>
    <w:rsid w:val="003264B8"/>
    <w:rsid w:val="003264DA"/>
    <w:rsid w:val="00326B51"/>
    <w:rsid w:val="00326C40"/>
    <w:rsid w:val="00327286"/>
    <w:rsid w:val="00327769"/>
    <w:rsid w:val="00327DC3"/>
    <w:rsid w:val="00330EEE"/>
    <w:rsid w:val="00330F68"/>
    <w:rsid w:val="003312A7"/>
    <w:rsid w:val="00331C94"/>
    <w:rsid w:val="00331CA9"/>
    <w:rsid w:val="0033244E"/>
    <w:rsid w:val="00332B82"/>
    <w:rsid w:val="00332ED6"/>
    <w:rsid w:val="003337B2"/>
    <w:rsid w:val="00333C97"/>
    <w:rsid w:val="0033405E"/>
    <w:rsid w:val="0033488D"/>
    <w:rsid w:val="00334CFC"/>
    <w:rsid w:val="003351B7"/>
    <w:rsid w:val="00335356"/>
    <w:rsid w:val="00336B6F"/>
    <w:rsid w:val="00336E81"/>
    <w:rsid w:val="00337DD8"/>
    <w:rsid w:val="00340239"/>
    <w:rsid w:val="00340543"/>
    <w:rsid w:val="0034073E"/>
    <w:rsid w:val="00340832"/>
    <w:rsid w:val="003408F2"/>
    <w:rsid w:val="00341464"/>
    <w:rsid w:val="003431E8"/>
    <w:rsid w:val="003432F0"/>
    <w:rsid w:val="003434A1"/>
    <w:rsid w:val="0034379D"/>
    <w:rsid w:val="0034470F"/>
    <w:rsid w:val="0034535A"/>
    <w:rsid w:val="0034613D"/>
    <w:rsid w:val="00346C3C"/>
    <w:rsid w:val="0034753F"/>
    <w:rsid w:val="00347C38"/>
    <w:rsid w:val="00347F11"/>
    <w:rsid w:val="00350006"/>
    <w:rsid w:val="00350BAF"/>
    <w:rsid w:val="0035124C"/>
    <w:rsid w:val="0035196D"/>
    <w:rsid w:val="00351EE7"/>
    <w:rsid w:val="00353FA5"/>
    <w:rsid w:val="0035436A"/>
    <w:rsid w:val="00354448"/>
    <w:rsid w:val="00354BF4"/>
    <w:rsid w:val="00354D01"/>
    <w:rsid w:val="00354D93"/>
    <w:rsid w:val="0035505B"/>
    <w:rsid w:val="003554CD"/>
    <w:rsid w:val="0035606C"/>
    <w:rsid w:val="00356D07"/>
    <w:rsid w:val="0035704B"/>
    <w:rsid w:val="003578D4"/>
    <w:rsid w:val="00360B6D"/>
    <w:rsid w:val="00360E97"/>
    <w:rsid w:val="00361061"/>
    <w:rsid w:val="0036188C"/>
    <w:rsid w:val="00361922"/>
    <w:rsid w:val="00361AC8"/>
    <w:rsid w:val="00361F88"/>
    <w:rsid w:val="003628DE"/>
    <w:rsid w:val="00362BCA"/>
    <w:rsid w:val="00363137"/>
    <w:rsid w:val="003634E2"/>
    <w:rsid w:val="0036354F"/>
    <w:rsid w:val="00364128"/>
    <w:rsid w:val="00364147"/>
    <w:rsid w:val="003651AB"/>
    <w:rsid w:val="003658FE"/>
    <w:rsid w:val="00365C42"/>
    <w:rsid w:val="003666D3"/>
    <w:rsid w:val="00366949"/>
    <w:rsid w:val="00366985"/>
    <w:rsid w:val="0036725E"/>
    <w:rsid w:val="00367A20"/>
    <w:rsid w:val="00367EDE"/>
    <w:rsid w:val="00367FED"/>
    <w:rsid w:val="003715AF"/>
    <w:rsid w:val="00373035"/>
    <w:rsid w:val="00373E6F"/>
    <w:rsid w:val="00373F21"/>
    <w:rsid w:val="003742AF"/>
    <w:rsid w:val="00374410"/>
    <w:rsid w:val="003746C3"/>
    <w:rsid w:val="00374F06"/>
    <w:rsid w:val="00376182"/>
    <w:rsid w:val="003761D4"/>
    <w:rsid w:val="00376FAF"/>
    <w:rsid w:val="00377921"/>
    <w:rsid w:val="00380554"/>
    <w:rsid w:val="003806FA"/>
    <w:rsid w:val="0038099B"/>
    <w:rsid w:val="00380AAE"/>
    <w:rsid w:val="0038110D"/>
    <w:rsid w:val="0038116D"/>
    <w:rsid w:val="0038141E"/>
    <w:rsid w:val="00381542"/>
    <w:rsid w:val="00381B50"/>
    <w:rsid w:val="00381D42"/>
    <w:rsid w:val="00381E27"/>
    <w:rsid w:val="003821C8"/>
    <w:rsid w:val="003829B9"/>
    <w:rsid w:val="0038322B"/>
    <w:rsid w:val="00383BA7"/>
    <w:rsid w:val="00383D99"/>
    <w:rsid w:val="00384775"/>
    <w:rsid w:val="0038484E"/>
    <w:rsid w:val="00385022"/>
    <w:rsid w:val="0038563A"/>
    <w:rsid w:val="00385E22"/>
    <w:rsid w:val="0039039E"/>
    <w:rsid w:val="0039054F"/>
    <w:rsid w:val="00390BA2"/>
    <w:rsid w:val="00390F4D"/>
    <w:rsid w:val="00391675"/>
    <w:rsid w:val="00391751"/>
    <w:rsid w:val="003918EE"/>
    <w:rsid w:val="00392717"/>
    <w:rsid w:val="003928C1"/>
    <w:rsid w:val="003933E4"/>
    <w:rsid w:val="003936C4"/>
    <w:rsid w:val="0039406E"/>
    <w:rsid w:val="00395A4B"/>
    <w:rsid w:val="00395FEA"/>
    <w:rsid w:val="00396B06"/>
    <w:rsid w:val="003978AB"/>
    <w:rsid w:val="003A01DF"/>
    <w:rsid w:val="003A21DE"/>
    <w:rsid w:val="003A2335"/>
    <w:rsid w:val="003A3232"/>
    <w:rsid w:val="003A396B"/>
    <w:rsid w:val="003A3A4E"/>
    <w:rsid w:val="003A3E49"/>
    <w:rsid w:val="003A5979"/>
    <w:rsid w:val="003A6D57"/>
    <w:rsid w:val="003A73D5"/>
    <w:rsid w:val="003B0472"/>
    <w:rsid w:val="003B06D6"/>
    <w:rsid w:val="003B07D2"/>
    <w:rsid w:val="003B1211"/>
    <w:rsid w:val="003B1E9F"/>
    <w:rsid w:val="003B3657"/>
    <w:rsid w:val="003B37D5"/>
    <w:rsid w:val="003B37F0"/>
    <w:rsid w:val="003B4748"/>
    <w:rsid w:val="003B4BC5"/>
    <w:rsid w:val="003B5A29"/>
    <w:rsid w:val="003B61C0"/>
    <w:rsid w:val="003B74B5"/>
    <w:rsid w:val="003B77B1"/>
    <w:rsid w:val="003B797B"/>
    <w:rsid w:val="003C12BF"/>
    <w:rsid w:val="003C12E4"/>
    <w:rsid w:val="003C17B3"/>
    <w:rsid w:val="003C261C"/>
    <w:rsid w:val="003C2964"/>
    <w:rsid w:val="003C2980"/>
    <w:rsid w:val="003C2D78"/>
    <w:rsid w:val="003C2F2F"/>
    <w:rsid w:val="003C2FD6"/>
    <w:rsid w:val="003C3777"/>
    <w:rsid w:val="003C3899"/>
    <w:rsid w:val="003C3B18"/>
    <w:rsid w:val="003C447A"/>
    <w:rsid w:val="003C4B12"/>
    <w:rsid w:val="003C4E94"/>
    <w:rsid w:val="003C5949"/>
    <w:rsid w:val="003C6658"/>
    <w:rsid w:val="003C66AF"/>
    <w:rsid w:val="003C68FA"/>
    <w:rsid w:val="003C6DA0"/>
    <w:rsid w:val="003C798C"/>
    <w:rsid w:val="003C79E8"/>
    <w:rsid w:val="003D042F"/>
    <w:rsid w:val="003D0464"/>
    <w:rsid w:val="003D0890"/>
    <w:rsid w:val="003D1376"/>
    <w:rsid w:val="003D165F"/>
    <w:rsid w:val="003D2B60"/>
    <w:rsid w:val="003D36E0"/>
    <w:rsid w:val="003D4141"/>
    <w:rsid w:val="003D48D8"/>
    <w:rsid w:val="003D4B4E"/>
    <w:rsid w:val="003D4ECD"/>
    <w:rsid w:val="003D54C1"/>
    <w:rsid w:val="003D630D"/>
    <w:rsid w:val="003D65F4"/>
    <w:rsid w:val="003D7524"/>
    <w:rsid w:val="003D7D26"/>
    <w:rsid w:val="003E0336"/>
    <w:rsid w:val="003E09E3"/>
    <w:rsid w:val="003E0B3D"/>
    <w:rsid w:val="003E0E67"/>
    <w:rsid w:val="003E1A75"/>
    <w:rsid w:val="003E2B2B"/>
    <w:rsid w:val="003E2C2D"/>
    <w:rsid w:val="003E2C86"/>
    <w:rsid w:val="003E3935"/>
    <w:rsid w:val="003E3A21"/>
    <w:rsid w:val="003E3CBC"/>
    <w:rsid w:val="003E45FC"/>
    <w:rsid w:val="003E48AC"/>
    <w:rsid w:val="003E48EE"/>
    <w:rsid w:val="003E4E48"/>
    <w:rsid w:val="003E505F"/>
    <w:rsid w:val="003E51FE"/>
    <w:rsid w:val="003E5DD0"/>
    <w:rsid w:val="003E6A35"/>
    <w:rsid w:val="003E726A"/>
    <w:rsid w:val="003E7403"/>
    <w:rsid w:val="003E7CE5"/>
    <w:rsid w:val="003F0284"/>
    <w:rsid w:val="003F03F5"/>
    <w:rsid w:val="003F0687"/>
    <w:rsid w:val="003F0AA6"/>
    <w:rsid w:val="003F0E95"/>
    <w:rsid w:val="003F113C"/>
    <w:rsid w:val="003F24B9"/>
    <w:rsid w:val="003F283A"/>
    <w:rsid w:val="003F3631"/>
    <w:rsid w:val="003F3EFD"/>
    <w:rsid w:val="003F4068"/>
    <w:rsid w:val="003F4C2D"/>
    <w:rsid w:val="003F52AD"/>
    <w:rsid w:val="003F562F"/>
    <w:rsid w:val="003F7583"/>
    <w:rsid w:val="003F76D8"/>
    <w:rsid w:val="003F7775"/>
    <w:rsid w:val="003F7C2C"/>
    <w:rsid w:val="003F7D93"/>
    <w:rsid w:val="003F7EAC"/>
    <w:rsid w:val="004013A4"/>
    <w:rsid w:val="004017ED"/>
    <w:rsid w:val="00401F72"/>
    <w:rsid w:val="00402280"/>
    <w:rsid w:val="004024C7"/>
    <w:rsid w:val="00402545"/>
    <w:rsid w:val="004026D8"/>
    <w:rsid w:val="00403146"/>
    <w:rsid w:val="004035AF"/>
    <w:rsid w:val="00403E00"/>
    <w:rsid w:val="0040422E"/>
    <w:rsid w:val="004048F2"/>
    <w:rsid w:val="00404999"/>
    <w:rsid w:val="00404B86"/>
    <w:rsid w:val="00405665"/>
    <w:rsid w:val="00405FE9"/>
    <w:rsid w:val="00406328"/>
    <w:rsid w:val="004078DF"/>
    <w:rsid w:val="004110AD"/>
    <w:rsid w:val="004114DD"/>
    <w:rsid w:val="00412BC7"/>
    <w:rsid w:val="00414112"/>
    <w:rsid w:val="0041429B"/>
    <w:rsid w:val="00414361"/>
    <w:rsid w:val="00415306"/>
    <w:rsid w:val="004155D7"/>
    <w:rsid w:val="00415BE5"/>
    <w:rsid w:val="00416636"/>
    <w:rsid w:val="00417C19"/>
    <w:rsid w:val="00417DFE"/>
    <w:rsid w:val="00420607"/>
    <w:rsid w:val="004206FE"/>
    <w:rsid w:val="0042083B"/>
    <w:rsid w:val="00420C63"/>
    <w:rsid w:val="00421469"/>
    <w:rsid w:val="00422191"/>
    <w:rsid w:val="00422E5C"/>
    <w:rsid w:val="004238F2"/>
    <w:rsid w:val="00424BB5"/>
    <w:rsid w:val="00425780"/>
    <w:rsid w:val="00425A90"/>
    <w:rsid w:val="00425E7A"/>
    <w:rsid w:val="0042603D"/>
    <w:rsid w:val="00426138"/>
    <w:rsid w:val="004262E6"/>
    <w:rsid w:val="00426E0C"/>
    <w:rsid w:val="00427861"/>
    <w:rsid w:val="00427DA6"/>
    <w:rsid w:val="00427E77"/>
    <w:rsid w:val="0043103A"/>
    <w:rsid w:val="0043115B"/>
    <w:rsid w:val="0043130F"/>
    <w:rsid w:val="00431A04"/>
    <w:rsid w:val="00431F1C"/>
    <w:rsid w:val="00432041"/>
    <w:rsid w:val="004321C5"/>
    <w:rsid w:val="004324DF"/>
    <w:rsid w:val="004324F1"/>
    <w:rsid w:val="004327EB"/>
    <w:rsid w:val="004333ED"/>
    <w:rsid w:val="00433991"/>
    <w:rsid w:val="00433FD7"/>
    <w:rsid w:val="00434AAA"/>
    <w:rsid w:val="00434D40"/>
    <w:rsid w:val="0043516A"/>
    <w:rsid w:val="004357A5"/>
    <w:rsid w:val="004402E7"/>
    <w:rsid w:val="004407E8"/>
    <w:rsid w:val="00440802"/>
    <w:rsid w:val="004408A5"/>
    <w:rsid w:val="00441188"/>
    <w:rsid w:val="0044128E"/>
    <w:rsid w:val="004414FD"/>
    <w:rsid w:val="0044254E"/>
    <w:rsid w:val="004425FA"/>
    <w:rsid w:val="00442724"/>
    <w:rsid w:val="00443412"/>
    <w:rsid w:val="00443446"/>
    <w:rsid w:val="004437CB"/>
    <w:rsid w:val="00444133"/>
    <w:rsid w:val="00444369"/>
    <w:rsid w:val="00444DB4"/>
    <w:rsid w:val="00445DE8"/>
    <w:rsid w:val="00446216"/>
    <w:rsid w:val="004464BD"/>
    <w:rsid w:val="004477C3"/>
    <w:rsid w:val="0045029C"/>
    <w:rsid w:val="004503C7"/>
    <w:rsid w:val="00450784"/>
    <w:rsid w:val="004507E5"/>
    <w:rsid w:val="00450CBC"/>
    <w:rsid w:val="00451367"/>
    <w:rsid w:val="00451F5A"/>
    <w:rsid w:val="00453E62"/>
    <w:rsid w:val="00453E92"/>
    <w:rsid w:val="00453ED1"/>
    <w:rsid w:val="004541FD"/>
    <w:rsid w:val="00454971"/>
    <w:rsid w:val="00454B6E"/>
    <w:rsid w:val="00454D1E"/>
    <w:rsid w:val="004555C8"/>
    <w:rsid w:val="00455DA7"/>
    <w:rsid w:val="0045657F"/>
    <w:rsid w:val="00456B60"/>
    <w:rsid w:val="00456DB3"/>
    <w:rsid w:val="00460119"/>
    <w:rsid w:val="004603A0"/>
    <w:rsid w:val="00461010"/>
    <w:rsid w:val="004620E3"/>
    <w:rsid w:val="004624E1"/>
    <w:rsid w:val="00462950"/>
    <w:rsid w:val="00462D96"/>
    <w:rsid w:val="0046350F"/>
    <w:rsid w:val="0046363E"/>
    <w:rsid w:val="00463C5F"/>
    <w:rsid w:val="0046490E"/>
    <w:rsid w:val="00464FE8"/>
    <w:rsid w:val="00466C06"/>
    <w:rsid w:val="004674FC"/>
    <w:rsid w:val="00470389"/>
    <w:rsid w:val="00471B3F"/>
    <w:rsid w:val="00471C5A"/>
    <w:rsid w:val="004723C7"/>
    <w:rsid w:val="0047320C"/>
    <w:rsid w:val="004732A1"/>
    <w:rsid w:val="00473331"/>
    <w:rsid w:val="004735B6"/>
    <w:rsid w:val="00473A91"/>
    <w:rsid w:val="004742E0"/>
    <w:rsid w:val="004745C0"/>
    <w:rsid w:val="00474746"/>
    <w:rsid w:val="00474ADA"/>
    <w:rsid w:val="0047521A"/>
    <w:rsid w:val="0047579F"/>
    <w:rsid w:val="00475F81"/>
    <w:rsid w:val="004761CD"/>
    <w:rsid w:val="00476675"/>
    <w:rsid w:val="00476B9C"/>
    <w:rsid w:val="00477D7E"/>
    <w:rsid w:val="0048024B"/>
    <w:rsid w:val="00480CC2"/>
    <w:rsid w:val="00480F47"/>
    <w:rsid w:val="00481210"/>
    <w:rsid w:val="00481406"/>
    <w:rsid w:val="0048155D"/>
    <w:rsid w:val="00481DA4"/>
    <w:rsid w:val="0048297D"/>
    <w:rsid w:val="00482BC8"/>
    <w:rsid w:val="00483113"/>
    <w:rsid w:val="004838E2"/>
    <w:rsid w:val="00483E90"/>
    <w:rsid w:val="00484051"/>
    <w:rsid w:val="004844D0"/>
    <w:rsid w:val="00484BD3"/>
    <w:rsid w:val="00484E8E"/>
    <w:rsid w:val="00485132"/>
    <w:rsid w:val="00485492"/>
    <w:rsid w:val="004859E6"/>
    <w:rsid w:val="00485A26"/>
    <w:rsid w:val="004868D8"/>
    <w:rsid w:val="00486AED"/>
    <w:rsid w:val="0048706C"/>
    <w:rsid w:val="00487272"/>
    <w:rsid w:val="004879CD"/>
    <w:rsid w:val="00487B2E"/>
    <w:rsid w:val="00490132"/>
    <w:rsid w:val="00490C54"/>
    <w:rsid w:val="00490D13"/>
    <w:rsid w:val="00492480"/>
    <w:rsid w:val="004926B5"/>
    <w:rsid w:val="00492A94"/>
    <w:rsid w:val="00492C89"/>
    <w:rsid w:val="004933DC"/>
    <w:rsid w:val="004935C4"/>
    <w:rsid w:val="00495080"/>
    <w:rsid w:val="0049619D"/>
    <w:rsid w:val="0049645C"/>
    <w:rsid w:val="00496878"/>
    <w:rsid w:val="00496C86"/>
    <w:rsid w:val="00497113"/>
    <w:rsid w:val="004A0388"/>
    <w:rsid w:val="004A03A0"/>
    <w:rsid w:val="004A0414"/>
    <w:rsid w:val="004A0998"/>
    <w:rsid w:val="004A09E4"/>
    <w:rsid w:val="004A0E6D"/>
    <w:rsid w:val="004A10E1"/>
    <w:rsid w:val="004A14FE"/>
    <w:rsid w:val="004A1710"/>
    <w:rsid w:val="004A17A9"/>
    <w:rsid w:val="004A20AB"/>
    <w:rsid w:val="004A20B1"/>
    <w:rsid w:val="004A221A"/>
    <w:rsid w:val="004A24B3"/>
    <w:rsid w:val="004A2703"/>
    <w:rsid w:val="004A32E6"/>
    <w:rsid w:val="004A3E99"/>
    <w:rsid w:val="004A3F28"/>
    <w:rsid w:val="004A405A"/>
    <w:rsid w:val="004A589F"/>
    <w:rsid w:val="004A5D9A"/>
    <w:rsid w:val="004A5F86"/>
    <w:rsid w:val="004A63AC"/>
    <w:rsid w:val="004A70E6"/>
    <w:rsid w:val="004B0063"/>
    <w:rsid w:val="004B131F"/>
    <w:rsid w:val="004B21EC"/>
    <w:rsid w:val="004B2741"/>
    <w:rsid w:val="004B27AC"/>
    <w:rsid w:val="004B2A6F"/>
    <w:rsid w:val="004B2B7F"/>
    <w:rsid w:val="004B2FFD"/>
    <w:rsid w:val="004B460A"/>
    <w:rsid w:val="004B4A8B"/>
    <w:rsid w:val="004B4BC3"/>
    <w:rsid w:val="004B5C90"/>
    <w:rsid w:val="004B5EAA"/>
    <w:rsid w:val="004B652B"/>
    <w:rsid w:val="004B6958"/>
    <w:rsid w:val="004B706D"/>
    <w:rsid w:val="004B7473"/>
    <w:rsid w:val="004B7C58"/>
    <w:rsid w:val="004C0BEF"/>
    <w:rsid w:val="004C163C"/>
    <w:rsid w:val="004C1FE4"/>
    <w:rsid w:val="004C237B"/>
    <w:rsid w:val="004C33DB"/>
    <w:rsid w:val="004C37A0"/>
    <w:rsid w:val="004C39AF"/>
    <w:rsid w:val="004C40BE"/>
    <w:rsid w:val="004C421E"/>
    <w:rsid w:val="004C44DA"/>
    <w:rsid w:val="004C470B"/>
    <w:rsid w:val="004C575A"/>
    <w:rsid w:val="004C5C1E"/>
    <w:rsid w:val="004C655A"/>
    <w:rsid w:val="004C7259"/>
    <w:rsid w:val="004C7734"/>
    <w:rsid w:val="004C7A21"/>
    <w:rsid w:val="004C7A4E"/>
    <w:rsid w:val="004C7F23"/>
    <w:rsid w:val="004D0791"/>
    <w:rsid w:val="004D1099"/>
    <w:rsid w:val="004D1D8C"/>
    <w:rsid w:val="004D1E11"/>
    <w:rsid w:val="004D20D6"/>
    <w:rsid w:val="004D235D"/>
    <w:rsid w:val="004D2500"/>
    <w:rsid w:val="004D2C65"/>
    <w:rsid w:val="004D3BE2"/>
    <w:rsid w:val="004D3CD1"/>
    <w:rsid w:val="004D4BB9"/>
    <w:rsid w:val="004D560C"/>
    <w:rsid w:val="004D5676"/>
    <w:rsid w:val="004D5796"/>
    <w:rsid w:val="004D5835"/>
    <w:rsid w:val="004D5B35"/>
    <w:rsid w:val="004D5C18"/>
    <w:rsid w:val="004D6D9D"/>
    <w:rsid w:val="004D7C08"/>
    <w:rsid w:val="004D7C7C"/>
    <w:rsid w:val="004E01BC"/>
    <w:rsid w:val="004E0983"/>
    <w:rsid w:val="004E14B8"/>
    <w:rsid w:val="004E1E0B"/>
    <w:rsid w:val="004E1F87"/>
    <w:rsid w:val="004E21D3"/>
    <w:rsid w:val="004E2841"/>
    <w:rsid w:val="004E2E92"/>
    <w:rsid w:val="004E2EF5"/>
    <w:rsid w:val="004E3C7D"/>
    <w:rsid w:val="004E3CC2"/>
    <w:rsid w:val="004E456A"/>
    <w:rsid w:val="004E4747"/>
    <w:rsid w:val="004E477B"/>
    <w:rsid w:val="004E4A7D"/>
    <w:rsid w:val="004E4CB6"/>
    <w:rsid w:val="004E52E1"/>
    <w:rsid w:val="004E56A1"/>
    <w:rsid w:val="004E6996"/>
    <w:rsid w:val="004E7581"/>
    <w:rsid w:val="004E7687"/>
    <w:rsid w:val="004E775D"/>
    <w:rsid w:val="004F0850"/>
    <w:rsid w:val="004F0C58"/>
    <w:rsid w:val="004F1049"/>
    <w:rsid w:val="004F20CB"/>
    <w:rsid w:val="004F2487"/>
    <w:rsid w:val="004F3762"/>
    <w:rsid w:val="004F484F"/>
    <w:rsid w:val="004F52AA"/>
    <w:rsid w:val="004F531A"/>
    <w:rsid w:val="004F5A0E"/>
    <w:rsid w:val="004F64F4"/>
    <w:rsid w:val="004F76E0"/>
    <w:rsid w:val="0050001C"/>
    <w:rsid w:val="005008A3"/>
    <w:rsid w:val="00500D65"/>
    <w:rsid w:val="00500FB2"/>
    <w:rsid w:val="0050107D"/>
    <w:rsid w:val="005013B8"/>
    <w:rsid w:val="005014D7"/>
    <w:rsid w:val="00501DA9"/>
    <w:rsid w:val="0050212E"/>
    <w:rsid w:val="00502AEF"/>
    <w:rsid w:val="00502B3B"/>
    <w:rsid w:val="00502EE4"/>
    <w:rsid w:val="0050362C"/>
    <w:rsid w:val="00504516"/>
    <w:rsid w:val="00504C5C"/>
    <w:rsid w:val="0050541F"/>
    <w:rsid w:val="00505997"/>
    <w:rsid w:val="00505F8E"/>
    <w:rsid w:val="00506493"/>
    <w:rsid w:val="00506F90"/>
    <w:rsid w:val="005073CF"/>
    <w:rsid w:val="00507DC9"/>
    <w:rsid w:val="005106CD"/>
    <w:rsid w:val="00510B8F"/>
    <w:rsid w:val="005117AC"/>
    <w:rsid w:val="00511E33"/>
    <w:rsid w:val="0051229D"/>
    <w:rsid w:val="00512610"/>
    <w:rsid w:val="00512AED"/>
    <w:rsid w:val="00513169"/>
    <w:rsid w:val="00513327"/>
    <w:rsid w:val="00513D1A"/>
    <w:rsid w:val="00514B81"/>
    <w:rsid w:val="0051563E"/>
    <w:rsid w:val="00515F90"/>
    <w:rsid w:val="00515FAC"/>
    <w:rsid w:val="00516223"/>
    <w:rsid w:val="00516566"/>
    <w:rsid w:val="005166E2"/>
    <w:rsid w:val="00516718"/>
    <w:rsid w:val="00516D23"/>
    <w:rsid w:val="00517C63"/>
    <w:rsid w:val="00520EF5"/>
    <w:rsid w:val="00520F44"/>
    <w:rsid w:val="005210D9"/>
    <w:rsid w:val="00521280"/>
    <w:rsid w:val="00521601"/>
    <w:rsid w:val="00521AEE"/>
    <w:rsid w:val="005228C0"/>
    <w:rsid w:val="00522A4E"/>
    <w:rsid w:val="00522D67"/>
    <w:rsid w:val="00524C51"/>
    <w:rsid w:val="00524D3F"/>
    <w:rsid w:val="00525431"/>
    <w:rsid w:val="005256F7"/>
    <w:rsid w:val="00525CB4"/>
    <w:rsid w:val="00526038"/>
    <w:rsid w:val="00526157"/>
    <w:rsid w:val="00526233"/>
    <w:rsid w:val="00526479"/>
    <w:rsid w:val="00526CCB"/>
    <w:rsid w:val="005271DF"/>
    <w:rsid w:val="0052759B"/>
    <w:rsid w:val="00530493"/>
    <w:rsid w:val="00530E25"/>
    <w:rsid w:val="0053112F"/>
    <w:rsid w:val="00531289"/>
    <w:rsid w:val="00531421"/>
    <w:rsid w:val="00532246"/>
    <w:rsid w:val="005328FF"/>
    <w:rsid w:val="00532BEB"/>
    <w:rsid w:val="00533759"/>
    <w:rsid w:val="00534130"/>
    <w:rsid w:val="005347F2"/>
    <w:rsid w:val="00535A76"/>
    <w:rsid w:val="00535C55"/>
    <w:rsid w:val="0053619F"/>
    <w:rsid w:val="005363A7"/>
    <w:rsid w:val="005364EE"/>
    <w:rsid w:val="00536637"/>
    <w:rsid w:val="00536994"/>
    <w:rsid w:val="005369C7"/>
    <w:rsid w:val="00537678"/>
    <w:rsid w:val="00540FD2"/>
    <w:rsid w:val="00541D1C"/>
    <w:rsid w:val="00541E77"/>
    <w:rsid w:val="005425E6"/>
    <w:rsid w:val="00542924"/>
    <w:rsid w:val="00542A65"/>
    <w:rsid w:val="00542A66"/>
    <w:rsid w:val="00542BC0"/>
    <w:rsid w:val="00542DC6"/>
    <w:rsid w:val="0054357B"/>
    <w:rsid w:val="00544A39"/>
    <w:rsid w:val="00544C92"/>
    <w:rsid w:val="00544D1E"/>
    <w:rsid w:val="00544E11"/>
    <w:rsid w:val="00544E84"/>
    <w:rsid w:val="00544F05"/>
    <w:rsid w:val="005452DD"/>
    <w:rsid w:val="00545A46"/>
    <w:rsid w:val="00545D04"/>
    <w:rsid w:val="00545EA8"/>
    <w:rsid w:val="0054613C"/>
    <w:rsid w:val="005463C2"/>
    <w:rsid w:val="00546550"/>
    <w:rsid w:val="005468FB"/>
    <w:rsid w:val="00546D92"/>
    <w:rsid w:val="00546DF0"/>
    <w:rsid w:val="00546EAF"/>
    <w:rsid w:val="0054714C"/>
    <w:rsid w:val="00550993"/>
    <w:rsid w:val="005510A1"/>
    <w:rsid w:val="00551148"/>
    <w:rsid w:val="0055142B"/>
    <w:rsid w:val="00551A02"/>
    <w:rsid w:val="00551B20"/>
    <w:rsid w:val="00553692"/>
    <w:rsid w:val="005539F7"/>
    <w:rsid w:val="00553DB0"/>
    <w:rsid w:val="00553FB0"/>
    <w:rsid w:val="00555606"/>
    <w:rsid w:val="005561D4"/>
    <w:rsid w:val="00557B06"/>
    <w:rsid w:val="005605D2"/>
    <w:rsid w:val="00560709"/>
    <w:rsid w:val="0056090E"/>
    <w:rsid w:val="005613F7"/>
    <w:rsid w:val="00561854"/>
    <w:rsid w:val="00561AC4"/>
    <w:rsid w:val="00561DF9"/>
    <w:rsid w:val="00563250"/>
    <w:rsid w:val="005639AA"/>
    <w:rsid w:val="00563B6E"/>
    <w:rsid w:val="00563BE1"/>
    <w:rsid w:val="00563EFD"/>
    <w:rsid w:val="005641AE"/>
    <w:rsid w:val="00564F2D"/>
    <w:rsid w:val="0056547A"/>
    <w:rsid w:val="00565638"/>
    <w:rsid w:val="00565CDB"/>
    <w:rsid w:val="00565D91"/>
    <w:rsid w:val="0056627D"/>
    <w:rsid w:val="005667B7"/>
    <w:rsid w:val="00567A9C"/>
    <w:rsid w:val="0057123A"/>
    <w:rsid w:val="005717DE"/>
    <w:rsid w:val="00572B13"/>
    <w:rsid w:val="00572D95"/>
    <w:rsid w:val="00573DBC"/>
    <w:rsid w:val="00574256"/>
    <w:rsid w:val="005744AE"/>
    <w:rsid w:val="00574706"/>
    <w:rsid w:val="00574CF6"/>
    <w:rsid w:val="00574EDE"/>
    <w:rsid w:val="005752EC"/>
    <w:rsid w:val="0057566A"/>
    <w:rsid w:val="005757C0"/>
    <w:rsid w:val="0057596A"/>
    <w:rsid w:val="00575A86"/>
    <w:rsid w:val="00575D85"/>
    <w:rsid w:val="00575F35"/>
    <w:rsid w:val="005764F8"/>
    <w:rsid w:val="0057656A"/>
    <w:rsid w:val="0057656C"/>
    <w:rsid w:val="00576C39"/>
    <w:rsid w:val="005771CB"/>
    <w:rsid w:val="005773EC"/>
    <w:rsid w:val="00577446"/>
    <w:rsid w:val="00577753"/>
    <w:rsid w:val="00577F06"/>
    <w:rsid w:val="00577FB7"/>
    <w:rsid w:val="00580229"/>
    <w:rsid w:val="00580629"/>
    <w:rsid w:val="0058087E"/>
    <w:rsid w:val="00581199"/>
    <w:rsid w:val="00581715"/>
    <w:rsid w:val="00581A9B"/>
    <w:rsid w:val="00581C4E"/>
    <w:rsid w:val="00582356"/>
    <w:rsid w:val="00582A9A"/>
    <w:rsid w:val="00582B3C"/>
    <w:rsid w:val="00582F42"/>
    <w:rsid w:val="00583AE4"/>
    <w:rsid w:val="005847E0"/>
    <w:rsid w:val="00584820"/>
    <w:rsid w:val="00584E3C"/>
    <w:rsid w:val="005854E1"/>
    <w:rsid w:val="005854EF"/>
    <w:rsid w:val="00585B55"/>
    <w:rsid w:val="00585C01"/>
    <w:rsid w:val="00586107"/>
    <w:rsid w:val="00586304"/>
    <w:rsid w:val="0058681F"/>
    <w:rsid w:val="005870C3"/>
    <w:rsid w:val="00587360"/>
    <w:rsid w:val="00587769"/>
    <w:rsid w:val="00587C48"/>
    <w:rsid w:val="00590120"/>
    <w:rsid w:val="005906AE"/>
    <w:rsid w:val="00590D40"/>
    <w:rsid w:val="0059135B"/>
    <w:rsid w:val="005919ED"/>
    <w:rsid w:val="00591C5E"/>
    <w:rsid w:val="00592011"/>
    <w:rsid w:val="00592666"/>
    <w:rsid w:val="00592E0A"/>
    <w:rsid w:val="005954AC"/>
    <w:rsid w:val="005954E1"/>
    <w:rsid w:val="00595E76"/>
    <w:rsid w:val="0059632A"/>
    <w:rsid w:val="00597960"/>
    <w:rsid w:val="005A07B1"/>
    <w:rsid w:val="005A0F8A"/>
    <w:rsid w:val="005A1148"/>
    <w:rsid w:val="005A12C9"/>
    <w:rsid w:val="005A1371"/>
    <w:rsid w:val="005A1910"/>
    <w:rsid w:val="005A1A34"/>
    <w:rsid w:val="005A2514"/>
    <w:rsid w:val="005A32BA"/>
    <w:rsid w:val="005A376D"/>
    <w:rsid w:val="005A3D50"/>
    <w:rsid w:val="005A46D1"/>
    <w:rsid w:val="005A4AC6"/>
    <w:rsid w:val="005A4E75"/>
    <w:rsid w:val="005A4F50"/>
    <w:rsid w:val="005A507A"/>
    <w:rsid w:val="005A53EB"/>
    <w:rsid w:val="005A6971"/>
    <w:rsid w:val="005B0A39"/>
    <w:rsid w:val="005B14FD"/>
    <w:rsid w:val="005B1C1C"/>
    <w:rsid w:val="005B1CFB"/>
    <w:rsid w:val="005B2212"/>
    <w:rsid w:val="005B24F5"/>
    <w:rsid w:val="005B29C0"/>
    <w:rsid w:val="005B2D3A"/>
    <w:rsid w:val="005B3C5A"/>
    <w:rsid w:val="005B484B"/>
    <w:rsid w:val="005B5963"/>
    <w:rsid w:val="005B6734"/>
    <w:rsid w:val="005B6828"/>
    <w:rsid w:val="005B6A8D"/>
    <w:rsid w:val="005B6B3D"/>
    <w:rsid w:val="005B6F08"/>
    <w:rsid w:val="005B6FB7"/>
    <w:rsid w:val="005B727D"/>
    <w:rsid w:val="005C09A6"/>
    <w:rsid w:val="005C09FD"/>
    <w:rsid w:val="005C1D5B"/>
    <w:rsid w:val="005C2903"/>
    <w:rsid w:val="005C296D"/>
    <w:rsid w:val="005C339C"/>
    <w:rsid w:val="005C341C"/>
    <w:rsid w:val="005C3616"/>
    <w:rsid w:val="005C36CB"/>
    <w:rsid w:val="005C3744"/>
    <w:rsid w:val="005C3C9A"/>
    <w:rsid w:val="005C4AAA"/>
    <w:rsid w:val="005C5489"/>
    <w:rsid w:val="005C57F9"/>
    <w:rsid w:val="005C5E3B"/>
    <w:rsid w:val="005C60B5"/>
    <w:rsid w:val="005C654F"/>
    <w:rsid w:val="005C74B2"/>
    <w:rsid w:val="005C7630"/>
    <w:rsid w:val="005C768B"/>
    <w:rsid w:val="005C773A"/>
    <w:rsid w:val="005D0735"/>
    <w:rsid w:val="005D0C52"/>
    <w:rsid w:val="005D113E"/>
    <w:rsid w:val="005D1DE4"/>
    <w:rsid w:val="005D27E2"/>
    <w:rsid w:val="005D655F"/>
    <w:rsid w:val="005D6CAB"/>
    <w:rsid w:val="005D7495"/>
    <w:rsid w:val="005D763A"/>
    <w:rsid w:val="005D78B7"/>
    <w:rsid w:val="005D791F"/>
    <w:rsid w:val="005D7AD8"/>
    <w:rsid w:val="005E0397"/>
    <w:rsid w:val="005E0676"/>
    <w:rsid w:val="005E08A7"/>
    <w:rsid w:val="005E1D31"/>
    <w:rsid w:val="005E3E9D"/>
    <w:rsid w:val="005E5330"/>
    <w:rsid w:val="005E53FA"/>
    <w:rsid w:val="005E5461"/>
    <w:rsid w:val="005E56C0"/>
    <w:rsid w:val="005E6037"/>
    <w:rsid w:val="005E6523"/>
    <w:rsid w:val="005E7A49"/>
    <w:rsid w:val="005F16BD"/>
    <w:rsid w:val="005F1710"/>
    <w:rsid w:val="005F17C5"/>
    <w:rsid w:val="005F29A3"/>
    <w:rsid w:val="005F325B"/>
    <w:rsid w:val="005F35FE"/>
    <w:rsid w:val="005F4617"/>
    <w:rsid w:val="005F5780"/>
    <w:rsid w:val="005F6618"/>
    <w:rsid w:val="005F67F3"/>
    <w:rsid w:val="005F69FA"/>
    <w:rsid w:val="005F6BCD"/>
    <w:rsid w:val="005F71B3"/>
    <w:rsid w:val="00600E34"/>
    <w:rsid w:val="006012B3"/>
    <w:rsid w:val="00602033"/>
    <w:rsid w:val="00604136"/>
    <w:rsid w:val="006046D8"/>
    <w:rsid w:val="006046E1"/>
    <w:rsid w:val="00604994"/>
    <w:rsid w:val="00604B10"/>
    <w:rsid w:val="00604C3C"/>
    <w:rsid w:val="00604CA8"/>
    <w:rsid w:val="00605A62"/>
    <w:rsid w:val="00605E3D"/>
    <w:rsid w:val="00606339"/>
    <w:rsid w:val="00606E01"/>
    <w:rsid w:val="00606ECC"/>
    <w:rsid w:val="00606F91"/>
    <w:rsid w:val="0060721B"/>
    <w:rsid w:val="006076D5"/>
    <w:rsid w:val="00610403"/>
    <w:rsid w:val="006109CC"/>
    <w:rsid w:val="00610CD3"/>
    <w:rsid w:val="00611BA8"/>
    <w:rsid w:val="0061248D"/>
    <w:rsid w:val="00612BA1"/>
    <w:rsid w:val="00612E69"/>
    <w:rsid w:val="0061356E"/>
    <w:rsid w:val="0061369A"/>
    <w:rsid w:val="00613953"/>
    <w:rsid w:val="00613A12"/>
    <w:rsid w:val="00613A84"/>
    <w:rsid w:val="00613C22"/>
    <w:rsid w:val="00613C37"/>
    <w:rsid w:val="006147C5"/>
    <w:rsid w:val="0061517C"/>
    <w:rsid w:val="00615A71"/>
    <w:rsid w:val="00615C74"/>
    <w:rsid w:val="006160C7"/>
    <w:rsid w:val="006164FF"/>
    <w:rsid w:val="00616B33"/>
    <w:rsid w:val="00617566"/>
    <w:rsid w:val="00617CAF"/>
    <w:rsid w:val="00617F75"/>
    <w:rsid w:val="0062009C"/>
    <w:rsid w:val="0062034C"/>
    <w:rsid w:val="00620766"/>
    <w:rsid w:val="00620A34"/>
    <w:rsid w:val="006210A8"/>
    <w:rsid w:val="0062176C"/>
    <w:rsid w:val="00621A24"/>
    <w:rsid w:val="006221E3"/>
    <w:rsid w:val="00622365"/>
    <w:rsid w:val="006227EF"/>
    <w:rsid w:val="0062292E"/>
    <w:rsid w:val="00622948"/>
    <w:rsid w:val="00622E3A"/>
    <w:rsid w:val="00623F5A"/>
    <w:rsid w:val="00623FBD"/>
    <w:rsid w:val="00624871"/>
    <w:rsid w:val="00624DFC"/>
    <w:rsid w:val="0062514F"/>
    <w:rsid w:val="006253AF"/>
    <w:rsid w:val="0062593B"/>
    <w:rsid w:val="00625BE3"/>
    <w:rsid w:val="00625C8E"/>
    <w:rsid w:val="00626126"/>
    <w:rsid w:val="00626678"/>
    <w:rsid w:val="00626868"/>
    <w:rsid w:val="00626C50"/>
    <w:rsid w:val="006274E9"/>
    <w:rsid w:val="006278B1"/>
    <w:rsid w:val="00627D5A"/>
    <w:rsid w:val="00627DB7"/>
    <w:rsid w:val="00627F44"/>
    <w:rsid w:val="0063016C"/>
    <w:rsid w:val="006310BC"/>
    <w:rsid w:val="006313DB"/>
    <w:rsid w:val="006321EE"/>
    <w:rsid w:val="0063254D"/>
    <w:rsid w:val="0063273A"/>
    <w:rsid w:val="00633521"/>
    <w:rsid w:val="006344C0"/>
    <w:rsid w:val="00634963"/>
    <w:rsid w:val="006351B3"/>
    <w:rsid w:val="0063530A"/>
    <w:rsid w:val="0063579D"/>
    <w:rsid w:val="0063580A"/>
    <w:rsid w:val="006358D6"/>
    <w:rsid w:val="00635B56"/>
    <w:rsid w:val="0063602E"/>
    <w:rsid w:val="006368FD"/>
    <w:rsid w:val="00637137"/>
    <w:rsid w:val="00637349"/>
    <w:rsid w:val="006374EA"/>
    <w:rsid w:val="006375B6"/>
    <w:rsid w:val="00637824"/>
    <w:rsid w:val="006378C9"/>
    <w:rsid w:val="006401CB"/>
    <w:rsid w:val="00640BF2"/>
    <w:rsid w:val="00640E0F"/>
    <w:rsid w:val="00641284"/>
    <w:rsid w:val="00643189"/>
    <w:rsid w:val="006433C2"/>
    <w:rsid w:val="006436AF"/>
    <w:rsid w:val="006438C4"/>
    <w:rsid w:val="00643BD7"/>
    <w:rsid w:val="006448D7"/>
    <w:rsid w:val="006449C1"/>
    <w:rsid w:val="00646CB9"/>
    <w:rsid w:val="006471F4"/>
    <w:rsid w:val="00647474"/>
    <w:rsid w:val="00647D56"/>
    <w:rsid w:val="00647D78"/>
    <w:rsid w:val="006507F4"/>
    <w:rsid w:val="006512B1"/>
    <w:rsid w:val="00651921"/>
    <w:rsid w:val="006520C8"/>
    <w:rsid w:val="00652177"/>
    <w:rsid w:val="0065257E"/>
    <w:rsid w:val="00652780"/>
    <w:rsid w:val="00652B69"/>
    <w:rsid w:val="00652EA4"/>
    <w:rsid w:val="00653FE4"/>
    <w:rsid w:val="006540B2"/>
    <w:rsid w:val="0065417B"/>
    <w:rsid w:val="0065510B"/>
    <w:rsid w:val="006552EE"/>
    <w:rsid w:val="00655605"/>
    <w:rsid w:val="00655A39"/>
    <w:rsid w:val="00655B89"/>
    <w:rsid w:val="006562B2"/>
    <w:rsid w:val="006565EC"/>
    <w:rsid w:val="00657006"/>
    <w:rsid w:val="006601F0"/>
    <w:rsid w:val="0066234C"/>
    <w:rsid w:val="006628F1"/>
    <w:rsid w:val="0066295F"/>
    <w:rsid w:val="0066352E"/>
    <w:rsid w:val="0066463A"/>
    <w:rsid w:val="00665476"/>
    <w:rsid w:val="0066565F"/>
    <w:rsid w:val="006657D3"/>
    <w:rsid w:val="00665B79"/>
    <w:rsid w:val="00667089"/>
    <w:rsid w:val="0066796D"/>
    <w:rsid w:val="00667BA3"/>
    <w:rsid w:val="00670BA4"/>
    <w:rsid w:val="00671092"/>
    <w:rsid w:val="006725FF"/>
    <w:rsid w:val="00672780"/>
    <w:rsid w:val="0067287E"/>
    <w:rsid w:val="00673AF7"/>
    <w:rsid w:val="00673FF7"/>
    <w:rsid w:val="00674D62"/>
    <w:rsid w:val="00674DD3"/>
    <w:rsid w:val="0067748A"/>
    <w:rsid w:val="006816F2"/>
    <w:rsid w:val="006827B4"/>
    <w:rsid w:val="006828B9"/>
    <w:rsid w:val="006828C3"/>
    <w:rsid w:val="00682943"/>
    <w:rsid w:val="00682DBF"/>
    <w:rsid w:val="0068311E"/>
    <w:rsid w:val="00683C75"/>
    <w:rsid w:val="006844D1"/>
    <w:rsid w:val="00684A8B"/>
    <w:rsid w:val="00684AE5"/>
    <w:rsid w:val="00685FAC"/>
    <w:rsid w:val="00686628"/>
    <w:rsid w:val="006869D9"/>
    <w:rsid w:val="00686F90"/>
    <w:rsid w:val="00687164"/>
    <w:rsid w:val="0068748F"/>
    <w:rsid w:val="006902D6"/>
    <w:rsid w:val="006903D9"/>
    <w:rsid w:val="00690B19"/>
    <w:rsid w:val="0069120C"/>
    <w:rsid w:val="00691D36"/>
    <w:rsid w:val="00693332"/>
    <w:rsid w:val="00693BA9"/>
    <w:rsid w:val="00693D4A"/>
    <w:rsid w:val="00694631"/>
    <w:rsid w:val="00694712"/>
    <w:rsid w:val="00695436"/>
    <w:rsid w:val="00695817"/>
    <w:rsid w:val="00695B36"/>
    <w:rsid w:val="00695EC3"/>
    <w:rsid w:val="0069663F"/>
    <w:rsid w:val="006971BB"/>
    <w:rsid w:val="006A0194"/>
    <w:rsid w:val="006A01C9"/>
    <w:rsid w:val="006A0FBB"/>
    <w:rsid w:val="006A1066"/>
    <w:rsid w:val="006A1466"/>
    <w:rsid w:val="006A1684"/>
    <w:rsid w:val="006A2B25"/>
    <w:rsid w:val="006A344E"/>
    <w:rsid w:val="006A3450"/>
    <w:rsid w:val="006A358D"/>
    <w:rsid w:val="006A398A"/>
    <w:rsid w:val="006A39F7"/>
    <w:rsid w:val="006A3AE7"/>
    <w:rsid w:val="006A4766"/>
    <w:rsid w:val="006A5A9E"/>
    <w:rsid w:val="006A5AA2"/>
    <w:rsid w:val="006A5C07"/>
    <w:rsid w:val="006A6A10"/>
    <w:rsid w:val="006A6CC7"/>
    <w:rsid w:val="006B0960"/>
    <w:rsid w:val="006B1E2E"/>
    <w:rsid w:val="006B30F6"/>
    <w:rsid w:val="006B3169"/>
    <w:rsid w:val="006B3571"/>
    <w:rsid w:val="006B3D54"/>
    <w:rsid w:val="006B4698"/>
    <w:rsid w:val="006B52A7"/>
    <w:rsid w:val="006B57E2"/>
    <w:rsid w:val="006B580F"/>
    <w:rsid w:val="006B5C94"/>
    <w:rsid w:val="006B6C2A"/>
    <w:rsid w:val="006B6D06"/>
    <w:rsid w:val="006B6D37"/>
    <w:rsid w:val="006B71D6"/>
    <w:rsid w:val="006B76B3"/>
    <w:rsid w:val="006C04FA"/>
    <w:rsid w:val="006C0837"/>
    <w:rsid w:val="006C127B"/>
    <w:rsid w:val="006C1ADD"/>
    <w:rsid w:val="006C1B41"/>
    <w:rsid w:val="006C3262"/>
    <w:rsid w:val="006C336D"/>
    <w:rsid w:val="006C3CE3"/>
    <w:rsid w:val="006C43D2"/>
    <w:rsid w:val="006C45C8"/>
    <w:rsid w:val="006C6318"/>
    <w:rsid w:val="006C65D5"/>
    <w:rsid w:val="006C6C80"/>
    <w:rsid w:val="006C7733"/>
    <w:rsid w:val="006D0BD3"/>
    <w:rsid w:val="006D0D5A"/>
    <w:rsid w:val="006D271B"/>
    <w:rsid w:val="006D2CEB"/>
    <w:rsid w:val="006D3077"/>
    <w:rsid w:val="006D3871"/>
    <w:rsid w:val="006D3B09"/>
    <w:rsid w:val="006D42AA"/>
    <w:rsid w:val="006D4387"/>
    <w:rsid w:val="006D4F8F"/>
    <w:rsid w:val="006D598D"/>
    <w:rsid w:val="006D5A91"/>
    <w:rsid w:val="006D63FA"/>
    <w:rsid w:val="006D657F"/>
    <w:rsid w:val="006D6B3C"/>
    <w:rsid w:val="006D77A6"/>
    <w:rsid w:val="006D7860"/>
    <w:rsid w:val="006D7ADD"/>
    <w:rsid w:val="006D7F99"/>
    <w:rsid w:val="006E05E7"/>
    <w:rsid w:val="006E067D"/>
    <w:rsid w:val="006E0C7E"/>
    <w:rsid w:val="006E1287"/>
    <w:rsid w:val="006E139D"/>
    <w:rsid w:val="006E2B3C"/>
    <w:rsid w:val="006E41BB"/>
    <w:rsid w:val="006E4F9B"/>
    <w:rsid w:val="006E5225"/>
    <w:rsid w:val="006E5F90"/>
    <w:rsid w:val="006E61FA"/>
    <w:rsid w:val="006E6466"/>
    <w:rsid w:val="006E6AAA"/>
    <w:rsid w:val="006E74CE"/>
    <w:rsid w:val="006F038C"/>
    <w:rsid w:val="006F0464"/>
    <w:rsid w:val="006F14F6"/>
    <w:rsid w:val="006F2099"/>
    <w:rsid w:val="006F2408"/>
    <w:rsid w:val="006F3806"/>
    <w:rsid w:val="006F4189"/>
    <w:rsid w:val="006F4704"/>
    <w:rsid w:val="006F4B57"/>
    <w:rsid w:val="006F57FE"/>
    <w:rsid w:val="006F5A02"/>
    <w:rsid w:val="006F5D99"/>
    <w:rsid w:val="006F6B99"/>
    <w:rsid w:val="006F722C"/>
    <w:rsid w:val="006F7D97"/>
    <w:rsid w:val="00700617"/>
    <w:rsid w:val="00701618"/>
    <w:rsid w:val="007022C0"/>
    <w:rsid w:val="00702454"/>
    <w:rsid w:val="0070247A"/>
    <w:rsid w:val="00702F1A"/>
    <w:rsid w:val="0070328C"/>
    <w:rsid w:val="007037B6"/>
    <w:rsid w:val="00703A1F"/>
    <w:rsid w:val="00703B41"/>
    <w:rsid w:val="00703E18"/>
    <w:rsid w:val="00704113"/>
    <w:rsid w:val="00705125"/>
    <w:rsid w:val="00705B95"/>
    <w:rsid w:val="00705C90"/>
    <w:rsid w:val="007063EB"/>
    <w:rsid w:val="00706602"/>
    <w:rsid w:val="007069A1"/>
    <w:rsid w:val="00706E0B"/>
    <w:rsid w:val="007071E3"/>
    <w:rsid w:val="00707300"/>
    <w:rsid w:val="00707458"/>
    <w:rsid w:val="00707935"/>
    <w:rsid w:val="00711B45"/>
    <w:rsid w:val="007120D6"/>
    <w:rsid w:val="00712616"/>
    <w:rsid w:val="0071390F"/>
    <w:rsid w:val="00714374"/>
    <w:rsid w:val="0071491F"/>
    <w:rsid w:val="0071599D"/>
    <w:rsid w:val="00715ADB"/>
    <w:rsid w:val="00716291"/>
    <w:rsid w:val="007172D2"/>
    <w:rsid w:val="007173E7"/>
    <w:rsid w:val="007204CF"/>
    <w:rsid w:val="00720707"/>
    <w:rsid w:val="00720951"/>
    <w:rsid w:val="00720A47"/>
    <w:rsid w:val="0072136A"/>
    <w:rsid w:val="007218C1"/>
    <w:rsid w:val="00721C7E"/>
    <w:rsid w:val="00722281"/>
    <w:rsid w:val="007227A3"/>
    <w:rsid w:val="00722CAC"/>
    <w:rsid w:val="00722E16"/>
    <w:rsid w:val="0072330E"/>
    <w:rsid w:val="007244E5"/>
    <w:rsid w:val="0072491D"/>
    <w:rsid w:val="00724D65"/>
    <w:rsid w:val="00725154"/>
    <w:rsid w:val="007251FF"/>
    <w:rsid w:val="0072524B"/>
    <w:rsid w:val="00725A44"/>
    <w:rsid w:val="00725D45"/>
    <w:rsid w:val="00727DD7"/>
    <w:rsid w:val="00727F20"/>
    <w:rsid w:val="007300C3"/>
    <w:rsid w:val="00730B4A"/>
    <w:rsid w:val="00731036"/>
    <w:rsid w:val="00731756"/>
    <w:rsid w:val="007317ED"/>
    <w:rsid w:val="00731F1F"/>
    <w:rsid w:val="00732650"/>
    <w:rsid w:val="0073298A"/>
    <w:rsid w:val="00732C78"/>
    <w:rsid w:val="007338C1"/>
    <w:rsid w:val="00733988"/>
    <w:rsid w:val="0073449C"/>
    <w:rsid w:val="00734B72"/>
    <w:rsid w:val="00734BF8"/>
    <w:rsid w:val="00735370"/>
    <w:rsid w:val="00735A6E"/>
    <w:rsid w:val="0073607D"/>
    <w:rsid w:val="007364ED"/>
    <w:rsid w:val="00736915"/>
    <w:rsid w:val="00736ECC"/>
    <w:rsid w:val="007409E0"/>
    <w:rsid w:val="00740B25"/>
    <w:rsid w:val="007414C8"/>
    <w:rsid w:val="00741877"/>
    <w:rsid w:val="00741A39"/>
    <w:rsid w:val="0074266D"/>
    <w:rsid w:val="00742CCE"/>
    <w:rsid w:val="00742E34"/>
    <w:rsid w:val="00742E77"/>
    <w:rsid w:val="00742FDB"/>
    <w:rsid w:val="0074352B"/>
    <w:rsid w:val="00743C01"/>
    <w:rsid w:val="00744274"/>
    <w:rsid w:val="00744723"/>
    <w:rsid w:val="0074481A"/>
    <w:rsid w:val="00744EF4"/>
    <w:rsid w:val="007452A5"/>
    <w:rsid w:val="00745745"/>
    <w:rsid w:val="00745874"/>
    <w:rsid w:val="00745BB2"/>
    <w:rsid w:val="007465DC"/>
    <w:rsid w:val="00746E28"/>
    <w:rsid w:val="00747710"/>
    <w:rsid w:val="0074794D"/>
    <w:rsid w:val="00747A1B"/>
    <w:rsid w:val="00747A2C"/>
    <w:rsid w:val="00750002"/>
    <w:rsid w:val="007502A7"/>
    <w:rsid w:val="00750816"/>
    <w:rsid w:val="00750819"/>
    <w:rsid w:val="00750826"/>
    <w:rsid w:val="00750883"/>
    <w:rsid w:val="00751203"/>
    <w:rsid w:val="00751218"/>
    <w:rsid w:val="0075188B"/>
    <w:rsid w:val="00752D27"/>
    <w:rsid w:val="00752E94"/>
    <w:rsid w:val="0075306C"/>
    <w:rsid w:val="00753214"/>
    <w:rsid w:val="00753B0E"/>
    <w:rsid w:val="00753F11"/>
    <w:rsid w:val="00754F96"/>
    <w:rsid w:val="0075586B"/>
    <w:rsid w:val="007559C9"/>
    <w:rsid w:val="00755E2C"/>
    <w:rsid w:val="00756563"/>
    <w:rsid w:val="007565F5"/>
    <w:rsid w:val="00757186"/>
    <w:rsid w:val="00757B7B"/>
    <w:rsid w:val="00757CC6"/>
    <w:rsid w:val="00757CF9"/>
    <w:rsid w:val="00760B7E"/>
    <w:rsid w:val="00760D38"/>
    <w:rsid w:val="007616CA"/>
    <w:rsid w:val="00761E6D"/>
    <w:rsid w:val="00762957"/>
    <w:rsid w:val="007629B0"/>
    <w:rsid w:val="00763667"/>
    <w:rsid w:val="00763E0C"/>
    <w:rsid w:val="007640F6"/>
    <w:rsid w:val="00765370"/>
    <w:rsid w:val="00765739"/>
    <w:rsid w:val="00766BFB"/>
    <w:rsid w:val="00766DEC"/>
    <w:rsid w:val="00767B63"/>
    <w:rsid w:val="00767FA3"/>
    <w:rsid w:val="00770878"/>
    <w:rsid w:val="00770B16"/>
    <w:rsid w:val="00770E22"/>
    <w:rsid w:val="00771988"/>
    <w:rsid w:val="007720AA"/>
    <w:rsid w:val="0077263B"/>
    <w:rsid w:val="007729F2"/>
    <w:rsid w:val="00772B2A"/>
    <w:rsid w:val="00773480"/>
    <w:rsid w:val="0077401E"/>
    <w:rsid w:val="00774BFA"/>
    <w:rsid w:val="0077537B"/>
    <w:rsid w:val="007756B4"/>
    <w:rsid w:val="00775A9D"/>
    <w:rsid w:val="00775E06"/>
    <w:rsid w:val="0077618A"/>
    <w:rsid w:val="00776350"/>
    <w:rsid w:val="00776970"/>
    <w:rsid w:val="00777321"/>
    <w:rsid w:val="00777371"/>
    <w:rsid w:val="00780249"/>
    <w:rsid w:val="007804AF"/>
    <w:rsid w:val="007808EB"/>
    <w:rsid w:val="00780E89"/>
    <w:rsid w:val="00781810"/>
    <w:rsid w:val="00781CAB"/>
    <w:rsid w:val="00782951"/>
    <w:rsid w:val="00782D2F"/>
    <w:rsid w:val="007831CD"/>
    <w:rsid w:val="0078327D"/>
    <w:rsid w:val="0078407E"/>
    <w:rsid w:val="0078409E"/>
    <w:rsid w:val="007846C1"/>
    <w:rsid w:val="007849AE"/>
    <w:rsid w:val="00784A08"/>
    <w:rsid w:val="00784E2E"/>
    <w:rsid w:val="00787B4B"/>
    <w:rsid w:val="0079009C"/>
    <w:rsid w:val="00790495"/>
    <w:rsid w:val="00790AA2"/>
    <w:rsid w:val="007923CD"/>
    <w:rsid w:val="00792F5C"/>
    <w:rsid w:val="00793120"/>
    <w:rsid w:val="00793CC3"/>
    <w:rsid w:val="00793E4B"/>
    <w:rsid w:val="00794365"/>
    <w:rsid w:val="007947BB"/>
    <w:rsid w:val="0079510A"/>
    <w:rsid w:val="00795863"/>
    <w:rsid w:val="007974B6"/>
    <w:rsid w:val="007A0071"/>
    <w:rsid w:val="007A0AD3"/>
    <w:rsid w:val="007A182C"/>
    <w:rsid w:val="007A201C"/>
    <w:rsid w:val="007A2A43"/>
    <w:rsid w:val="007A2E23"/>
    <w:rsid w:val="007A32DC"/>
    <w:rsid w:val="007A3A3A"/>
    <w:rsid w:val="007A3E59"/>
    <w:rsid w:val="007A46E8"/>
    <w:rsid w:val="007A497C"/>
    <w:rsid w:val="007A5343"/>
    <w:rsid w:val="007A5E30"/>
    <w:rsid w:val="007A73EF"/>
    <w:rsid w:val="007B1938"/>
    <w:rsid w:val="007B1C9B"/>
    <w:rsid w:val="007B3E9A"/>
    <w:rsid w:val="007B499C"/>
    <w:rsid w:val="007B4BFB"/>
    <w:rsid w:val="007B56EA"/>
    <w:rsid w:val="007B57C5"/>
    <w:rsid w:val="007B5963"/>
    <w:rsid w:val="007B6E12"/>
    <w:rsid w:val="007B7F69"/>
    <w:rsid w:val="007C057D"/>
    <w:rsid w:val="007C1D3C"/>
    <w:rsid w:val="007C37A3"/>
    <w:rsid w:val="007C3803"/>
    <w:rsid w:val="007C3BB1"/>
    <w:rsid w:val="007C4351"/>
    <w:rsid w:val="007C476A"/>
    <w:rsid w:val="007C521B"/>
    <w:rsid w:val="007C5251"/>
    <w:rsid w:val="007C58E0"/>
    <w:rsid w:val="007C5D2F"/>
    <w:rsid w:val="007C5F8D"/>
    <w:rsid w:val="007C68BC"/>
    <w:rsid w:val="007C6EFE"/>
    <w:rsid w:val="007C71E8"/>
    <w:rsid w:val="007C77A1"/>
    <w:rsid w:val="007C7BE1"/>
    <w:rsid w:val="007D0957"/>
    <w:rsid w:val="007D09B0"/>
    <w:rsid w:val="007D0E9F"/>
    <w:rsid w:val="007D0F1E"/>
    <w:rsid w:val="007D1F16"/>
    <w:rsid w:val="007D254A"/>
    <w:rsid w:val="007D2CCF"/>
    <w:rsid w:val="007D333F"/>
    <w:rsid w:val="007D38B8"/>
    <w:rsid w:val="007D3AF4"/>
    <w:rsid w:val="007D3F73"/>
    <w:rsid w:val="007D443B"/>
    <w:rsid w:val="007D492A"/>
    <w:rsid w:val="007D4B77"/>
    <w:rsid w:val="007D516D"/>
    <w:rsid w:val="007D541E"/>
    <w:rsid w:val="007D6012"/>
    <w:rsid w:val="007D611B"/>
    <w:rsid w:val="007D66A8"/>
    <w:rsid w:val="007D6BD0"/>
    <w:rsid w:val="007D767C"/>
    <w:rsid w:val="007D77CB"/>
    <w:rsid w:val="007D7944"/>
    <w:rsid w:val="007D7A0E"/>
    <w:rsid w:val="007D7BE7"/>
    <w:rsid w:val="007E0C31"/>
    <w:rsid w:val="007E205F"/>
    <w:rsid w:val="007E283C"/>
    <w:rsid w:val="007E3576"/>
    <w:rsid w:val="007E3BD6"/>
    <w:rsid w:val="007E438C"/>
    <w:rsid w:val="007E4455"/>
    <w:rsid w:val="007E570F"/>
    <w:rsid w:val="007E5BD1"/>
    <w:rsid w:val="007E6545"/>
    <w:rsid w:val="007E6781"/>
    <w:rsid w:val="007E6FA0"/>
    <w:rsid w:val="007E7249"/>
    <w:rsid w:val="007E72FB"/>
    <w:rsid w:val="007E76FE"/>
    <w:rsid w:val="007E798A"/>
    <w:rsid w:val="007E7B3F"/>
    <w:rsid w:val="007E7C36"/>
    <w:rsid w:val="007E7E58"/>
    <w:rsid w:val="007F1CA6"/>
    <w:rsid w:val="007F1E8A"/>
    <w:rsid w:val="007F1F8B"/>
    <w:rsid w:val="007F2D35"/>
    <w:rsid w:val="007F31F5"/>
    <w:rsid w:val="007F3252"/>
    <w:rsid w:val="007F4D0E"/>
    <w:rsid w:val="007F4F76"/>
    <w:rsid w:val="007F5540"/>
    <w:rsid w:val="007F55E1"/>
    <w:rsid w:val="007F58C8"/>
    <w:rsid w:val="007F58DA"/>
    <w:rsid w:val="007F7F42"/>
    <w:rsid w:val="00800133"/>
    <w:rsid w:val="008005C8"/>
    <w:rsid w:val="0080080A"/>
    <w:rsid w:val="00800C4F"/>
    <w:rsid w:val="0080111D"/>
    <w:rsid w:val="0080132C"/>
    <w:rsid w:val="008022E1"/>
    <w:rsid w:val="00803553"/>
    <w:rsid w:val="00803BF7"/>
    <w:rsid w:val="00803DD0"/>
    <w:rsid w:val="0080474F"/>
    <w:rsid w:val="008048AB"/>
    <w:rsid w:val="00804E7B"/>
    <w:rsid w:val="008051D7"/>
    <w:rsid w:val="008056A3"/>
    <w:rsid w:val="00806052"/>
    <w:rsid w:val="00807605"/>
    <w:rsid w:val="00807B96"/>
    <w:rsid w:val="0081025B"/>
    <w:rsid w:val="00810B62"/>
    <w:rsid w:val="00810DC9"/>
    <w:rsid w:val="00810E83"/>
    <w:rsid w:val="008110B3"/>
    <w:rsid w:val="0081167A"/>
    <w:rsid w:val="00811AD3"/>
    <w:rsid w:val="00811CAC"/>
    <w:rsid w:val="00813473"/>
    <w:rsid w:val="00813D11"/>
    <w:rsid w:val="00813EA5"/>
    <w:rsid w:val="00814DB4"/>
    <w:rsid w:val="00814E14"/>
    <w:rsid w:val="00814F18"/>
    <w:rsid w:val="00815000"/>
    <w:rsid w:val="00815D35"/>
    <w:rsid w:val="00815E5E"/>
    <w:rsid w:val="008162FC"/>
    <w:rsid w:val="00816ABF"/>
    <w:rsid w:val="00817A46"/>
    <w:rsid w:val="008213F1"/>
    <w:rsid w:val="0082171F"/>
    <w:rsid w:val="008217C5"/>
    <w:rsid w:val="00821E18"/>
    <w:rsid w:val="00822648"/>
    <w:rsid w:val="0082315C"/>
    <w:rsid w:val="008234D8"/>
    <w:rsid w:val="00824344"/>
    <w:rsid w:val="008243A3"/>
    <w:rsid w:val="00824894"/>
    <w:rsid w:val="00824D19"/>
    <w:rsid w:val="008252CC"/>
    <w:rsid w:val="008255FE"/>
    <w:rsid w:val="0082581D"/>
    <w:rsid w:val="0082602E"/>
    <w:rsid w:val="0082615F"/>
    <w:rsid w:val="008267E7"/>
    <w:rsid w:val="00827C1C"/>
    <w:rsid w:val="00830FCC"/>
    <w:rsid w:val="008312D6"/>
    <w:rsid w:val="00831DEA"/>
    <w:rsid w:val="00832163"/>
    <w:rsid w:val="008327EB"/>
    <w:rsid w:val="008331AB"/>
    <w:rsid w:val="0083461D"/>
    <w:rsid w:val="00834835"/>
    <w:rsid w:val="00834938"/>
    <w:rsid w:val="00834C1E"/>
    <w:rsid w:val="00834E68"/>
    <w:rsid w:val="00834F5F"/>
    <w:rsid w:val="008357C6"/>
    <w:rsid w:val="00835E68"/>
    <w:rsid w:val="00835F78"/>
    <w:rsid w:val="0083751C"/>
    <w:rsid w:val="008378FC"/>
    <w:rsid w:val="00837ED8"/>
    <w:rsid w:val="00840D42"/>
    <w:rsid w:val="00840DD7"/>
    <w:rsid w:val="00841191"/>
    <w:rsid w:val="008412EA"/>
    <w:rsid w:val="0084154A"/>
    <w:rsid w:val="00842762"/>
    <w:rsid w:val="00842D92"/>
    <w:rsid w:val="0084332D"/>
    <w:rsid w:val="00843896"/>
    <w:rsid w:val="0084476E"/>
    <w:rsid w:val="00845A61"/>
    <w:rsid w:val="00845E91"/>
    <w:rsid w:val="0084601D"/>
    <w:rsid w:val="008467D3"/>
    <w:rsid w:val="00847049"/>
    <w:rsid w:val="008470D2"/>
    <w:rsid w:val="00850734"/>
    <w:rsid w:val="00850939"/>
    <w:rsid w:val="0085158E"/>
    <w:rsid w:val="00852118"/>
    <w:rsid w:val="00852969"/>
    <w:rsid w:val="00852A4E"/>
    <w:rsid w:val="00853279"/>
    <w:rsid w:val="00853720"/>
    <w:rsid w:val="00853E37"/>
    <w:rsid w:val="008545D7"/>
    <w:rsid w:val="008548A5"/>
    <w:rsid w:val="00854DEB"/>
    <w:rsid w:val="008574D9"/>
    <w:rsid w:val="0085769D"/>
    <w:rsid w:val="00861748"/>
    <w:rsid w:val="00861DD5"/>
    <w:rsid w:val="008620D9"/>
    <w:rsid w:val="00862F54"/>
    <w:rsid w:val="00863919"/>
    <w:rsid w:val="008640E9"/>
    <w:rsid w:val="00864B2A"/>
    <w:rsid w:val="00865F14"/>
    <w:rsid w:val="00865FC1"/>
    <w:rsid w:val="008666F6"/>
    <w:rsid w:val="008675CD"/>
    <w:rsid w:val="008679D8"/>
    <w:rsid w:val="00870312"/>
    <w:rsid w:val="00870492"/>
    <w:rsid w:val="008707AC"/>
    <w:rsid w:val="008721D1"/>
    <w:rsid w:val="00872E28"/>
    <w:rsid w:val="00872FCF"/>
    <w:rsid w:val="00873B5E"/>
    <w:rsid w:val="00873E07"/>
    <w:rsid w:val="00873E74"/>
    <w:rsid w:val="0087627C"/>
    <w:rsid w:val="00876391"/>
    <w:rsid w:val="00876D37"/>
    <w:rsid w:val="008773AF"/>
    <w:rsid w:val="0087758D"/>
    <w:rsid w:val="00877A7E"/>
    <w:rsid w:val="00880AA0"/>
    <w:rsid w:val="00880C94"/>
    <w:rsid w:val="00880E23"/>
    <w:rsid w:val="008810B3"/>
    <w:rsid w:val="0088151C"/>
    <w:rsid w:val="00881543"/>
    <w:rsid w:val="008817D9"/>
    <w:rsid w:val="008819A5"/>
    <w:rsid w:val="00882EDF"/>
    <w:rsid w:val="00883112"/>
    <w:rsid w:val="0088344B"/>
    <w:rsid w:val="00883789"/>
    <w:rsid w:val="008837CA"/>
    <w:rsid w:val="00883A84"/>
    <w:rsid w:val="00883D8A"/>
    <w:rsid w:val="0088433D"/>
    <w:rsid w:val="0088491B"/>
    <w:rsid w:val="008850B3"/>
    <w:rsid w:val="008857EC"/>
    <w:rsid w:val="00885F43"/>
    <w:rsid w:val="00886913"/>
    <w:rsid w:val="00886F39"/>
    <w:rsid w:val="008878C5"/>
    <w:rsid w:val="00887AEB"/>
    <w:rsid w:val="00890E5A"/>
    <w:rsid w:val="008913C1"/>
    <w:rsid w:val="00891566"/>
    <w:rsid w:val="00891B37"/>
    <w:rsid w:val="00891E54"/>
    <w:rsid w:val="0089221B"/>
    <w:rsid w:val="00892EFD"/>
    <w:rsid w:val="00893270"/>
    <w:rsid w:val="00893C50"/>
    <w:rsid w:val="00893D16"/>
    <w:rsid w:val="00893E77"/>
    <w:rsid w:val="00893F70"/>
    <w:rsid w:val="008943C6"/>
    <w:rsid w:val="0089537A"/>
    <w:rsid w:val="00895B68"/>
    <w:rsid w:val="0089653B"/>
    <w:rsid w:val="008968A8"/>
    <w:rsid w:val="0089699F"/>
    <w:rsid w:val="008971FF"/>
    <w:rsid w:val="0089772E"/>
    <w:rsid w:val="0089776F"/>
    <w:rsid w:val="00897DDA"/>
    <w:rsid w:val="00897FE8"/>
    <w:rsid w:val="008A03C4"/>
    <w:rsid w:val="008A0552"/>
    <w:rsid w:val="008A07BB"/>
    <w:rsid w:val="008A1336"/>
    <w:rsid w:val="008A1590"/>
    <w:rsid w:val="008A2631"/>
    <w:rsid w:val="008A26F4"/>
    <w:rsid w:val="008A2D78"/>
    <w:rsid w:val="008A33B8"/>
    <w:rsid w:val="008A376A"/>
    <w:rsid w:val="008A37BE"/>
    <w:rsid w:val="008A39E3"/>
    <w:rsid w:val="008A3A25"/>
    <w:rsid w:val="008A49B6"/>
    <w:rsid w:val="008A502C"/>
    <w:rsid w:val="008A67C7"/>
    <w:rsid w:val="008A7317"/>
    <w:rsid w:val="008B054D"/>
    <w:rsid w:val="008B0785"/>
    <w:rsid w:val="008B10CA"/>
    <w:rsid w:val="008B10D9"/>
    <w:rsid w:val="008B1ED5"/>
    <w:rsid w:val="008B2019"/>
    <w:rsid w:val="008B2B66"/>
    <w:rsid w:val="008B33A6"/>
    <w:rsid w:val="008B3F12"/>
    <w:rsid w:val="008B3F1B"/>
    <w:rsid w:val="008B4B04"/>
    <w:rsid w:val="008B4B63"/>
    <w:rsid w:val="008B4EA0"/>
    <w:rsid w:val="008B63D9"/>
    <w:rsid w:val="008B6B47"/>
    <w:rsid w:val="008B707A"/>
    <w:rsid w:val="008B74C6"/>
    <w:rsid w:val="008B7825"/>
    <w:rsid w:val="008C0B58"/>
    <w:rsid w:val="008C28F9"/>
    <w:rsid w:val="008C2AF7"/>
    <w:rsid w:val="008C3813"/>
    <w:rsid w:val="008C383D"/>
    <w:rsid w:val="008C3C68"/>
    <w:rsid w:val="008C3D49"/>
    <w:rsid w:val="008C5040"/>
    <w:rsid w:val="008C59EE"/>
    <w:rsid w:val="008C5AC6"/>
    <w:rsid w:val="008C6077"/>
    <w:rsid w:val="008C73FF"/>
    <w:rsid w:val="008C75F2"/>
    <w:rsid w:val="008C7978"/>
    <w:rsid w:val="008C7BFF"/>
    <w:rsid w:val="008D0075"/>
    <w:rsid w:val="008D072F"/>
    <w:rsid w:val="008D0BA0"/>
    <w:rsid w:val="008D18F7"/>
    <w:rsid w:val="008D1EAF"/>
    <w:rsid w:val="008D2072"/>
    <w:rsid w:val="008D223E"/>
    <w:rsid w:val="008D25B6"/>
    <w:rsid w:val="008D3198"/>
    <w:rsid w:val="008D4563"/>
    <w:rsid w:val="008D5754"/>
    <w:rsid w:val="008D57B4"/>
    <w:rsid w:val="008D5D64"/>
    <w:rsid w:val="008D6077"/>
    <w:rsid w:val="008D66B9"/>
    <w:rsid w:val="008D6AB7"/>
    <w:rsid w:val="008D6EED"/>
    <w:rsid w:val="008D7649"/>
    <w:rsid w:val="008D7BC9"/>
    <w:rsid w:val="008D7D82"/>
    <w:rsid w:val="008D7DE2"/>
    <w:rsid w:val="008E036A"/>
    <w:rsid w:val="008E0F48"/>
    <w:rsid w:val="008E14EE"/>
    <w:rsid w:val="008E1516"/>
    <w:rsid w:val="008E19AA"/>
    <w:rsid w:val="008E2EB5"/>
    <w:rsid w:val="008E3104"/>
    <w:rsid w:val="008E3C92"/>
    <w:rsid w:val="008E3EB1"/>
    <w:rsid w:val="008E3EF9"/>
    <w:rsid w:val="008E4119"/>
    <w:rsid w:val="008E47B1"/>
    <w:rsid w:val="008E5353"/>
    <w:rsid w:val="008E5AF4"/>
    <w:rsid w:val="008E5C1C"/>
    <w:rsid w:val="008E5FC1"/>
    <w:rsid w:val="008E63EC"/>
    <w:rsid w:val="008E6B66"/>
    <w:rsid w:val="008E6E9B"/>
    <w:rsid w:val="008E7131"/>
    <w:rsid w:val="008E72AE"/>
    <w:rsid w:val="008E75FC"/>
    <w:rsid w:val="008E790D"/>
    <w:rsid w:val="008F042A"/>
    <w:rsid w:val="008F0433"/>
    <w:rsid w:val="008F0C02"/>
    <w:rsid w:val="008F18E5"/>
    <w:rsid w:val="008F1BEC"/>
    <w:rsid w:val="008F2B9A"/>
    <w:rsid w:val="008F2BB6"/>
    <w:rsid w:val="008F2CD7"/>
    <w:rsid w:val="008F2FD2"/>
    <w:rsid w:val="008F37ED"/>
    <w:rsid w:val="008F41B4"/>
    <w:rsid w:val="008F4E28"/>
    <w:rsid w:val="008F50C0"/>
    <w:rsid w:val="008F52A3"/>
    <w:rsid w:val="008F5698"/>
    <w:rsid w:val="008F598A"/>
    <w:rsid w:val="008F5CF9"/>
    <w:rsid w:val="008F5D81"/>
    <w:rsid w:val="008F6358"/>
    <w:rsid w:val="008F7445"/>
    <w:rsid w:val="0090037B"/>
    <w:rsid w:val="00900766"/>
    <w:rsid w:val="009014E6"/>
    <w:rsid w:val="009015BF"/>
    <w:rsid w:val="009022C8"/>
    <w:rsid w:val="009028C7"/>
    <w:rsid w:val="00903017"/>
    <w:rsid w:val="009030A8"/>
    <w:rsid w:val="009045D9"/>
    <w:rsid w:val="00904A96"/>
    <w:rsid w:val="00905731"/>
    <w:rsid w:val="00905CD3"/>
    <w:rsid w:val="00906273"/>
    <w:rsid w:val="00906F57"/>
    <w:rsid w:val="00907287"/>
    <w:rsid w:val="00910DA9"/>
    <w:rsid w:val="009116CD"/>
    <w:rsid w:val="00911859"/>
    <w:rsid w:val="009120A0"/>
    <w:rsid w:val="00912DE4"/>
    <w:rsid w:val="00913049"/>
    <w:rsid w:val="0091328C"/>
    <w:rsid w:val="009134D0"/>
    <w:rsid w:val="009136EB"/>
    <w:rsid w:val="0091410C"/>
    <w:rsid w:val="009141E6"/>
    <w:rsid w:val="00914382"/>
    <w:rsid w:val="009151FF"/>
    <w:rsid w:val="0091559E"/>
    <w:rsid w:val="00915E9C"/>
    <w:rsid w:val="0091615E"/>
    <w:rsid w:val="00916502"/>
    <w:rsid w:val="00916D23"/>
    <w:rsid w:val="00916D98"/>
    <w:rsid w:val="009171E9"/>
    <w:rsid w:val="00917A51"/>
    <w:rsid w:val="00920653"/>
    <w:rsid w:val="00920C10"/>
    <w:rsid w:val="0092148B"/>
    <w:rsid w:val="00921C72"/>
    <w:rsid w:val="0092223A"/>
    <w:rsid w:val="009225AD"/>
    <w:rsid w:val="00922924"/>
    <w:rsid w:val="00922D68"/>
    <w:rsid w:val="00923C53"/>
    <w:rsid w:val="00924183"/>
    <w:rsid w:val="00924691"/>
    <w:rsid w:val="0092510D"/>
    <w:rsid w:val="009254F2"/>
    <w:rsid w:val="0092668B"/>
    <w:rsid w:val="00926B00"/>
    <w:rsid w:val="00926D85"/>
    <w:rsid w:val="0092726E"/>
    <w:rsid w:val="00927419"/>
    <w:rsid w:val="00927523"/>
    <w:rsid w:val="009303B8"/>
    <w:rsid w:val="00930ACB"/>
    <w:rsid w:val="009312EB"/>
    <w:rsid w:val="0093164F"/>
    <w:rsid w:val="009319E6"/>
    <w:rsid w:val="00931C56"/>
    <w:rsid w:val="00932229"/>
    <w:rsid w:val="0093236C"/>
    <w:rsid w:val="00932B18"/>
    <w:rsid w:val="00932E05"/>
    <w:rsid w:val="00932FFB"/>
    <w:rsid w:val="009336D0"/>
    <w:rsid w:val="00933728"/>
    <w:rsid w:val="0093382D"/>
    <w:rsid w:val="00933A2A"/>
    <w:rsid w:val="009344F6"/>
    <w:rsid w:val="00934522"/>
    <w:rsid w:val="00934E9F"/>
    <w:rsid w:val="009359D9"/>
    <w:rsid w:val="0093604D"/>
    <w:rsid w:val="0093710E"/>
    <w:rsid w:val="00937CA2"/>
    <w:rsid w:val="00940190"/>
    <w:rsid w:val="00940EAF"/>
    <w:rsid w:val="0094168E"/>
    <w:rsid w:val="00941A10"/>
    <w:rsid w:val="00941A51"/>
    <w:rsid w:val="00941D86"/>
    <w:rsid w:val="00941E85"/>
    <w:rsid w:val="00942234"/>
    <w:rsid w:val="00942B7B"/>
    <w:rsid w:val="00943786"/>
    <w:rsid w:val="009444A0"/>
    <w:rsid w:val="0094452C"/>
    <w:rsid w:val="009456CD"/>
    <w:rsid w:val="00945C6C"/>
    <w:rsid w:val="00945E00"/>
    <w:rsid w:val="00947A3A"/>
    <w:rsid w:val="00947BD7"/>
    <w:rsid w:val="00950783"/>
    <w:rsid w:val="0095087B"/>
    <w:rsid w:val="009509E1"/>
    <w:rsid w:val="009511AD"/>
    <w:rsid w:val="00951ABF"/>
    <w:rsid w:val="00951EA6"/>
    <w:rsid w:val="009521B7"/>
    <w:rsid w:val="009522D1"/>
    <w:rsid w:val="00952EAC"/>
    <w:rsid w:val="00952F0D"/>
    <w:rsid w:val="00952F1C"/>
    <w:rsid w:val="00953057"/>
    <w:rsid w:val="00953162"/>
    <w:rsid w:val="009531B1"/>
    <w:rsid w:val="00953733"/>
    <w:rsid w:val="00953B33"/>
    <w:rsid w:val="00953E5E"/>
    <w:rsid w:val="00954036"/>
    <w:rsid w:val="0095432E"/>
    <w:rsid w:val="00955A08"/>
    <w:rsid w:val="00955C03"/>
    <w:rsid w:val="00956836"/>
    <w:rsid w:val="0095689A"/>
    <w:rsid w:val="009568AE"/>
    <w:rsid w:val="009569F2"/>
    <w:rsid w:val="00956AA7"/>
    <w:rsid w:val="0095773F"/>
    <w:rsid w:val="00957D20"/>
    <w:rsid w:val="009601E6"/>
    <w:rsid w:val="009603AF"/>
    <w:rsid w:val="009604AC"/>
    <w:rsid w:val="009609A9"/>
    <w:rsid w:val="00960D79"/>
    <w:rsid w:val="00960F45"/>
    <w:rsid w:val="00961094"/>
    <w:rsid w:val="00961630"/>
    <w:rsid w:val="0096213B"/>
    <w:rsid w:val="009629D6"/>
    <w:rsid w:val="00962E0E"/>
    <w:rsid w:val="009635D5"/>
    <w:rsid w:val="009639D7"/>
    <w:rsid w:val="00964692"/>
    <w:rsid w:val="00964831"/>
    <w:rsid w:val="00964CD9"/>
    <w:rsid w:val="0096544B"/>
    <w:rsid w:val="00965896"/>
    <w:rsid w:val="00966A0A"/>
    <w:rsid w:val="00966AA0"/>
    <w:rsid w:val="00966C06"/>
    <w:rsid w:val="00966E65"/>
    <w:rsid w:val="0096729F"/>
    <w:rsid w:val="009672C6"/>
    <w:rsid w:val="00967DB8"/>
    <w:rsid w:val="00967E93"/>
    <w:rsid w:val="00970484"/>
    <w:rsid w:val="0097071C"/>
    <w:rsid w:val="00970C2A"/>
    <w:rsid w:val="009725F3"/>
    <w:rsid w:val="009731CB"/>
    <w:rsid w:val="009736A2"/>
    <w:rsid w:val="00975161"/>
    <w:rsid w:val="009758E0"/>
    <w:rsid w:val="0097632C"/>
    <w:rsid w:val="009764AA"/>
    <w:rsid w:val="00976EDA"/>
    <w:rsid w:val="0097773B"/>
    <w:rsid w:val="009777ED"/>
    <w:rsid w:val="00980AAA"/>
    <w:rsid w:val="00980F37"/>
    <w:rsid w:val="00980FB2"/>
    <w:rsid w:val="00981E33"/>
    <w:rsid w:val="00982417"/>
    <w:rsid w:val="009824D5"/>
    <w:rsid w:val="009827C3"/>
    <w:rsid w:val="00982B01"/>
    <w:rsid w:val="0098342E"/>
    <w:rsid w:val="00983A5D"/>
    <w:rsid w:val="0098444D"/>
    <w:rsid w:val="009851A1"/>
    <w:rsid w:val="0098557C"/>
    <w:rsid w:val="00986354"/>
    <w:rsid w:val="00986837"/>
    <w:rsid w:val="009869AF"/>
    <w:rsid w:val="0098780C"/>
    <w:rsid w:val="00990211"/>
    <w:rsid w:val="0099092A"/>
    <w:rsid w:val="00990E13"/>
    <w:rsid w:val="00991F5D"/>
    <w:rsid w:val="00992979"/>
    <w:rsid w:val="00992EA3"/>
    <w:rsid w:val="00993C31"/>
    <w:rsid w:val="00993E99"/>
    <w:rsid w:val="00994389"/>
    <w:rsid w:val="009948D7"/>
    <w:rsid w:val="009955FD"/>
    <w:rsid w:val="00995DD3"/>
    <w:rsid w:val="00995FEC"/>
    <w:rsid w:val="009979E4"/>
    <w:rsid w:val="009A0EB0"/>
    <w:rsid w:val="009A1E12"/>
    <w:rsid w:val="009A2251"/>
    <w:rsid w:val="009A2D40"/>
    <w:rsid w:val="009A3623"/>
    <w:rsid w:val="009A36F2"/>
    <w:rsid w:val="009A3F53"/>
    <w:rsid w:val="009A4770"/>
    <w:rsid w:val="009A4EE1"/>
    <w:rsid w:val="009A55AE"/>
    <w:rsid w:val="009A5612"/>
    <w:rsid w:val="009A59F4"/>
    <w:rsid w:val="009A617C"/>
    <w:rsid w:val="009A63FC"/>
    <w:rsid w:val="009A6C08"/>
    <w:rsid w:val="009A6C15"/>
    <w:rsid w:val="009A6F1C"/>
    <w:rsid w:val="009A771A"/>
    <w:rsid w:val="009B03AC"/>
    <w:rsid w:val="009B29F5"/>
    <w:rsid w:val="009B2BEB"/>
    <w:rsid w:val="009B2E94"/>
    <w:rsid w:val="009B3167"/>
    <w:rsid w:val="009B3326"/>
    <w:rsid w:val="009B34A8"/>
    <w:rsid w:val="009B4B67"/>
    <w:rsid w:val="009B5096"/>
    <w:rsid w:val="009B52CA"/>
    <w:rsid w:val="009B5575"/>
    <w:rsid w:val="009B5700"/>
    <w:rsid w:val="009B6300"/>
    <w:rsid w:val="009B6A48"/>
    <w:rsid w:val="009B6C9A"/>
    <w:rsid w:val="009B7073"/>
    <w:rsid w:val="009B711E"/>
    <w:rsid w:val="009B7422"/>
    <w:rsid w:val="009B7EA1"/>
    <w:rsid w:val="009B7FAB"/>
    <w:rsid w:val="009C0CAC"/>
    <w:rsid w:val="009C0E67"/>
    <w:rsid w:val="009C0EF6"/>
    <w:rsid w:val="009C14B1"/>
    <w:rsid w:val="009C1F8E"/>
    <w:rsid w:val="009C3114"/>
    <w:rsid w:val="009C31DF"/>
    <w:rsid w:val="009C3773"/>
    <w:rsid w:val="009C3AC8"/>
    <w:rsid w:val="009C3E2D"/>
    <w:rsid w:val="009C51AE"/>
    <w:rsid w:val="009C545E"/>
    <w:rsid w:val="009C59D7"/>
    <w:rsid w:val="009C6171"/>
    <w:rsid w:val="009C62F5"/>
    <w:rsid w:val="009C6C2F"/>
    <w:rsid w:val="009C73FF"/>
    <w:rsid w:val="009C7421"/>
    <w:rsid w:val="009C7953"/>
    <w:rsid w:val="009D05E6"/>
    <w:rsid w:val="009D241F"/>
    <w:rsid w:val="009D2A98"/>
    <w:rsid w:val="009D439A"/>
    <w:rsid w:val="009D4C0F"/>
    <w:rsid w:val="009D526D"/>
    <w:rsid w:val="009D5DBC"/>
    <w:rsid w:val="009D5DD8"/>
    <w:rsid w:val="009D60B6"/>
    <w:rsid w:val="009D61DF"/>
    <w:rsid w:val="009D6635"/>
    <w:rsid w:val="009D67A2"/>
    <w:rsid w:val="009D67E2"/>
    <w:rsid w:val="009D6FD5"/>
    <w:rsid w:val="009D70F6"/>
    <w:rsid w:val="009D71A8"/>
    <w:rsid w:val="009E08C3"/>
    <w:rsid w:val="009E18FC"/>
    <w:rsid w:val="009E2455"/>
    <w:rsid w:val="009E2995"/>
    <w:rsid w:val="009E2D8B"/>
    <w:rsid w:val="009E4FFF"/>
    <w:rsid w:val="009E52C7"/>
    <w:rsid w:val="009E5D21"/>
    <w:rsid w:val="009E661D"/>
    <w:rsid w:val="009E7F03"/>
    <w:rsid w:val="009E7FEB"/>
    <w:rsid w:val="009F0CB7"/>
    <w:rsid w:val="009F0CCE"/>
    <w:rsid w:val="009F2DD4"/>
    <w:rsid w:val="009F2FF4"/>
    <w:rsid w:val="009F32AF"/>
    <w:rsid w:val="009F39EA"/>
    <w:rsid w:val="009F3BAF"/>
    <w:rsid w:val="009F3D8F"/>
    <w:rsid w:val="009F3E12"/>
    <w:rsid w:val="009F4C9F"/>
    <w:rsid w:val="009F5053"/>
    <w:rsid w:val="009F5764"/>
    <w:rsid w:val="009F59A0"/>
    <w:rsid w:val="009F6AF8"/>
    <w:rsid w:val="009F6BD0"/>
    <w:rsid w:val="009F6FAB"/>
    <w:rsid w:val="009F72B6"/>
    <w:rsid w:val="009F7FD9"/>
    <w:rsid w:val="00A00723"/>
    <w:rsid w:val="00A007C6"/>
    <w:rsid w:val="00A014B4"/>
    <w:rsid w:val="00A01960"/>
    <w:rsid w:val="00A01B33"/>
    <w:rsid w:val="00A02ACD"/>
    <w:rsid w:val="00A02C04"/>
    <w:rsid w:val="00A02FA4"/>
    <w:rsid w:val="00A05559"/>
    <w:rsid w:val="00A0565F"/>
    <w:rsid w:val="00A06BDE"/>
    <w:rsid w:val="00A06D7A"/>
    <w:rsid w:val="00A10063"/>
    <w:rsid w:val="00A1017A"/>
    <w:rsid w:val="00A107EE"/>
    <w:rsid w:val="00A11131"/>
    <w:rsid w:val="00A1297E"/>
    <w:rsid w:val="00A13244"/>
    <w:rsid w:val="00A15C9E"/>
    <w:rsid w:val="00A15D02"/>
    <w:rsid w:val="00A1763C"/>
    <w:rsid w:val="00A203C4"/>
    <w:rsid w:val="00A204C9"/>
    <w:rsid w:val="00A20B10"/>
    <w:rsid w:val="00A2102B"/>
    <w:rsid w:val="00A213EB"/>
    <w:rsid w:val="00A21A61"/>
    <w:rsid w:val="00A21DB4"/>
    <w:rsid w:val="00A21F8C"/>
    <w:rsid w:val="00A221DD"/>
    <w:rsid w:val="00A2255B"/>
    <w:rsid w:val="00A22970"/>
    <w:rsid w:val="00A22FCB"/>
    <w:rsid w:val="00A23295"/>
    <w:rsid w:val="00A24349"/>
    <w:rsid w:val="00A254FD"/>
    <w:rsid w:val="00A2765F"/>
    <w:rsid w:val="00A27A48"/>
    <w:rsid w:val="00A30201"/>
    <w:rsid w:val="00A303A0"/>
    <w:rsid w:val="00A308DD"/>
    <w:rsid w:val="00A31127"/>
    <w:rsid w:val="00A31D3D"/>
    <w:rsid w:val="00A329CF"/>
    <w:rsid w:val="00A32F57"/>
    <w:rsid w:val="00A33004"/>
    <w:rsid w:val="00A33487"/>
    <w:rsid w:val="00A334C3"/>
    <w:rsid w:val="00A33755"/>
    <w:rsid w:val="00A33CE7"/>
    <w:rsid w:val="00A33CF6"/>
    <w:rsid w:val="00A33FE5"/>
    <w:rsid w:val="00A34E7F"/>
    <w:rsid w:val="00A35799"/>
    <w:rsid w:val="00A35E98"/>
    <w:rsid w:val="00A4004A"/>
    <w:rsid w:val="00A404DF"/>
    <w:rsid w:val="00A40AFF"/>
    <w:rsid w:val="00A40EFF"/>
    <w:rsid w:val="00A413C4"/>
    <w:rsid w:val="00A41510"/>
    <w:rsid w:val="00A418C6"/>
    <w:rsid w:val="00A41AD4"/>
    <w:rsid w:val="00A41EFC"/>
    <w:rsid w:val="00A42678"/>
    <w:rsid w:val="00A42C23"/>
    <w:rsid w:val="00A42C41"/>
    <w:rsid w:val="00A42CE3"/>
    <w:rsid w:val="00A43399"/>
    <w:rsid w:val="00A43DE1"/>
    <w:rsid w:val="00A440F3"/>
    <w:rsid w:val="00A4540D"/>
    <w:rsid w:val="00A45FE9"/>
    <w:rsid w:val="00A46238"/>
    <w:rsid w:val="00A46F5C"/>
    <w:rsid w:val="00A4723C"/>
    <w:rsid w:val="00A50273"/>
    <w:rsid w:val="00A50D9E"/>
    <w:rsid w:val="00A51A8C"/>
    <w:rsid w:val="00A51CE6"/>
    <w:rsid w:val="00A527A3"/>
    <w:rsid w:val="00A52911"/>
    <w:rsid w:val="00A52988"/>
    <w:rsid w:val="00A53382"/>
    <w:rsid w:val="00A53529"/>
    <w:rsid w:val="00A535B3"/>
    <w:rsid w:val="00A53DCE"/>
    <w:rsid w:val="00A54816"/>
    <w:rsid w:val="00A559E6"/>
    <w:rsid w:val="00A56642"/>
    <w:rsid w:val="00A56CB0"/>
    <w:rsid w:val="00A5792D"/>
    <w:rsid w:val="00A57A1E"/>
    <w:rsid w:val="00A57C22"/>
    <w:rsid w:val="00A60785"/>
    <w:rsid w:val="00A60FFB"/>
    <w:rsid w:val="00A61824"/>
    <w:rsid w:val="00A619F3"/>
    <w:rsid w:val="00A622CF"/>
    <w:rsid w:val="00A62A5E"/>
    <w:rsid w:val="00A62B1B"/>
    <w:rsid w:val="00A648EB"/>
    <w:rsid w:val="00A64C33"/>
    <w:rsid w:val="00A652FD"/>
    <w:rsid w:val="00A65631"/>
    <w:rsid w:val="00A6567E"/>
    <w:rsid w:val="00A65C83"/>
    <w:rsid w:val="00A66AFF"/>
    <w:rsid w:val="00A66E30"/>
    <w:rsid w:val="00A67AF2"/>
    <w:rsid w:val="00A7108E"/>
    <w:rsid w:val="00A71C51"/>
    <w:rsid w:val="00A72F26"/>
    <w:rsid w:val="00A73204"/>
    <w:rsid w:val="00A73C19"/>
    <w:rsid w:val="00A73E93"/>
    <w:rsid w:val="00A74088"/>
    <w:rsid w:val="00A74409"/>
    <w:rsid w:val="00A7466E"/>
    <w:rsid w:val="00A7468A"/>
    <w:rsid w:val="00A75387"/>
    <w:rsid w:val="00A7594A"/>
    <w:rsid w:val="00A7685E"/>
    <w:rsid w:val="00A771D3"/>
    <w:rsid w:val="00A77355"/>
    <w:rsid w:val="00A77750"/>
    <w:rsid w:val="00A77CC1"/>
    <w:rsid w:val="00A77D60"/>
    <w:rsid w:val="00A77E8C"/>
    <w:rsid w:val="00A80B6F"/>
    <w:rsid w:val="00A81DAA"/>
    <w:rsid w:val="00A8201A"/>
    <w:rsid w:val="00A82594"/>
    <w:rsid w:val="00A83DF3"/>
    <w:rsid w:val="00A84924"/>
    <w:rsid w:val="00A84A1B"/>
    <w:rsid w:val="00A84A84"/>
    <w:rsid w:val="00A84AE9"/>
    <w:rsid w:val="00A84E88"/>
    <w:rsid w:val="00A85A03"/>
    <w:rsid w:val="00A86556"/>
    <w:rsid w:val="00A865E5"/>
    <w:rsid w:val="00A86F6D"/>
    <w:rsid w:val="00A870FE"/>
    <w:rsid w:val="00A90E4B"/>
    <w:rsid w:val="00A92173"/>
    <w:rsid w:val="00A92442"/>
    <w:rsid w:val="00A92752"/>
    <w:rsid w:val="00A9280D"/>
    <w:rsid w:val="00A93E3E"/>
    <w:rsid w:val="00A94CC3"/>
    <w:rsid w:val="00A94CFF"/>
    <w:rsid w:val="00A94E5B"/>
    <w:rsid w:val="00A95445"/>
    <w:rsid w:val="00A9551C"/>
    <w:rsid w:val="00A95A0B"/>
    <w:rsid w:val="00A95A71"/>
    <w:rsid w:val="00A95B12"/>
    <w:rsid w:val="00A977C6"/>
    <w:rsid w:val="00A979E9"/>
    <w:rsid w:val="00AA005B"/>
    <w:rsid w:val="00AA08E2"/>
    <w:rsid w:val="00AA09FD"/>
    <w:rsid w:val="00AA0BB4"/>
    <w:rsid w:val="00AA0CD3"/>
    <w:rsid w:val="00AA113F"/>
    <w:rsid w:val="00AA19DC"/>
    <w:rsid w:val="00AA235C"/>
    <w:rsid w:val="00AA2F62"/>
    <w:rsid w:val="00AA3898"/>
    <w:rsid w:val="00AA392F"/>
    <w:rsid w:val="00AA5AA7"/>
    <w:rsid w:val="00AA5F00"/>
    <w:rsid w:val="00AA62E2"/>
    <w:rsid w:val="00AA66E7"/>
    <w:rsid w:val="00AA6FCF"/>
    <w:rsid w:val="00AA7253"/>
    <w:rsid w:val="00AA74A5"/>
    <w:rsid w:val="00AA7CB5"/>
    <w:rsid w:val="00AA7EAE"/>
    <w:rsid w:val="00AB0442"/>
    <w:rsid w:val="00AB158E"/>
    <w:rsid w:val="00AB18F7"/>
    <w:rsid w:val="00AB1A21"/>
    <w:rsid w:val="00AB1ED5"/>
    <w:rsid w:val="00AB208F"/>
    <w:rsid w:val="00AB2580"/>
    <w:rsid w:val="00AB2B72"/>
    <w:rsid w:val="00AB2E81"/>
    <w:rsid w:val="00AB3C55"/>
    <w:rsid w:val="00AB5387"/>
    <w:rsid w:val="00AB5626"/>
    <w:rsid w:val="00AB5F3C"/>
    <w:rsid w:val="00AB5F7C"/>
    <w:rsid w:val="00AB7813"/>
    <w:rsid w:val="00AC0F05"/>
    <w:rsid w:val="00AC1880"/>
    <w:rsid w:val="00AC1E1C"/>
    <w:rsid w:val="00AC3819"/>
    <w:rsid w:val="00AC3B1C"/>
    <w:rsid w:val="00AC4666"/>
    <w:rsid w:val="00AC4952"/>
    <w:rsid w:val="00AC4B2E"/>
    <w:rsid w:val="00AC4E6D"/>
    <w:rsid w:val="00AC608D"/>
    <w:rsid w:val="00AC7399"/>
    <w:rsid w:val="00AC78B6"/>
    <w:rsid w:val="00AD0299"/>
    <w:rsid w:val="00AD0962"/>
    <w:rsid w:val="00AD1169"/>
    <w:rsid w:val="00AD19CE"/>
    <w:rsid w:val="00AD1E9E"/>
    <w:rsid w:val="00AD2AA4"/>
    <w:rsid w:val="00AD2F9B"/>
    <w:rsid w:val="00AD3AC1"/>
    <w:rsid w:val="00AD41E4"/>
    <w:rsid w:val="00AD4284"/>
    <w:rsid w:val="00AD4408"/>
    <w:rsid w:val="00AD440F"/>
    <w:rsid w:val="00AD5779"/>
    <w:rsid w:val="00AD58FE"/>
    <w:rsid w:val="00AD5AF3"/>
    <w:rsid w:val="00AD5C53"/>
    <w:rsid w:val="00AD612D"/>
    <w:rsid w:val="00AD7219"/>
    <w:rsid w:val="00AD7701"/>
    <w:rsid w:val="00AD7CD5"/>
    <w:rsid w:val="00AE07E9"/>
    <w:rsid w:val="00AE08CA"/>
    <w:rsid w:val="00AE0F1E"/>
    <w:rsid w:val="00AE1281"/>
    <w:rsid w:val="00AE1F7A"/>
    <w:rsid w:val="00AE3A66"/>
    <w:rsid w:val="00AE3D8E"/>
    <w:rsid w:val="00AE4469"/>
    <w:rsid w:val="00AE4540"/>
    <w:rsid w:val="00AE5604"/>
    <w:rsid w:val="00AE569F"/>
    <w:rsid w:val="00AE56E5"/>
    <w:rsid w:val="00AE6160"/>
    <w:rsid w:val="00AE673D"/>
    <w:rsid w:val="00AE75CC"/>
    <w:rsid w:val="00AF1B51"/>
    <w:rsid w:val="00AF1B61"/>
    <w:rsid w:val="00AF1E1F"/>
    <w:rsid w:val="00AF2860"/>
    <w:rsid w:val="00AF2A79"/>
    <w:rsid w:val="00AF3166"/>
    <w:rsid w:val="00AF41A6"/>
    <w:rsid w:val="00AF4288"/>
    <w:rsid w:val="00AF42B7"/>
    <w:rsid w:val="00AF46A2"/>
    <w:rsid w:val="00AF4749"/>
    <w:rsid w:val="00AF4DAA"/>
    <w:rsid w:val="00AF6E57"/>
    <w:rsid w:val="00AF7396"/>
    <w:rsid w:val="00AF748C"/>
    <w:rsid w:val="00B000DC"/>
    <w:rsid w:val="00B002BA"/>
    <w:rsid w:val="00B00D9C"/>
    <w:rsid w:val="00B00E1C"/>
    <w:rsid w:val="00B0113D"/>
    <w:rsid w:val="00B01306"/>
    <w:rsid w:val="00B01AC5"/>
    <w:rsid w:val="00B027D1"/>
    <w:rsid w:val="00B0297A"/>
    <w:rsid w:val="00B02C9C"/>
    <w:rsid w:val="00B03757"/>
    <w:rsid w:val="00B03B73"/>
    <w:rsid w:val="00B04B07"/>
    <w:rsid w:val="00B04D1B"/>
    <w:rsid w:val="00B0518C"/>
    <w:rsid w:val="00B05F00"/>
    <w:rsid w:val="00B05F98"/>
    <w:rsid w:val="00B06760"/>
    <w:rsid w:val="00B077C8"/>
    <w:rsid w:val="00B100F8"/>
    <w:rsid w:val="00B102FF"/>
    <w:rsid w:val="00B104DE"/>
    <w:rsid w:val="00B10A2C"/>
    <w:rsid w:val="00B10C87"/>
    <w:rsid w:val="00B10CB4"/>
    <w:rsid w:val="00B110D6"/>
    <w:rsid w:val="00B11211"/>
    <w:rsid w:val="00B124EE"/>
    <w:rsid w:val="00B12596"/>
    <w:rsid w:val="00B13217"/>
    <w:rsid w:val="00B13479"/>
    <w:rsid w:val="00B160F6"/>
    <w:rsid w:val="00B16192"/>
    <w:rsid w:val="00B1705B"/>
    <w:rsid w:val="00B17CCC"/>
    <w:rsid w:val="00B17D7F"/>
    <w:rsid w:val="00B17D8F"/>
    <w:rsid w:val="00B20B69"/>
    <w:rsid w:val="00B217ED"/>
    <w:rsid w:val="00B2189B"/>
    <w:rsid w:val="00B2275B"/>
    <w:rsid w:val="00B23123"/>
    <w:rsid w:val="00B2364B"/>
    <w:rsid w:val="00B23AED"/>
    <w:rsid w:val="00B23B79"/>
    <w:rsid w:val="00B24EC8"/>
    <w:rsid w:val="00B25292"/>
    <w:rsid w:val="00B25FA5"/>
    <w:rsid w:val="00B261B8"/>
    <w:rsid w:val="00B265D4"/>
    <w:rsid w:val="00B26623"/>
    <w:rsid w:val="00B2673A"/>
    <w:rsid w:val="00B2673C"/>
    <w:rsid w:val="00B26BB5"/>
    <w:rsid w:val="00B2718A"/>
    <w:rsid w:val="00B31FCC"/>
    <w:rsid w:val="00B3295E"/>
    <w:rsid w:val="00B33350"/>
    <w:rsid w:val="00B3364B"/>
    <w:rsid w:val="00B343B4"/>
    <w:rsid w:val="00B35C49"/>
    <w:rsid w:val="00B3722F"/>
    <w:rsid w:val="00B37837"/>
    <w:rsid w:val="00B4051A"/>
    <w:rsid w:val="00B40D3B"/>
    <w:rsid w:val="00B40E50"/>
    <w:rsid w:val="00B412A4"/>
    <w:rsid w:val="00B416DF"/>
    <w:rsid w:val="00B41BEB"/>
    <w:rsid w:val="00B41E0F"/>
    <w:rsid w:val="00B41FC1"/>
    <w:rsid w:val="00B42A45"/>
    <w:rsid w:val="00B42A98"/>
    <w:rsid w:val="00B42D28"/>
    <w:rsid w:val="00B4367A"/>
    <w:rsid w:val="00B43CCA"/>
    <w:rsid w:val="00B44E63"/>
    <w:rsid w:val="00B44EB5"/>
    <w:rsid w:val="00B45000"/>
    <w:rsid w:val="00B45A64"/>
    <w:rsid w:val="00B45EF4"/>
    <w:rsid w:val="00B50D1F"/>
    <w:rsid w:val="00B51EF6"/>
    <w:rsid w:val="00B52049"/>
    <w:rsid w:val="00B52979"/>
    <w:rsid w:val="00B52DE6"/>
    <w:rsid w:val="00B52F69"/>
    <w:rsid w:val="00B52F7B"/>
    <w:rsid w:val="00B53D15"/>
    <w:rsid w:val="00B53E71"/>
    <w:rsid w:val="00B53FC8"/>
    <w:rsid w:val="00B55E0A"/>
    <w:rsid w:val="00B561E0"/>
    <w:rsid w:val="00B566EE"/>
    <w:rsid w:val="00B57709"/>
    <w:rsid w:val="00B578F9"/>
    <w:rsid w:val="00B57CB2"/>
    <w:rsid w:val="00B61272"/>
    <w:rsid w:val="00B613B3"/>
    <w:rsid w:val="00B61676"/>
    <w:rsid w:val="00B61E0A"/>
    <w:rsid w:val="00B627A4"/>
    <w:rsid w:val="00B62F91"/>
    <w:rsid w:val="00B631DA"/>
    <w:rsid w:val="00B638F6"/>
    <w:rsid w:val="00B63A6C"/>
    <w:rsid w:val="00B642F8"/>
    <w:rsid w:val="00B65197"/>
    <w:rsid w:val="00B65BB0"/>
    <w:rsid w:val="00B65FA0"/>
    <w:rsid w:val="00B664B1"/>
    <w:rsid w:val="00B66532"/>
    <w:rsid w:val="00B66A0B"/>
    <w:rsid w:val="00B66F8F"/>
    <w:rsid w:val="00B6724E"/>
    <w:rsid w:val="00B67824"/>
    <w:rsid w:val="00B6787C"/>
    <w:rsid w:val="00B67D4E"/>
    <w:rsid w:val="00B709C9"/>
    <w:rsid w:val="00B719F5"/>
    <w:rsid w:val="00B71E05"/>
    <w:rsid w:val="00B729AC"/>
    <w:rsid w:val="00B735D2"/>
    <w:rsid w:val="00B73A9D"/>
    <w:rsid w:val="00B74527"/>
    <w:rsid w:val="00B745AE"/>
    <w:rsid w:val="00B756EF"/>
    <w:rsid w:val="00B75742"/>
    <w:rsid w:val="00B75D2B"/>
    <w:rsid w:val="00B763C9"/>
    <w:rsid w:val="00B77122"/>
    <w:rsid w:val="00B772FF"/>
    <w:rsid w:val="00B77A93"/>
    <w:rsid w:val="00B77E00"/>
    <w:rsid w:val="00B77F87"/>
    <w:rsid w:val="00B81372"/>
    <w:rsid w:val="00B82221"/>
    <w:rsid w:val="00B82298"/>
    <w:rsid w:val="00B8260B"/>
    <w:rsid w:val="00B82AC2"/>
    <w:rsid w:val="00B831C5"/>
    <w:rsid w:val="00B834BB"/>
    <w:rsid w:val="00B8397C"/>
    <w:rsid w:val="00B83C3B"/>
    <w:rsid w:val="00B84873"/>
    <w:rsid w:val="00B84FF1"/>
    <w:rsid w:val="00B8561F"/>
    <w:rsid w:val="00B867B2"/>
    <w:rsid w:val="00B86B3E"/>
    <w:rsid w:val="00B86DD4"/>
    <w:rsid w:val="00B87449"/>
    <w:rsid w:val="00B876E3"/>
    <w:rsid w:val="00B90968"/>
    <w:rsid w:val="00B9144A"/>
    <w:rsid w:val="00B91619"/>
    <w:rsid w:val="00B94BD1"/>
    <w:rsid w:val="00B94E5F"/>
    <w:rsid w:val="00B94F3C"/>
    <w:rsid w:val="00B95533"/>
    <w:rsid w:val="00B95926"/>
    <w:rsid w:val="00B95D99"/>
    <w:rsid w:val="00B96155"/>
    <w:rsid w:val="00B96382"/>
    <w:rsid w:val="00B963CB"/>
    <w:rsid w:val="00B96DB1"/>
    <w:rsid w:val="00B97495"/>
    <w:rsid w:val="00B97D42"/>
    <w:rsid w:val="00B97D57"/>
    <w:rsid w:val="00BA0A24"/>
    <w:rsid w:val="00BA0D74"/>
    <w:rsid w:val="00BA0DB7"/>
    <w:rsid w:val="00BA1155"/>
    <w:rsid w:val="00BA14D8"/>
    <w:rsid w:val="00BA194E"/>
    <w:rsid w:val="00BA2440"/>
    <w:rsid w:val="00BA2933"/>
    <w:rsid w:val="00BA2BB8"/>
    <w:rsid w:val="00BA2D7A"/>
    <w:rsid w:val="00BA31E7"/>
    <w:rsid w:val="00BA3C6C"/>
    <w:rsid w:val="00BA3E58"/>
    <w:rsid w:val="00BA3F59"/>
    <w:rsid w:val="00BA4164"/>
    <w:rsid w:val="00BA4421"/>
    <w:rsid w:val="00BA44F6"/>
    <w:rsid w:val="00BA55AC"/>
    <w:rsid w:val="00BA5DF0"/>
    <w:rsid w:val="00BA5E1C"/>
    <w:rsid w:val="00BA67DF"/>
    <w:rsid w:val="00BA68DB"/>
    <w:rsid w:val="00BA6E90"/>
    <w:rsid w:val="00BA6FB9"/>
    <w:rsid w:val="00BA70E2"/>
    <w:rsid w:val="00BA711B"/>
    <w:rsid w:val="00BA7990"/>
    <w:rsid w:val="00BB0D2C"/>
    <w:rsid w:val="00BB1D4E"/>
    <w:rsid w:val="00BB3057"/>
    <w:rsid w:val="00BB35E2"/>
    <w:rsid w:val="00BB3B5B"/>
    <w:rsid w:val="00BB427C"/>
    <w:rsid w:val="00BB45AB"/>
    <w:rsid w:val="00BB4D08"/>
    <w:rsid w:val="00BB6F9A"/>
    <w:rsid w:val="00BB757F"/>
    <w:rsid w:val="00BC118F"/>
    <w:rsid w:val="00BC17E6"/>
    <w:rsid w:val="00BC1995"/>
    <w:rsid w:val="00BC2000"/>
    <w:rsid w:val="00BC235A"/>
    <w:rsid w:val="00BC4E7B"/>
    <w:rsid w:val="00BC52E7"/>
    <w:rsid w:val="00BC6A89"/>
    <w:rsid w:val="00BC6BDC"/>
    <w:rsid w:val="00BC6C68"/>
    <w:rsid w:val="00BC79FB"/>
    <w:rsid w:val="00BC7ACC"/>
    <w:rsid w:val="00BD1B32"/>
    <w:rsid w:val="00BD1DFF"/>
    <w:rsid w:val="00BD25BC"/>
    <w:rsid w:val="00BD3497"/>
    <w:rsid w:val="00BD4533"/>
    <w:rsid w:val="00BD566B"/>
    <w:rsid w:val="00BD5A34"/>
    <w:rsid w:val="00BD5AEB"/>
    <w:rsid w:val="00BD5B54"/>
    <w:rsid w:val="00BD740A"/>
    <w:rsid w:val="00BD7853"/>
    <w:rsid w:val="00BD7E5F"/>
    <w:rsid w:val="00BD7E8E"/>
    <w:rsid w:val="00BE0FF1"/>
    <w:rsid w:val="00BE1AF8"/>
    <w:rsid w:val="00BE1B0E"/>
    <w:rsid w:val="00BE1CC3"/>
    <w:rsid w:val="00BE1F12"/>
    <w:rsid w:val="00BE2944"/>
    <w:rsid w:val="00BE2DB4"/>
    <w:rsid w:val="00BE32D6"/>
    <w:rsid w:val="00BE367F"/>
    <w:rsid w:val="00BE5222"/>
    <w:rsid w:val="00BE5488"/>
    <w:rsid w:val="00BE5552"/>
    <w:rsid w:val="00BE63AE"/>
    <w:rsid w:val="00BE699E"/>
    <w:rsid w:val="00BE6EA6"/>
    <w:rsid w:val="00BE7237"/>
    <w:rsid w:val="00BE7245"/>
    <w:rsid w:val="00BE7319"/>
    <w:rsid w:val="00BE79F3"/>
    <w:rsid w:val="00BE7D2B"/>
    <w:rsid w:val="00BF0138"/>
    <w:rsid w:val="00BF03DF"/>
    <w:rsid w:val="00BF0966"/>
    <w:rsid w:val="00BF104A"/>
    <w:rsid w:val="00BF16D9"/>
    <w:rsid w:val="00BF1894"/>
    <w:rsid w:val="00BF1C70"/>
    <w:rsid w:val="00BF22D7"/>
    <w:rsid w:val="00BF2E23"/>
    <w:rsid w:val="00BF54C7"/>
    <w:rsid w:val="00BF5610"/>
    <w:rsid w:val="00BF5745"/>
    <w:rsid w:val="00BF5CC8"/>
    <w:rsid w:val="00BF5E8D"/>
    <w:rsid w:val="00BF641A"/>
    <w:rsid w:val="00BF6D80"/>
    <w:rsid w:val="00BF6DBE"/>
    <w:rsid w:val="00BF7887"/>
    <w:rsid w:val="00BF7D01"/>
    <w:rsid w:val="00C00B8D"/>
    <w:rsid w:val="00C010FA"/>
    <w:rsid w:val="00C0111C"/>
    <w:rsid w:val="00C01183"/>
    <w:rsid w:val="00C01375"/>
    <w:rsid w:val="00C01394"/>
    <w:rsid w:val="00C013DF"/>
    <w:rsid w:val="00C0145E"/>
    <w:rsid w:val="00C026CC"/>
    <w:rsid w:val="00C02DF7"/>
    <w:rsid w:val="00C03953"/>
    <w:rsid w:val="00C041F7"/>
    <w:rsid w:val="00C04427"/>
    <w:rsid w:val="00C0447D"/>
    <w:rsid w:val="00C04C2A"/>
    <w:rsid w:val="00C0593D"/>
    <w:rsid w:val="00C05B17"/>
    <w:rsid w:val="00C05BB8"/>
    <w:rsid w:val="00C05FF4"/>
    <w:rsid w:val="00C065C0"/>
    <w:rsid w:val="00C06F64"/>
    <w:rsid w:val="00C078F9"/>
    <w:rsid w:val="00C07B17"/>
    <w:rsid w:val="00C1030B"/>
    <w:rsid w:val="00C10B95"/>
    <w:rsid w:val="00C10E59"/>
    <w:rsid w:val="00C111A6"/>
    <w:rsid w:val="00C11296"/>
    <w:rsid w:val="00C114E7"/>
    <w:rsid w:val="00C11512"/>
    <w:rsid w:val="00C119CD"/>
    <w:rsid w:val="00C11BBF"/>
    <w:rsid w:val="00C11D4C"/>
    <w:rsid w:val="00C1235D"/>
    <w:rsid w:val="00C12BFB"/>
    <w:rsid w:val="00C12CED"/>
    <w:rsid w:val="00C12CFD"/>
    <w:rsid w:val="00C12E22"/>
    <w:rsid w:val="00C13049"/>
    <w:rsid w:val="00C13648"/>
    <w:rsid w:val="00C138EC"/>
    <w:rsid w:val="00C139CE"/>
    <w:rsid w:val="00C14572"/>
    <w:rsid w:val="00C14BD5"/>
    <w:rsid w:val="00C15135"/>
    <w:rsid w:val="00C1557A"/>
    <w:rsid w:val="00C1589C"/>
    <w:rsid w:val="00C15D89"/>
    <w:rsid w:val="00C168D7"/>
    <w:rsid w:val="00C2009F"/>
    <w:rsid w:val="00C21F68"/>
    <w:rsid w:val="00C221C3"/>
    <w:rsid w:val="00C2225B"/>
    <w:rsid w:val="00C22934"/>
    <w:rsid w:val="00C23306"/>
    <w:rsid w:val="00C2346B"/>
    <w:rsid w:val="00C238A2"/>
    <w:rsid w:val="00C23CB7"/>
    <w:rsid w:val="00C25209"/>
    <w:rsid w:val="00C252BE"/>
    <w:rsid w:val="00C254DA"/>
    <w:rsid w:val="00C265D2"/>
    <w:rsid w:val="00C26B0A"/>
    <w:rsid w:val="00C279A5"/>
    <w:rsid w:val="00C27E0E"/>
    <w:rsid w:val="00C3010C"/>
    <w:rsid w:val="00C309C5"/>
    <w:rsid w:val="00C30AC5"/>
    <w:rsid w:val="00C310C6"/>
    <w:rsid w:val="00C3130F"/>
    <w:rsid w:val="00C315E8"/>
    <w:rsid w:val="00C31A8C"/>
    <w:rsid w:val="00C32448"/>
    <w:rsid w:val="00C329B3"/>
    <w:rsid w:val="00C32A7D"/>
    <w:rsid w:val="00C32CB2"/>
    <w:rsid w:val="00C330F5"/>
    <w:rsid w:val="00C3348F"/>
    <w:rsid w:val="00C337AC"/>
    <w:rsid w:val="00C341CF"/>
    <w:rsid w:val="00C341ED"/>
    <w:rsid w:val="00C34279"/>
    <w:rsid w:val="00C34C0A"/>
    <w:rsid w:val="00C34C75"/>
    <w:rsid w:val="00C36FEC"/>
    <w:rsid w:val="00C375D5"/>
    <w:rsid w:val="00C37DFF"/>
    <w:rsid w:val="00C40A8C"/>
    <w:rsid w:val="00C414E3"/>
    <w:rsid w:val="00C41556"/>
    <w:rsid w:val="00C41DC6"/>
    <w:rsid w:val="00C42406"/>
    <w:rsid w:val="00C42AD1"/>
    <w:rsid w:val="00C42CE3"/>
    <w:rsid w:val="00C42D37"/>
    <w:rsid w:val="00C431D9"/>
    <w:rsid w:val="00C437D2"/>
    <w:rsid w:val="00C4393E"/>
    <w:rsid w:val="00C43CE8"/>
    <w:rsid w:val="00C43F4F"/>
    <w:rsid w:val="00C44440"/>
    <w:rsid w:val="00C44D0B"/>
    <w:rsid w:val="00C4520D"/>
    <w:rsid w:val="00C4631C"/>
    <w:rsid w:val="00C50B84"/>
    <w:rsid w:val="00C5108A"/>
    <w:rsid w:val="00C512A4"/>
    <w:rsid w:val="00C522F2"/>
    <w:rsid w:val="00C52411"/>
    <w:rsid w:val="00C5246A"/>
    <w:rsid w:val="00C52E63"/>
    <w:rsid w:val="00C53802"/>
    <w:rsid w:val="00C53D8A"/>
    <w:rsid w:val="00C54840"/>
    <w:rsid w:val="00C5561D"/>
    <w:rsid w:val="00C55AE5"/>
    <w:rsid w:val="00C56496"/>
    <w:rsid w:val="00C56FFE"/>
    <w:rsid w:val="00C5702F"/>
    <w:rsid w:val="00C577B3"/>
    <w:rsid w:val="00C57FAC"/>
    <w:rsid w:val="00C60E87"/>
    <w:rsid w:val="00C6137E"/>
    <w:rsid w:val="00C613D8"/>
    <w:rsid w:val="00C61914"/>
    <w:rsid w:val="00C61C75"/>
    <w:rsid w:val="00C6299F"/>
    <w:rsid w:val="00C62F97"/>
    <w:rsid w:val="00C659AB"/>
    <w:rsid w:val="00C65C37"/>
    <w:rsid w:val="00C65E2C"/>
    <w:rsid w:val="00C6620A"/>
    <w:rsid w:val="00C662D5"/>
    <w:rsid w:val="00C668F4"/>
    <w:rsid w:val="00C6710D"/>
    <w:rsid w:val="00C672B0"/>
    <w:rsid w:val="00C67CDA"/>
    <w:rsid w:val="00C67EEC"/>
    <w:rsid w:val="00C70EBC"/>
    <w:rsid w:val="00C7126E"/>
    <w:rsid w:val="00C712E7"/>
    <w:rsid w:val="00C71B8D"/>
    <w:rsid w:val="00C728AB"/>
    <w:rsid w:val="00C735A0"/>
    <w:rsid w:val="00C743B7"/>
    <w:rsid w:val="00C745F4"/>
    <w:rsid w:val="00C74DAA"/>
    <w:rsid w:val="00C758FF"/>
    <w:rsid w:val="00C759E7"/>
    <w:rsid w:val="00C76B49"/>
    <w:rsid w:val="00C77D09"/>
    <w:rsid w:val="00C77D5F"/>
    <w:rsid w:val="00C803F1"/>
    <w:rsid w:val="00C8098E"/>
    <w:rsid w:val="00C81073"/>
    <w:rsid w:val="00C81CEB"/>
    <w:rsid w:val="00C81ED3"/>
    <w:rsid w:val="00C82437"/>
    <w:rsid w:val="00C83E9D"/>
    <w:rsid w:val="00C83F36"/>
    <w:rsid w:val="00C84176"/>
    <w:rsid w:val="00C84671"/>
    <w:rsid w:val="00C84D60"/>
    <w:rsid w:val="00C85631"/>
    <w:rsid w:val="00C85D10"/>
    <w:rsid w:val="00C86544"/>
    <w:rsid w:val="00C8717C"/>
    <w:rsid w:val="00C8748E"/>
    <w:rsid w:val="00C877E3"/>
    <w:rsid w:val="00C879A0"/>
    <w:rsid w:val="00C90947"/>
    <w:rsid w:val="00C91937"/>
    <w:rsid w:val="00C92267"/>
    <w:rsid w:val="00C926E9"/>
    <w:rsid w:val="00C935EC"/>
    <w:rsid w:val="00C9475D"/>
    <w:rsid w:val="00C948DB"/>
    <w:rsid w:val="00C94D74"/>
    <w:rsid w:val="00C951B4"/>
    <w:rsid w:val="00C9567E"/>
    <w:rsid w:val="00C95E64"/>
    <w:rsid w:val="00C964B2"/>
    <w:rsid w:val="00C96AAD"/>
    <w:rsid w:val="00C974A6"/>
    <w:rsid w:val="00CA0ED8"/>
    <w:rsid w:val="00CA14A7"/>
    <w:rsid w:val="00CA160E"/>
    <w:rsid w:val="00CA1989"/>
    <w:rsid w:val="00CA2848"/>
    <w:rsid w:val="00CA29AB"/>
    <w:rsid w:val="00CA3345"/>
    <w:rsid w:val="00CA3E56"/>
    <w:rsid w:val="00CA3F25"/>
    <w:rsid w:val="00CA4670"/>
    <w:rsid w:val="00CA49EC"/>
    <w:rsid w:val="00CA4D85"/>
    <w:rsid w:val="00CA53C4"/>
    <w:rsid w:val="00CA54B8"/>
    <w:rsid w:val="00CA556C"/>
    <w:rsid w:val="00CA60CC"/>
    <w:rsid w:val="00CB0CEB"/>
    <w:rsid w:val="00CB10E9"/>
    <w:rsid w:val="00CB13BD"/>
    <w:rsid w:val="00CB185E"/>
    <w:rsid w:val="00CB1AEE"/>
    <w:rsid w:val="00CB1BE3"/>
    <w:rsid w:val="00CB4601"/>
    <w:rsid w:val="00CB49EA"/>
    <w:rsid w:val="00CB4B0A"/>
    <w:rsid w:val="00CB4BC2"/>
    <w:rsid w:val="00CB4E5E"/>
    <w:rsid w:val="00CB77B6"/>
    <w:rsid w:val="00CB780E"/>
    <w:rsid w:val="00CB7F33"/>
    <w:rsid w:val="00CC1BC3"/>
    <w:rsid w:val="00CC1D8F"/>
    <w:rsid w:val="00CC25DD"/>
    <w:rsid w:val="00CC2A23"/>
    <w:rsid w:val="00CC2B7E"/>
    <w:rsid w:val="00CC2E40"/>
    <w:rsid w:val="00CC3856"/>
    <w:rsid w:val="00CC3B2E"/>
    <w:rsid w:val="00CC3E3A"/>
    <w:rsid w:val="00CC3F61"/>
    <w:rsid w:val="00CC4682"/>
    <w:rsid w:val="00CC46B7"/>
    <w:rsid w:val="00CC4CD3"/>
    <w:rsid w:val="00CC536B"/>
    <w:rsid w:val="00CC554E"/>
    <w:rsid w:val="00CC5657"/>
    <w:rsid w:val="00CC5B25"/>
    <w:rsid w:val="00CC5F4E"/>
    <w:rsid w:val="00CC65AA"/>
    <w:rsid w:val="00CC6D67"/>
    <w:rsid w:val="00CC7868"/>
    <w:rsid w:val="00CC7BD5"/>
    <w:rsid w:val="00CC7CD8"/>
    <w:rsid w:val="00CD063D"/>
    <w:rsid w:val="00CD09E6"/>
    <w:rsid w:val="00CD17D9"/>
    <w:rsid w:val="00CD1876"/>
    <w:rsid w:val="00CD1A4C"/>
    <w:rsid w:val="00CD2422"/>
    <w:rsid w:val="00CD2994"/>
    <w:rsid w:val="00CD30CF"/>
    <w:rsid w:val="00CD3872"/>
    <w:rsid w:val="00CD41FB"/>
    <w:rsid w:val="00CD4BD5"/>
    <w:rsid w:val="00CD4D5D"/>
    <w:rsid w:val="00CD50AB"/>
    <w:rsid w:val="00CD5501"/>
    <w:rsid w:val="00CD58A5"/>
    <w:rsid w:val="00CD5992"/>
    <w:rsid w:val="00CD62E2"/>
    <w:rsid w:val="00CD647B"/>
    <w:rsid w:val="00CD67BF"/>
    <w:rsid w:val="00CD7290"/>
    <w:rsid w:val="00CD752F"/>
    <w:rsid w:val="00CD75FE"/>
    <w:rsid w:val="00CE080E"/>
    <w:rsid w:val="00CE0A2A"/>
    <w:rsid w:val="00CE2009"/>
    <w:rsid w:val="00CE276A"/>
    <w:rsid w:val="00CE2E7C"/>
    <w:rsid w:val="00CE30EB"/>
    <w:rsid w:val="00CE3903"/>
    <w:rsid w:val="00CE4071"/>
    <w:rsid w:val="00CE4533"/>
    <w:rsid w:val="00CE523C"/>
    <w:rsid w:val="00CE5C76"/>
    <w:rsid w:val="00CE6B00"/>
    <w:rsid w:val="00CE6C4F"/>
    <w:rsid w:val="00CE7409"/>
    <w:rsid w:val="00CE7752"/>
    <w:rsid w:val="00CE7B8A"/>
    <w:rsid w:val="00CE7F29"/>
    <w:rsid w:val="00CF0800"/>
    <w:rsid w:val="00CF0930"/>
    <w:rsid w:val="00CF0D1A"/>
    <w:rsid w:val="00CF21DA"/>
    <w:rsid w:val="00CF27A8"/>
    <w:rsid w:val="00CF2DC4"/>
    <w:rsid w:val="00CF3E2E"/>
    <w:rsid w:val="00CF42B5"/>
    <w:rsid w:val="00CF4A23"/>
    <w:rsid w:val="00CF4B21"/>
    <w:rsid w:val="00CF4E91"/>
    <w:rsid w:val="00CF52CE"/>
    <w:rsid w:val="00CF578F"/>
    <w:rsid w:val="00CF57E1"/>
    <w:rsid w:val="00CF5EEB"/>
    <w:rsid w:val="00CF637D"/>
    <w:rsid w:val="00CF6915"/>
    <w:rsid w:val="00CF6BBF"/>
    <w:rsid w:val="00CF6C3E"/>
    <w:rsid w:val="00CF6DB2"/>
    <w:rsid w:val="00CF6EC5"/>
    <w:rsid w:val="00CF6F45"/>
    <w:rsid w:val="00CF7572"/>
    <w:rsid w:val="00CF7C98"/>
    <w:rsid w:val="00D00903"/>
    <w:rsid w:val="00D00D57"/>
    <w:rsid w:val="00D0124E"/>
    <w:rsid w:val="00D0143F"/>
    <w:rsid w:val="00D030A3"/>
    <w:rsid w:val="00D030E9"/>
    <w:rsid w:val="00D031F2"/>
    <w:rsid w:val="00D033AE"/>
    <w:rsid w:val="00D03B68"/>
    <w:rsid w:val="00D03CA2"/>
    <w:rsid w:val="00D048C7"/>
    <w:rsid w:val="00D05CBE"/>
    <w:rsid w:val="00D06C63"/>
    <w:rsid w:val="00D06ECE"/>
    <w:rsid w:val="00D07168"/>
    <w:rsid w:val="00D077F9"/>
    <w:rsid w:val="00D07898"/>
    <w:rsid w:val="00D106EA"/>
    <w:rsid w:val="00D10B06"/>
    <w:rsid w:val="00D10D04"/>
    <w:rsid w:val="00D10FC5"/>
    <w:rsid w:val="00D111E1"/>
    <w:rsid w:val="00D1139E"/>
    <w:rsid w:val="00D113BA"/>
    <w:rsid w:val="00D11A61"/>
    <w:rsid w:val="00D11BE3"/>
    <w:rsid w:val="00D11FA3"/>
    <w:rsid w:val="00D12945"/>
    <w:rsid w:val="00D1294F"/>
    <w:rsid w:val="00D12AD2"/>
    <w:rsid w:val="00D12DBD"/>
    <w:rsid w:val="00D12FD2"/>
    <w:rsid w:val="00D12FEA"/>
    <w:rsid w:val="00D134CB"/>
    <w:rsid w:val="00D1361A"/>
    <w:rsid w:val="00D13685"/>
    <w:rsid w:val="00D14D0C"/>
    <w:rsid w:val="00D151FD"/>
    <w:rsid w:val="00D15621"/>
    <w:rsid w:val="00D15B29"/>
    <w:rsid w:val="00D163E8"/>
    <w:rsid w:val="00D166A5"/>
    <w:rsid w:val="00D16CD9"/>
    <w:rsid w:val="00D16CF2"/>
    <w:rsid w:val="00D17355"/>
    <w:rsid w:val="00D17E07"/>
    <w:rsid w:val="00D20731"/>
    <w:rsid w:val="00D21059"/>
    <w:rsid w:val="00D2129C"/>
    <w:rsid w:val="00D2155B"/>
    <w:rsid w:val="00D21797"/>
    <w:rsid w:val="00D2196C"/>
    <w:rsid w:val="00D22125"/>
    <w:rsid w:val="00D223A1"/>
    <w:rsid w:val="00D23AD1"/>
    <w:rsid w:val="00D23ADE"/>
    <w:rsid w:val="00D24CE2"/>
    <w:rsid w:val="00D24F4B"/>
    <w:rsid w:val="00D253B8"/>
    <w:rsid w:val="00D25748"/>
    <w:rsid w:val="00D25ABF"/>
    <w:rsid w:val="00D265AC"/>
    <w:rsid w:val="00D26915"/>
    <w:rsid w:val="00D2739F"/>
    <w:rsid w:val="00D27ECE"/>
    <w:rsid w:val="00D301BB"/>
    <w:rsid w:val="00D3118D"/>
    <w:rsid w:val="00D3127C"/>
    <w:rsid w:val="00D31393"/>
    <w:rsid w:val="00D31566"/>
    <w:rsid w:val="00D3172D"/>
    <w:rsid w:val="00D31AD5"/>
    <w:rsid w:val="00D31AD9"/>
    <w:rsid w:val="00D31D4A"/>
    <w:rsid w:val="00D323D8"/>
    <w:rsid w:val="00D327BD"/>
    <w:rsid w:val="00D32AC8"/>
    <w:rsid w:val="00D34601"/>
    <w:rsid w:val="00D3469A"/>
    <w:rsid w:val="00D350F0"/>
    <w:rsid w:val="00D352E6"/>
    <w:rsid w:val="00D363CA"/>
    <w:rsid w:val="00D36FFC"/>
    <w:rsid w:val="00D371F7"/>
    <w:rsid w:val="00D3741D"/>
    <w:rsid w:val="00D37785"/>
    <w:rsid w:val="00D37795"/>
    <w:rsid w:val="00D37AB7"/>
    <w:rsid w:val="00D37FDC"/>
    <w:rsid w:val="00D40309"/>
    <w:rsid w:val="00D4052B"/>
    <w:rsid w:val="00D40808"/>
    <w:rsid w:val="00D40CB6"/>
    <w:rsid w:val="00D40F97"/>
    <w:rsid w:val="00D4151E"/>
    <w:rsid w:val="00D417F8"/>
    <w:rsid w:val="00D418CB"/>
    <w:rsid w:val="00D41EC1"/>
    <w:rsid w:val="00D42014"/>
    <w:rsid w:val="00D4282A"/>
    <w:rsid w:val="00D42EED"/>
    <w:rsid w:val="00D43FA4"/>
    <w:rsid w:val="00D43FFD"/>
    <w:rsid w:val="00D441A7"/>
    <w:rsid w:val="00D44A98"/>
    <w:rsid w:val="00D44BD6"/>
    <w:rsid w:val="00D459CB"/>
    <w:rsid w:val="00D461B4"/>
    <w:rsid w:val="00D4631C"/>
    <w:rsid w:val="00D4635D"/>
    <w:rsid w:val="00D46B77"/>
    <w:rsid w:val="00D47C51"/>
    <w:rsid w:val="00D50A8E"/>
    <w:rsid w:val="00D51BCC"/>
    <w:rsid w:val="00D52BC4"/>
    <w:rsid w:val="00D52BFF"/>
    <w:rsid w:val="00D538C0"/>
    <w:rsid w:val="00D53DE2"/>
    <w:rsid w:val="00D55279"/>
    <w:rsid w:val="00D55786"/>
    <w:rsid w:val="00D56153"/>
    <w:rsid w:val="00D565DA"/>
    <w:rsid w:val="00D56786"/>
    <w:rsid w:val="00D56BA4"/>
    <w:rsid w:val="00D5707A"/>
    <w:rsid w:val="00D600B1"/>
    <w:rsid w:val="00D60334"/>
    <w:rsid w:val="00D60957"/>
    <w:rsid w:val="00D6110C"/>
    <w:rsid w:val="00D61147"/>
    <w:rsid w:val="00D613EE"/>
    <w:rsid w:val="00D61967"/>
    <w:rsid w:val="00D61BD2"/>
    <w:rsid w:val="00D628B3"/>
    <w:rsid w:val="00D62FF3"/>
    <w:rsid w:val="00D62FF5"/>
    <w:rsid w:val="00D63436"/>
    <w:rsid w:val="00D636DE"/>
    <w:rsid w:val="00D63A02"/>
    <w:rsid w:val="00D63EA9"/>
    <w:rsid w:val="00D64B8B"/>
    <w:rsid w:val="00D6501C"/>
    <w:rsid w:val="00D654AE"/>
    <w:rsid w:val="00D65D90"/>
    <w:rsid w:val="00D65EF4"/>
    <w:rsid w:val="00D665E8"/>
    <w:rsid w:val="00D668EA"/>
    <w:rsid w:val="00D66B40"/>
    <w:rsid w:val="00D6778E"/>
    <w:rsid w:val="00D67A05"/>
    <w:rsid w:val="00D71072"/>
    <w:rsid w:val="00D71C72"/>
    <w:rsid w:val="00D737ED"/>
    <w:rsid w:val="00D73BE9"/>
    <w:rsid w:val="00D7484C"/>
    <w:rsid w:val="00D74CE3"/>
    <w:rsid w:val="00D74D5D"/>
    <w:rsid w:val="00D75058"/>
    <w:rsid w:val="00D7520C"/>
    <w:rsid w:val="00D75468"/>
    <w:rsid w:val="00D7585C"/>
    <w:rsid w:val="00D761B5"/>
    <w:rsid w:val="00D77060"/>
    <w:rsid w:val="00D77CA6"/>
    <w:rsid w:val="00D8028B"/>
    <w:rsid w:val="00D80D39"/>
    <w:rsid w:val="00D80FB6"/>
    <w:rsid w:val="00D81782"/>
    <w:rsid w:val="00D818FA"/>
    <w:rsid w:val="00D81B0D"/>
    <w:rsid w:val="00D81E08"/>
    <w:rsid w:val="00D81F51"/>
    <w:rsid w:val="00D835D6"/>
    <w:rsid w:val="00D8390A"/>
    <w:rsid w:val="00D83B33"/>
    <w:rsid w:val="00D83BEB"/>
    <w:rsid w:val="00D83CFC"/>
    <w:rsid w:val="00D845AB"/>
    <w:rsid w:val="00D84791"/>
    <w:rsid w:val="00D85686"/>
    <w:rsid w:val="00D85766"/>
    <w:rsid w:val="00D857D9"/>
    <w:rsid w:val="00D86A3C"/>
    <w:rsid w:val="00D86BC4"/>
    <w:rsid w:val="00D877EE"/>
    <w:rsid w:val="00D90123"/>
    <w:rsid w:val="00D90476"/>
    <w:rsid w:val="00D90D7F"/>
    <w:rsid w:val="00D90ED2"/>
    <w:rsid w:val="00D912E8"/>
    <w:rsid w:val="00D913EB"/>
    <w:rsid w:val="00D9158F"/>
    <w:rsid w:val="00D923EE"/>
    <w:rsid w:val="00D925DC"/>
    <w:rsid w:val="00D92695"/>
    <w:rsid w:val="00D92ACA"/>
    <w:rsid w:val="00D92FEC"/>
    <w:rsid w:val="00D94074"/>
    <w:rsid w:val="00D94B8D"/>
    <w:rsid w:val="00D94C66"/>
    <w:rsid w:val="00D96CD5"/>
    <w:rsid w:val="00D96E2F"/>
    <w:rsid w:val="00DA00D4"/>
    <w:rsid w:val="00DA0CA6"/>
    <w:rsid w:val="00DA2176"/>
    <w:rsid w:val="00DA29D1"/>
    <w:rsid w:val="00DA2A78"/>
    <w:rsid w:val="00DA2BD8"/>
    <w:rsid w:val="00DA2E23"/>
    <w:rsid w:val="00DA30BB"/>
    <w:rsid w:val="00DA352F"/>
    <w:rsid w:val="00DA3550"/>
    <w:rsid w:val="00DA3B0B"/>
    <w:rsid w:val="00DA47E1"/>
    <w:rsid w:val="00DA4946"/>
    <w:rsid w:val="00DA4C4A"/>
    <w:rsid w:val="00DA4D9C"/>
    <w:rsid w:val="00DA56E8"/>
    <w:rsid w:val="00DA59CB"/>
    <w:rsid w:val="00DA5BC4"/>
    <w:rsid w:val="00DA5CBB"/>
    <w:rsid w:val="00DA7278"/>
    <w:rsid w:val="00DA7AAD"/>
    <w:rsid w:val="00DB039C"/>
    <w:rsid w:val="00DB0442"/>
    <w:rsid w:val="00DB0978"/>
    <w:rsid w:val="00DB3275"/>
    <w:rsid w:val="00DB32FD"/>
    <w:rsid w:val="00DB3710"/>
    <w:rsid w:val="00DB4D1C"/>
    <w:rsid w:val="00DB51FF"/>
    <w:rsid w:val="00DB65AA"/>
    <w:rsid w:val="00DB6D19"/>
    <w:rsid w:val="00DB6F79"/>
    <w:rsid w:val="00DB79ED"/>
    <w:rsid w:val="00DC00C6"/>
    <w:rsid w:val="00DC0136"/>
    <w:rsid w:val="00DC136A"/>
    <w:rsid w:val="00DC2307"/>
    <w:rsid w:val="00DC2C2A"/>
    <w:rsid w:val="00DC317E"/>
    <w:rsid w:val="00DC3808"/>
    <w:rsid w:val="00DC4300"/>
    <w:rsid w:val="00DC4898"/>
    <w:rsid w:val="00DC4902"/>
    <w:rsid w:val="00DC4D95"/>
    <w:rsid w:val="00DC5096"/>
    <w:rsid w:val="00DC5343"/>
    <w:rsid w:val="00DC5E73"/>
    <w:rsid w:val="00DC628B"/>
    <w:rsid w:val="00DC6339"/>
    <w:rsid w:val="00DC6A79"/>
    <w:rsid w:val="00DC6CAA"/>
    <w:rsid w:val="00DC74BE"/>
    <w:rsid w:val="00DC7C92"/>
    <w:rsid w:val="00DC7FE8"/>
    <w:rsid w:val="00DD00CE"/>
    <w:rsid w:val="00DD05D0"/>
    <w:rsid w:val="00DD1618"/>
    <w:rsid w:val="00DD18C5"/>
    <w:rsid w:val="00DD1B74"/>
    <w:rsid w:val="00DD1F18"/>
    <w:rsid w:val="00DD2370"/>
    <w:rsid w:val="00DD291F"/>
    <w:rsid w:val="00DD2DB9"/>
    <w:rsid w:val="00DD2E95"/>
    <w:rsid w:val="00DD3C29"/>
    <w:rsid w:val="00DD44DD"/>
    <w:rsid w:val="00DD4557"/>
    <w:rsid w:val="00DD4809"/>
    <w:rsid w:val="00DD5006"/>
    <w:rsid w:val="00DD50F9"/>
    <w:rsid w:val="00DD6259"/>
    <w:rsid w:val="00DD6A9C"/>
    <w:rsid w:val="00DD7C7D"/>
    <w:rsid w:val="00DD7F34"/>
    <w:rsid w:val="00DD7F87"/>
    <w:rsid w:val="00DE04E7"/>
    <w:rsid w:val="00DE0954"/>
    <w:rsid w:val="00DE0C08"/>
    <w:rsid w:val="00DE0C96"/>
    <w:rsid w:val="00DE0C9F"/>
    <w:rsid w:val="00DE1909"/>
    <w:rsid w:val="00DE1D4A"/>
    <w:rsid w:val="00DE1E85"/>
    <w:rsid w:val="00DE2C4E"/>
    <w:rsid w:val="00DE44CE"/>
    <w:rsid w:val="00DE44DE"/>
    <w:rsid w:val="00DE4926"/>
    <w:rsid w:val="00DE4E83"/>
    <w:rsid w:val="00DE5072"/>
    <w:rsid w:val="00DE51DE"/>
    <w:rsid w:val="00DE57CF"/>
    <w:rsid w:val="00DE5C3A"/>
    <w:rsid w:val="00DE5FE1"/>
    <w:rsid w:val="00DE6596"/>
    <w:rsid w:val="00DE6F2A"/>
    <w:rsid w:val="00DE6FB7"/>
    <w:rsid w:val="00DE7EBE"/>
    <w:rsid w:val="00DF055C"/>
    <w:rsid w:val="00DF06F3"/>
    <w:rsid w:val="00DF0D1B"/>
    <w:rsid w:val="00DF0D77"/>
    <w:rsid w:val="00DF1987"/>
    <w:rsid w:val="00DF23D0"/>
    <w:rsid w:val="00DF25F9"/>
    <w:rsid w:val="00DF29F2"/>
    <w:rsid w:val="00DF3556"/>
    <w:rsid w:val="00DF3A22"/>
    <w:rsid w:val="00DF41E1"/>
    <w:rsid w:val="00DF4442"/>
    <w:rsid w:val="00DF48E7"/>
    <w:rsid w:val="00DF49DA"/>
    <w:rsid w:val="00DF4FE9"/>
    <w:rsid w:val="00DF50B7"/>
    <w:rsid w:val="00DF6B60"/>
    <w:rsid w:val="00E008F0"/>
    <w:rsid w:val="00E00C03"/>
    <w:rsid w:val="00E00E18"/>
    <w:rsid w:val="00E013CC"/>
    <w:rsid w:val="00E016FD"/>
    <w:rsid w:val="00E0251F"/>
    <w:rsid w:val="00E045BD"/>
    <w:rsid w:val="00E04850"/>
    <w:rsid w:val="00E04C1D"/>
    <w:rsid w:val="00E04DF6"/>
    <w:rsid w:val="00E05745"/>
    <w:rsid w:val="00E066C8"/>
    <w:rsid w:val="00E06815"/>
    <w:rsid w:val="00E06BD3"/>
    <w:rsid w:val="00E06D0F"/>
    <w:rsid w:val="00E07D70"/>
    <w:rsid w:val="00E1029F"/>
    <w:rsid w:val="00E10E48"/>
    <w:rsid w:val="00E11D49"/>
    <w:rsid w:val="00E12871"/>
    <w:rsid w:val="00E1291C"/>
    <w:rsid w:val="00E1318B"/>
    <w:rsid w:val="00E13510"/>
    <w:rsid w:val="00E13671"/>
    <w:rsid w:val="00E13B0E"/>
    <w:rsid w:val="00E163DF"/>
    <w:rsid w:val="00E16ED0"/>
    <w:rsid w:val="00E170ED"/>
    <w:rsid w:val="00E17DEE"/>
    <w:rsid w:val="00E20CC2"/>
    <w:rsid w:val="00E20D3B"/>
    <w:rsid w:val="00E20DD4"/>
    <w:rsid w:val="00E21330"/>
    <w:rsid w:val="00E2147D"/>
    <w:rsid w:val="00E22471"/>
    <w:rsid w:val="00E23227"/>
    <w:rsid w:val="00E23A9C"/>
    <w:rsid w:val="00E24084"/>
    <w:rsid w:val="00E24292"/>
    <w:rsid w:val="00E245F3"/>
    <w:rsid w:val="00E24C13"/>
    <w:rsid w:val="00E24C8D"/>
    <w:rsid w:val="00E24F23"/>
    <w:rsid w:val="00E27326"/>
    <w:rsid w:val="00E30488"/>
    <w:rsid w:val="00E30B8C"/>
    <w:rsid w:val="00E31417"/>
    <w:rsid w:val="00E332BE"/>
    <w:rsid w:val="00E336C0"/>
    <w:rsid w:val="00E336FF"/>
    <w:rsid w:val="00E3541C"/>
    <w:rsid w:val="00E3716D"/>
    <w:rsid w:val="00E37C87"/>
    <w:rsid w:val="00E40897"/>
    <w:rsid w:val="00E412F0"/>
    <w:rsid w:val="00E417B9"/>
    <w:rsid w:val="00E419E5"/>
    <w:rsid w:val="00E41F70"/>
    <w:rsid w:val="00E42EE8"/>
    <w:rsid w:val="00E43260"/>
    <w:rsid w:val="00E441B6"/>
    <w:rsid w:val="00E443AD"/>
    <w:rsid w:val="00E445EE"/>
    <w:rsid w:val="00E449F9"/>
    <w:rsid w:val="00E45046"/>
    <w:rsid w:val="00E45174"/>
    <w:rsid w:val="00E45FF1"/>
    <w:rsid w:val="00E474B9"/>
    <w:rsid w:val="00E47E99"/>
    <w:rsid w:val="00E50245"/>
    <w:rsid w:val="00E508B7"/>
    <w:rsid w:val="00E508C0"/>
    <w:rsid w:val="00E51A92"/>
    <w:rsid w:val="00E5229C"/>
    <w:rsid w:val="00E52521"/>
    <w:rsid w:val="00E530D5"/>
    <w:rsid w:val="00E53441"/>
    <w:rsid w:val="00E53903"/>
    <w:rsid w:val="00E53EF8"/>
    <w:rsid w:val="00E541A9"/>
    <w:rsid w:val="00E54472"/>
    <w:rsid w:val="00E55520"/>
    <w:rsid w:val="00E555BA"/>
    <w:rsid w:val="00E55D7B"/>
    <w:rsid w:val="00E55F42"/>
    <w:rsid w:val="00E56040"/>
    <w:rsid w:val="00E567D8"/>
    <w:rsid w:val="00E60252"/>
    <w:rsid w:val="00E60958"/>
    <w:rsid w:val="00E61570"/>
    <w:rsid w:val="00E619C5"/>
    <w:rsid w:val="00E6266E"/>
    <w:rsid w:val="00E62834"/>
    <w:rsid w:val="00E62F06"/>
    <w:rsid w:val="00E63C91"/>
    <w:rsid w:val="00E6460C"/>
    <w:rsid w:val="00E65B4D"/>
    <w:rsid w:val="00E65D64"/>
    <w:rsid w:val="00E667DB"/>
    <w:rsid w:val="00E670F9"/>
    <w:rsid w:val="00E672F0"/>
    <w:rsid w:val="00E67A7E"/>
    <w:rsid w:val="00E67F67"/>
    <w:rsid w:val="00E7018D"/>
    <w:rsid w:val="00E709A2"/>
    <w:rsid w:val="00E70FEC"/>
    <w:rsid w:val="00E726DC"/>
    <w:rsid w:val="00E72A0B"/>
    <w:rsid w:val="00E72BB5"/>
    <w:rsid w:val="00E72EB8"/>
    <w:rsid w:val="00E7353C"/>
    <w:rsid w:val="00E73A2E"/>
    <w:rsid w:val="00E742C0"/>
    <w:rsid w:val="00E75050"/>
    <w:rsid w:val="00E750D3"/>
    <w:rsid w:val="00E75DA3"/>
    <w:rsid w:val="00E76756"/>
    <w:rsid w:val="00E76A5C"/>
    <w:rsid w:val="00E77063"/>
    <w:rsid w:val="00E771A3"/>
    <w:rsid w:val="00E77411"/>
    <w:rsid w:val="00E77920"/>
    <w:rsid w:val="00E77D16"/>
    <w:rsid w:val="00E77F75"/>
    <w:rsid w:val="00E800C9"/>
    <w:rsid w:val="00E80C04"/>
    <w:rsid w:val="00E80DEC"/>
    <w:rsid w:val="00E81582"/>
    <w:rsid w:val="00E82FE6"/>
    <w:rsid w:val="00E83351"/>
    <w:rsid w:val="00E838E8"/>
    <w:rsid w:val="00E841C0"/>
    <w:rsid w:val="00E85225"/>
    <w:rsid w:val="00E85266"/>
    <w:rsid w:val="00E85584"/>
    <w:rsid w:val="00E86518"/>
    <w:rsid w:val="00E86B56"/>
    <w:rsid w:val="00E86CE3"/>
    <w:rsid w:val="00E86EB1"/>
    <w:rsid w:val="00E86F22"/>
    <w:rsid w:val="00E87213"/>
    <w:rsid w:val="00E8743E"/>
    <w:rsid w:val="00E87548"/>
    <w:rsid w:val="00E91DFD"/>
    <w:rsid w:val="00E9277B"/>
    <w:rsid w:val="00E92C4B"/>
    <w:rsid w:val="00E92D01"/>
    <w:rsid w:val="00E93277"/>
    <w:rsid w:val="00E9424F"/>
    <w:rsid w:val="00E94566"/>
    <w:rsid w:val="00E949DB"/>
    <w:rsid w:val="00E95144"/>
    <w:rsid w:val="00E954E9"/>
    <w:rsid w:val="00E970C8"/>
    <w:rsid w:val="00E9725D"/>
    <w:rsid w:val="00E979A3"/>
    <w:rsid w:val="00E97A68"/>
    <w:rsid w:val="00EA1898"/>
    <w:rsid w:val="00EA1ADB"/>
    <w:rsid w:val="00EA1DD0"/>
    <w:rsid w:val="00EA2129"/>
    <w:rsid w:val="00EA22C0"/>
    <w:rsid w:val="00EA2494"/>
    <w:rsid w:val="00EA2A5E"/>
    <w:rsid w:val="00EA35DF"/>
    <w:rsid w:val="00EA3966"/>
    <w:rsid w:val="00EA3B11"/>
    <w:rsid w:val="00EA4767"/>
    <w:rsid w:val="00EA4C3B"/>
    <w:rsid w:val="00EA5468"/>
    <w:rsid w:val="00EA5812"/>
    <w:rsid w:val="00EA5927"/>
    <w:rsid w:val="00EA5A3D"/>
    <w:rsid w:val="00EA61D6"/>
    <w:rsid w:val="00EA6788"/>
    <w:rsid w:val="00EB012C"/>
    <w:rsid w:val="00EB1E5E"/>
    <w:rsid w:val="00EB215F"/>
    <w:rsid w:val="00EB2DF3"/>
    <w:rsid w:val="00EB33E5"/>
    <w:rsid w:val="00EB39F5"/>
    <w:rsid w:val="00EB405D"/>
    <w:rsid w:val="00EB428A"/>
    <w:rsid w:val="00EB4331"/>
    <w:rsid w:val="00EB4D6B"/>
    <w:rsid w:val="00EB4FCB"/>
    <w:rsid w:val="00EB61A1"/>
    <w:rsid w:val="00EB7281"/>
    <w:rsid w:val="00EB7536"/>
    <w:rsid w:val="00EB7952"/>
    <w:rsid w:val="00EC0515"/>
    <w:rsid w:val="00EC0964"/>
    <w:rsid w:val="00EC0D05"/>
    <w:rsid w:val="00EC0E96"/>
    <w:rsid w:val="00EC29BC"/>
    <w:rsid w:val="00EC2B52"/>
    <w:rsid w:val="00EC2BA8"/>
    <w:rsid w:val="00EC2EDC"/>
    <w:rsid w:val="00EC36EB"/>
    <w:rsid w:val="00EC3CE4"/>
    <w:rsid w:val="00EC5194"/>
    <w:rsid w:val="00EC5A2A"/>
    <w:rsid w:val="00EC5EC1"/>
    <w:rsid w:val="00EC62FC"/>
    <w:rsid w:val="00EC6D4C"/>
    <w:rsid w:val="00EC737D"/>
    <w:rsid w:val="00EC7590"/>
    <w:rsid w:val="00EC7C09"/>
    <w:rsid w:val="00EC7D3B"/>
    <w:rsid w:val="00ED0BC0"/>
    <w:rsid w:val="00ED0D84"/>
    <w:rsid w:val="00ED0DF8"/>
    <w:rsid w:val="00ED13AD"/>
    <w:rsid w:val="00ED1776"/>
    <w:rsid w:val="00ED1BA6"/>
    <w:rsid w:val="00ED2121"/>
    <w:rsid w:val="00ED2735"/>
    <w:rsid w:val="00ED2975"/>
    <w:rsid w:val="00ED2CE0"/>
    <w:rsid w:val="00ED3016"/>
    <w:rsid w:val="00ED47E1"/>
    <w:rsid w:val="00ED48D9"/>
    <w:rsid w:val="00ED4CD3"/>
    <w:rsid w:val="00ED4D40"/>
    <w:rsid w:val="00ED50CC"/>
    <w:rsid w:val="00ED6865"/>
    <w:rsid w:val="00ED6DD5"/>
    <w:rsid w:val="00EE03EE"/>
    <w:rsid w:val="00EE0608"/>
    <w:rsid w:val="00EE0BF7"/>
    <w:rsid w:val="00EE0E48"/>
    <w:rsid w:val="00EE1533"/>
    <w:rsid w:val="00EE1C3C"/>
    <w:rsid w:val="00EE1D82"/>
    <w:rsid w:val="00EE1E37"/>
    <w:rsid w:val="00EE235E"/>
    <w:rsid w:val="00EE23CD"/>
    <w:rsid w:val="00EE2ACF"/>
    <w:rsid w:val="00EE351C"/>
    <w:rsid w:val="00EE3D5B"/>
    <w:rsid w:val="00EE3F83"/>
    <w:rsid w:val="00EE4151"/>
    <w:rsid w:val="00EE434F"/>
    <w:rsid w:val="00EE45E6"/>
    <w:rsid w:val="00EE48BE"/>
    <w:rsid w:val="00EE502A"/>
    <w:rsid w:val="00EE50A0"/>
    <w:rsid w:val="00EE50CC"/>
    <w:rsid w:val="00EE5D8E"/>
    <w:rsid w:val="00EE5F87"/>
    <w:rsid w:val="00EE63CB"/>
    <w:rsid w:val="00EE684D"/>
    <w:rsid w:val="00EE6D06"/>
    <w:rsid w:val="00EE72BB"/>
    <w:rsid w:val="00EE7556"/>
    <w:rsid w:val="00EE7AAB"/>
    <w:rsid w:val="00EE7DE6"/>
    <w:rsid w:val="00EE7F4F"/>
    <w:rsid w:val="00EF079A"/>
    <w:rsid w:val="00EF0FB8"/>
    <w:rsid w:val="00EF1A28"/>
    <w:rsid w:val="00EF1FD8"/>
    <w:rsid w:val="00EF22E1"/>
    <w:rsid w:val="00EF259B"/>
    <w:rsid w:val="00EF291E"/>
    <w:rsid w:val="00EF2C61"/>
    <w:rsid w:val="00EF336F"/>
    <w:rsid w:val="00EF3687"/>
    <w:rsid w:val="00EF3B9C"/>
    <w:rsid w:val="00EF3C26"/>
    <w:rsid w:val="00EF3CAC"/>
    <w:rsid w:val="00EF3E22"/>
    <w:rsid w:val="00EF408B"/>
    <w:rsid w:val="00EF4107"/>
    <w:rsid w:val="00EF43B6"/>
    <w:rsid w:val="00EF449A"/>
    <w:rsid w:val="00EF5E9A"/>
    <w:rsid w:val="00EF5F34"/>
    <w:rsid w:val="00EF7234"/>
    <w:rsid w:val="00EF7380"/>
    <w:rsid w:val="00F006F3"/>
    <w:rsid w:val="00F00B39"/>
    <w:rsid w:val="00F010C6"/>
    <w:rsid w:val="00F01384"/>
    <w:rsid w:val="00F0165D"/>
    <w:rsid w:val="00F017FC"/>
    <w:rsid w:val="00F028DB"/>
    <w:rsid w:val="00F02BC5"/>
    <w:rsid w:val="00F02C47"/>
    <w:rsid w:val="00F02CE4"/>
    <w:rsid w:val="00F02D08"/>
    <w:rsid w:val="00F0344C"/>
    <w:rsid w:val="00F0496B"/>
    <w:rsid w:val="00F04D7A"/>
    <w:rsid w:val="00F053B5"/>
    <w:rsid w:val="00F05456"/>
    <w:rsid w:val="00F056D9"/>
    <w:rsid w:val="00F05B02"/>
    <w:rsid w:val="00F06F4B"/>
    <w:rsid w:val="00F07842"/>
    <w:rsid w:val="00F07D99"/>
    <w:rsid w:val="00F102FB"/>
    <w:rsid w:val="00F10855"/>
    <w:rsid w:val="00F109FE"/>
    <w:rsid w:val="00F10B7E"/>
    <w:rsid w:val="00F112B2"/>
    <w:rsid w:val="00F121B8"/>
    <w:rsid w:val="00F12C42"/>
    <w:rsid w:val="00F14347"/>
    <w:rsid w:val="00F15F39"/>
    <w:rsid w:val="00F16422"/>
    <w:rsid w:val="00F16610"/>
    <w:rsid w:val="00F16734"/>
    <w:rsid w:val="00F174DE"/>
    <w:rsid w:val="00F179A3"/>
    <w:rsid w:val="00F20005"/>
    <w:rsid w:val="00F20820"/>
    <w:rsid w:val="00F20DE4"/>
    <w:rsid w:val="00F21185"/>
    <w:rsid w:val="00F21C1C"/>
    <w:rsid w:val="00F21CFB"/>
    <w:rsid w:val="00F22764"/>
    <w:rsid w:val="00F22B3E"/>
    <w:rsid w:val="00F234D7"/>
    <w:rsid w:val="00F23A7B"/>
    <w:rsid w:val="00F23C57"/>
    <w:rsid w:val="00F23CBE"/>
    <w:rsid w:val="00F24153"/>
    <w:rsid w:val="00F244D7"/>
    <w:rsid w:val="00F246A9"/>
    <w:rsid w:val="00F2474F"/>
    <w:rsid w:val="00F257B5"/>
    <w:rsid w:val="00F25934"/>
    <w:rsid w:val="00F25AF8"/>
    <w:rsid w:val="00F25BC9"/>
    <w:rsid w:val="00F261E3"/>
    <w:rsid w:val="00F26803"/>
    <w:rsid w:val="00F2697E"/>
    <w:rsid w:val="00F26B48"/>
    <w:rsid w:val="00F27441"/>
    <w:rsid w:val="00F279F9"/>
    <w:rsid w:val="00F27B59"/>
    <w:rsid w:val="00F27E03"/>
    <w:rsid w:val="00F27F2E"/>
    <w:rsid w:val="00F30019"/>
    <w:rsid w:val="00F308C0"/>
    <w:rsid w:val="00F30925"/>
    <w:rsid w:val="00F30C44"/>
    <w:rsid w:val="00F31060"/>
    <w:rsid w:val="00F318E1"/>
    <w:rsid w:val="00F31DD2"/>
    <w:rsid w:val="00F3240F"/>
    <w:rsid w:val="00F32907"/>
    <w:rsid w:val="00F33D23"/>
    <w:rsid w:val="00F34072"/>
    <w:rsid w:val="00F34AEA"/>
    <w:rsid w:val="00F34BD7"/>
    <w:rsid w:val="00F34DF4"/>
    <w:rsid w:val="00F350DF"/>
    <w:rsid w:val="00F3667B"/>
    <w:rsid w:val="00F37397"/>
    <w:rsid w:val="00F377AB"/>
    <w:rsid w:val="00F402BF"/>
    <w:rsid w:val="00F4058A"/>
    <w:rsid w:val="00F4122B"/>
    <w:rsid w:val="00F419C6"/>
    <w:rsid w:val="00F41AC6"/>
    <w:rsid w:val="00F42A11"/>
    <w:rsid w:val="00F42A36"/>
    <w:rsid w:val="00F42A49"/>
    <w:rsid w:val="00F42C20"/>
    <w:rsid w:val="00F43419"/>
    <w:rsid w:val="00F44774"/>
    <w:rsid w:val="00F44A9D"/>
    <w:rsid w:val="00F44B2A"/>
    <w:rsid w:val="00F4527C"/>
    <w:rsid w:val="00F458FB"/>
    <w:rsid w:val="00F461A4"/>
    <w:rsid w:val="00F463CF"/>
    <w:rsid w:val="00F46862"/>
    <w:rsid w:val="00F51351"/>
    <w:rsid w:val="00F51475"/>
    <w:rsid w:val="00F51532"/>
    <w:rsid w:val="00F51576"/>
    <w:rsid w:val="00F51DBA"/>
    <w:rsid w:val="00F51E87"/>
    <w:rsid w:val="00F51EC9"/>
    <w:rsid w:val="00F52819"/>
    <w:rsid w:val="00F53098"/>
    <w:rsid w:val="00F54485"/>
    <w:rsid w:val="00F5458F"/>
    <w:rsid w:val="00F5480D"/>
    <w:rsid w:val="00F548A3"/>
    <w:rsid w:val="00F54936"/>
    <w:rsid w:val="00F54C5F"/>
    <w:rsid w:val="00F55169"/>
    <w:rsid w:val="00F55B6F"/>
    <w:rsid w:val="00F56C65"/>
    <w:rsid w:val="00F5756B"/>
    <w:rsid w:val="00F575D3"/>
    <w:rsid w:val="00F57C44"/>
    <w:rsid w:val="00F57D80"/>
    <w:rsid w:val="00F607C3"/>
    <w:rsid w:val="00F60C30"/>
    <w:rsid w:val="00F60F3C"/>
    <w:rsid w:val="00F61352"/>
    <w:rsid w:val="00F61AA6"/>
    <w:rsid w:val="00F622ED"/>
    <w:rsid w:val="00F623E9"/>
    <w:rsid w:val="00F624AA"/>
    <w:rsid w:val="00F624E6"/>
    <w:rsid w:val="00F62A68"/>
    <w:rsid w:val="00F6361A"/>
    <w:rsid w:val="00F639F8"/>
    <w:rsid w:val="00F63B07"/>
    <w:rsid w:val="00F63D51"/>
    <w:rsid w:val="00F64B4D"/>
    <w:rsid w:val="00F6556E"/>
    <w:rsid w:val="00F65884"/>
    <w:rsid w:val="00F6602A"/>
    <w:rsid w:val="00F66892"/>
    <w:rsid w:val="00F66AC4"/>
    <w:rsid w:val="00F66DF2"/>
    <w:rsid w:val="00F6748D"/>
    <w:rsid w:val="00F67C74"/>
    <w:rsid w:val="00F701C2"/>
    <w:rsid w:val="00F702F7"/>
    <w:rsid w:val="00F70529"/>
    <w:rsid w:val="00F71445"/>
    <w:rsid w:val="00F7148D"/>
    <w:rsid w:val="00F71763"/>
    <w:rsid w:val="00F72FF1"/>
    <w:rsid w:val="00F7345A"/>
    <w:rsid w:val="00F74E8D"/>
    <w:rsid w:val="00F7543A"/>
    <w:rsid w:val="00F76347"/>
    <w:rsid w:val="00F76980"/>
    <w:rsid w:val="00F77FD7"/>
    <w:rsid w:val="00F81155"/>
    <w:rsid w:val="00F81EA8"/>
    <w:rsid w:val="00F82356"/>
    <w:rsid w:val="00F827CC"/>
    <w:rsid w:val="00F82B11"/>
    <w:rsid w:val="00F82F38"/>
    <w:rsid w:val="00F83165"/>
    <w:rsid w:val="00F83EF5"/>
    <w:rsid w:val="00F83F0A"/>
    <w:rsid w:val="00F85309"/>
    <w:rsid w:val="00F85CA7"/>
    <w:rsid w:val="00F85D0C"/>
    <w:rsid w:val="00F85EC3"/>
    <w:rsid w:val="00F860F1"/>
    <w:rsid w:val="00F865C2"/>
    <w:rsid w:val="00F86A28"/>
    <w:rsid w:val="00F86A40"/>
    <w:rsid w:val="00F86A5B"/>
    <w:rsid w:val="00F86F0D"/>
    <w:rsid w:val="00F87AB0"/>
    <w:rsid w:val="00F9084B"/>
    <w:rsid w:val="00F90CA7"/>
    <w:rsid w:val="00F91588"/>
    <w:rsid w:val="00F9172A"/>
    <w:rsid w:val="00F9183E"/>
    <w:rsid w:val="00F91BC6"/>
    <w:rsid w:val="00F92B5A"/>
    <w:rsid w:val="00F92D14"/>
    <w:rsid w:val="00F92FE1"/>
    <w:rsid w:val="00F93479"/>
    <w:rsid w:val="00F93A30"/>
    <w:rsid w:val="00F94934"/>
    <w:rsid w:val="00F94BEB"/>
    <w:rsid w:val="00F9545F"/>
    <w:rsid w:val="00F9596C"/>
    <w:rsid w:val="00F95FEE"/>
    <w:rsid w:val="00F96478"/>
    <w:rsid w:val="00F965E5"/>
    <w:rsid w:val="00F967F8"/>
    <w:rsid w:val="00F96C1E"/>
    <w:rsid w:val="00F96D07"/>
    <w:rsid w:val="00F9725D"/>
    <w:rsid w:val="00F974C5"/>
    <w:rsid w:val="00FA0174"/>
    <w:rsid w:val="00FA1802"/>
    <w:rsid w:val="00FA18F1"/>
    <w:rsid w:val="00FA2046"/>
    <w:rsid w:val="00FA2F0D"/>
    <w:rsid w:val="00FA3241"/>
    <w:rsid w:val="00FA3829"/>
    <w:rsid w:val="00FA4C7E"/>
    <w:rsid w:val="00FA4DDE"/>
    <w:rsid w:val="00FA52BA"/>
    <w:rsid w:val="00FA577D"/>
    <w:rsid w:val="00FA58D7"/>
    <w:rsid w:val="00FA5C3B"/>
    <w:rsid w:val="00FA6774"/>
    <w:rsid w:val="00FA6825"/>
    <w:rsid w:val="00FA6B15"/>
    <w:rsid w:val="00FA6D42"/>
    <w:rsid w:val="00FA77D9"/>
    <w:rsid w:val="00FA797E"/>
    <w:rsid w:val="00FA79D6"/>
    <w:rsid w:val="00FB02E2"/>
    <w:rsid w:val="00FB074D"/>
    <w:rsid w:val="00FB11EC"/>
    <w:rsid w:val="00FB13E4"/>
    <w:rsid w:val="00FB1909"/>
    <w:rsid w:val="00FB19BB"/>
    <w:rsid w:val="00FB1D45"/>
    <w:rsid w:val="00FB282C"/>
    <w:rsid w:val="00FB28EE"/>
    <w:rsid w:val="00FB2D28"/>
    <w:rsid w:val="00FB3A6F"/>
    <w:rsid w:val="00FB3ECD"/>
    <w:rsid w:val="00FB42C4"/>
    <w:rsid w:val="00FB54DA"/>
    <w:rsid w:val="00FB5ACA"/>
    <w:rsid w:val="00FB6B5C"/>
    <w:rsid w:val="00FB7E27"/>
    <w:rsid w:val="00FC0AD0"/>
    <w:rsid w:val="00FC0F91"/>
    <w:rsid w:val="00FC118D"/>
    <w:rsid w:val="00FC1950"/>
    <w:rsid w:val="00FC1CA0"/>
    <w:rsid w:val="00FC2DD3"/>
    <w:rsid w:val="00FC37C3"/>
    <w:rsid w:val="00FC3803"/>
    <w:rsid w:val="00FC383E"/>
    <w:rsid w:val="00FC3D2B"/>
    <w:rsid w:val="00FC3E25"/>
    <w:rsid w:val="00FC4BBE"/>
    <w:rsid w:val="00FC4BC8"/>
    <w:rsid w:val="00FC4FD8"/>
    <w:rsid w:val="00FC58E7"/>
    <w:rsid w:val="00FC5C2B"/>
    <w:rsid w:val="00FC5EA2"/>
    <w:rsid w:val="00FC6765"/>
    <w:rsid w:val="00FC749E"/>
    <w:rsid w:val="00FC7AD0"/>
    <w:rsid w:val="00FC7AD8"/>
    <w:rsid w:val="00FC7E8E"/>
    <w:rsid w:val="00FD04A5"/>
    <w:rsid w:val="00FD04C7"/>
    <w:rsid w:val="00FD077F"/>
    <w:rsid w:val="00FD0DF2"/>
    <w:rsid w:val="00FD1130"/>
    <w:rsid w:val="00FD1675"/>
    <w:rsid w:val="00FD1C7B"/>
    <w:rsid w:val="00FD2B51"/>
    <w:rsid w:val="00FD3086"/>
    <w:rsid w:val="00FD40DF"/>
    <w:rsid w:val="00FD4E9F"/>
    <w:rsid w:val="00FD6343"/>
    <w:rsid w:val="00FD6AA1"/>
    <w:rsid w:val="00FD743A"/>
    <w:rsid w:val="00FD7539"/>
    <w:rsid w:val="00FD7902"/>
    <w:rsid w:val="00FD7B68"/>
    <w:rsid w:val="00FD7BEE"/>
    <w:rsid w:val="00FE0760"/>
    <w:rsid w:val="00FE2967"/>
    <w:rsid w:val="00FE2DA0"/>
    <w:rsid w:val="00FE3184"/>
    <w:rsid w:val="00FE5D62"/>
    <w:rsid w:val="00FE6B07"/>
    <w:rsid w:val="00FE6B97"/>
    <w:rsid w:val="00FE7289"/>
    <w:rsid w:val="00FE7B57"/>
    <w:rsid w:val="00FF0924"/>
    <w:rsid w:val="00FF0E46"/>
    <w:rsid w:val="00FF0FCE"/>
    <w:rsid w:val="00FF1628"/>
    <w:rsid w:val="00FF1717"/>
    <w:rsid w:val="00FF1755"/>
    <w:rsid w:val="00FF1CA2"/>
    <w:rsid w:val="00FF2189"/>
    <w:rsid w:val="00FF21BD"/>
    <w:rsid w:val="00FF24F6"/>
    <w:rsid w:val="00FF4D25"/>
    <w:rsid w:val="00FF56BC"/>
    <w:rsid w:val="00FF6A3A"/>
    <w:rsid w:val="00FF6F07"/>
    <w:rsid w:val="00FF7655"/>
    <w:rsid w:val="01195CAD"/>
    <w:rsid w:val="02777BFD"/>
    <w:rsid w:val="02D70BBC"/>
    <w:rsid w:val="033A3447"/>
    <w:rsid w:val="03EA43FF"/>
    <w:rsid w:val="04212517"/>
    <w:rsid w:val="04415E6D"/>
    <w:rsid w:val="046A2609"/>
    <w:rsid w:val="04C35BB6"/>
    <w:rsid w:val="04D74983"/>
    <w:rsid w:val="05812B41"/>
    <w:rsid w:val="06394017"/>
    <w:rsid w:val="06586270"/>
    <w:rsid w:val="06A42F8B"/>
    <w:rsid w:val="07043363"/>
    <w:rsid w:val="077227F5"/>
    <w:rsid w:val="083A7CC8"/>
    <w:rsid w:val="08962DA7"/>
    <w:rsid w:val="09223C60"/>
    <w:rsid w:val="0923638E"/>
    <w:rsid w:val="0A4F4DA1"/>
    <w:rsid w:val="0BDC13D1"/>
    <w:rsid w:val="0BDF525B"/>
    <w:rsid w:val="0C50326D"/>
    <w:rsid w:val="0C554FCB"/>
    <w:rsid w:val="0C6E02C3"/>
    <w:rsid w:val="0D424F63"/>
    <w:rsid w:val="0D7F3E0A"/>
    <w:rsid w:val="0DC844B2"/>
    <w:rsid w:val="0E0266DB"/>
    <w:rsid w:val="0E2520B0"/>
    <w:rsid w:val="0E664FCA"/>
    <w:rsid w:val="0EF435C5"/>
    <w:rsid w:val="0F0C5B71"/>
    <w:rsid w:val="0FD8773B"/>
    <w:rsid w:val="0FFD0772"/>
    <w:rsid w:val="0FFD2774"/>
    <w:rsid w:val="103C4234"/>
    <w:rsid w:val="105F7FA7"/>
    <w:rsid w:val="10704177"/>
    <w:rsid w:val="10EA0134"/>
    <w:rsid w:val="11737CC0"/>
    <w:rsid w:val="12B05511"/>
    <w:rsid w:val="133F2C82"/>
    <w:rsid w:val="1356059D"/>
    <w:rsid w:val="141379A2"/>
    <w:rsid w:val="145C1821"/>
    <w:rsid w:val="14702D3A"/>
    <w:rsid w:val="148E0471"/>
    <w:rsid w:val="14B7032D"/>
    <w:rsid w:val="14C8487A"/>
    <w:rsid w:val="16923B57"/>
    <w:rsid w:val="170343EA"/>
    <w:rsid w:val="17795D6E"/>
    <w:rsid w:val="18860743"/>
    <w:rsid w:val="18E436BB"/>
    <w:rsid w:val="1AB23A71"/>
    <w:rsid w:val="1AB64BE3"/>
    <w:rsid w:val="1AC063DE"/>
    <w:rsid w:val="1AD559B1"/>
    <w:rsid w:val="1C0C5329"/>
    <w:rsid w:val="1C782A98"/>
    <w:rsid w:val="1C8C02F2"/>
    <w:rsid w:val="1CF06FD5"/>
    <w:rsid w:val="1D0E51AB"/>
    <w:rsid w:val="1DB337A5"/>
    <w:rsid w:val="1DB812C3"/>
    <w:rsid w:val="1DFA5B93"/>
    <w:rsid w:val="1E2724C8"/>
    <w:rsid w:val="1E35555F"/>
    <w:rsid w:val="1E6F0407"/>
    <w:rsid w:val="1E733D65"/>
    <w:rsid w:val="1EBE473D"/>
    <w:rsid w:val="201C373B"/>
    <w:rsid w:val="20683E22"/>
    <w:rsid w:val="207506CD"/>
    <w:rsid w:val="20D53C01"/>
    <w:rsid w:val="20D61B3B"/>
    <w:rsid w:val="22433200"/>
    <w:rsid w:val="2254749D"/>
    <w:rsid w:val="232B5651"/>
    <w:rsid w:val="23681054"/>
    <w:rsid w:val="24212E47"/>
    <w:rsid w:val="246758CC"/>
    <w:rsid w:val="25971AB4"/>
    <w:rsid w:val="26215C0B"/>
    <w:rsid w:val="274A6DDF"/>
    <w:rsid w:val="276E0D2B"/>
    <w:rsid w:val="27A61EA5"/>
    <w:rsid w:val="27D37F32"/>
    <w:rsid w:val="27E40FE2"/>
    <w:rsid w:val="29755A02"/>
    <w:rsid w:val="2976468E"/>
    <w:rsid w:val="2A56543D"/>
    <w:rsid w:val="2A7340D0"/>
    <w:rsid w:val="2C1F4CDE"/>
    <w:rsid w:val="2D982E72"/>
    <w:rsid w:val="2DA2152D"/>
    <w:rsid w:val="2E232138"/>
    <w:rsid w:val="2E4E3407"/>
    <w:rsid w:val="2E6B420B"/>
    <w:rsid w:val="2EDA313F"/>
    <w:rsid w:val="2EF0415C"/>
    <w:rsid w:val="2F0D52C2"/>
    <w:rsid w:val="2FA8162C"/>
    <w:rsid w:val="3184648F"/>
    <w:rsid w:val="31FC33CC"/>
    <w:rsid w:val="32087FC3"/>
    <w:rsid w:val="32265FD5"/>
    <w:rsid w:val="329F26D5"/>
    <w:rsid w:val="32D56359"/>
    <w:rsid w:val="33F64577"/>
    <w:rsid w:val="345D2A1D"/>
    <w:rsid w:val="345E211C"/>
    <w:rsid w:val="34817CEF"/>
    <w:rsid w:val="348441CE"/>
    <w:rsid w:val="34880F47"/>
    <w:rsid w:val="34FD205D"/>
    <w:rsid w:val="35300A8B"/>
    <w:rsid w:val="357455F1"/>
    <w:rsid w:val="35AA187C"/>
    <w:rsid w:val="360867E3"/>
    <w:rsid w:val="36582A9C"/>
    <w:rsid w:val="36714DD5"/>
    <w:rsid w:val="36993545"/>
    <w:rsid w:val="36F86858"/>
    <w:rsid w:val="37C02A98"/>
    <w:rsid w:val="37DD15AA"/>
    <w:rsid w:val="38C761BF"/>
    <w:rsid w:val="39203E44"/>
    <w:rsid w:val="39730401"/>
    <w:rsid w:val="39C12F31"/>
    <w:rsid w:val="39CB6BCC"/>
    <w:rsid w:val="39FC665F"/>
    <w:rsid w:val="3A680AF5"/>
    <w:rsid w:val="3B0B75E8"/>
    <w:rsid w:val="3B6F4C0F"/>
    <w:rsid w:val="3B857E24"/>
    <w:rsid w:val="3C5462DE"/>
    <w:rsid w:val="3DBF00CF"/>
    <w:rsid w:val="3DF14E3C"/>
    <w:rsid w:val="3E00688A"/>
    <w:rsid w:val="3E6432A1"/>
    <w:rsid w:val="3EA177D5"/>
    <w:rsid w:val="3EE945C3"/>
    <w:rsid w:val="3F057D64"/>
    <w:rsid w:val="3F362B0E"/>
    <w:rsid w:val="3F3C6A4D"/>
    <w:rsid w:val="3FD140EA"/>
    <w:rsid w:val="3FE411B1"/>
    <w:rsid w:val="3FEA7156"/>
    <w:rsid w:val="4015635A"/>
    <w:rsid w:val="407576B2"/>
    <w:rsid w:val="4089760D"/>
    <w:rsid w:val="40A92971"/>
    <w:rsid w:val="40E51BFB"/>
    <w:rsid w:val="40F526FF"/>
    <w:rsid w:val="42022339"/>
    <w:rsid w:val="427B5CCE"/>
    <w:rsid w:val="42D65F34"/>
    <w:rsid w:val="43670FED"/>
    <w:rsid w:val="43A7763B"/>
    <w:rsid w:val="44365AE6"/>
    <w:rsid w:val="44FE1D18"/>
    <w:rsid w:val="45693886"/>
    <w:rsid w:val="45EA683B"/>
    <w:rsid w:val="460F1C96"/>
    <w:rsid w:val="465B3FCD"/>
    <w:rsid w:val="473F5DDD"/>
    <w:rsid w:val="47B15066"/>
    <w:rsid w:val="47CA1B4A"/>
    <w:rsid w:val="48647785"/>
    <w:rsid w:val="48C04CFB"/>
    <w:rsid w:val="48EA3B26"/>
    <w:rsid w:val="48FC2D2D"/>
    <w:rsid w:val="49064E04"/>
    <w:rsid w:val="49C32A2A"/>
    <w:rsid w:val="4A613290"/>
    <w:rsid w:val="4B2E24D4"/>
    <w:rsid w:val="4B3C4B0D"/>
    <w:rsid w:val="4B991F60"/>
    <w:rsid w:val="4C685FF5"/>
    <w:rsid w:val="4C6C1422"/>
    <w:rsid w:val="4C7E2F03"/>
    <w:rsid w:val="4C9C5C98"/>
    <w:rsid w:val="4CEB1255"/>
    <w:rsid w:val="4D4D187B"/>
    <w:rsid w:val="4D577C4A"/>
    <w:rsid w:val="4DBA3214"/>
    <w:rsid w:val="4E173610"/>
    <w:rsid w:val="4E321D7A"/>
    <w:rsid w:val="4E467A51"/>
    <w:rsid w:val="4F7E481F"/>
    <w:rsid w:val="4F953D47"/>
    <w:rsid w:val="4FB171EF"/>
    <w:rsid w:val="502142D2"/>
    <w:rsid w:val="5026588C"/>
    <w:rsid w:val="504C2DF0"/>
    <w:rsid w:val="50A019DC"/>
    <w:rsid w:val="50A85454"/>
    <w:rsid w:val="50BE4F60"/>
    <w:rsid w:val="520B6031"/>
    <w:rsid w:val="52397FF8"/>
    <w:rsid w:val="52BE04FE"/>
    <w:rsid w:val="53050450"/>
    <w:rsid w:val="533A527C"/>
    <w:rsid w:val="53A94D0A"/>
    <w:rsid w:val="54492049"/>
    <w:rsid w:val="547D0BAA"/>
    <w:rsid w:val="54A67298"/>
    <w:rsid w:val="55260AA3"/>
    <w:rsid w:val="556E0C07"/>
    <w:rsid w:val="564407D3"/>
    <w:rsid w:val="56D3300B"/>
    <w:rsid w:val="57662666"/>
    <w:rsid w:val="578E4942"/>
    <w:rsid w:val="58170670"/>
    <w:rsid w:val="58247055"/>
    <w:rsid w:val="58763043"/>
    <w:rsid w:val="58807673"/>
    <w:rsid w:val="58964662"/>
    <w:rsid w:val="58F55A17"/>
    <w:rsid w:val="594554D5"/>
    <w:rsid w:val="59A43A02"/>
    <w:rsid w:val="5A5F6122"/>
    <w:rsid w:val="5A69518A"/>
    <w:rsid w:val="5A940ED3"/>
    <w:rsid w:val="5B266C40"/>
    <w:rsid w:val="5BD8454B"/>
    <w:rsid w:val="5BE32D83"/>
    <w:rsid w:val="5C741C2D"/>
    <w:rsid w:val="5D973E25"/>
    <w:rsid w:val="5E391380"/>
    <w:rsid w:val="5F287C61"/>
    <w:rsid w:val="5FA82844"/>
    <w:rsid w:val="5FCC080D"/>
    <w:rsid w:val="60146F80"/>
    <w:rsid w:val="60D4524A"/>
    <w:rsid w:val="6119480C"/>
    <w:rsid w:val="61A95173"/>
    <w:rsid w:val="62961386"/>
    <w:rsid w:val="62A40365"/>
    <w:rsid w:val="62DE4ACB"/>
    <w:rsid w:val="63337752"/>
    <w:rsid w:val="634E7E04"/>
    <w:rsid w:val="63972DD1"/>
    <w:rsid w:val="63C86BF3"/>
    <w:rsid w:val="63D86F45"/>
    <w:rsid w:val="648D6791"/>
    <w:rsid w:val="64964E36"/>
    <w:rsid w:val="654D7EE3"/>
    <w:rsid w:val="671465AA"/>
    <w:rsid w:val="67352362"/>
    <w:rsid w:val="67B73C13"/>
    <w:rsid w:val="67DE621C"/>
    <w:rsid w:val="685B7298"/>
    <w:rsid w:val="699F4DA3"/>
    <w:rsid w:val="6A61249D"/>
    <w:rsid w:val="6AA302AD"/>
    <w:rsid w:val="6AA61B4B"/>
    <w:rsid w:val="6C9F4AA4"/>
    <w:rsid w:val="6D8104C9"/>
    <w:rsid w:val="6D817B44"/>
    <w:rsid w:val="6DB77BCC"/>
    <w:rsid w:val="6DED1CA3"/>
    <w:rsid w:val="6E536F27"/>
    <w:rsid w:val="6E603D3C"/>
    <w:rsid w:val="6ECA1D42"/>
    <w:rsid w:val="706A31E5"/>
    <w:rsid w:val="70AA28E3"/>
    <w:rsid w:val="71467832"/>
    <w:rsid w:val="71A861A9"/>
    <w:rsid w:val="725635DD"/>
    <w:rsid w:val="72AE5598"/>
    <w:rsid w:val="72B66F8B"/>
    <w:rsid w:val="72D37256"/>
    <w:rsid w:val="735E614C"/>
    <w:rsid w:val="738564EC"/>
    <w:rsid w:val="74192FC4"/>
    <w:rsid w:val="74856C75"/>
    <w:rsid w:val="748E25CA"/>
    <w:rsid w:val="74A70471"/>
    <w:rsid w:val="75081759"/>
    <w:rsid w:val="751F29F5"/>
    <w:rsid w:val="76065B94"/>
    <w:rsid w:val="774B7FC3"/>
    <w:rsid w:val="777547E2"/>
    <w:rsid w:val="77972F48"/>
    <w:rsid w:val="782F4F2E"/>
    <w:rsid w:val="783E3F93"/>
    <w:rsid w:val="787D0AF9"/>
    <w:rsid w:val="79030169"/>
    <w:rsid w:val="79200047"/>
    <w:rsid w:val="797A042B"/>
    <w:rsid w:val="79E1494E"/>
    <w:rsid w:val="7A2D36EF"/>
    <w:rsid w:val="7A427189"/>
    <w:rsid w:val="7AE63EBE"/>
    <w:rsid w:val="7B310FBD"/>
    <w:rsid w:val="7B7600D7"/>
    <w:rsid w:val="7BB8348D"/>
    <w:rsid w:val="7C374CF9"/>
    <w:rsid w:val="7C5E4916"/>
    <w:rsid w:val="7C66113B"/>
    <w:rsid w:val="7CD159DE"/>
    <w:rsid w:val="7DC84B0F"/>
    <w:rsid w:val="7E5908C8"/>
    <w:rsid w:val="7E851D4C"/>
    <w:rsid w:val="7EE5680E"/>
    <w:rsid w:val="7EE8316B"/>
    <w:rsid w:val="7EFE38AC"/>
    <w:rsid w:val="7FFF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5">
    <w:name w:val="Plain Text"/>
    <w:basedOn w:val="1"/>
    <w:link w:val="16"/>
    <w:unhideWhenUsed/>
    <w:qFormat/>
    <w:uiPriority w:val="99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4"/>
    <w:next w:val="4"/>
    <w:link w:val="25"/>
    <w:semiHidden/>
    <w:unhideWhenUsed/>
    <w:qFormat/>
    <w:uiPriority w:val="99"/>
    <w:rPr>
      <w:b/>
      <w:bCs/>
    </w:rPr>
  </w:style>
  <w:style w:type="character" w:styleId="12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6">
    <w:name w:val="纯文本 Char"/>
    <w:basedOn w:val="11"/>
    <w:link w:val="5"/>
    <w:qFormat/>
    <w:uiPriority w:val="99"/>
    <w:rPr>
      <w:rFonts w:ascii="宋体" w:hAnsi="Courier New" w:eastAsia="宋体" w:cs="Courier New"/>
      <w:szCs w:val="21"/>
    </w:rPr>
  </w:style>
  <w:style w:type="character" w:customStyle="1" w:styleId="17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8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9">
    <w:name w:val="conrtib-corresp"/>
    <w:basedOn w:val="11"/>
    <w:qFormat/>
    <w:uiPriority w:val="0"/>
  </w:style>
  <w:style w:type="character" w:customStyle="1" w:styleId="20">
    <w:name w:val="标题 3 Char"/>
    <w:basedOn w:val="11"/>
    <w:link w:val="3"/>
    <w:semiHidden/>
    <w:qFormat/>
    <w:uiPriority w:val="9"/>
    <w:rPr>
      <w:b/>
      <w:bCs/>
      <w:sz w:val="32"/>
      <w:szCs w:val="32"/>
    </w:rPr>
  </w:style>
  <w:style w:type="character" w:customStyle="1" w:styleId="21">
    <w:name w:val="标题 2 Char"/>
    <w:basedOn w:val="11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2">
    <w:name w:val="author-typ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author-nam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4">
    <w:name w:val="批注文字 Char"/>
    <w:basedOn w:val="11"/>
    <w:link w:val="4"/>
    <w:semiHidden/>
    <w:qFormat/>
    <w:uiPriority w:val="99"/>
  </w:style>
  <w:style w:type="character" w:customStyle="1" w:styleId="25">
    <w:name w:val="批注主题 Char"/>
    <w:basedOn w:val="24"/>
    <w:link w:val="9"/>
    <w:semiHidden/>
    <w:qFormat/>
    <w:uiPriority w:val="99"/>
    <w:rPr>
      <w:b/>
      <w:bCs/>
    </w:rPr>
  </w:style>
  <w:style w:type="character" w:customStyle="1" w:styleId="26">
    <w:name w:val="批注框文本 Char"/>
    <w:basedOn w:val="11"/>
    <w:link w:val="6"/>
    <w:semiHidden/>
    <w:qFormat/>
    <w:uiPriority w:val="99"/>
    <w:rPr>
      <w:sz w:val="18"/>
      <w:szCs w:val="18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6B772-4990-47B6-95DB-C25F7D09A9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35</Pages>
  <Words>310</Words>
  <Characters>1797</Characters>
  <Lines>1</Lines>
  <Paragraphs>1</Paragraphs>
  <TotalTime>98</TotalTime>
  <ScaleCrop>false</ScaleCrop>
  <LinksUpToDate>false</LinksUpToDate>
  <CharactersWithSpaces>2062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2026-04-20T01:10:00Z</dcterms:created>
  <dc:creator>bnds</dc:creator>
  <cp:lastModifiedBy>朱晓丽</cp:lastModifiedBy>
  <dcterms:modified xsi:type="dcterms:W3CDTF">2026-10-19T03:15:06Z</dcterms:modified>
  <cp:revision>347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eyJoZGlkIjoiMzYwOTRkYTgyYmFkYWY1OGIzMTE1N2NiY2ZlNjY2NzMiLCJ1c2VySWQiOiI1NDAxMTY4MjQifQ==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C508DD65B27542B4AB085974D6D2E0DB_12</vt:lpwstr>
  </property>
</Properties>
</file>