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85D74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202</w:t>
      </w:r>
      <w:r>
        <w:rPr>
          <w:rFonts w:ascii="宋体" w:hAnsi="宋体" w:eastAsia="宋体" w:cs="宋体"/>
          <w:b/>
          <w:color w:val="000000"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年第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42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周</w:t>
      </w:r>
    </w:p>
    <w:p w14:paraId="3ED8B6E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境外学者发表的结核病英文文章摘要</w:t>
      </w:r>
    </w:p>
    <w:p w14:paraId="2D072865">
      <w:pPr>
        <w:spacing w:line="360" w:lineRule="auto"/>
        <w:jc w:val="center"/>
        <w:rPr>
          <w:rFonts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100</w:t>
      </w: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篇）</w:t>
      </w:r>
    </w:p>
    <w:p w14:paraId="305CA2EB">
      <w:pPr>
        <w:jc w:val="left"/>
        <w:rPr>
          <w:rFonts w:ascii="宋体" w:hAnsi="宋体" w:eastAsia="宋体" w:cs="宋体"/>
          <w:b/>
          <w:color w:val="FF0000"/>
          <w:szCs w:val="24"/>
        </w:rPr>
      </w:pPr>
    </w:p>
    <w:p w14:paraId="190FEF94">
      <w:pPr>
        <w:jc w:val="left"/>
        <w:rPr>
          <w:rFonts w:hint="default" w:ascii="宋体" w:hAnsi="宋体" w:eastAsia="宋体" w:cs="宋体"/>
          <w:b/>
          <w:color w:val="FF0000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PubMed  Publication date: 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12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---</w:t>
      </w:r>
      <w:r>
        <w:rPr>
          <w:rFonts w:ascii="宋体" w:hAnsi="宋体" w:eastAsia="宋体" w:cs="宋体"/>
          <w:b/>
          <w:color w:val="FF0000"/>
          <w:szCs w:val="24"/>
        </w:rPr>
        <w:t xml:space="preserve"> </w:t>
      </w:r>
      <w:r>
        <w:rPr>
          <w:rFonts w:hint="eastAsia" w:ascii="宋体" w:hAnsi="宋体" w:eastAsia="宋体" w:cs="宋体"/>
          <w:b/>
          <w:color w:val="FF0000"/>
          <w:szCs w:val="24"/>
        </w:rPr>
        <w:t>202</w:t>
      </w:r>
      <w:r>
        <w:rPr>
          <w:rFonts w:ascii="宋体" w:hAnsi="宋体" w:eastAsia="宋体" w:cs="宋体"/>
          <w:b/>
          <w:color w:val="FF0000"/>
          <w:szCs w:val="24"/>
        </w:rPr>
        <w:t>6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color w:val="FF0000"/>
          <w:szCs w:val="24"/>
        </w:rPr>
        <w:t>/</w:t>
      </w:r>
      <w:r>
        <w:rPr>
          <w:rFonts w:hint="eastAsia" w:ascii="宋体" w:hAnsi="宋体" w:eastAsia="宋体" w:cs="宋体"/>
          <w:b/>
          <w:color w:val="FF0000"/>
          <w:szCs w:val="24"/>
          <w:lang w:val="en-US" w:eastAsia="zh-CN"/>
        </w:rPr>
        <w:t>18</w:t>
      </w:r>
    </w:p>
    <w:p w14:paraId="2F519DAD">
      <w:pPr>
        <w:rPr>
          <w:rFonts w:ascii="宋体" w:hAnsi="宋体" w:eastAsia="宋体" w:cs="宋体"/>
          <w:b/>
          <w:color w:val="FF0000"/>
          <w:szCs w:val="24"/>
        </w:rPr>
      </w:pPr>
      <w:r>
        <w:rPr>
          <w:rFonts w:hint="eastAsia" w:ascii="宋体" w:hAnsi="宋体" w:eastAsia="宋体" w:cs="宋体"/>
          <w:b/>
          <w:color w:val="FF0000"/>
          <w:szCs w:val="24"/>
        </w:rPr>
        <w:t>(tuberculosis[Title/Abstract]) AND (English[Language])</w:t>
      </w:r>
    </w:p>
    <w:p w14:paraId="1A1A09D3">
      <w:pPr>
        <w:rPr>
          <w:rFonts w:ascii="宋体" w:hAnsi="宋体" w:eastAsia="宋体" w:cs="宋体"/>
          <w:b/>
          <w:color w:val="FF0000"/>
          <w:szCs w:val="24"/>
        </w:rPr>
      </w:pPr>
    </w:p>
    <w:p w14:paraId="04B9D2E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1. Gates Open Res. 2026 Oct 14;10:64. doi: 10.12688/gatesopenres.16401.1. </w:t>
      </w:r>
    </w:p>
    <w:p w14:paraId="090D90C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217561C6">
      <w:pPr>
        <w:pStyle w:val="2"/>
        <w:rPr>
          <w:rFonts w:hint="eastAsia"/>
        </w:rPr>
      </w:pPr>
    </w:p>
    <w:p w14:paraId="4AB50FEB">
      <w:pPr>
        <w:pStyle w:val="2"/>
        <w:rPr>
          <w:rFonts w:hint="eastAsia"/>
        </w:rPr>
      </w:pPr>
      <w:r>
        <w:rPr>
          <w:rFonts w:hint="eastAsia"/>
        </w:rPr>
        <w:t xml:space="preserve">Long-acting injectables for global health: drug development considerations and </w:t>
      </w:r>
    </w:p>
    <w:p w14:paraId="7F3DC584">
      <w:pPr>
        <w:pStyle w:val="2"/>
        <w:rPr>
          <w:rFonts w:hint="eastAsia"/>
        </w:rPr>
      </w:pPr>
      <w:r>
        <w:rPr>
          <w:rFonts w:hint="eastAsia"/>
        </w:rPr>
        <w:t>applications in malaria and tuberculosis.</w:t>
      </w:r>
    </w:p>
    <w:p w14:paraId="6B6ADF94">
      <w:pPr>
        <w:pStyle w:val="2"/>
        <w:rPr>
          <w:rFonts w:hint="eastAsia"/>
        </w:rPr>
      </w:pPr>
    </w:p>
    <w:p w14:paraId="052324C0">
      <w:pPr>
        <w:pStyle w:val="2"/>
        <w:rPr>
          <w:rFonts w:hint="eastAsia"/>
        </w:rPr>
      </w:pPr>
      <w:r>
        <w:rPr>
          <w:rFonts w:hint="eastAsia"/>
        </w:rPr>
        <w:t xml:space="preserve">Long-acting Injectable Workshop Group; Berlioz-Seux F(1), Bestgen B(2), Burrows </w:t>
      </w:r>
    </w:p>
    <w:p w14:paraId="3D5E4A89">
      <w:pPr>
        <w:pStyle w:val="2"/>
        <w:rPr>
          <w:rFonts w:hint="eastAsia"/>
        </w:rPr>
      </w:pPr>
      <w:r>
        <w:rPr>
          <w:rFonts w:hint="eastAsia"/>
        </w:rPr>
        <w:t xml:space="preserve">J(2)(3), Cihlar T(4), Dong Z(5), Flood D(1), Gobeau N(2), Holm R(6), Jackson </w:t>
      </w:r>
    </w:p>
    <w:p w14:paraId="42F76523">
      <w:pPr>
        <w:pStyle w:val="2"/>
        <w:rPr>
          <w:rFonts w:hint="eastAsia"/>
        </w:rPr>
      </w:pPr>
      <w:r>
        <w:rPr>
          <w:rFonts w:hint="eastAsia"/>
        </w:rPr>
        <w:t xml:space="preserve">P(2), John L(1), Morimoto M(7), Pottage J(8), Ramachandruni H(2), Savic R(7), </w:t>
      </w:r>
    </w:p>
    <w:p w14:paraId="06478006">
      <w:pPr>
        <w:pStyle w:val="2"/>
        <w:rPr>
          <w:rFonts w:hint="eastAsia"/>
        </w:rPr>
      </w:pPr>
      <w:r>
        <w:rPr>
          <w:rFonts w:hint="eastAsia"/>
        </w:rPr>
        <w:t xml:space="preserve">Spreen B(2), Taneja R(9), Tornesi B(2), Verstynen B(10), Warner P(1), Wells </w:t>
      </w:r>
    </w:p>
    <w:p w14:paraId="0E9367F9">
      <w:pPr>
        <w:pStyle w:val="2"/>
        <w:rPr>
          <w:rFonts w:hint="eastAsia"/>
        </w:rPr>
      </w:pPr>
      <w:r>
        <w:rPr>
          <w:rFonts w:hint="eastAsia"/>
        </w:rPr>
        <w:t>C(5), Willis P(2), Zhao P(1); Long-acting Injectable Workshop Group.</w:t>
      </w:r>
    </w:p>
    <w:p w14:paraId="3DDE32D3">
      <w:pPr>
        <w:pStyle w:val="2"/>
        <w:rPr>
          <w:rFonts w:hint="eastAsia"/>
        </w:rPr>
      </w:pPr>
    </w:p>
    <w:p w14:paraId="3814FE28">
      <w:pPr>
        <w:pStyle w:val="2"/>
        <w:rPr>
          <w:rFonts w:hint="eastAsia"/>
        </w:rPr>
      </w:pPr>
      <w:r>
        <w:rPr>
          <w:rFonts w:hint="eastAsia"/>
        </w:rPr>
        <w:t xml:space="preserve">Collaborators: Berlioz-Seux F, Bestgen BT, Burrows J, Cihlar T, Dong Z, Flood D, </w:t>
      </w:r>
    </w:p>
    <w:p w14:paraId="18FCC6BD">
      <w:pPr>
        <w:pStyle w:val="2"/>
        <w:rPr>
          <w:rFonts w:hint="eastAsia"/>
        </w:rPr>
      </w:pPr>
      <w:r>
        <w:rPr>
          <w:rFonts w:hint="eastAsia"/>
        </w:rPr>
        <w:t xml:space="preserve">Gobeau N, Holm R, Jackson P, John L, Morimoto M, Pottage J, Ramachandruni H, </w:t>
      </w:r>
    </w:p>
    <w:p w14:paraId="54BEFBBB">
      <w:pPr>
        <w:pStyle w:val="2"/>
        <w:rPr>
          <w:rFonts w:hint="eastAsia"/>
        </w:rPr>
      </w:pPr>
      <w:r>
        <w:rPr>
          <w:rFonts w:hint="eastAsia"/>
        </w:rPr>
        <w:t xml:space="preserve">Savic R, Spreen B, Taneja R, Tornesi B, Verstynen B, Warner P, Wells C, Willis </w:t>
      </w:r>
    </w:p>
    <w:p w14:paraId="6703EEF9">
      <w:pPr>
        <w:pStyle w:val="2"/>
        <w:rPr>
          <w:rFonts w:hint="eastAsia"/>
        </w:rPr>
      </w:pPr>
      <w:r>
        <w:rPr>
          <w:rFonts w:hint="eastAsia"/>
        </w:rPr>
        <w:t>P, Zhao P.</w:t>
      </w:r>
    </w:p>
    <w:p w14:paraId="3D5181BF">
      <w:pPr>
        <w:pStyle w:val="2"/>
        <w:rPr>
          <w:rFonts w:hint="eastAsia"/>
        </w:rPr>
      </w:pPr>
    </w:p>
    <w:p w14:paraId="2EA657C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FA1AA91">
      <w:pPr>
        <w:pStyle w:val="2"/>
        <w:rPr>
          <w:rFonts w:hint="eastAsia"/>
        </w:rPr>
      </w:pPr>
      <w:r>
        <w:rPr>
          <w:rFonts w:hint="eastAsia"/>
        </w:rPr>
        <w:t>(1)Bill &amp; Melinda Gates Foundation, Seattle, Washington, USA.</w:t>
      </w:r>
    </w:p>
    <w:p w14:paraId="30786059">
      <w:pPr>
        <w:pStyle w:val="2"/>
        <w:rPr>
          <w:rFonts w:hint="eastAsia"/>
        </w:rPr>
      </w:pPr>
      <w:r>
        <w:rPr>
          <w:rFonts w:hint="eastAsia"/>
        </w:rPr>
        <w:t>(2)MMV Medicines for Malaria Venture, Geneva, Switzerland.</w:t>
      </w:r>
    </w:p>
    <w:p w14:paraId="677A55BB">
      <w:pPr>
        <w:pStyle w:val="2"/>
        <w:rPr>
          <w:rFonts w:hint="eastAsia"/>
        </w:rPr>
      </w:pPr>
      <w:r>
        <w:rPr>
          <w:rFonts w:hint="eastAsia"/>
        </w:rPr>
        <w:t>(3)Liverpool School of Tropical Medicine, Liverpool, England, UK.</w:t>
      </w:r>
    </w:p>
    <w:p w14:paraId="0A56C87F">
      <w:pPr>
        <w:pStyle w:val="2"/>
        <w:rPr>
          <w:rFonts w:hint="eastAsia"/>
        </w:rPr>
      </w:pPr>
      <w:r>
        <w:rPr>
          <w:rFonts w:hint="eastAsia"/>
        </w:rPr>
        <w:t>(4)Gilead, San Mateo, CA, USA.</w:t>
      </w:r>
    </w:p>
    <w:p w14:paraId="0ADCE139">
      <w:pPr>
        <w:pStyle w:val="2"/>
        <w:rPr>
          <w:rFonts w:hint="eastAsia"/>
        </w:rPr>
      </w:pPr>
      <w:r>
        <w:rPr>
          <w:rFonts w:hint="eastAsia"/>
        </w:rPr>
        <w:t xml:space="preserve">(5)Bill &amp; Melinda Gates Medical Research Institute, Cambridge, Massachusetts, </w:t>
      </w:r>
    </w:p>
    <w:p w14:paraId="3AA4C6A5">
      <w:pPr>
        <w:pStyle w:val="2"/>
        <w:rPr>
          <w:rFonts w:hint="eastAsia"/>
        </w:rPr>
      </w:pPr>
      <w:r>
        <w:rPr>
          <w:rFonts w:hint="eastAsia"/>
        </w:rPr>
        <w:t>USA.</w:t>
      </w:r>
    </w:p>
    <w:p w14:paraId="06EB8D11">
      <w:pPr>
        <w:pStyle w:val="2"/>
        <w:rPr>
          <w:rFonts w:hint="eastAsia"/>
        </w:rPr>
      </w:pPr>
      <w:r>
        <w:rPr>
          <w:rFonts w:hint="eastAsia"/>
        </w:rPr>
        <w:t>(6)University of Southern Denmark, Odense, Denmark.</w:t>
      </w:r>
    </w:p>
    <w:p w14:paraId="22F1CB3B">
      <w:pPr>
        <w:pStyle w:val="2"/>
        <w:rPr>
          <w:rFonts w:hint="eastAsia"/>
        </w:rPr>
      </w:pPr>
      <w:r>
        <w:rPr>
          <w:rFonts w:hint="eastAsia"/>
        </w:rPr>
        <w:t>(7)University of California San Francisco, San Francisco, California, USA.</w:t>
      </w:r>
    </w:p>
    <w:p w14:paraId="1B204AB5">
      <w:pPr>
        <w:pStyle w:val="2"/>
        <w:rPr>
          <w:rFonts w:hint="eastAsia"/>
        </w:rPr>
      </w:pPr>
      <w:r>
        <w:rPr>
          <w:rFonts w:hint="eastAsia"/>
        </w:rPr>
        <w:t>(8)Intrepid Alliance, Philadelphia, PA, USA.</w:t>
      </w:r>
    </w:p>
    <w:p w14:paraId="7B0A77C5">
      <w:pPr>
        <w:pStyle w:val="2"/>
        <w:rPr>
          <w:rFonts w:hint="eastAsia"/>
        </w:rPr>
      </w:pPr>
      <w:r>
        <w:rPr>
          <w:rFonts w:hint="eastAsia"/>
        </w:rPr>
        <w:t>(9)TB Alliance, New York, NY, USA.</w:t>
      </w:r>
    </w:p>
    <w:p w14:paraId="15FE8F68">
      <w:pPr>
        <w:pStyle w:val="2"/>
        <w:rPr>
          <w:rFonts w:hint="eastAsia"/>
        </w:rPr>
      </w:pPr>
      <w:r>
        <w:rPr>
          <w:rFonts w:hint="eastAsia"/>
        </w:rPr>
        <w:t>(10)Independent Toxicology Consultant, Antwerp, Belgium.</w:t>
      </w:r>
    </w:p>
    <w:p w14:paraId="5925B993">
      <w:pPr>
        <w:pStyle w:val="2"/>
        <w:rPr>
          <w:rFonts w:hint="eastAsia"/>
        </w:rPr>
      </w:pPr>
    </w:p>
    <w:p w14:paraId="24E3E2E9">
      <w:pPr>
        <w:pStyle w:val="2"/>
        <w:rPr>
          <w:rFonts w:hint="eastAsia"/>
        </w:rPr>
      </w:pPr>
      <w:r>
        <w:rPr>
          <w:rFonts w:hint="eastAsia"/>
        </w:rPr>
        <w:t xml:space="preserve">Long-acting injectable (LAI) drug formulations represent a transformative </w:t>
      </w:r>
    </w:p>
    <w:p w14:paraId="0F7C98D9">
      <w:pPr>
        <w:pStyle w:val="2"/>
        <w:rPr>
          <w:rFonts w:hint="eastAsia"/>
        </w:rPr>
      </w:pPr>
      <w:r>
        <w:rPr>
          <w:rFonts w:hint="eastAsia"/>
        </w:rPr>
        <w:t xml:space="preserve">modality in modern therapeutics, delivering medications that maintain </w:t>
      </w:r>
    </w:p>
    <w:p w14:paraId="65FC11FB">
      <w:pPr>
        <w:pStyle w:val="2"/>
        <w:rPr>
          <w:rFonts w:hint="eastAsia"/>
        </w:rPr>
      </w:pPr>
      <w:r>
        <w:rPr>
          <w:rFonts w:hint="eastAsia"/>
        </w:rPr>
        <w:t xml:space="preserve">therapeutic effects over extended periods. While initially developed to improve </w:t>
      </w:r>
    </w:p>
    <w:p w14:paraId="02E2F849">
      <w:pPr>
        <w:pStyle w:val="2"/>
        <w:rPr>
          <w:rFonts w:hint="eastAsia"/>
        </w:rPr>
      </w:pPr>
      <w:r>
        <w:rPr>
          <w:rFonts w:hint="eastAsia"/>
        </w:rPr>
        <w:t xml:space="preserve">patient adherence and acceptability for applications such as hormonal </w:t>
      </w:r>
    </w:p>
    <w:p w14:paraId="25E4FD57">
      <w:pPr>
        <w:pStyle w:val="2"/>
        <w:rPr>
          <w:rFonts w:hint="eastAsia"/>
        </w:rPr>
      </w:pPr>
      <w:r>
        <w:rPr>
          <w:rFonts w:hint="eastAsia"/>
        </w:rPr>
        <w:t xml:space="preserve">contraception and chronic conditions, including psychiatric disorders, their </w:t>
      </w:r>
    </w:p>
    <w:p w14:paraId="4D816BFE">
      <w:pPr>
        <w:pStyle w:val="2"/>
        <w:rPr>
          <w:rFonts w:hint="eastAsia"/>
        </w:rPr>
      </w:pPr>
      <w:r>
        <w:rPr>
          <w:rFonts w:hint="eastAsia"/>
        </w:rPr>
        <w:t xml:space="preserve">recent success in HIV treatment and prevention has catalyzed a growing interest </w:t>
      </w:r>
    </w:p>
    <w:p w14:paraId="2B56A675">
      <w:pPr>
        <w:pStyle w:val="2"/>
        <w:rPr>
          <w:rFonts w:hint="eastAsia"/>
        </w:rPr>
      </w:pPr>
      <w:r>
        <w:rPr>
          <w:rFonts w:hint="eastAsia"/>
        </w:rPr>
        <w:t xml:space="preserve">in their application to global health priorities. While there are effective oral </w:t>
      </w:r>
    </w:p>
    <w:p w14:paraId="711E1825">
      <w:pPr>
        <w:pStyle w:val="2"/>
        <w:rPr>
          <w:rFonts w:hint="eastAsia"/>
        </w:rPr>
      </w:pPr>
      <w:r>
        <w:rPr>
          <w:rFonts w:hint="eastAsia"/>
        </w:rPr>
        <w:t xml:space="preserve">drug regimens available for tuberculosis (TB) treatment and malaria </w:t>
      </w:r>
    </w:p>
    <w:p w14:paraId="39A061E0">
      <w:pPr>
        <w:pStyle w:val="2"/>
        <w:rPr>
          <w:rFonts w:hint="eastAsia"/>
        </w:rPr>
      </w:pPr>
      <w:r>
        <w:rPr>
          <w:rFonts w:hint="eastAsia"/>
        </w:rPr>
        <w:t xml:space="preserve">chemoprevention, their dosing regimens challenge patient adherence. By providing </w:t>
      </w:r>
    </w:p>
    <w:p w14:paraId="36432629">
      <w:pPr>
        <w:pStyle w:val="2"/>
        <w:rPr>
          <w:rFonts w:hint="eastAsia"/>
        </w:rPr>
      </w:pPr>
      <w:r>
        <w:rPr>
          <w:rFonts w:hint="eastAsia"/>
        </w:rPr>
        <w:t xml:space="preserve">sustained pharmacological activity over extended periods, LAIs decouple </w:t>
      </w:r>
    </w:p>
    <w:p w14:paraId="480ED1FE">
      <w:pPr>
        <w:pStyle w:val="2"/>
        <w:rPr>
          <w:rFonts w:hint="eastAsia"/>
        </w:rPr>
      </w:pPr>
      <w:r>
        <w:rPr>
          <w:rFonts w:hint="eastAsia"/>
        </w:rPr>
        <w:t xml:space="preserve">therapeutic efficacy from patient adherence and simplify drug dosing regimens, </w:t>
      </w:r>
    </w:p>
    <w:p w14:paraId="029D22E3">
      <w:pPr>
        <w:pStyle w:val="2"/>
        <w:rPr>
          <w:rFonts w:hint="eastAsia"/>
        </w:rPr>
      </w:pPr>
      <w:r>
        <w:rPr>
          <w:rFonts w:hint="eastAsia"/>
        </w:rPr>
        <w:t xml:space="preserve">enhancing real-world effectiveness. This position paper synthesizes the emerging </w:t>
      </w:r>
    </w:p>
    <w:p w14:paraId="6FF5148B">
      <w:pPr>
        <w:pStyle w:val="2"/>
        <w:rPr>
          <w:rFonts w:hint="eastAsia"/>
        </w:rPr>
      </w:pPr>
      <w:r>
        <w:rPr>
          <w:rFonts w:hint="eastAsia"/>
        </w:rPr>
        <w:t xml:space="preserve">consensus on the application of LAIs for global health from a multidisciplinary </w:t>
      </w:r>
    </w:p>
    <w:p w14:paraId="668A4DAE">
      <w:pPr>
        <w:pStyle w:val="2"/>
        <w:rPr>
          <w:rFonts w:hint="eastAsia"/>
        </w:rPr>
      </w:pPr>
      <w:r>
        <w:rPr>
          <w:rFonts w:hint="eastAsia"/>
        </w:rPr>
        <w:t xml:space="preserve">expert workshop convened by Medicines for Malaria Venture (MMV) and the Gates </w:t>
      </w:r>
    </w:p>
    <w:p w14:paraId="56A4702A">
      <w:pPr>
        <w:pStyle w:val="2"/>
        <w:rPr>
          <w:rFonts w:hint="eastAsia"/>
        </w:rPr>
      </w:pPr>
      <w:r>
        <w:rPr>
          <w:rFonts w:hint="eastAsia"/>
        </w:rPr>
        <w:t xml:space="preserve">Foundation in Chicago on March 17-19, 2026. Contributions considered compound </w:t>
      </w:r>
    </w:p>
    <w:p w14:paraId="48B4C503">
      <w:pPr>
        <w:pStyle w:val="2"/>
        <w:rPr>
          <w:rFonts w:hint="eastAsia"/>
        </w:rPr>
      </w:pPr>
      <w:r>
        <w:rPr>
          <w:rFonts w:hint="eastAsia"/>
        </w:rPr>
        <w:t xml:space="preserve">selection, formulation design, pharmacokinetic and pharmacodynamic requirements, </w:t>
      </w:r>
    </w:p>
    <w:p w14:paraId="69ED7631">
      <w:pPr>
        <w:pStyle w:val="2"/>
        <w:rPr>
          <w:rFonts w:hint="eastAsia"/>
        </w:rPr>
      </w:pPr>
      <w:r>
        <w:rPr>
          <w:rFonts w:hint="eastAsia"/>
        </w:rPr>
        <w:t xml:space="preserve">safety and tolerability profiles, toxicology packages for first-in-human </w:t>
      </w:r>
    </w:p>
    <w:p w14:paraId="10D55FB5">
      <w:pPr>
        <w:pStyle w:val="2"/>
        <w:rPr>
          <w:rFonts w:hint="eastAsia"/>
        </w:rPr>
      </w:pPr>
      <w:r>
        <w:rPr>
          <w:rFonts w:hint="eastAsia"/>
        </w:rPr>
        <w:t xml:space="preserve">studies, regulatory pathways, and the challenges of human dose prediction. </w:t>
      </w:r>
    </w:p>
    <w:p w14:paraId="41226B3D">
      <w:pPr>
        <w:pStyle w:val="2"/>
        <w:rPr>
          <w:rFonts w:hint="eastAsia"/>
        </w:rPr>
      </w:pPr>
      <w:r>
        <w:rPr>
          <w:rFonts w:hint="eastAsia"/>
        </w:rPr>
        <w:t xml:space="preserve">Emphasis was placed on the importance of preclinical-to-clinical translation, </w:t>
      </w:r>
    </w:p>
    <w:p w14:paraId="18703B4F">
      <w:pPr>
        <w:pStyle w:val="2"/>
        <w:rPr>
          <w:rFonts w:hint="eastAsia"/>
        </w:rPr>
      </w:pPr>
      <w:r>
        <w:rPr>
          <w:rFonts w:hint="eastAsia"/>
        </w:rPr>
        <w:t xml:space="preserve">particularly through the application of pharmacometric tools and model-informed </w:t>
      </w:r>
    </w:p>
    <w:p w14:paraId="2B0E3050">
      <w:pPr>
        <w:pStyle w:val="2"/>
        <w:rPr>
          <w:rFonts w:hint="eastAsia"/>
        </w:rPr>
      </w:pPr>
      <w:r>
        <w:rPr>
          <w:rFonts w:hint="eastAsia"/>
        </w:rPr>
        <w:t xml:space="preserve">drug development. The workshop highlighted strategic priorities for advancing </w:t>
      </w:r>
    </w:p>
    <w:p w14:paraId="1865F8DD">
      <w:pPr>
        <w:pStyle w:val="2"/>
        <w:rPr>
          <w:rFonts w:hint="eastAsia"/>
        </w:rPr>
      </w:pPr>
      <w:r>
        <w:rPr>
          <w:rFonts w:hint="eastAsia"/>
        </w:rPr>
        <w:t xml:space="preserve">the LAI field, including coordinated cross-sector approaches, pre-competitive </w:t>
      </w:r>
    </w:p>
    <w:p w14:paraId="297E3A22">
      <w:pPr>
        <w:pStyle w:val="2"/>
        <w:rPr>
          <w:rFonts w:hint="eastAsia"/>
        </w:rPr>
      </w:pPr>
      <w:r>
        <w:rPr>
          <w:rFonts w:hint="eastAsia"/>
        </w:rPr>
        <w:t xml:space="preserve">data sharing, and communities of practice to address critical knowledge gaps. </w:t>
      </w:r>
    </w:p>
    <w:p w14:paraId="6D62822C">
      <w:pPr>
        <w:pStyle w:val="2"/>
        <w:rPr>
          <w:rFonts w:hint="eastAsia"/>
        </w:rPr>
      </w:pPr>
      <w:r>
        <w:rPr>
          <w:rFonts w:hint="eastAsia"/>
        </w:rPr>
        <w:t xml:space="preserve">These actions aim to realize the potential for expanding LAI technologies to </w:t>
      </w:r>
    </w:p>
    <w:p w14:paraId="31E7D21B">
      <w:pPr>
        <w:pStyle w:val="2"/>
        <w:rPr>
          <w:rFonts w:hint="eastAsia"/>
        </w:rPr>
      </w:pPr>
      <w:r>
        <w:rPr>
          <w:rFonts w:hint="eastAsia"/>
        </w:rPr>
        <w:t>advance global health.</w:t>
      </w:r>
    </w:p>
    <w:p w14:paraId="7B6AE18B">
      <w:pPr>
        <w:pStyle w:val="2"/>
        <w:rPr>
          <w:rFonts w:hint="eastAsia"/>
        </w:rPr>
      </w:pPr>
    </w:p>
    <w:p w14:paraId="60E74D4C">
      <w:pPr>
        <w:pStyle w:val="2"/>
        <w:rPr>
          <w:rFonts w:hint="eastAsia"/>
        </w:rPr>
      </w:pPr>
      <w:r>
        <w:rPr>
          <w:rFonts w:hint="eastAsia"/>
        </w:rPr>
        <w:t>Copyright: © 2026 Long-acting Injectable Workshop Group et al.</w:t>
      </w:r>
    </w:p>
    <w:p w14:paraId="07579765">
      <w:pPr>
        <w:pStyle w:val="2"/>
        <w:rPr>
          <w:rFonts w:hint="eastAsia"/>
        </w:rPr>
      </w:pPr>
    </w:p>
    <w:p w14:paraId="3F93BA8C">
      <w:pPr>
        <w:pStyle w:val="2"/>
        <w:rPr>
          <w:rFonts w:hint="eastAsia"/>
        </w:rPr>
      </w:pPr>
      <w:r>
        <w:rPr>
          <w:rFonts w:hint="eastAsia"/>
        </w:rPr>
        <w:t>DOI: 10.12688/gatesopenres.16401.1</w:t>
      </w:r>
    </w:p>
    <w:p w14:paraId="41D03AA8">
      <w:pPr>
        <w:pStyle w:val="2"/>
        <w:rPr>
          <w:rFonts w:hint="eastAsia"/>
        </w:rPr>
      </w:pPr>
      <w:r>
        <w:rPr>
          <w:rFonts w:hint="eastAsia"/>
        </w:rPr>
        <w:t>PMCID: PMC13668881</w:t>
      </w:r>
    </w:p>
    <w:p w14:paraId="23FD59A3">
      <w:pPr>
        <w:pStyle w:val="2"/>
        <w:rPr>
          <w:rFonts w:hint="eastAsia"/>
        </w:rPr>
      </w:pPr>
      <w:r>
        <w:rPr>
          <w:rFonts w:hint="eastAsia"/>
        </w:rPr>
        <w:t>PMID: 42892766 [Indexed for MEDLINE]</w:t>
      </w:r>
    </w:p>
    <w:p w14:paraId="2E50B86E">
      <w:pPr>
        <w:pStyle w:val="2"/>
        <w:rPr>
          <w:rFonts w:hint="eastAsia"/>
        </w:rPr>
      </w:pPr>
    </w:p>
    <w:p w14:paraId="173DFE0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</w:t>
      </w:r>
      <w:r>
        <w:rPr>
          <w:rFonts w:hint="eastAsia"/>
          <w:b/>
          <w:bCs/>
          <w:color w:val="FF0000"/>
        </w:rPr>
        <w:t xml:space="preserve">. Tuberculosis (Edinb). 2026 Oct 15;161:102812. doi: 10.1016/j.tube.2026.102812. </w:t>
      </w:r>
    </w:p>
    <w:p w14:paraId="75FB443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170132B2">
      <w:pPr>
        <w:pStyle w:val="2"/>
        <w:rPr>
          <w:rFonts w:hint="eastAsia"/>
          <w:b/>
          <w:bCs/>
          <w:color w:val="FF0000"/>
        </w:rPr>
      </w:pPr>
    </w:p>
    <w:p w14:paraId="246EE6B9">
      <w:pPr>
        <w:pStyle w:val="2"/>
        <w:rPr>
          <w:rFonts w:hint="eastAsia"/>
        </w:rPr>
      </w:pPr>
      <w:r>
        <w:rPr>
          <w:rFonts w:hint="eastAsia"/>
        </w:rPr>
        <w:t xml:space="preserve">Low-fitness rpoB mutations in rifampicin-resistant Mycobacterium tuberculosis: </w:t>
      </w:r>
    </w:p>
    <w:p w14:paraId="25AB7323">
      <w:pPr>
        <w:pStyle w:val="2"/>
        <w:rPr>
          <w:rFonts w:hint="eastAsia"/>
        </w:rPr>
      </w:pPr>
      <w:r>
        <w:rPr>
          <w:rFonts w:hint="eastAsia"/>
        </w:rPr>
        <w:t>Host immunity, compensatory evolution, and diagnostic challenges.</w:t>
      </w:r>
    </w:p>
    <w:p w14:paraId="0784D5A9">
      <w:pPr>
        <w:pStyle w:val="2"/>
        <w:rPr>
          <w:rFonts w:hint="eastAsia"/>
        </w:rPr>
      </w:pPr>
    </w:p>
    <w:p w14:paraId="66186450">
      <w:pPr>
        <w:pStyle w:val="2"/>
        <w:rPr>
          <w:rFonts w:hint="eastAsia"/>
        </w:rPr>
      </w:pPr>
      <w:r>
        <w:rPr>
          <w:rFonts w:hint="eastAsia"/>
        </w:rPr>
        <w:t>Mukhtar M(1), Aspatwar A(2).</w:t>
      </w:r>
    </w:p>
    <w:p w14:paraId="5D7D03AF">
      <w:pPr>
        <w:pStyle w:val="2"/>
        <w:rPr>
          <w:rFonts w:hint="eastAsia"/>
        </w:rPr>
      </w:pPr>
    </w:p>
    <w:p w14:paraId="3AFF687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565EA07">
      <w:pPr>
        <w:pStyle w:val="2"/>
        <w:rPr>
          <w:rFonts w:hint="eastAsia"/>
        </w:rPr>
      </w:pPr>
      <w:r>
        <w:rPr>
          <w:rFonts w:hint="eastAsia"/>
        </w:rPr>
        <w:t xml:space="preserve">(1)University of Management and Technology, Lahore, Pakistan. Electronic </w:t>
      </w:r>
    </w:p>
    <w:p w14:paraId="49DD1316">
      <w:pPr>
        <w:pStyle w:val="2"/>
        <w:rPr>
          <w:rFonts w:hint="eastAsia"/>
        </w:rPr>
      </w:pPr>
      <w:r>
        <w:rPr>
          <w:rFonts w:hint="eastAsia"/>
        </w:rPr>
        <w:t>address: mavera0786@gmail.com.</w:t>
      </w:r>
    </w:p>
    <w:p w14:paraId="096758CD">
      <w:pPr>
        <w:pStyle w:val="2"/>
        <w:rPr>
          <w:rFonts w:hint="eastAsia"/>
        </w:rPr>
      </w:pPr>
      <w:r>
        <w:rPr>
          <w:rFonts w:hint="eastAsia"/>
        </w:rPr>
        <w:t xml:space="preserve">(2)Faculty of Medicine and Health Technology, Tampere University, Tampere, </w:t>
      </w:r>
    </w:p>
    <w:p w14:paraId="4A16A5D8">
      <w:pPr>
        <w:pStyle w:val="2"/>
        <w:rPr>
          <w:rFonts w:hint="eastAsia"/>
        </w:rPr>
      </w:pPr>
      <w:r>
        <w:rPr>
          <w:rFonts w:hint="eastAsia"/>
        </w:rPr>
        <w:t>Finland. Electronic address: ashok.aspatwar@tuni.fi.</w:t>
      </w:r>
    </w:p>
    <w:p w14:paraId="5BF743D9">
      <w:pPr>
        <w:pStyle w:val="2"/>
        <w:rPr>
          <w:rFonts w:hint="eastAsia"/>
        </w:rPr>
      </w:pPr>
    </w:p>
    <w:p w14:paraId="1A4B69A6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The rpoB S450L mutation is the most prevalent high-fitness </w:t>
      </w:r>
    </w:p>
    <w:p w14:paraId="5A431201">
      <w:pPr>
        <w:pStyle w:val="2"/>
        <w:rPr>
          <w:rFonts w:hint="eastAsia"/>
        </w:rPr>
      </w:pPr>
      <w:r>
        <w:rPr>
          <w:rFonts w:hint="eastAsia"/>
        </w:rPr>
        <w:t xml:space="preserve">rifampicin resistance-conferring mutation in Mycobacterium tuberculosis. </w:t>
      </w:r>
    </w:p>
    <w:p w14:paraId="719708F9">
      <w:pPr>
        <w:pStyle w:val="2"/>
        <w:rPr>
          <w:rFonts w:hint="eastAsia"/>
        </w:rPr>
      </w:pPr>
      <w:r>
        <w:rPr>
          <w:rFonts w:hint="eastAsia"/>
        </w:rPr>
        <w:t xml:space="preserve">However, numerous alternative rpoB mutations associated with varying fitness </w:t>
      </w:r>
    </w:p>
    <w:p w14:paraId="5D65CC58">
      <w:pPr>
        <w:pStyle w:val="2"/>
        <w:rPr>
          <w:rFonts w:hint="eastAsia"/>
        </w:rPr>
      </w:pPr>
      <w:r>
        <w:rPr>
          <w:rFonts w:hint="eastAsia"/>
        </w:rPr>
        <w:t xml:space="preserve">costs have been reported, particularly in specific clinical settings. This </w:t>
      </w:r>
    </w:p>
    <w:p w14:paraId="03E11155">
      <w:pPr>
        <w:pStyle w:val="2"/>
        <w:rPr>
          <w:rFonts w:hint="eastAsia"/>
        </w:rPr>
      </w:pPr>
      <w:r>
        <w:rPr>
          <w:rFonts w:hint="eastAsia"/>
        </w:rPr>
        <w:t xml:space="preserve">systematic review critically evaluates the relationship between low-fitness rpoB </w:t>
      </w:r>
    </w:p>
    <w:p w14:paraId="71567830">
      <w:pPr>
        <w:pStyle w:val="2"/>
        <w:rPr>
          <w:rFonts w:hint="eastAsia"/>
        </w:rPr>
      </w:pPr>
      <w:r>
        <w:rPr>
          <w:rFonts w:hint="eastAsia"/>
        </w:rPr>
        <w:t xml:space="preserve">mutations, host immune status, HIV co-infection, compensatory evolution, and </w:t>
      </w:r>
    </w:p>
    <w:p w14:paraId="131D0605">
      <w:pPr>
        <w:pStyle w:val="2"/>
        <w:rPr>
          <w:rFonts w:hint="eastAsia"/>
        </w:rPr>
      </w:pPr>
      <w:r>
        <w:rPr>
          <w:rFonts w:hint="eastAsia"/>
        </w:rPr>
        <w:t>diagnostic discordance.</w:t>
      </w:r>
    </w:p>
    <w:p w14:paraId="5D9DE0B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A systematic literature search was conducted across multiple scientific </w:t>
      </w:r>
    </w:p>
    <w:p w14:paraId="300D9933">
      <w:pPr>
        <w:pStyle w:val="2"/>
        <w:rPr>
          <w:rFonts w:hint="eastAsia"/>
        </w:rPr>
      </w:pPr>
      <w:r>
        <w:rPr>
          <w:rFonts w:hint="eastAsia"/>
        </w:rPr>
        <w:t xml:space="preserve">databases. Studies reporting genetic, phenotypic, structural, or clinical data </w:t>
      </w:r>
    </w:p>
    <w:p w14:paraId="63590803">
      <w:pPr>
        <w:pStyle w:val="2"/>
        <w:rPr>
          <w:rFonts w:hint="eastAsia"/>
        </w:rPr>
      </w:pPr>
      <w:r>
        <w:rPr>
          <w:rFonts w:hint="eastAsia"/>
        </w:rPr>
        <w:t xml:space="preserve">on rifampicin-resistant M. tuberculosis carrying alternative or borderline rpoB </w:t>
      </w:r>
    </w:p>
    <w:p w14:paraId="29F98DBE">
      <w:pPr>
        <w:pStyle w:val="2"/>
        <w:rPr>
          <w:rFonts w:hint="eastAsia"/>
        </w:rPr>
      </w:pPr>
      <w:r>
        <w:rPr>
          <w:rFonts w:hint="eastAsia"/>
        </w:rPr>
        <w:t xml:space="preserve">mutations were included. Data were qualitatively synthesized to examine </w:t>
      </w:r>
    </w:p>
    <w:p w14:paraId="46EFBF3C">
      <w:pPr>
        <w:pStyle w:val="2"/>
        <w:rPr>
          <w:rFonts w:hint="eastAsia"/>
        </w:rPr>
      </w:pPr>
      <w:r>
        <w:rPr>
          <w:rFonts w:hint="eastAsia"/>
        </w:rPr>
        <w:t xml:space="preserve">associations among host immune status, bacterial fitness, compensatory </w:t>
      </w:r>
    </w:p>
    <w:p w14:paraId="387206B8">
      <w:pPr>
        <w:pStyle w:val="2"/>
        <w:rPr>
          <w:rFonts w:hint="eastAsia"/>
        </w:rPr>
      </w:pPr>
      <w:r>
        <w:rPr>
          <w:rFonts w:hint="eastAsia"/>
        </w:rPr>
        <w:t>evolution, and diagnostic performance.</w:t>
      </w:r>
    </w:p>
    <w:p w14:paraId="3BEE8EA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Twenty-one studies met the inclusion criteria. Available clinical </w:t>
      </w:r>
    </w:p>
    <w:p w14:paraId="3F2F9683">
      <w:pPr>
        <w:pStyle w:val="2"/>
        <w:rPr>
          <w:rFonts w:hint="eastAsia"/>
        </w:rPr>
      </w:pPr>
      <w:r>
        <w:rPr>
          <w:rFonts w:hint="eastAsia"/>
        </w:rPr>
        <w:t xml:space="preserve">evidence indicated a higher prevalence of low-fitness non-S450L rpoB mutations, </w:t>
      </w:r>
    </w:p>
    <w:p w14:paraId="6CAE20EC">
      <w:pPr>
        <w:pStyle w:val="2"/>
        <w:rPr>
          <w:rFonts w:hint="eastAsia"/>
        </w:rPr>
      </w:pPr>
      <w:r>
        <w:rPr>
          <w:rFonts w:hint="eastAsia"/>
        </w:rPr>
        <w:t xml:space="preserve">particularly at codons 430, 435, 441, and 445, among patients with advanced HIV </w:t>
      </w:r>
    </w:p>
    <w:p w14:paraId="27401B53">
      <w:pPr>
        <w:pStyle w:val="2"/>
        <w:rPr>
          <w:rFonts w:hint="eastAsia"/>
        </w:rPr>
      </w:pPr>
      <w:r>
        <w:rPr>
          <w:rFonts w:hint="eastAsia"/>
        </w:rPr>
        <w:t xml:space="preserve">infection. The available evidence suggests that HIV-associated immunosuppression </w:t>
      </w:r>
    </w:p>
    <w:p w14:paraId="060F406D">
      <w:pPr>
        <w:pStyle w:val="2"/>
        <w:rPr>
          <w:rFonts w:hint="eastAsia"/>
        </w:rPr>
      </w:pPr>
      <w:r>
        <w:rPr>
          <w:rFonts w:hint="eastAsia"/>
        </w:rPr>
        <w:t xml:space="preserve">may reduce host-driven purifying selection, facilitating the persistence of </w:t>
      </w:r>
    </w:p>
    <w:p w14:paraId="20377B77">
      <w:pPr>
        <w:pStyle w:val="2"/>
        <w:rPr>
          <w:rFonts w:hint="eastAsia"/>
        </w:rPr>
      </w:pPr>
      <w:r>
        <w:rPr>
          <w:rFonts w:hint="eastAsia"/>
        </w:rPr>
        <w:t xml:space="preserve">low-fitness resistant variants. Genomic and structural studies identified </w:t>
      </w:r>
    </w:p>
    <w:p w14:paraId="453DD0A6">
      <w:pPr>
        <w:pStyle w:val="2"/>
        <w:rPr>
          <w:rFonts w:hint="eastAsia"/>
        </w:rPr>
      </w:pPr>
      <w:r>
        <w:rPr>
          <w:rFonts w:hint="eastAsia"/>
        </w:rPr>
        <w:t xml:space="preserve">compensatory mutations in rpoA, rpoB, and rpoC that may partially restore </w:t>
      </w:r>
    </w:p>
    <w:p w14:paraId="639FC7AC">
      <w:pPr>
        <w:pStyle w:val="2"/>
        <w:rPr>
          <w:rFonts w:hint="eastAsia"/>
        </w:rPr>
      </w:pPr>
      <w:r>
        <w:rPr>
          <w:rFonts w:hint="eastAsia"/>
        </w:rPr>
        <w:t xml:space="preserve">bacterial fitness while maintaining rifampicin resistance. Several borderline </w:t>
      </w:r>
    </w:p>
    <w:p w14:paraId="60753771">
      <w:pPr>
        <w:pStyle w:val="2"/>
        <w:rPr>
          <w:rFonts w:hint="eastAsia"/>
        </w:rPr>
      </w:pPr>
      <w:r>
        <w:rPr>
          <w:rFonts w:hint="eastAsia"/>
        </w:rPr>
        <w:t xml:space="preserve">rpoB mutations also produced discordant results between molecular assays and </w:t>
      </w:r>
    </w:p>
    <w:p w14:paraId="1E319CC6">
      <w:pPr>
        <w:pStyle w:val="2"/>
        <w:rPr>
          <w:rFonts w:hint="eastAsia"/>
        </w:rPr>
      </w:pPr>
      <w:r>
        <w:rPr>
          <w:rFonts w:hint="eastAsia"/>
        </w:rPr>
        <w:t>phenotypic drug susceptibility testing.</w:t>
      </w:r>
    </w:p>
    <w:p w14:paraId="00562E68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HIV-associated immunosuppression may influence the evolutionary </w:t>
      </w:r>
    </w:p>
    <w:p w14:paraId="0A8B1BB9">
      <w:pPr>
        <w:pStyle w:val="2"/>
        <w:rPr>
          <w:rFonts w:hint="eastAsia"/>
        </w:rPr>
      </w:pPr>
      <w:r>
        <w:rPr>
          <w:rFonts w:hint="eastAsia"/>
        </w:rPr>
        <w:t xml:space="preserve">trajectory of rifampicin-resistant M. tuberculosis by facilitating the </w:t>
      </w:r>
    </w:p>
    <w:p w14:paraId="23AD193C">
      <w:pPr>
        <w:pStyle w:val="2"/>
        <w:rPr>
          <w:rFonts w:hint="eastAsia"/>
        </w:rPr>
      </w:pPr>
      <w:r>
        <w:rPr>
          <w:rFonts w:hint="eastAsia"/>
        </w:rPr>
        <w:t xml:space="preserve">persistence of low-fitness rpoB mutations. Integrating molecular diagnostics, </w:t>
      </w:r>
    </w:p>
    <w:p w14:paraId="3DB02945">
      <w:pPr>
        <w:pStyle w:val="2"/>
        <w:rPr>
          <w:rFonts w:hint="eastAsia"/>
        </w:rPr>
      </w:pPr>
      <w:r>
        <w:rPr>
          <w:rFonts w:hint="eastAsia"/>
        </w:rPr>
        <w:t xml:space="preserve">genomic surveillance, and host immune profiling may improve the detection and </w:t>
      </w:r>
    </w:p>
    <w:p w14:paraId="03932246">
      <w:pPr>
        <w:pStyle w:val="2"/>
        <w:rPr>
          <w:rFonts w:hint="eastAsia"/>
        </w:rPr>
      </w:pPr>
      <w:r>
        <w:rPr>
          <w:rFonts w:hint="eastAsia"/>
        </w:rPr>
        <w:t xml:space="preserve">clinical management of rifampicin-resistant tuberculosis, particularly in </w:t>
      </w:r>
    </w:p>
    <w:p w14:paraId="1BC184D5">
      <w:pPr>
        <w:pStyle w:val="2"/>
        <w:rPr>
          <w:rFonts w:hint="eastAsia"/>
        </w:rPr>
      </w:pPr>
      <w:r>
        <w:rPr>
          <w:rFonts w:hint="eastAsia"/>
        </w:rPr>
        <w:t>regions with a high burden of TB-HIV co-infection.</w:t>
      </w:r>
    </w:p>
    <w:p w14:paraId="38E4EA13">
      <w:pPr>
        <w:pStyle w:val="2"/>
        <w:rPr>
          <w:rFonts w:hint="eastAsia"/>
        </w:rPr>
      </w:pPr>
    </w:p>
    <w:p w14:paraId="116DFC11">
      <w:pPr>
        <w:pStyle w:val="2"/>
        <w:rPr>
          <w:rFonts w:hint="eastAsia"/>
        </w:rPr>
      </w:pPr>
      <w:r>
        <w:rPr>
          <w:rFonts w:hint="eastAsia"/>
        </w:rPr>
        <w:t>Copyright © 2026 The Authors. Published by Elsevier Ltd.. All rights reserved.</w:t>
      </w:r>
    </w:p>
    <w:p w14:paraId="6BCEC4E5">
      <w:pPr>
        <w:pStyle w:val="2"/>
        <w:rPr>
          <w:rFonts w:hint="eastAsia"/>
        </w:rPr>
      </w:pPr>
    </w:p>
    <w:p w14:paraId="1BD17E44">
      <w:pPr>
        <w:pStyle w:val="2"/>
        <w:rPr>
          <w:rFonts w:hint="eastAsia"/>
        </w:rPr>
      </w:pPr>
      <w:r>
        <w:rPr>
          <w:rFonts w:hint="eastAsia"/>
        </w:rPr>
        <w:t>DOI: 10.1016/j.tube.2026.102812</w:t>
      </w:r>
    </w:p>
    <w:p w14:paraId="478BC5BF">
      <w:pPr>
        <w:pStyle w:val="2"/>
        <w:rPr>
          <w:rFonts w:hint="eastAsia"/>
        </w:rPr>
      </w:pPr>
      <w:r>
        <w:rPr>
          <w:rFonts w:hint="eastAsia"/>
        </w:rPr>
        <w:t>PMID: 42892239</w:t>
      </w:r>
    </w:p>
    <w:p w14:paraId="486B0CE4">
      <w:pPr>
        <w:pStyle w:val="2"/>
        <w:rPr>
          <w:rFonts w:hint="eastAsia"/>
        </w:rPr>
      </w:pPr>
    </w:p>
    <w:p w14:paraId="42A9144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</w:t>
      </w:r>
      <w:r>
        <w:rPr>
          <w:rFonts w:hint="eastAsia"/>
          <w:b/>
          <w:bCs/>
          <w:color w:val="FF0000"/>
        </w:rPr>
        <w:t>. Mikrochim Acta. 2026 Oct 17;193(11):737. doi: 10.1007/s00604-026-08461-1.</w:t>
      </w:r>
    </w:p>
    <w:p w14:paraId="7D5E00EB">
      <w:pPr>
        <w:pStyle w:val="2"/>
        <w:rPr>
          <w:rFonts w:hint="eastAsia"/>
        </w:rPr>
      </w:pPr>
    </w:p>
    <w:p w14:paraId="6F480523">
      <w:pPr>
        <w:pStyle w:val="2"/>
        <w:rPr>
          <w:rFonts w:hint="eastAsia"/>
        </w:rPr>
      </w:pPr>
      <w:r>
        <w:rPr>
          <w:rFonts w:hint="eastAsia"/>
        </w:rPr>
        <w:t xml:space="preserve">Detection of unamplified mycobacterium tuberculosis genomic DNA in sputum </w:t>
      </w:r>
    </w:p>
    <w:p w14:paraId="74F19AD9">
      <w:pPr>
        <w:pStyle w:val="2"/>
        <w:rPr>
          <w:rFonts w:hint="eastAsia"/>
        </w:rPr>
      </w:pPr>
      <w:r>
        <w:rPr>
          <w:rFonts w:hint="eastAsia"/>
        </w:rPr>
        <w:t>samples using a metal-enhanced fluorescence-based biosensor.</w:t>
      </w:r>
    </w:p>
    <w:p w14:paraId="0AFCF19A">
      <w:pPr>
        <w:pStyle w:val="2"/>
        <w:rPr>
          <w:rFonts w:hint="eastAsia"/>
        </w:rPr>
      </w:pPr>
    </w:p>
    <w:p w14:paraId="4991700B">
      <w:pPr>
        <w:pStyle w:val="2"/>
        <w:rPr>
          <w:rFonts w:hint="eastAsia"/>
        </w:rPr>
      </w:pPr>
      <w:r>
        <w:rPr>
          <w:rFonts w:hint="eastAsia"/>
        </w:rPr>
        <w:t>Radaei T(1), Mousazadeh M(2), Hamzehloo G(3), Bakhshi B(4), Nikkhah M(5).</w:t>
      </w:r>
    </w:p>
    <w:p w14:paraId="37FEEED2">
      <w:pPr>
        <w:pStyle w:val="2"/>
        <w:rPr>
          <w:rFonts w:hint="eastAsia"/>
        </w:rPr>
      </w:pPr>
    </w:p>
    <w:p w14:paraId="51383EA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C82F7FA">
      <w:pPr>
        <w:pStyle w:val="2"/>
        <w:rPr>
          <w:rFonts w:hint="eastAsia"/>
        </w:rPr>
      </w:pPr>
      <w:r>
        <w:rPr>
          <w:rFonts w:hint="eastAsia"/>
        </w:rPr>
        <w:t xml:space="preserve">(1)Department of Bacteriology, Faculty of Medical Sciences, Tarbiat Modares </w:t>
      </w:r>
    </w:p>
    <w:p w14:paraId="3FCC59F8">
      <w:pPr>
        <w:pStyle w:val="2"/>
        <w:rPr>
          <w:rFonts w:hint="eastAsia"/>
        </w:rPr>
      </w:pPr>
      <w:r>
        <w:rPr>
          <w:rFonts w:hint="eastAsia"/>
        </w:rPr>
        <w:t>University, Jalal-Ale-Ahmad Ave, Tehran, 14117-13116, Islamic Republic of Iran.</w:t>
      </w:r>
    </w:p>
    <w:p w14:paraId="372181EE">
      <w:pPr>
        <w:pStyle w:val="2"/>
        <w:rPr>
          <w:rFonts w:hint="eastAsia"/>
        </w:rPr>
      </w:pPr>
      <w:r>
        <w:rPr>
          <w:rFonts w:hint="eastAsia"/>
        </w:rPr>
        <w:t xml:space="preserve">(2)Department of Nanobiotechnology, Faculty of Biological Sciences, Tarbiat </w:t>
      </w:r>
    </w:p>
    <w:p w14:paraId="69C72823">
      <w:pPr>
        <w:pStyle w:val="2"/>
        <w:rPr>
          <w:rFonts w:hint="eastAsia"/>
        </w:rPr>
      </w:pPr>
      <w:r>
        <w:rPr>
          <w:rFonts w:hint="eastAsia"/>
        </w:rPr>
        <w:t xml:space="preserve">Modares University, Jalal-Ale-Ahmad Ave, Tehran, 14117-13116, Islamic Republic </w:t>
      </w:r>
    </w:p>
    <w:p w14:paraId="377146BB">
      <w:pPr>
        <w:pStyle w:val="2"/>
        <w:rPr>
          <w:rFonts w:hint="eastAsia"/>
        </w:rPr>
      </w:pPr>
      <w:r>
        <w:rPr>
          <w:rFonts w:hint="eastAsia"/>
        </w:rPr>
        <w:t>of Iran.</w:t>
      </w:r>
    </w:p>
    <w:p w14:paraId="34D6E1AE">
      <w:pPr>
        <w:pStyle w:val="2"/>
        <w:rPr>
          <w:rFonts w:hint="eastAsia"/>
        </w:rPr>
      </w:pPr>
      <w:r>
        <w:rPr>
          <w:rFonts w:hint="eastAsia"/>
        </w:rPr>
        <w:t xml:space="preserve">(3)Regional Tuberculosis Reference Laboratory, Tehran University of Medical </w:t>
      </w:r>
    </w:p>
    <w:p w14:paraId="2B30F852">
      <w:pPr>
        <w:pStyle w:val="2"/>
        <w:rPr>
          <w:rFonts w:hint="eastAsia"/>
        </w:rPr>
      </w:pPr>
      <w:r>
        <w:rPr>
          <w:rFonts w:hint="eastAsia"/>
        </w:rPr>
        <w:t>Sciences, Tehran, Islamic Republic of Iran.</w:t>
      </w:r>
    </w:p>
    <w:p w14:paraId="2ACCF207">
      <w:pPr>
        <w:pStyle w:val="2"/>
        <w:rPr>
          <w:rFonts w:hint="eastAsia"/>
        </w:rPr>
      </w:pPr>
      <w:r>
        <w:rPr>
          <w:rFonts w:hint="eastAsia"/>
        </w:rPr>
        <w:t xml:space="preserve">(4)Department of Bacteriology, Faculty of Medical Sciences, Tarbiat Modares </w:t>
      </w:r>
    </w:p>
    <w:p w14:paraId="58D4B8DE">
      <w:pPr>
        <w:pStyle w:val="2"/>
        <w:rPr>
          <w:rFonts w:hint="eastAsia"/>
        </w:rPr>
      </w:pPr>
      <w:r>
        <w:rPr>
          <w:rFonts w:hint="eastAsia"/>
        </w:rPr>
        <w:t xml:space="preserve">University, Jalal-Ale-Ahmad Ave, Tehran, 14117-13116, Islamic Republic of Iran. </w:t>
      </w:r>
    </w:p>
    <w:p w14:paraId="58B72D10">
      <w:pPr>
        <w:pStyle w:val="2"/>
        <w:rPr>
          <w:rFonts w:hint="eastAsia"/>
        </w:rPr>
      </w:pPr>
      <w:r>
        <w:rPr>
          <w:rFonts w:hint="eastAsia"/>
        </w:rPr>
        <w:t>b.bakhshi@modares.ac.ir.</w:t>
      </w:r>
    </w:p>
    <w:p w14:paraId="360D39CA">
      <w:pPr>
        <w:pStyle w:val="2"/>
        <w:rPr>
          <w:rFonts w:hint="eastAsia"/>
        </w:rPr>
      </w:pPr>
      <w:r>
        <w:rPr>
          <w:rFonts w:hint="eastAsia"/>
        </w:rPr>
        <w:t xml:space="preserve">(5)Department of Nanobiotechnology, Faculty of Biological Sciences, Tarbiat </w:t>
      </w:r>
    </w:p>
    <w:p w14:paraId="6F98507B">
      <w:pPr>
        <w:pStyle w:val="2"/>
        <w:rPr>
          <w:rFonts w:hint="eastAsia"/>
        </w:rPr>
      </w:pPr>
      <w:r>
        <w:rPr>
          <w:rFonts w:hint="eastAsia"/>
        </w:rPr>
        <w:t xml:space="preserve">Modares University, Jalal-Ale-Ahmad Ave, Tehran, 14117-13116, Islamic Republic </w:t>
      </w:r>
    </w:p>
    <w:p w14:paraId="2173CC33">
      <w:pPr>
        <w:pStyle w:val="2"/>
        <w:rPr>
          <w:rFonts w:hint="eastAsia"/>
        </w:rPr>
      </w:pPr>
      <w:r>
        <w:rPr>
          <w:rFonts w:hint="eastAsia"/>
        </w:rPr>
        <w:t>of Iran. m_nikkhah@modares.ac.ir.</w:t>
      </w:r>
    </w:p>
    <w:p w14:paraId="1D9B7584">
      <w:pPr>
        <w:pStyle w:val="2"/>
        <w:rPr>
          <w:rFonts w:hint="eastAsia"/>
        </w:rPr>
      </w:pPr>
    </w:p>
    <w:p w14:paraId="37FD13D4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the development of a metal-enhanced fluorescence </w:t>
      </w:r>
    </w:p>
    <w:p w14:paraId="7D1353FC">
      <w:pPr>
        <w:pStyle w:val="2"/>
        <w:rPr>
          <w:rFonts w:hint="eastAsia"/>
        </w:rPr>
      </w:pPr>
      <w:r>
        <w:rPr>
          <w:rFonts w:hint="eastAsia"/>
        </w:rPr>
        <w:t xml:space="preserve">(MEF)-based biosensor in this study enabled the detection of Mycobacterium </w:t>
      </w:r>
    </w:p>
    <w:p w14:paraId="28187E4E">
      <w:pPr>
        <w:pStyle w:val="2"/>
        <w:rPr>
          <w:rFonts w:hint="eastAsia"/>
        </w:rPr>
      </w:pPr>
      <w:r>
        <w:rPr>
          <w:rFonts w:hint="eastAsia"/>
        </w:rPr>
        <w:t xml:space="preserve">tuberculosis DNA extracted from sputum samples with high sensitivity and without </w:t>
      </w:r>
    </w:p>
    <w:p w14:paraId="7AFF707D">
      <w:pPr>
        <w:pStyle w:val="2"/>
        <w:rPr>
          <w:rFonts w:hint="eastAsia"/>
        </w:rPr>
      </w:pPr>
      <w:r>
        <w:rPr>
          <w:rFonts w:hint="eastAsia"/>
        </w:rPr>
        <w:t xml:space="preserve">the need for DNA amplification. The detection process involved the utilization </w:t>
      </w:r>
    </w:p>
    <w:p w14:paraId="5A1A11A9">
      <w:pPr>
        <w:pStyle w:val="2"/>
        <w:rPr>
          <w:rFonts w:hint="eastAsia"/>
        </w:rPr>
      </w:pPr>
      <w:r>
        <w:rPr>
          <w:rFonts w:hint="eastAsia"/>
        </w:rPr>
        <w:t xml:space="preserve">of silver dendritic nanostructures, which were grown on the surface of silicon </w:t>
      </w:r>
    </w:p>
    <w:p w14:paraId="0F8BDFA5">
      <w:pPr>
        <w:pStyle w:val="2"/>
        <w:rPr>
          <w:rFonts w:hint="eastAsia"/>
        </w:rPr>
      </w:pPr>
      <w:r>
        <w:rPr>
          <w:rFonts w:hint="eastAsia"/>
        </w:rPr>
        <w:t xml:space="preserve">wafers and subsequently modified with a probe that was designed to target the </w:t>
      </w:r>
    </w:p>
    <w:p w14:paraId="4C14C0C7">
      <w:pPr>
        <w:pStyle w:val="2"/>
        <w:rPr>
          <w:rFonts w:hint="eastAsia"/>
        </w:rPr>
      </w:pPr>
      <w:r>
        <w:rPr>
          <w:rFonts w:hint="eastAsia"/>
        </w:rPr>
        <w:t xml:space="preserve">specific DNA Insertion Element 6110 (IS6110) gene of M. tuberculosis. A </w:t>
      </w:r>
    </w:p>
    <w:p w14:paraId="20DE85ED">
      <w:pPr>
        <w:pStyle w:val="2"/>
        <w:rPr>
          <w:rFonts w:hint="eastAsia"/>
        </w:rPr>
      </w:pPr>
      <w:r>
        <w:rPr>
          <w:rFonts w:hint="eastAsia"/>
        </w:rPr>
        <w:t xml:space="preserve">comparison was made between the performance of the developed nanobiosensor and </w:t>
      </w:r>
    </w:p>
    <w:p w14:paraId="4C136168">
      <w:pPr>
        <w:pStyle w:val="2"/>
        <w:rPr>
          <w:rFonts w:hint="eastAsia"/>
        </w:rPr>
      </w:pPr>
      <w:r>
        <w:rPr>
          <w:rFonts w:hint="eastAsia"/>
        </w:rPr>
        <w:t xml:space="preserve">that of other methods, including smear, culture, PCR, and real-time PCR. A total </w:t>
      </w:r>
    </w:p>
    <w:p w14:paraId="1C44A410">
      <w:pPr>
        <w:pStyle w:val="2"/>
        <w:rPr>
          <w:rFonts w:hint="eastAsia"/>
        </w:rPr>
      </w:pPr>
      <w:r>
        <w:rPr>
          <w:rFonts w:hint="eastAsia"/>
        </w:rPr>
        <w:t xml:space="preserve">of 385 (including 50 confirmed positive) sputum samples were examined. Of these, </w:t>
      </w:r>
    </w:p>
    <w:p w14:paraId="35FF47A9">
      <w:pPr>
        <w:pStyle w:val="2"/>
        <w:rPr>
          <w:rFonts w:hint="eastAsia"/>
        </w:rPr>
      </w:pPr>
      <w:r>
        <w:rPr>
          <w:rFonts w:hint="eastAsia"/>
        </w:rPr>
        <w:t xml:space="preserve">8.8%, 10%, 11.9%, 13%, and 12% cases were confirmed positive by smear, culture, </w:t>
      </w:r>
    </w:p>
    <w:p w14:paraId="6D54B98D">
      <w:pPr>
        <w:pStyle w:val="2"/>
        <w:rPr>
          <w:rFonts w:hint="eastAsia"/>
        </w:rPr>
      </w:pPr>
      <w:r>
        <w:rPr>
          <w:rFonts w:hint="eastAsia"/>
        </w:rPr>
        <w:t xml:space="preserve">PCR, real-time PCR, and the developed nanobiosensor, respectively. The limit of </w:t>
      </w:r>
    </w:p>
    <w:p w14:paraId="642F80B0">
      <w:pPr>
        <w:pStyle w:val="2"/>
        <w:rPr>
          <w:rFonts w:hint="eastAsia"/>
        </w:rPr>
      </w:pPr>
      <w:r>
        <w:rPr>
          <w:rFonts w:hint="eastAsia"/>
        </w:rPr>
        <w:t xml:space="preserve">detection was established at 2.9 × 102 copies for PCR and 2.9 × 10 copies for </w:t>
      </w:r>
    </w:p>
    <w:p w14:paraId="551F1E25">
      <w:pPr>
        <w:pStyle w:val="2"/>
        <w:rPr>
          <w:rFonts w:hint="eastAsia"/>
        </w:rPr>
      </w:pPr>
      <w:r>
        <w:rPr>
          <w:rFonts w:hint="eastAsia"/>
        </w:rPr>
        <w:t xml:space="preserve">both real-time PCR and the nanobiosensor. The sensitivities of smear, culture, </w:t>
      </w:r>
    </w:p>
    <w:p w14:paraId="713FB0D8">
      <w:pPr>
        <w:pStyle w:val="2"/>
        <w:rPr>
          <w:rFonts w:hint="eastAsia"/>
        </w:rPr>
      </w:pPr>
      <w:r>
        <w:rPr>
          <w:rFonts w:hint="eastAsia"/>
        </w:rPr>
        <w:t xml:space="preserve">PCR, and the nanobiosensor, in comparison to GeneXpert MTB/RIF assay, were </w:t>
      </w:r>
    </w:p>
    <w:p w14:paraId="20910EB9">
      <w:pPr>
        <w:pStyle w:val="2"/>
        <w:rPr>
          <w:rFonts w:hint="eastAsia"/>
        </w:rPr>
      </w:pPr>
      <w:r>
        <w:rPr>
          <w:rFonts w:hint="eastAsia"/>
        </w:rPr>
        <w:t xml:space="preserve">determined to be 68%, 78%, 86%, and 92%, respectively. The specificity of each </w:t>
      </w:r>
    </w:p>
    <w:p w14:paraId="3D447210">
      <w:pPr>
        <w:pStyle w:val="2"/>
        <w:rPr>
          <w:rFonts w:hint="eastAsia"/>
        </w:rPr>
      </w:pPr>
      <w:r>
        <w:rPr>
          <w:rFonts w:hint="eastAsia"/>
        </w:rPr>
        <w:t xml:space="preserve">method was 100%. The findings suggest that the developed nanobiosensor is a </w:t>
      </w:r>
    </w:p>
    <w:p w14:paraId="2B232F85">
      <w:pPr>
        <w:pStyle w:val="2"/>
        <w:rPr>
          <w:rFonts w:hint="eastAsia"/>
        </w:rPr>
      </w:pPr>
      <w:r>
        <w:rPr>
          <w:rFonts w:hint="eastAsia"/>
        </w:rPr>
        <w:t>low-cost, accurate, and rapid tool for the detection of tuberculosis.</w:t>
      </w:r>
    </w:p>
    <w:p w14:paraId="4FB4D34C">
      <w:pPr>
        <w:pStyle w:val="2"/>
        <w:rPr>
          <w:rFonts w:hint="eastAsia"/>
        </w:rPr>
      </w:pPr>
    </w:p>
    <w:p w14:paraId="426CCA91">
      <w:pPr>
        <w:pStyle w:val="2"/>
        <w:rPr>
          <w:rFonts w:hint="eastAsia"/>
        </w:rPr>
      </w:pPr>
      <w:r>
        <w:rPr>
          <w:rFonts w:hint="eastAsia"/>
        </w:rPr>
        <w:t xml:space="preserve">© 2026. The Author(s), under exclusive licence to Springer-Verlag GmbH Austria, </w:t>
      </w:r>
    </w:p>
    <w:p w14:paraId="50368CB3">
      <w:pPr>
        <w:pStyle w:val="2"/>
        <w:rPr>
          <w:rFonts w:hint="eastAsia"/>
        </w:rPr>
      </w:pPr>
      <w:r>
        <w:rPr>
          <w:rFonts w:hint="eastAsia"/>
        </w:rPr>
        <w:t>part of Springer Nature.</w:t>
      </w:r>
    </w:p>
    <w:p w14:paraId="0F5FF977">
      <w:pPr>
        <w:pStyle w:val="2"/>
        <w:rPr>
          <w:rFonts w:hint="eastAsia"/>
        </w:rPr>
      </w:pPr>
    </w:p>
    <w:p w14:paraId="47FC03AD">
      <w:pPr>
        <w:pStyle w:val="2"/>
        <w:rPr>
          <w:rFonts w:hint="eastAsia"/>
        </w:rPr>
      </w:pPr>
      <w:r>
        <w:rPr>
          <w:rFonts w:hint="eastAsia"/>
        </w:rPr>
        <w:t>DOI: 10.1007/s00604-026-08461-1</w:t>
      </w:r>
    </w:p>
    <w:p w14:paraId="28408094">
      <w:pPr>
        <w:pStyle w:val="2"/>
        <w:rPr>
          <w:rFonts w:hint="eastAsia"/>
        </w:rPr>
      </w:pPr>
      <w:r>
        <w:rPr>
          <w:rFonts w:hint="eastAsia"/>
        </w:rPr>
        <w:t>PMID: 42891697 [Indexed for MEDLINE]</w:t>
      </w:r>
    </w:p>
    <w:p w14:paraId="1C6498DA">
      <w:pPr>
        <w:pStyle w:val="2"/>
        <w:rPr>
          <w:rFonts w:hint="eastAsia"/>
        </w:rPr>
      </w:pPr>
    </w:p>
    <w:p w14:paraId="7F5D657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</w:t>
      </w:r>
      <w:r>
        <w:rPr>
          <w:rFonts w:hint="eastAsia"/>
          <w:b/>
          <w:bCs/>
          <w:color w:val="FF0000"/>
        </w:rPr>
        <w:t xml:space="preserve">. Case Rep Infect Dis. 2026 Oct 16;2026:5812867. doi: 10.1155/crdi/5812867. </w:t>
      </w:r>
    </w:p>
    <w:p w14:paraId="32DD140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4E398465">
      <w:pPr>
        <w:pStyle w:val="2"/>
        <w:rPr>
          <w:rFonts w:hint="eastAsia"/>
        </w:rPr>
      </w:pPr>
    </w:p>
    <w:p w14:paraId="639F55EE">
      <w:pPr>
        <w:pStyle w:val="2"/>
        <w:rPr>
          <w:rFonts w:hint="eastAsia"/>
        </w:rPr>
      </w:pPr>
      <w:r>
        <w:rPr>
          <w:rFonts w:hint="eastAsia"/>
        </w:rPr>
        <w:t xml:space="preserve">Concurrent Middle Ear and Vertebral Tuberculosis Secondary to Mycobacterium </w:t>
      </w:r>
    </w:p>
    <w:p w14:paraId="0DEA217C">
      <w:pPr>
        <w:pStyle w:val="2"/>
        <w:rPr>
          <w:rFonts w:hint="eastAsia"/>
        </w:rPr>
      </w:pPr>
      <w:r>
        <w:rPr>
          <w:rFonts w:hint="eastAsia"/>
        </w:rPr>
        <w:t xml:space="preserve">Africanum in an Immunocompetent Young Adult in a Low-Incidence Setting: </w:t>
      </w:r>
    </w:p>
    <w:p w14:paraId="120D44A6">
      <w:pPr>
        <w:pStyle w:val="2"/>
        <w:rPr>
          <w:rFonts w:hint="eastAsia"/>
        </w:rPr>
      </w:pPr>
      <w:r>
        <w:rPr>
          <w:rFonts w:hint="eastAsia"/>
        </w:rPr>
        <w:t>Diagnostic Value of Middle Ear Biopsy.</w:t>
      </w:r>
    </w:p>
    <w:p w14:paraId="190FA625">
      <w:pPr>
        <w:pStyle w:val="2"/>
        <w:rPr>
          <w:rFonts w:hint="eastAsia"/>
        </w:rPr>
      </w:pPr>
    </w:p>
    <w:p w14:paraId="177BDB0E">
      <w:pPr>
        <w:pStyle w:val="2"/>
        <w:rPr>
          <w:rFonts w:hint="eastAsia"/>
        </w:rPr>
      </w:pPr>
      <w:r>
        <w:rPr>
          <w:rFonts w:hint="eastAsia"/>
        </w:rPr>
        <w:t xml:space="preserve">Kasule SN(1), Zacharia GS(2), Desrosiers AC(3), Penikilapate S(2), Molina MA(2), </w:t>
      </w:r>
    </w:p>
    <w:p w14:paraId="7221D691">
      <w:pPr>
        <w:pStyle w:val="2"/>
        <w:rPr>
          <w:rFonts w:hint="eastAsia"/>
        </w:rPr>
      </w:pPr>
      <w:r>
        <w:rPr>
          <w:rFonts w:hint="eastAsia"/>
        </w:rPr>
        <w:t>Krishna S(4), Zeana CB(1).</w:t>
      </w:r>
    </w:p>
    <w:p w14:paraId="011D1979">
      <w:pPr>
        <w:pStyle w:val="2"/>
        <w:rPr>
          <w:rFonts w:hint="eastAsia"/>
        </w:rPr>
      </w:pPr>
    </w:p>
    <w:p w14:paraId="7A6DF0D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EF910B9">
      <w:pPr>
        <w:pStyle w:val="2"/>
        <w:rPr>
          <w:rFonts w:hint="eastAsia"/>
        </w:rPr>
      </w:pPr>
      <w:r>
        <w:rPr>
          <w:rFonts w:hint="eastAsia"/>
        </w:rPr>
        <w:t xml:space="preserve">(1)Division of Infectious Diseases Department of Internal Medicine BronxCare </w:t>
      </w:r>
    </w:p>
    <w:p w14:paraId="745A1ABD">
      <w:pPr>
        <w:pStyle w:val="2"/>
        <w:rPr>
          <w:rFonts w:hint="eastAsia"/>
        </w:rPr>
      </w:pPr>
      <w:r>
        <w:rPr>
          <w:rFonts w:hint="eastAsia"/>
        </w:rPr>
        <w:t>Health System Bronx New York USA bronxcare.org.</w:t>
      </w:r>
    </w:p>
    <w:p w14:paraId="4391EFB2">
      <w:pPr>
        <w:pStyle w:val="2"/>
        <w:rPr>
          <w:rFonts w:hint="eastAsia"/>
        </w:rPr>
      </w:pPr>
      <w:r>
        <w:rPr>
          <w:rFonts w:hint="eastAsia"/>
        </w:rPr>
        <w:t xml:space="preserve">(2)Internal Medicine Residency Department of Internal Medicine BronxCare Health </w:t>
      </w:r>
    </w:p>
    <w:p w14:paraId="6435B1C2">
      <w:pPr>
        <w:pStyle w:val="2"/>
        <w:rPr>
          <w:rFonts w:hint="eastAsia"/>
        </w:rPr>
      </w:pPr>
      <w:r>
        <w:rPr>
          <w:rFonts w:hint="eastAsia"/>
        </w:rPr>
        <w:t>System Affiliated With Icahn School of Medicine at Mt Sinai Bronx New York USA.</w:t>
      </w:r>
    </w:p>
    <w:p w14:paraId="7045BCEF">
      <w:pPr>
        <w:pStyle w:val="2"/>
        <w:rPr>
          <w:rFonts w:hint="eastAsia"/>
        </w:rPr>
      </w:pPr>
      <w:r>
        <w:rPr>
          <w:rFonts w:hint="eastAsia"/>
        </w:rPr>
        <w:t xml:space="preserve">(3)School of Medicine The City University of New York (Cuny) New York New York </w:t>
      </w:r>
    </w:p>
    <w:p w14:paraId="06332333">
      <w:pPr>
        <w:pStyle w:val="2"/>
        <w:rPr>
          <w:rFonts w:hint="eastAsia"/>
        </w:rPr>
      </w:pPr>
      <w:r>
        <w:rPr>
          <w:rFonts w:hint="eastAsia"/>
        </w:rPr>
        <w:t>USA.</w:t>
      </w:r>
    </w:p>
    <w:p w14:paraId="3441BE68">
      <w:pPr>
        <w:pStyle w:val="2"/>
        <w:rPr>
          <w:rFonts w:hint="eastAsia"/>
        </w:rPr>
      </w:pPr>
      <w:r>
        <w:rPr>
          <w:rFonts w:hint="eastAsia"/>
        </w:rPr>
        <w:t xml:space="preserve">(4)Department of Otolaryngology BronxCare Health System Bronx New York USA </w:t>
      </w:r>
    </w:p>
    <w:p w14:paraId="25A446E1">
      <w:pPr>
        <w:pStyle w:val="2"/>
        <w:rPr>
          <w:rFonts w:hint="eastAsia"/>
        </w:rPr>
      </w:pPr>
      <w:r>
        <w:rPr>
          <w:rFonts w:hint="eastAsia"/>
        </w:rPr>
        <w:t>bronxcare.org.</w:t>
      </w:r>
    </w:p>
    <w:p w14:paraId="36034E1A">
      <w:pPr>
        <w:pStyle w:val="2"/>
        <w:rPr>
          <w:rFonts w:hint="eastAsia"/>
        </w:rPr>
      </w:pPr>
    </w:p>
    <w:p w14:paraId="7F1F3618">
      <w:pPr>
        <w:pStyle w:val="2"/>
        <w:rPr>
          <w:rFonts w:hint="eastAsia"/>
        </w:rPr>
      </w:pPr>
      <w:r>
        <w:rPr>
          <w:rFonts w:hint="eastAsia"/>
        </w:rPr>
        <w:t xml:space="preserve">Otic tuberculosis is an exceedingly rare manifestation of extrapulmonary </w:t>
      </w:r>
    </w:p>
    <w:p w14:paraId="009B9FFA">
      <w:pPr>
        <w:pStyle w:val="2"/>
        <w:rPr>
          <w:rFonts w:hint="eastAsia"/>
        </w:rPr>
      </w:pPr>
      <w:r>
        <w:rPr>
          <w:rFonts w:hint="eastAsia"/>
        </w:rPr>
        <w:t xml:space="preserve">tuberculosis (EPTB) and typically mimics more common otologic conditions, </w:t>
      </w:r>
    </w:p>
    <w:p w14:paraId="0EB46DB0">
      <w:pPr>
        <w:pStyle w:val="2"/>
        <w:rPr>
          <w:rFonts w:hint="eastAsia"/>
        </w:rPr>
      </w:pPr>
      <w:r>
        <w:rPr>
          <w:rFonts w:hint="eastAsia"/>
        </w:rPr>
        <w:t xml:space="preserve">leading to delayed diagnosis and treatment. This report discusses a case of </w:t>
      </w:r>
    </w:p>
    <w:p w14:paraId="4AACEE8F">
      <w:pPr>
        <w:pStyle w:val="2"/>
        <w:rPr>
          <w:rFonts w:hint="eastAsia"/>
        </w:rPr>
      </w:pPr>
      <w:r>
        <w:rPr>
          <w:rFonts w:hint="eastAsia"/>
        </w:rPr>
        <w:t xml:space="preserve">middle ear tuberculosis in a New York City-born-and-raised young woman. She </w:t>
      </w:r>
    </w:p>
    <w:p w14:paraId="518686F9">
      <w:pPr>
        <w:pStyle w:val="2"/>
        <w:rPr>
          <w:rFonts w:hint="eastAsia"/>
        </w:rPr>
      </w:pPr>
      <w:r>
        <w:rPr>
          <w:rFonts w:hint="eastAsia"/>
        </w:rPr>
        <w:t xml:space="preserve">presented with ear drainage, hearing loss, generalized weakness, and a painful </w:t>
      </w:r>
    </w:p>
    <w:p w14:paraId="53F146ED">
      <w:pPr>
        <w:pStyle w:val="2"/>
        <w:rPr>
          <w:rFonts w:hint="eastAsia"/>
        </w:rPr>
      </w:pPr>
      <w:r>
        <w:rPr>
          <w:rFonts w:hint="eastAsia"/>
        </w:rPr>
        <w:t xml:space="preserve">lump on her posterior neck. She was subsequently diagnosed with multiple </w:t>
      </w:r>
    </w:p>
    <w:p w14:paraId="457AD97A">
      <w:pPr>
        <w:pStyle w:val="2"/>
        <w:rPr>
          <w:rFonts w:hint="eastAsia"/>
        </w:rPr>
      </w:pPr>
      <w:r>
        <w:rPr>
          <w:rFonts w:hint="eastAsia"/>
        </w:rPr>
        <w:t xml:space="preserve">abscesses along the cervical and thoracic spine and a large mass in her middle </w:t>
      </w:r>
    </w:p>
    <w:p w14:paraId="53EE9676">
      <w:pPr>
        <w:pStyle w:val="2"/>
        <w:rPr>
          <w:rFonts w:hint="eastAsia"/>
        </w:rPr>
      </w:pPr>
      <w:r>
        <w:rPr>
          <w:rFonts w:hint="eastAsia"/>
        </w:rPr>
        <w:t xml:space="preserve">ear that protruded through her tympanic membrane into the external auditory </w:t>
      </w:r>
    </w:p>
    <w:p w14:paraId="65A053F5">
      <w:pPr>
        <w:pStyle w:val="2"/>
        <w:rPr>
          <w:rFonts w:hint="eastAsia"/>
        </w:rPr>
      </w:pPr>
      <w:r>
        <w:rPr>
          <w:rFonts w:hint="eastAsia"/>
        </w:rPr>
        <w:t xml:space="preserve">canal. Biopsy of the protruding part of the ear mass revealed non-necrotizing </w:t>
      </w:r>
    </w:p>
    <w:p w14:paraId="72D90C57">
      <w:pPr>
        <w:pStyle w:val="2"/>
        <w:rPr>
          <w:rFonts w:hint="eastAsia"/>
        </w:rPr>
      </w:pPr>
      <w:r>
        <w:rPr>
          <w:rFonts w:hint="eastAsia"/>
        </w:rPr>
        <w:t xml:space="preserve">granulomatous inflammation and acid-fast bacilli on pathology. Mycobacterium </w:t>
      </w:r>
    </w:p>
    <w:p w14:paraId="2E6DDA05">
      <w:pPr>
        <w:pStyle w:val="2"/>
        <w:rPr>
          <w:rFonts w:hint="eastAsia"/>
        </w:rPr>
      </w:pPr>
      <w:r>
        <w:rPr>
          <w:rFonts w:hint="eastAsia"/>
        </w:rPr>
        <w:t xml:space="preserve">tuberculosis (MTB) complex PCR was positive, and mycobacterial cultures grew </w:t>
      </w:r>
    </w:p>
    <w:p w14:paraId="406EDA49">
      <w:pPr>
        <w:pStyle w:val="2"/>
        <w:rPr>
          <w:rFonts w:hint="eastAsia"/>
        </w:rPr>
      </w:pPr>
      <w:r>
        <w:rPr>
          <w:rFonts w:hint="eastAsia"/>
        </w:rPr>
        <w:t xml:space="preserve">Mycobacterium africanum. She was promptly initiated on rifampin, isoniazid, </w:t>
      </w:r>
    </w:p>
    <w:p w14:paraId="11A498A4">
      <w:pPr>
        <w:pStyle w:val="2"/>
        <w:rPr>
          <w:rFonts w:hint="eastAsia"/>
        </w:rPr>
      </w:pPr>
      <w:r>
        <w:rPr>
          <w:rFonts w:hint="eastAsia"/>
        </w:rPr>
        <w:t>pyrazinamide, and ethambutol (RIPE) with clinical improvement of her symptoms.</w:t>
      </w:r>
    </w:p>
    <w:p w14:paraId="6294338D">
      <w:pPr>
        <w:pStyle w:val="2"/>
        <w:rPr>
          <w:rFonts w:hint="eastAsia"/>
        </w:rPr>
      </w:pPr>
    </w:p>
    <w:p w14:paraId="212181D4">
      <w:pPr>
        <w:pStyle w:val="2"/>
        <w:rPr>
          <w:rFonts w:hint="eastAsia"/>
        </w:rPr>
      </w:pPr>
      <w:r>
        <w:rPr>
          <w:rFonts w:hint="eastAsia"/>
        </w:rPr>
        <w:t xml:space="preserve">Copyright © 2026 Sabirah N. Kasule et al. Case Reports in Infectious Diseases </w:t>
      </w:r>
    </w:p>
    <w:p w14:paraId="1C096D0F">
      <w:pPr>
        <w:pStyle w:val="2"/>
        <w:rPr>
          <w:rFonts w:hint="eastAsia"/>
        </w:rPr>
      </w:pPr>
      <w:r>
        <w:rPr>
          <w:rFonts w:hint="eastAsia"/>
        </w:rPr>
        <w:t>published by John Wiley &amp; Sons Ltd.</w:t>
      </w:r>
    </w:p>
    <w:p w14:paraId="1A42ADC5">
      <w:pPr>
        <w:pStyle w:val="2"/>
        <w:rPr>
          <w:rFonts w:hint="eastAsia"/>
        </w:rPr>
      </w:pPr>
    </w:p>
    <w:p w14:paraId="04B4F2E6">
      <w:pPr>
        <w:pStyle w:val="2"/>
        <w:rPr>
          <w:rFonts w:hint="eastAsia"/>
        </w:rPr>
      </w:pPr>
      <w:r>
        <w:rPr>
          <w:rFonts w:hint="eastAsia"/>
        </w:rPr>
        <w:t>DOI: 10.1155/crdi/5812867</w:t>
      </w:r>
    </w:p>
    <w:p w14:paraId="46DAB6DC">
      <w:pPr>
        <w:pStyle w:val="2"/>
        <w:rPr>
          <w:rFonts w:hint="eastAsia"/>
        </w:rPr>
      </w:pPr>
      <w:r>
        <w:rPr>
          <w:rFonts w:hint="eastAsia"/>
        </w:rPr>
        <w:t>PMCID: PMC13674006</w:t>
      </w:r>
    </w:p>
    <w:p w14:paraId="2279C174">
      <w:pPr>
        <w:pStyle w:val="2"/>
        <w:rPr>
          <w:rFonts w:hint="eastAsia"/>
        </w:rPr>
      </w:pPr>
      <w:r>
        <w:rPr>
          <w:rFonts w:hint="eastAsia"/>
        </w:rPr>
        <w:t>PMID: 42890672</w:t>
      </w:r>
    </w:p>
    <w:p w14:paraId="58AF5648">
      <w:pPr>
        <w:pStyle w:val="2"/>
        <w:rPr>
          <w:rFonts w:hint="eastAsia"/>
        </w:rPr>
      </w:pPr>
    </w:p>
    <w:p w14:paraId="47DC53D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</w:t>
      </w:r>
      <w:r>
        <w:rPr>
          <w:rFonts w:hint="eastAsia"/>
          <w:b/>
          <w:bCs/>
          <w:color w:val="FF0000"/>
        </w:rPr>
        <w:t>. J Imaging Inform Med. 2026 Oct 16. doi: 10.1007/s10278-026-02403-2. Online ahead of print.</w:t>
      </w:r>
    </w:p>
    <w:p w14:paraId="203C44CA">
      <w:pPr>
        <w:pStyle w:val="2"/>
        <w:rPr>
          <w:rFonts w:hint="eastAsia"/>
        </w:rPr>
      </w:pPr>
    </w:p>
    <w:p w14:paraId="070EFFFF">
      <w:pPr>
        <w:pStyle w:val="2"/>
        <w:rPr>
          <w:rFonts w:hint="eastAsia"/>
        </w:rPr>
      </w:pPr>
      <w:r>
        <w:rPr>
          <w:rFonts w:hint="eastAsia"/>
        </w:rPr>
        <w:t xml:space="preserve">Building and Validating a Data-Governance Workflow for Artificial </w:t>
      </w:r>
    </w:p>
    <w:p w14:paraId="6F1C03D5">
      <w:pPr>
        <w:pStyle w:val="2"/>
        <w:rPr>
          <w:rFonts w:hint="eastAsia"/>
        </w:rPr>
      </w:pPr>
      <w:r>
        <w:rPr>
          <w:rFonts w:hint="eastAsia"/>
        </w:rPr>
        <w:t xml:space="preserve">Intelligence-Based Tuberculosis Detection from Chest Radiographs, and </w:t>
      </w:r>
    </w:p>
    <w:p w14:paraId="688CC22D">
      <w:pPr>
        <w:pStyle w:val="2"/>
        <w:rPr>
          <w:rFonts w:hint="eastAsia"/>
        </w:rPr>
      </w:pPr>
      <w:r>
        <w:rPr>
          <w:rFonts w:hint="eastAsia"/>
        </w:rPr>
        <w:t>Quantifying the Impact of Data Leakage.</w:t>
      </w:r>
    </w:p>
    <w:p w14:paraId="011F81A6">
      <w:pPr>
        <w:pStyle w:val="2"/>
        <w:rPr>
          <w:rFonts w:hint="eastAsia"/>
        </w:rPr>
      </w:pPr>
    </w:p>
    <w:p w14:paraId="357A52A8">
      <w:pPr>
        <w:pStyle w:val="2"/>
        <w:rPr>
          <w:rFonts w:hint="eastAsia"/>
        </w:rPr>
      </w:pPr>
      <w:r>
        <w:rPr>
          <w:rFonts w:hint="eastAsia"/>
        </w:rPr>
        <w:t>Nguyen NA(1).</w:t>
      </w:r>
    </w:p>
    <w:p w14:paraId="258FF647">
      <w:pPr>
        <w:pStyle w:val="2"/>
        <w:rPr>
          <w:rFonts w:hint="eastAsia"/>
        </w:rPr>
      </w:pPr>
    </w:p>
    <w:p w14:paraId="3EC6DF0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FE37E48">
      <w:pPr>
        <w:pStyle w:val="2"/>
        <w:rPr>
          <w:rFonts w:hint="eastAsia"/>
        </w:rPr>
      </w:pPr>
      <w:r>
        <w:rPr>
          <w:rFonts w:hint="eastAsia"/>
        </w:rPr>
        <w:t xml:space="preserve">(1)Department of Military Science, Military Hospital 175, Ho Chi Minh City, </w:t>
      </w:r>
    </w:p>
    <w:p w14:paraId="3213BF20">
      <w:pPr>
        <w:pStyle w:val="2"/>
        <w:rPr>
          <w:rFonts w:hint="eastAsia"/>
        </w:rPr>
      </w:pPr>
      <w:r>
        <w:rPr>
          <w:rFonts w:hint="eastAsia"/>
        </w:rPr>
        <w:t>Vietnam. nguyennhatan@gmail.com.</w:t>
      </w:r>
    </w:p>
    <w:p w14:paraId="6EE24697">
      <w:pPr>
        <w:pStyle w:val="2"/>
        <w:rPr>
          <w:rFonts w:hint="eastAsia"/>
        </w:rPr>
      </w:pPr>
    </w:p>
    <w:p w14:paraId="3AF56F0C">
      <w:pPr>
        <w:pStyle w:val="2"/>
        <w:rPr>
          <w:rFonts w:hint="eastAsia"/>
        </w:rPr>
      </w:pPr>
      <w:r>
        <w:rPr>
          <w:rFonts w:hint="eastAsia"/>
        </w:rPr>
        <w:t xml:space="preserve">Studies applying artificial intelligence (AI) to tuberculosis (TB) detection </w:t>
      </w:r>
    </w:p>
    <w:p w14:paraId="1B88F7D4">
      <w:pPr>
        <w:pStyle w:val="2"/>
        <w:rPr>
          <w:rFonts w:hint="eastAsia"/>
        </w:rPr>
      </w:pPr>
      <w:r>
        <w:rPr>
          <w:rFonts w:hint="eastAsia"/>
        </w:rPr>
        <w:t xml:space="preserve">from chest radiographs (CXR) focus on models and metrics, yet the quality, </w:t>
      </w:r>
    </w:p>
    <w:p w14:paraId="498C84C0">
      <w:pPr>
        <w:pStyle w:val="2"/>
        <w:rPr>
          <w:rFonts w:hint="eastAsia"/>
        </w:rPr>
      </w:pPr>
      <w:r>
        <w:rPr>
          <w:rFonts w:hint="eastAsia"/>
        </w:rPr>
        <w:t xml:space="preserve">provenance and reproducibility of the data workflow decide the reliability of </w:t>
      </w:r>
    </w:p>
    <w:p w14:paraId="26E12848">
      <w:pPr>
        <w:pStyle w:val="2"/>
        <w:rPr>
          <w:rFonts w:hint="eastAsia"/>
        </w:rPr>
      </w:pPr>
      <w:r>
        <w:rPr>
          <w:rFonts w:hint="eastAsia"/>
        </w:rPr>
        <w:t xml:space="preserve">results; duplicate images and non-patient-level splitting inflate evaluation </w:t>
      </w:r>
    </w:p>
    <w:p w14:paraId="7A545EF2">
      <w:pPr>
        <w:pStyle w:val="2"/>
        <w:rPr>
          <w:rFonts w:hint="eastAsia"/>
        </w:rPr>
      </w:pPr>
      <w:r>
        <w:rPr>
          <w:rFonts w:hint="eastAsia"/>
        </w:rPr>
        <w:t xml:space="preserve">metrics. We propose a seven-step data-governance workflow: multi-source </w:t>
      </w:r>
    </w:p>
    <w:p w14:paraId="037ECCF5">
      <w:pPr>
        <w:pStyle w:val="2"/>
        <w:rPr>
          <w:rFonts w:hint="eastAsia"/>
        </w:rPr>
      </w:pPr>
      <w:r>
        <w:rPr>
          <w:rFonts w:hint="eastAsia"/>
        </w:rPr>
        <w:t xml:space="preserve">standardisation, provenance management, three-hash deduplication (MD5, pHash, </w:t>
      </w:r>
    </w:p>
    <w:p w14:paraId="654BF1B3">
      <w:pPr>
        <w:pStyle w:val="2"/>
        <w:rPr>
          <w:rFonts w:hint="eastAsia"/>
        </w:rPr>
      </w:pPr>
      <w:r>
        <w:rPr>
          <w:rFonts w:hint="eastAsia"/>
        </w:rPr>
        <w:t xml:space="preserve">dHash), patient-level splitting, invariant-check auditing, lung segmentation and </w:t>
      </w:r>
    </w:p>
    <w:p w14:paraId="5D61179A">
      <w:pPr>
        <w:pStyle w:val="2"/>
        <w:rPr>
          <w:rFonts w:hint="eastAsia"/>
        </w:rPr>
      </w:pPr>
      <w:r>
        <w:rPr>
          <w:rFonts w:hint="eastAsia"/>
        </w:rPr>
        <w:t xml:space="preserve">version freezing by data fingerprint. Four leakage scenarios (deduplication on </w:t>
      </w:r>
    </w:p>
    <w:p w14:paraId="08DCEE2D">
      <w:pPr>
        <w:pStyle w:val="2"/>
        <w:rPr>
          <w:rFonts w:hint="eastAsia"/>
        </w:rPr>
      </w:pPr>
      <w:r>
        <w:rPr>
          <w:rFonts w:hint="eastAsia"/>
        </w:rPr>
        <w:t xml:space="preserve">or off; patient-level or random split) were repeated 20 times with paired splits </w:t>
      </w:r>
    </w:p>
    <w:p w14:paraId="385A00AA">
      <w:pPr>
        <w:pStyle w:val="2"/>
        <w:rPr>
          <w:rFonts w:hint="eastAsia"/>
        </w:rPr>
      </w:pPr>
      <w:r>
        <w:rPr>
          <w:rFonts w:hint="eastAsia"/>
        </w:rPr>
        <w:t xml:space="preserve">and compared with the clean scenario on per-repeat differences. On 46,410 CXR </w:t>
      </w:r>
    </w:p>
    <w:p w14:paraId="148D09BB">
      <w:pPr>
        <w:pStyle w:val="2"/>
        <w:rPr>
          <w:rFonts w:hint="eastAsia"/>
        </w:rPr>
      </w:pPr>
      <w:r>
        <w:rPr>
          <w:rFonts w:hint="eastAsia"/>
        </w:rPr>
        <w:t xml:space="preserve">images from seven public sources, the workflow removed duplicates at file and </w:t>
      </w:r>
    </w:p>
    <w:p w14:paraId="39FD0B4C">
      <w:pPr>
        <w:pStyle w:val="2"/>
        <w:rPr>
          <w:rFonts w:hint="eastAsia"/>
        </w:rPr>
      </w:pPr>
      <w:r>
        <w:rPr>
          <w:rFonts w:hint="eastAsia"/>
        </w:rPr>
        <w:t xml:space="preserve">content level, standardised 16,554 TB Portals DICOM images, generated 34,554 </w:t>
      </w:r>
    </w:p>
    <w:p w14:paraId="1B5EC4B0">
      <w:pPr>
        <w:pStyle w:val="2"/>
        <w:rPr>
          <w:rFonts w:hint="eastAsia"/>
        </w:rPr>
      </w:pPr>
      <w:r>
        <w:rPr>
          <w:rFonts w:hint="eastAsia"/>
        </w:rPr>
        <w:t xml:space="preserve">lung masks without failure and sealed every layer with SHA-256 hashes. On the </w:t>
      </w:r>
    </w:p>
    <w:p w14:paraId="2EAFE779">
      <w:pPr>
        <w:pStyle w:val="2"/>
        <w:rPr>
          <w:rFonts w:hint="eastAsia"/>
        </w:rPr>
      </w:pPr>
      <w:r>
        <w:rPr>
          <w:rFonts w:hint="eastAsia"/>
        </w:rPr>
        <w:t xml:space="preserve">three-class multi-source corpus, the area under the curve (AUC) saturated near </w:t>
      </w:r>
    </w:p>
    <w:p w14:paraId="7F5E11E7">
      <w:pPr>
        <w:pStyle w:val="2"/>
        <w:rPr>
          <w:rFonts w:hint="eastAsia"/>
        </w:rPr>
      </w:pPr>
      <w:r>
        <w:rPr>
          <w:rFonts w:hint="eastAsia"/>
        </w:rPr>
        <w:t xml:space="preserve">0.997 in every scenario, consistent with source-class confounding; paired </w:t>
      </w:r>
    </w:p>
    <w:p w14:paraId="0EB4EE00">
      <w:pPr>
        <w:pStyle w:val="2"/>
        <w:rPr>
          <w:rFonts w:hint="eastAsia"/>
        </w:rPr>
      </w:pPr>
      <w:r>
        <w:rPr>
          <w:rFonts w:hint="eastAsia"/>
        </w:rPr>
        <w:t xml:space="preserve">leakage effects were statistically detectable but below 0.1 percentage points. </w:t>
      </w:r>
    </w:p>
    <w:p w14:paraId="0AF9E844">
      <w:pPr>
        <w:pStyle w:val="2"/>
        <w:rPr>
          <w:rFonts w:hint="eastAsia"/>
        </w:rPr>
      </w:pPr>
      <w:r>
        <w:rPr>
          <w:rFonts w:hint="eastAsia"/>
        </w:rPr>
        <w:t xml:space="preserve">On a single-source probe task (drug resistance within TB Portals), random </w:t>
      </w:r>
    </w:p>
    <w:p w14:paraId="573A5E0F">
      <w:pPr>
        <w:pStyle w:val="2"/>
        <w:rPr>
          <w:rFonts w:hint="eastAsia"/>
        </w:rPr>
      </w:pPr>
      <w:r>
        <w:rPr>
          <w:rFonts w:hint="eastAsia"/>
        </w:rPr>
        <w:t xml:space="preserve">image-level splitting inflated the internal AUC by 1.7 percentage points (95% </w:t>
      </w:r>
    </w:p>
    <w:p w14:paraId="582D60FA">
      <w:pPr>
        <w:pStyle w:val="2"/>
        <w:rPr>
          <w:rFonts w:hint="eastAsia"/>
        </w:rPr>
      </w:pPr>
      <w:r>
        <w:rPr>
          <w:rFonts w:hint="eastAsia"/>
        </w:rPr>
        <w:t xml:space="preserve">confidence interval 0.9 to 2.4; p = 0.001), or 1.2 points after a deduplication </w:t>
      </w:r>
    </w:p>
    <w:p w14:paraId="71CD8DCD">
      <w:pPr>
        <w:pStyle w:val="2"/>
        <w:rPr>
          <w:rFonts w:hint="eastAsia"/>
        </w:rPr>
      </w:pPr>
      <w:r>
        <w:rPr>
          <w:rFonts w:hint="eastAsia"/>
        </w:rPr>
        <w:t xml:space="preserve">gap found during revision was repaired; in a holdout design, an internal gap of </w:t>
      </w:r>
    </w:p>
    <w:p w14:paraId="4B43BF7C">
      <w:pPr>
        <w:pStyle w:val="2"/>
        <w:rPr>
          <w:rFonts w:hint="eastAsia"/>
        </w:rPr>
      </w:pPr>
      <w:r>
        <w:rPr>
          <w:rFonts w:hint="eastAsia"/>
        </w:rPr>
        <w:t xml:space="preserve">1.1 points shrank to 0.4 points on a patient-disjoint holdout. The magnitude of </w:t>
      </w:r>
    </w:p>
    <w:p w14:paraId="6135EA33">
      <w:pPr>
        <w:pStyle w:val="2"/>
        <w:rPr>
          <w:rFonts w:hint="eastAsia"/>
        </w:rPr>
      </w:pPr>
      <w:r>
        <w:rPr>
          <w:rFonts w:hint="eastAsia"/>
        </w:rPr>
        <w:t xml:space="preserve">leakage depends on data structure and must be measured; a rigorous governance </w:t>
      </w:r>
    </w:p>
    <w:p w14:paraId="6381632A">
      <w:pPr>
        <w:pStyle w:val="2"/>
        <w:rPr>
          <w:rFonts w:hint="eastAsia"/>
        </w:rPr>
      </w:pPr>
      <w:r>
        <w:rPr>
          <w:rFonts w:hint="eastAsia"/>
        </w:rPr>
        <w:t>workflow makes that measurement, and data reuse, verifiable.</w:t>
      </w:r>
    </w:p>
    <w:p w14:paraId="1EA9B4DE">
      <w:pPr>
        <w:pStyle w:val="2"/>
        <w:rPr>
          <w:rFonts w:hint="eastAsia"/>
        </w:rPr>
      </w:pPr>
    </w:p>
    <w:p w14:paraId="48B3A872">
      <w:pPr>
        <w:pStyle w:val="2"/>
        <w:rPr>
          <w:rFonts w:hint="eastAsia"/>
        </w:rPr>
      </w:pPr>
      <w:r>
        <w:rPr>
          <w:rFonts w:hint="eastAsia"/>
        </w:rPr>
        <w:t xml:space="preserve">© 2026. The Author(s) under exclusive licence to Society for Imaging Informatics </w:t>
      </w:r>
    </w:p>
    <w:p w14:paraId="3CD05096">
      <w:pPr>
        <w:pStyle w:val="2"/>
        <w:rPr>
          <w:rFonts w:hint="eastAsia"/>
        </w:rPr>
      </w:pPr>
      <w:r>
        <w:rPr>
          <w:rFonts w:hint="eastAsia"/>
        </w:rPr>
        <w:t>in Medicine.</w:t>
      </w:r>
    </w:p>
    <w:p w14:paraId="3E0F6052">
      <w:pPr>
        <w:pStyle w:val="2"/>
        <w:rPr>
          <w:rFonts w:hint="eastAsia"/>
        </w:rPr>
      </w:pPr>
    </w:p>
    <w:p w14:paraId="74F90F69">
      <w:pPr>
        <w:pStyle w:val="2"/>
        <w:rPr>
          <w:rFonts w:hint="eastAsia"/>
        </w:rPr>
      </w:pPr>
      <w:r>
        <w:rPr>
          <w:rFonts w:hint="eastAsia"/>
        </w:rPr>
        <w:t>DOI: 10.1007/s10278-026-02403-2</w:t>
      </w:r>
    </w:p>
    <w:p w14:paraId="49D7F0FD">
      <w:pPr>
        <w:pStyle w:val="2"/>
        <w:rPr>
          <w:rFonts w:hint="eastAsia"/>
        </w:rPr>
      </w:pPr>
      <w:r>
        <w:rPr>
          <w:rFonts w:hint="eastAsia"/>
        </w:rPr>
        <w:t>PMID: 42888308</w:t>
      </w:r>
    </w:p>
    <w:p w14:paraId="6AD6A954">
      <w:pPr>
        <w:pStyle w:val="2"/>
        <w:rPr>
          <w:rFonts w:hint="eastAsia"/>
        </w:rPr>
      </w:pPr>
    </w:p>
    <w:p w14:paraId="3570A33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</w:t>
      </w:r>
      <w:r>
        <w:rPr>
          <w:rFonts w:hint="eastAsia"/>
          <w:b/>
          <w:bCs/>
          <w:color w:val="FF0000"/>
        </w:rPr>
        <w:t>. Trop Med Int Health. 2026 Oct 16. doi: 10.1111/tmi.70225. Online ahead of print.</w:t>
      </w:r>
    </w:p>
    <w:p w14:paraId="0ACB7FDC">
      <w:pPr>
        <w:pStyle w:val="2"/>
        <w:rPr>
          <w:rFonts w:hint="eastAsia"/>
        </w:rPr>
      </w:pPr>
    </w:p>
    <w:p w14:paraId="65F2020C">
      <w:pPr>
        <w:pStyle w:val="2"/>
        <w:rPr>
          <w:rFonts w:hint="eastAsia"/>
        </w:rPr>
      </w:pPr>
      <w:r>
        <w:rPr>
          <w:rFonts w:hint="eastAsia"/>
        </w:rPr>
        <w:t xml:space="preserve">Roles and Implementation of Community Health Worker-Led Interventions in </w:t>
      </w:r>
    </w:p>
    <w:p w14:paraId="53A71E2C">
      <w:pPr>
        <w:pStyle w:val="2"/>
        <w:rPr>
          <w:rFonts w:hint="eastAsia"/>
        </w:rPr>
      </w:pPr>
      <w:r>
        <w:rPr>
          <w:rFonts w:hint="eastAsia"/>
        </w:rPr>
        <w:t>Tuberculosis Care in Low and Middle-Income Countries: A Systematic Review.</w:t>
      </w:r>
    </w:p>
    <w:p w14:paraId="014D65C4">
      <w:pPr>
        <w:pStyle w:val="2"/>
        <w:rPr>
          <w:rFonts w:hint="eastAsia"/>
        </w:rPr>
      </w:pPr>
    </w:p>
    <w:p w14:paraId="59EFEDA0">
      <w:pPr>
        <w:pStyle w:val="2"/>
        <w:rPr>
          <w:rFonts w:hint="eastAsia"/>
        </w:rPr>
      </w:pPr>
      <w:r>
        <w:rPr>
          <w:rFonts w:hint="eastAsia"/>
        </w:rPr>
        <w:t>Sadipun DK(1)(2), Efendi F(1), Ninef VI(1).</w:t>
      </w:r>
    </w:p>
    <w:p w14:paraId="48A12AA3">
      <w:pPr>
        <w:pStyle w:val="2"/>
        <w:rPr>
          <w:rFonts w:hint="eastAsia"/>
        </w:rPr>
      </w:pPr>
    </w:p>
    <w:p w14:paraId="27411C5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468966B">
      <w:pPr>
        <w:pStyle w:val="2"/>
        <w:rPr>
          <w:rFonts w:hint="eastAsia"/>
        </w:rPr>
      </w:pPr>
      <w:r>
        <w:rPr>
          <w:rFonts w:hint="eastAsia"/>
        </w:rPr>
        <w:t>(1)Faculty of Nursing, Universitas Airlangga, Surabaya, Indonesia.</w:t>
      </w:r>
    </w:p>
    <w:p w14:paraId="30672FD4">
      <w:pPr>
        <w:pStyle w:val="2"/>
        <w:rPr>
          <w:rFonts w:hint="eastAsia"/>
        </w:rPr>
      </w:pPr>
      <w:r>
        <w:rPr>
          <w:rFonts w:hint="eastAsia"/>
        </w:rPr>
        <w:t>(2)Faculty of Health Sciences, Universitas Nusa Nipa, Maumere, Indonesia.</w:t>
      </w:r>
    </w:p>
    <w:p w14:paraId="128E2C8E">
      <w:pPr>
        <w:pStyle w:val="2"/>
        <w:rPr>
          <w:rFonts w:hint="eastAsia"/>
        </w:rPr>
      </w:pPr>
    </w:p>
    <w:p w14:paraId="31A179C7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Tuberculosis (TB) remains a major global health challenge, </w:t>
      </w:r>
    </w:p>
    <w:p w14:paraId="0673D8A0">
      <w:pPr>
        <w:pStyle w:val="2"/>
        <w:rPr>
          <w:rFonts w:hint="eastAsia"/>
        </w:rPr>
      </w:pPr>
      <w:r>
        <w:rPr>
          <w:rFonts w:hint="eastAsia"/>
        </w:rPr>
        <w:t xml:space="preserve">particularly in low- and middle-income countries (LMICs). Community health </w:t>
      </w:r>
    </w:p>
    <w:p w14:paraId="0EB01325">
      <w:pPr>
        <w:pStyle w:val="2"/>
        <w:rPr>
          <w:rFonts w:hint="eastAsia"/>
        </w:rPr>
      </w:pPr>
      <w:r>
        <w:rPr>
          <w:rFonts w:hint="eastAsia"/>
        </w:rPr>
        <w:t xml:space="preserve">workers (CHWs) are widely deployed to enhance TB care delivery, yet their roles, </w:t>
      </w:r>
    </w:p>
    <w:p w14:paraId="67DC3420">
      <w:pPr>
        <w:pStyle w:val="2"/>
        <w:rPr>
          <w:rFonts w:hint="eastAsia"/>
        </w:rPr>
      </w:pPr>
      <w:r>
        <w:rPr>
          <w:rFonts w:hint="eastAsia"/>
        </w:rPr>
        <w:t xml:space="preserve">implementation models and contextual determinants have not been comprehensively </w:t>
      </w:r>
    </w:p>
    <w:p w14:paraId="400149B2">
      <w:pPr>
        <w:pStyle w:val="2"/>
        <w:rPr>
          <w:rFonts w:hint="eastAsia"/>
        </w:rPr>
      </w:pPr>
      <w:r>
        <w:rPr>
          <w:rFonts w:hint="eastAsia"/>
        </w:rPr>
        <w:t>synthesized.</w:t>
      </w:r>
    </w:p>
    <w:p w14:paraId="32D60FB4">
      <w:pPr>
        <w:pStyle w:val="2"/>
        <w:rPr>
          <w:rFonts w:hint="eastAsia"/>
        </w:rPr>
      </w:pPr>
      <w:r>
        <w:rPr>
          <w:rFonts w:hint="eastAsia"/>
          <w:b/>
          <w:bCs/>
        </w:rPr>
        <w:t>OBJECTIVE:</w:t>
      </w:r>
      <w:r>
        <w:rPr>
          <w:rFonts w:hint="eastAsia"/>
        </w:rPr>
        <w:t xml:space="preserve"> To systematically review CHW-led TB interventions in LMICs and to </w:t>
      </w:r>
    </w:p>
    <w:p w14:paraId="4163BADD">
      <w:pPr>
        <w:pStyle w:val="2"/>
        <w:rPr>
          <w:rFonts w:hint="eastAsia"/>
        </w:rPr>
      </w:pPr>
      <w:r>
        <w:rPr>
          <w:rFonts w:hint="eastAsia"/>
        </w:rPr>
        <w:t>examine contextual determinants influencing implementation and effectiveness.</w:t>
      </w:r>
    </w:p>
    <w:p w14:paraId="6CE1F9DC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 systematic review was conducted following PRISMA 2020 guidelines. </w:t>
      </w:r>
    </w:p>
    <w:p w14:paraId="108F05AA">
      <w:pPr>
        <w:pStyle w:val="2"/>
        <w:rPr>
          <w:rFonts w:hint="eastAsia"/>
        </w:rPr>
      </w:pPr>
      <w:r>
        <w:rPr>
          <w:rFonts w:hint="eastAsia"/>
        </w:rPr>
        <w:t xml:space="preserve">PubMed, Scopus and Web of Science were searched for studies published up to 31 </w:t>
      </w:r>
    </w:p>
    <w:p w14:paraId="03D5487D">
      <w:pPr>
        <w:pStyle w:val="2"/>
        <w:rPr>
          <w:rFonts w:hint="eastAsia"/>
        </w:rPr>
      </w:pPr>
      <w:r>
        <w:rPr>
          <w:rFonts w:hint="eastAsia"/>
        </w:rPr>
        <w:t xml:space="preserve">December 2025. Quantitative, qualitative and mixed-method studies evaluating </w:t>
      </w:r>
    </w:p>
    <w:p w14:paraId="3302EEC9">
      <w:pPr>
        <w:pStyle w:val="2"/>
        <w:rPr>
          <w:rFonts w:hint="eastAsia"/>
        </w:rPr>
      </w:pPr>
      <w:r>
        <w:rPr>
          <w:rFonts w:hint="eastAsia"/>
        </w:rPr>
        <w:t xml:space="preserve">CHW-led TB interventions in LMICs were included. Study quality was appraised </w:t>
      </w:r>
    </w:p>
    <w:p w14:paraId="28A3336B">
      <w:pPr>
        <w:pStyle w:val="2"/>
        <w:rPr>
          <w:rFonts w:hint="eastAsia"/>
        </w:rPr>
      </w:pPr>
      <w:r>
        <w:rPr>
          <w:rFonts w:hint="eastAsia"/>
        </w:rPr>
        <w:t xml:space="preserve">using Joanna Briggs Institute tools. Data were synthesized thematically and </w:t>
      </w:r>
    </w:p>
    <w:p w14:paraId="7F5D0231">
      <w:pPr>
        <w:pStyle w:val="2"/>
        <w:rPr>
          <w:rFonts w:hint="eastAsia"/>
        </w:rPr>
      </w:pPr>
      <w:r>
        <w:rPr>
          <w:rFonts w:hint="eastAsia"/>
        </w:rPr>
        <w:t xml:space="preserve">mapped to the Consolidated Framework for Implementation Research (CFIR). </w:t>
      </w:r>
    </w:p>
    <w:p w14:paraId="6EBA6878">
      <w:pPr>
        <w:pStyle w:val="2"/>
        <w:rPr>
          <w:rFonts w:hint="eastAsia"/>
        </w:rPr>
      </w:pPr>
      <w:r>
        <w:rPr>
          <w:rFonts w:hint="eastAsia"/>
        </w:rPr>
        <w:t xml:space="preserve">Findings were organized according to intervention models (community-based DOT, </w:t>
      </w:r>
    </w:p>
    <w:p w14:paraId="3270B8E2">
      <w:pPr>
        <w:pStyle w:val="2"/>
        <w:rPr>
          <w:rFonts w:hint="eastAsia"/>
        </w:rPr>
      </w:pPr>
      <w:r>
        <w:rPr>
          <w:rFonts w:hint="eastAsia"/>
        </w:rPr>
        <w:t>family-supported care and digital/hybrid approaches).</w:t>
      </w:r>
    </w:p>
    <w:p w14:paraId="54A1B691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Ten studies were included: nine from Sub-Saharan Africa (Ethiopia, </w:t>
      </w:r>
    </w:p>
    <w:p w14:paraId="743F41F6">
      <w:pPr>
        <w:pStyle w:val="2"/>
        <w:rPr>
          <w:rFonts w:hint="eastAsia"/>
        </w:rPr>
      </w:pPr>
      <w:r>
        <w:rPr>
          <w:rFonts w:hint="eastAsia"/>
        </w:rPr>
        <w:t xml:space="preserve">Rwanda, Cameroon, Uganda and South Africa) and South/Southeast Asia (Indonesia, </w:t>
      </w:r>
    </w:p>
    <w:p w14:paraId="001792F1">
      <w:pPr>
        <w:pStyle w:val="2"/>
        <w:rPr>
          <w:rFonts w:hint="eastAsia"/>
        </w:rPr>
      </w:pPr>
      <w:r>
        <w:rPr>
          <w:rFonts w:hint="eastAsia"/>
        </w:rPr>
        <w:t xml:space="preserve">India, and Vietnam), and one multi-country analysis of TB-REACH projects. CHWs </w:t>
      </w:r>
    </w:p>
    <w:p w14:paraId="71360580">
      <w:pPr>
        <w:pStyle w:val="2"/>
        <w:rPr>
          <w:rFonts w:hint="eastAsia"/>
        </w:rPr>
      </w:pPr>
      <w:r>
        <w:rPr>
          <w:rFonts w:hint="eastAsia"/>
        </w:rPr>
        <w:t xml:space="preserve">contributed to health education, treatment adherence support, active case </w:t>
      </w:r>
    </w:p>
    <w:p w14:paraId="21DC40B8">
      <w:pPr>
        <w:pStyle w:val="2"/>
        <w:rPr>
          <w:rFonts w:hint="eastAsia"/>
        </w:rPr>
      </w:pPr>
      <w:r>
        <w:rPr>
          <w:rFonts w:hint="eastAsia"/>
        </w:rPr>
        <w:t xml:space="preserve">finding and system navigation. Implementation models varied across </w:t>
      </w:r>
    </w:p>
    <w:p w14:paraId="48DE67BE">
      <w:pPr>
        <w:pStyle w:val="2"/>
        <w:rPr>
          <w:rFonts w:hint="eastAsia"/>
        </w:rPr>
      </w:pPr>
      <w:r>
        <w:rPr>
          <w:rFonts w:hint="eastAsia"/>
        </w:rPr>
        <w:t xml:space="preserve">community-based DOT, family-supported and digital/hybrid approaches. </w:t>
      </w:r>
    </w:p>
    <w:p w14:paraId="14F61D08">
      <w:pPr>
        <w:pStyle w:val="2"/>
        <w:rPr>
          <w:rFonts w:hint="eastAsia"/>
        </w:rPr>
      </w:pPr>
      <w:r>
        <w:rPr>
          <w:rFonts w:hint="eastAsia"/>
        </w:rPr>
        <w:t xml:space="preserve">Effectiveness was influenced by patient knowledge, social stigma, CHW training </w:t>
      </w:r>
    </w:p>
    <w:p w14:paraId="7232D551">
      <w:pPr>
        <w:pStyle w:val="2"/>
        <w:rPr>
          <w:rFonts w:hint="eastAsia"/>
        </w:rPr>
      </w:pPr>
      <w:r>
        <w:rPr>
          <w:rFonts w:hint="eastAsia"/>
        </w:rPr>
        <w:t xml:space="preserve">and integration into health systems. Several studies reported improvements in </w:t>
      </w:r>
    </w:p>
    <w:p w14:paraId="7ABAE5AE">
      <w:pPr>
        <w:pStyle w:val="2"/>
        <w:rPr>
          <w:rFonts w:hint="eastAsia"/>
        </w:rPr>
      </w:pPr>
      <w:r>
        <w:rPr>
          <w:rFonts w:hint="eastAsia"/>
        </w:rPr>
        <w:t xml:space="preserve">treatment adherence and case detection, including one large Ethiopian pre-post </w:t>
      </w:r>
    </w:p>
    <w:p w14:paraId="760B7CA2">
      <w:pPr>
        <w:pStyle w:val="2"/>
        <w:rPr>
          <w:rFonts w:hint="eastAsia"/>
        </w:rPr>
      </w:pPr>
      <w:r>
        <w:rPr>
          <w:rFonts w:hint="eastAsia"/>
        </w:rPr>
        <w:t>study reporting treatment success improvement from 76% to 95%.</w:t>
      </w:r>
    </w:p>
    <w:p w14:paraId="1D4DB3D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CHWs are critical in TB care in LMICs, but effectiveness is </w:t>
      </w:r>
    </w:p>
    <w:p w14:paraId="1C191438">
      <w:pPr>
        <w:pStyle w:val="2"/>
        <w:rPr>
          <w:rFonts w:hint="eastAsia"/>
        </w:rPr>
      </w:pPr>
      <w:r>
        <w:rPr>
          <w:rFonts w:hint="eastAsia"/>
        </w:rPr>
        <w:t xml:space="preserve">context-dependent. Strengthening CHW capacity, culturally responsive </w:t>
      </w:r>
    </w:p>
    <w:p w14:paraId="0840AE9E">
      <w:pPr>
        <w:pStyle w:val="2"/>
        <w:rPr>
          <w:rFonts w:hint="eastAsia"/>
        </w:rPr>
      </w:pPr>
      <w:r>
        <w:rPr>
          <w:rFonts w:hint="eastAsia"/>
        </w:rPr>
        <w:t xml:space="preserve">implementation and systematic evaluation frameworks are essential. Evidence from </w:t>
      </w:r>
    </w:p>
    <w:p w14:paraId="58A17EFF">
      <w:pPr>
        <w:pStyle w:val="2"/>
        <w:rPr>
          <w:rFonts w:hint="eastAsia"/>
        </w:rPr>
      </w:pPr>
      <w:r>
        <w:rPr>
          <w:rFonts w:hint="eastAsia"/>
        </w:rPr>
        <w:t xml:space="preserve">comparative and implementation studies suggests that hybrid and digitally </w:t>
      </w:r>
    </w:p>
    <w:p w14:paraId="13606E50">
      <w:pPr>
        <w:pStyle w:val="2"/>
        <w:rPr>
          <w:rFonts w:hint="eastAsia"/>
        </w:rPr>
      </w:pPr>
      <w:r>
        <w:rPr>
          <w:rFonts w:hint="eastAsia"/>
        </w:rPr>
        <w:t>supported models show promise for improving scalability and coverage.</w:t>
      </w:r>
    </w:p>
    <w:p w14:paraId="4223A244">
      <w:pPr>
        <w:pStyle w:val="2"/>
        <w:rPr>
          <w:rFonts w:hint="eastAsia"/>
        </w:rPr>
      </w:pPr>
    </w:p>
    <w:p w14:paraId="2EC0603E">
      <w:pPr>
        <w:pStyle w:val="2"/>
        <w:rPr>
          <w:rFonts w:hint="eastAsia"/>
        </w:rPr>
      </w:pPr>
      <w:r>
        <w:rPr>
          <w:rFonts w:hint="eastAsia"/>
        </w:rPr>
        <w:t>© 2026 John Wiley &amp; Sons Ltd.</w:t>
      </w:r>
    </w:p>
    <w:p w14:paraId="74AD09C1">
      <w:pPr>
        <w:pStyle w:val="2"/>
        <w:rPr>
          <w:rFonts w:hint="eastAsia"/>
        </w:rPr>
      </w:pPr>
    </w:p>
    <w:p w14:paraId="50FDB9F6">
      <w:pPr>
        <w:pStyle w:val="2"/>
        <w:rPr>
          <w:rFonts w:hint="eastAsia"/>
        </w:rPr>
      </w:pPr>
      <w:r>
        <w:rPr>
          <w:rFonts w:hint="eastAsia"/>
        </w:rPr>
        <w:t>DOI: 10.1111/tmi.70225</w:t>
      </w:r>
    </w:p>
    <w:p w14:paraId="730093D8">
      <w:pPr>
        <w:pStyle w:val="2"/>
        <w:rPr>
          <w:rFonts w:hint="eastAsia"/>
        </w:rPr>
      </w:pPr>
      <w:r>
        <w:rPr>
          <w:rFonts w:hint="eastAsia"/>
        </w:rPr>
        <w:t>PMID: 42888176</w:t>
      </w:r>
    </w:p>
    <w:p w14:paraId="4FD3306E">
      <w:pPr>
        <w:pStyle w:val="2"/>
        <w:rPr>
          <w:rFonts w:hint="eastAsia"/>
        </w:rPr>
      </w:pPr>
    </w:p>
    <w:p w14:paraId="17AD5E8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</w:t>
      </w:r>
      <w:r>
        <w:rPr>
          <w:rFonts w:hint="eastAsia"/>
          <w:b/>
          <w:bCs/>
          <w:color w:val="FF0000"/>
        </w:rPr>
        <w:t>. J Biol Chem. 2026 Oct 16:113658. doi: 10.1016/j.jbc.2026.113658. Online ahead of print.</w:t>
      </w:r>
    </w:p>
    <w:p w14:paraId="7D8F7B6E">
      <w:pPr>
        <w:pStyle w:val="2"/>
        <w:rPr>
          <w:rFonts w:hint="eastAsia"/>
        </w:rPr>
      </w:pPr>
    </w:p>
    <w:p w14:paraId="55937685">
      <w:pPr>
        <w:pStyle w:val="2"/>
        <w:rPr>
          <w:rFonts w:hint="eastAsia"/>
        </w:rPr>
      </w:pPr>
      <w:r>
        <w:rPr>
          <w:rFonts w:hint="eastAsia"/>
        </w:rPr>
        <w:t xml:space="preserve">Small proteins CrgA and Rv0207c modulate the essential mycolic acid transporter </w:t>
      </w:r>
    </w:p>
    <w:p w14:paraId="2B7EE2E2">
      <w:pPr>
        <w:pStyle w:val="2"/>
        <w:rPr>
          <w:rFonts w:hint="eastAsia"/>
        </w:rPr>
      </w:pPr>
      <w:r>
        <w:rPr>
          <w:rFonts w:hint="eastAsia"/>
        </w:rPr>
        <w:t>MmpL3.</w:t>
      </w:r>
    </w:p>
    <w:p w14:paraId="17A5F657">
      <w:pPr>
        <w:pStyle w:val="2"/>
        <w:rPr>
          <w:rFonts w:hint="eastAsia"/>
        </w:rPr>
      </w:pPr>
    </w:p>
    <w:p w14:paraId="280BD251">
      <w:pPr>
        <w:pStyle w:val="2"/>
        <w:rPr>
          <w:rFonts w:hint="eastAsia"/>
        </w:rPr>
      </w:pPr>
      <w:r>
        <w:rPr>
          <w:rFonts w:hint="eastAsia"/>
        </w:rPr>
        <w:t>Choukate K(1), Babii S(1), Li W(2), Jackson M(2), Zgurskaya HI(3).</w:t>
      </w:r>
    </w:p>
    <w:p w14:paraId="6CF0976C">
      <w:pPr>
        <w:pStyle w:val="2"/>
        <w:rPr>
          <w:rFonts w:hint="eastAsia"/>
        </w:rPr>
      </w:pPr>
    </w:p>
    <w:p w14:paraId="6E876D6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DE9334B">
      <w:pPr>
        <w:pStyle w:val="2"/>
        <w:rPr>
          <w:rFonts w:hint="eastAsia"/>
        </w:rPr>
      </w:pPr>
      <w:r>
        <w:rPr>
          <w:rFonts w:hint="eastAsia"/>
        </w:rPr>
        <w:t xml:space="preserve">(1)University of Oklahoma, Department of Chemistry and Biochemistry, 101 </w:t>
      </w:r>
    </w:p>
    <w:p w14:paraId="1A44C648">
      <w:pPr>
        <w:pStyle w:val="2"/>
        <w:rPr>
          <w:rFonts w:hint="eastAsia"/>
        </w:rPr>
      </w:pPr>
      <w:r>
        <w:rPr>
          <w:rFonts w:hint="eastAsia"/>
        </w:rPr>
        <w:t>Stephenson Parkway, Norman, OK 73019, USA.</w:t>
      </w:r>
    </w:p>
    <w:p w14:paraId="01ABC65A">
      <w:pPr>
        <w:pStyle w:val="2"/>
        <w:rPr>
          <w:rFonts w:hint="eastAsia"/>
        </w:rPr>
      </w:pPr>
      <w:r>
        <w:rPr>
          <w:rFonts w:hint="eastAsia"/>
        </w:rPr>
        <w:t xml:space="preserve">(2)Mycobacteria Research Laboratories, Department of Microbiology, Immunology </w:t>
      </w:r>
    </w:p>
    <w:p w14:paraId="1B8F41AB">
      <w:pPr>
        <w:pStyle w:val="2"/>
        <w:rPr>
          <w:rFonts w:hint="eastAsia"/>
        </w:rPr>
      </w:pPr>
      <w:r>
        <w:rPr>
          <w:rFonts w:hint="eastAsia"/>
        </w:rPr>
        <w:t xml:space="preserve">and Pathology, Colorado State University, 1682 campus delivery, Fort Collins, CO </w:t>
      </w:r>
    </w:p>
    <w:p w14:paraId="6D1702F3">
      <w:pPr>
        <w:pStyle w:val="2"/>
        <w:rPr>
          <w:rFonts w:hint="eastAsia"/>
        </w:rPr>
      </w:pPr>
      <w:r>
        <w:rPr>
          <w:rFonts w:hint="eastAsia"/>
        </w:rPr>
        <w:t>80523, USA.</w:t>
      </w:r>
    </w:p>
    <w:p w14:paraId="3CACB757">
      <w:pPr>
        <w:pStyle w:val="2"/>
        <w:rPr>
          <w:rFonts w:hint="eastAsia"/>
        </w:rPr>
      </w:pPr>
      <w:r>
        <w:rPr>
          <w:rFonts w:hint="eastAsia"/>
        </w:rPr>
        <w:t xml:space="preserve">(3)University of Oklahoma, Department of Chemistry and Biochemistry, 101 </w:t>
      </w:r>
    </w:p>
    <w:p w14:paraId="48BF34BD">
      <w:pPr>
        <w:pStyle w:val="2"/>
        <w:rPr>
          <w:rFonts w:hint="eastAsia"/>
        </w:rPr>
      </w:pPr>
      <w:r>
        <w:rPr>
          <w:rFonts w:hint="eastAsia"/>
        </w:rPr>
        <w:t>Stephenson Parkway, Norman, OK 73019, USA. Electronic address: elenaz@ou.edu.</w:t>
      </w:r>
    </w:p>
    <w:p w14:paraId="0E790DA1">
      <w:pPr>
        <w:pStyle w:val="2"/>
        <w:rPr>
          <w:rFonts w:hint="eastAsia"/>
        </w:rPr>
      </w:pPr>
    </w:p>
    <w:p w14:paraId="434B2771">
      <w:pPr>
        <w:pStyle w:val="2"/>
        <w:rPr>
          <w:rFonts w:hint="eastAsia"/>
        </w:rPr>
      </w:pPr>
      <w:r>
        <w:rPr>
          <w:rFonts w:hint="eastAsia"/>
        </w:rPr>
        <w:t xml:space="preserve">MmpL protein complexes are major contributors to lipid/metabolite and drug </w:t>
      </w:r>
    </w:p>
    <w:p w14:paraId="63E792E9">
      <w:pPr>
        <w:pStyle w:val="2"/>
        <w:rPr>
          <w:rFonts w:hint="eastAsia"/>
        </w:rPr>
      </w:pPr>
      <w:r>
        <w:rPr>
          <w:rFonts w:hint="eastAsia"/>
        </w:rPr>
        <w:t xml:space="preserve">transport in Mycobacterium tuberculosis and related mycobacteria and are </w:t>
      </w:r>
    </w:p>
    <w:p w14:paraId="341C75B3">
      <w:pPr>
        <w:pStyle w:val="2"/>
        <w:rPr>
          <w:rFonts w:hint="eastAsia"/>
        </w:rPr>
      </w:pPr>
      <w:r>
        <w:rPr>
          <w:rFonts w:hint="eastAsia"/>
        </w:rPr>
        <w:t xml:space="preserve">important targets in current drug discovery efforts. At the core of these </w:t>
      </w:r>
    </w:p>
    <w:p w14:paraId="4CB1C45D">
      <w:pPr>
        <w:pStyle w:val="2"/>
        <w:rPr>
          <w:rFonts w:hint="eastAsia"/>
        </w:rPr>
      </w:pPr>
      <w:r>
        <w:rPr>
          <w:rFonts w:hint="eastAsia"/>
        </w:rPr>
        <w:t xml:space="preserve">complexes are proton-motive force driven transporters belonging to the </w:t>
      </w:r>
    </w:p>
    <w:p w14:paraId="5BD94B07">
      <w:pPr>
        <w:pStyle w:val="2"/>
        <w:rPr>
          <w:rFonts w:hint="eastAsia"/>
        </w:rPr>
      </w:pPr>
      <w:r>
        <w:rPr>
          <w:rFonts w:hint="eastAsia"/>
        </w:rPr>
        <w:t xml:space="preserve">Resistance-Nodulation-cell Division superfamily of proteins that enable export </w:t>
      </w:r>
    </w:p>
    <w:p w14:paraId="0C0E94F9">
      <w:pPr>
        <w:pStyle w:val="2"/>
        <w:rPr>
          <w:rFonts w:hint="eastAsia"/>
        </w:rPr>
      </w:pPr>
      <w:r>
        <w:rPr>
          <w:rFonts w:hint="eastAsia"/>
        </w:rPr>
        <w:t xml:space="preserve">of various substrates across complex bacterial cell envelopes. This study </w:t>
      </w:r>
    </w:p>
    <w:p w14:paraId="1A013D18">
      <w:pPr>
        <w:pStyle w:val="2"/>
        <w:rPr>
          <w:rFonts w:hint="eastAsia"/>
        </w:rPr>
      </w:pPr>
      <w:r>
        <w:rPr>
          <w:rFonts w:hint="eastAsia"/>
        </w:rPr>
        <w:t xml:space="preserve">focuses on MmpL3, which transports trehalose monomycolate in M. tuberculosis and </w:t>
      </w:r>
    </w:p>
    <w:p w14:paraId="51BED653">
      <w:pPr>
        <w:pStyle w:val="2"/>
        <w:rPr>
          <w:rFonts w:hint="eastAsia"/>
        </w:rPr>
      </w:pPr>
      <w:r>
        <w:rPr>
          <w:rFonts w:hint="eastAsia"/>
        </w:rPr>
        <w:t xml:space="preserve">related bacterial species and plays an essential role in the assembly of the </w:t>
      </w:r>
    </w:p>
    <w:p w14:paraId="1B898086">
      <w:pPr>
        <w:pStyle w:val="2"/>
        <w:rPr>
          <w:rFonts w:hint="eastAsia"/>
        </w:rPr>
      </w:pPr>
      <w:r>
        <w:rPr>
          <w:rFonts w:hint="eastAsia"/>
        </w:rPr>
        <w:t xml:space="preserve">mycobacterial outer membrane. Association of MmpL3 with proteins involved in </w:t>
      </w:r>
    </w:p>
    <w:p w14:paraId="090E9B2A">
      <w:pPr>
        <w:pStyle w:val="2"/>
        <w:rPr>
          <w:rFonts w:hint="eastAsia"/>
        </w:rPr>
      </w:pPr>
      <w:r>
        <w:rPr>
          <w:rFonts w:hint="eastAsia"/>
        </w:rPr>
        <w:t xml:space="preserve">biosynthesis of mycolic acids, cell wall glycans and cell division pathways </w:t>
      </w:r>
    </w:p>
    <w:p w14:paraId="2814D03D">
      <w:pPr>
        <w:pStyle w:val="2"/>
        <w:rPr>
          <w:rFonts w:hint="eastAsia"/>
        </w:rPr>
      </w:pPr>
      <w:r>
        <w:rPr>
          <w:rFonts w:hint="eastAsia"/>
        </w:rPr>
        <w:t xml:space="preserve">placed this transporter at the center of a complex crosstalk between various </w:t>
      </w:r>
    </w:p>
    <w:p w14:paraId="70671163">
      <w:pPr>
        <w:pStyle w:val="2"/>
        <w:rPr>
          <w:rFonts w:hint="eastAsia"/>
        </w:rPr>
      </w:pPr>
      <w:r>
        <w:rPr>
          <w:rFonts w:hint="eastAsia"/>
        </w:rPr>
        <w:t xml:space="preserve">cell envelope biosynthetic processes. Here, we characterized functional </w:t>
      </w:r>
    </w:p>
    <w:p w14:paraId="61B024B8">
      <w:pPr>
        <w:pStyle w:val="2"/>
        <w:rPr>
          <w:rFonts w:hint="eastAsia"/>
        </w:rPr>
      </w:pPr>
      <w:r>
        <w:rPr>
          <w:rFonts w:hint="eastAsia"/>
        </w:rPr>
        <w:t xml:space="preserve">interaction of MmpL3 with CrgA, a key transmembrane cell division regulatory </w:t>
      </w:r>
    </w:p>
    <w:p w14:paraId="77484771">
      <w:pPr>
        <w:pStyle w:val="2"/>
        <w:rPr>
          <w:rFonts w:hint="eastAsia"/>
        </w:rPr>
      </w:pPr>
      <w:r>
        <w:rPr>
          <w:rFonts w:hint="eastAsia"/>
        </w:rPr>
        <w:t xml:space="preserve">protein, and Rv0207c, a cytoplasmic conserved mycobacterial protein. We analyzed </w:t>
      </w:r>
    </w:p>
    <w:p w14:paraId="318A8FBD">
      <w:pPr>
        <w:pStyle w:val="2"/>
        <w:rPr>
          <w:rFonts w:hint="eastAsia"/>
        </w:rPr>
      </w:pPr>
      <w:r>
        <w:rPr>
          <w:rFonts w:hint="eastAsia"/>
        </w:rPr>
        <w:t xml:space="preserve">how inactivation of CrgA and Rv0207c in vivo and their interactions with MmpL3 </w:t>
      </w:r>
    </w:p>
    <w:p w14:paraId="4EF1C267">
      <w:pPr>
        <w:pStyle w:val="2"/>
        <w:rPr>
          <w:rFonts w:hint="eastAsia"/>
        </w:rPr>
      </w:pPr>
      <w:r>
        <w:rPr>
          <w:rFonts w:hint="eastAsia"/>
        </w:rPr>
        <w:t xml:space="preserve">in vitro affect the MmpL3-dependent lipid transport activities. We found that </w:t>
      </w:r>
    </w:p>
    <w:p w14:paraId="3B9FFC6A">
      <w:pPr>
        <w:pStyle w:val="2"/>
        <w:rPr>
          <w:rFonts w:hint="eastAsia"/>
        </w:rPr>
      </w:pPr>
      <w:r>
        <w:rPr>
          <w:rFonts w:hint="eastAsia"/>
        </w:rPr>
        <w:t xml:space="preserve">the two proteins modulate the activities of MmpL3 and its interactions with </w:t>
      </w:r>
    </w:p>
    <w:p w14:paraId="72655485">
      <w:pPr>
        <w:pStyle w:val="2"/>
        <w:rPr>
          <w:rFonts w:hint="eastAsia"/>
        </w:rPr>
      </w:pPr>
      <w:r>
        <w:rPr>
          <w:rFonts w:hint="eastAsia"/>
        </w:rPr>
        <w:t xml:space="preserve">substrates and inhibitors in a similar manner by preventing ligands access to </w:t>
      </w:r>
    </w:p>
    <w:p w14:paraId="62C752A3">
      <w:pPr>
        <w:pStyle w:val="2"/>
        <w:rPr>
          <w:rFonts w:hint="eastAsia"/>
        </w:rPr>
      </w:pPr>
      <w:r>
        <w:rPr>
          <w:rFonts w:hint="eastAsia"/>
        </w:rPr>
        <w:t xml:space="preserve">their binding sites in the transporter. Our results provide biochemical evidence </w:t>
      </w:r>
    </w:p>
    <w:p w14:paraId="31FE3F9B">
      <w:pPr>
        <w:pStyle w:val="2"/>
        <w:rPr>
          <w:rFonts w:hint="eastAsia"/>
        </w:rPr>
      </w:pPr>
      <w:r>
        <w:rPr>
          <w:rFonts w:hint="eastAsia"/>
        </w:rPr>
        <w:t xml:space="preserve">that CrgA and Rv0207c function in the same pathway and coordinate the transport </w:t>
      </w:r>
    </w:p>
    <w:p w14:paraId="3845C028">
      <w:pPr>
        <w:pStyle w:val="2"/>
        <w:rPr>
          <w:rFonts w:hint="eastAsia"/>
        </w:rPr>
      </w:pPr>
      <w:r>
        <w:rPr>
          <w:rFonts w:hint="eastAsia"/>
        </w:rPr>
        <w:t>activity of MmpL3 with polar cell growth and division.</w:t>
      </w:r>
    </w:p>
    <w:p w14:paraId="4F17D83B">
      <w:pPr>
        <w:pStyle w:val="2"/>
        <w:rPr>
          <w:rFonts w:hint="eastAsia"/>
        </w:rPr>
      </w:pPr>
    </w:p>
    <w:p w14:paraId="234EBF57">
      <w:pPr>
        <w:pStyle w:val="2"/>
        <w:rPr>
          <w:rFonts w:hint="eastAsia"/>
        </w:rPr>
      </w:pPr>
      <w:r>
        <w:rPr>
          <w:rFonts w:hint="eastAsia"/>
        </w:rPr>
        <w:t>Copyright © 2026 The Authors. Published by Elsevier Inc. All rights reserved.</w:t>
      </w:r>
    </w:p>
    <w:p w14:paraId="758E5437">
      <w:pPr>
        <w:pStyle w:val="2"/>
        <w:rPr>
          <w:rFonts w:hint="eastAsia"/>
        </w:rPr>
      </w:pPr>
    </w:p>
    <w:p w14:paraId="5514EEEE">
      <w:pPr>
        <w:pStyle w:val="2"/>
        <w:rPr>
          <w:rFonts w:hint="eastAsia"/>
        </w:rPr>
      </w:pPr>
      <w:r>
        <w:rPr>
          <w:rFonts w:hint="eastAsia"/>
        </w:rPr>
        <w:t>DOI: 10.1016/j.jbc.2026.113658</w:t>
      </w:r>
    </w:p>
    <w:p w14:paraId="7F9FCF98">
      <w:pPr>
        <w:pStyle w:val="2"/>
        <w:rPr>
          <w:rFonts w:hint="eastAsia"/>
        </w:rPr>
      </w:pPr>
      <w:r>
        <w:rPr>
          <w:rFonts w:hint="eastAsia"/>
        </w:rPr>
        <w:t>PMID: 42887776</w:t>
      </w:r>
    </w:p>
    <w:p w14:paraId="23F7C3FA">
      <w:pPr>
        <w:pStyle w:val="2"/>
        <w:rPr>
          <w:rFonts w:hint="eastAsia"/>
        </w:rPr>
      </w:pPr>
    </w:p>
    <w:p w14:paraId="5653CB8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</w:t>
      </w:r>
      <w:r>
        <w:rPr>
          <w:rFonts w:hint="eastAsia"/>
          <w:b/>
          <w:bCs/>
          <w:color w:val="FF0000"/>
        </w:rPr>
        <w:t xml:space="preserve">. PLoS One. 2026 Oct 16;21(10):e0360758. doi: 10.1371/journal.pone.0360758. </w:t>
      </w:r>
    </w:p>
    <w:p w14:paraId="3AFD452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09225710">
      <w:pPr>
        <w:pStyle w:val="2"/>
        <w:rPr>
          <w:rFonts w:hint="eastAsia"/>
        </w:rPr>
      </w:pPr>
    </w:p>
    <w:p w14:paraId="5BFCE91B">
      <w:pPr>
        <w:pStyle w:val="2"/>
        <w:rPr>
          <w:rFonts w:hint="eastAsia"/>
        </w:rPr>
      </w:pPr>
      <w:r>
        <w:rPr>
          <w:rFonts w:hint="eastAsia"/>
        </w:rPr>
        <w:t xml:space="preserve">Self-reported prevalence of tuberculosis and selected associated vulnerability </w:t>
      </w:r>
    </w:p>
    <w:p w14:paraId="1AD594C7">
      <w:pPr>
        <w:pStyle w:val="2"/>
        <w:rPr>
          <w:rFonts w:hint="eastAsia"/>
        </w:rPr>
      </w:pPr>
      <w:r>
        <w:rPr>
          <w:rFonts w:hint="eastAsia"/>
        </w:rPr>
        <w:t xml:space="preserve">factors among rural populations in six districts of India: A community-based </w:t>
      </w:r>
    </w:p>
    <w:p w14:paraId="60A57510">
      <w:pPr>
        <w:pStyle w:val="2"/>
        <w:rPr>
          <w:rFonts w:hint="eastAsia"/>
        </w:rPr>
      </w:pPr>
      <w:r>
        <w:rPr>
          <w:rFonts w:hint="eastAsia"/>
        </w:rPr>
        <w:t>cross-sectional study.</w:t>
      </w:r>
    </w:p>
    <w:p w14:paraId="07C06FD3">
      <w:pPr>
        <w:pStyle w:val="2"/>
        <w:rPr>
          <w:rFonts w:hint="eastAsia"/>
        </w:rPr>
      </w:pPr>
    </w:p>
    <w:p w14:paraId="29EFD338">
      <w:pPr>
        <w:pStyle w:val="2"/>
        <w:rPr>
          <w:rFonts w:hint="eastAsia"/>
        </w:rPr>
      </w:pPr>
      <w:r>
        <w:rPr>
          <w:rFonts w:hint="eastAsia"/>
        </w:rPr>
        <w:t xml:space="preserve">Anand PK(1), Singh M(2), Banerjee P(3), Sahay S(4), Bangar S(4), Ghosh BR(2), </w:t>
      </w:r>
    </w:p>
    <w:p w14:paraId="3181642D">
      <w:pPr>
        <w:pStyle w:val="2"/>
        <w:rPr>
          <w:rFonts w:hint="eastAsia"/>
        </w:rPr>
      </w:pPr>
      <w:r>
        <w:rPr>
          <w:rFonts w:hint="eastAsia"/>
        </w:rPr>
        <w:t>Chalga MS(2), Pappu A(5), Das V(5), Gupta S(6), Kumar A(7), Pandey D(8).</w:t>
      </w:r>
    </w:p>
    <w:p w14:paraId="026F2765">
      <w:pPr>
        <w:pStyle w:val="2"/>
        <w:rPr>
          <w:rFonts w:hint="eastAsia"/>
        </w:rPr>
      </w:pPr>
    </w:p>
    <w:p w14:paraId="3F821D8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05DC1B5">
      <w:pPr>
        <w:pStyle w:val="2"/>
        <w:rPr>
          <w:rFonts w:hint="eastAsia"/>
        </w:rPr>
      </w:pPr>
      <w:r>
        <w:rPr>
          <w:rFonts w:hint="eastAsia"/>
        </w:rPr>
        <w:t>(1)ICMR - National Institute of Health Research, Jodhpur, Rajasthan, India.</w:t>
      </w:r>
    </w:p>
    <w:p w14:paraId="063AA20E">
      <w:pPr>
        <w:pStyle w:val="2"/>
        <w:rPr>
          <w:rFonts w:hint="eastAsia"/>
        </w:rPr>
      </w:pPr>
      <w:r>
        <w:rPr>
          <w:rFonts w:hint="eastAsia"/>
        </w:rPr>
        <w:t xml:space="preserve">(2)Indian Council of Medical Research (ICMR), Ministry of Health and Family </w:t>
      </w:r>
    </w:p>
    <w:p w14:paraId="6915084D">
      <w:pPr>
        <w:pStyle w:val="2"/>
        <w:rPr>
          <w:rFonts w:hint="eastAsia"/>
        </w:rPr>
      </w:pPr>
      <w:r>
        <w:rPr>
          <w:rFonts w:hint="eastAsia"/>
        </w:rPr>
        <w:t>Welfare, India.</w:t>
      </w:r>
    </w:p>
    <w:p w14:paraId="0261EAA9">
      <w:pPr>
        <w:pStyle w:val="2"/>
        <w:rPr>
          <w:rFonts w:hint="eastAsia"/>
        </w:rPr>
      </w:pPr>
      <w:r>
        <w:rPr>
          <w:rFonts w:hint="eastAsia"/>
        </w:rPr>
        <w:t>(3)Indian Institute of Public Health, Gandhinagar, Gujarat, India.</w:t>
      </w:r>
    </w:p>
    <w:p w14:paraId="2496750C">
      <w:pPr>
        <w:pStyle w:val="2"/>
        <w:rPr>
          <w:rFonts w:hint="eastAsia"/>
        </w:rPr>
      </w:pPr>
      <w:r>
        <w:rPr>
          <w:rFonts w:hint="eastAsia"/>
        </w:rPr>
        <w:t>(4)ICMR - National AIDS Research Institute, Pune, India.</w:t>
      </w:r>
    </w:p>
    <w:p w14:paraId="77FD0067">
      <w:pPr>
        <w:pStyle w:val="2"/>
        <w:rPr>
          <w:rFonts w:hint="eastAsia"/>
        </w:rPr>
      </w:pPr>
      <w:r>
        <w:rPr>
          <w:rFonts w:hint="eastAsia"/>
        </w:rPr>
        <w:t xml:space="preserve">(5)ICMR - Rajendra Memorial Research Institute on Medical Sciences, Patna, </w:t>
      </w:r>
    </w:p>
    <w:p w14:paraId="0C14C541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741487FA">
      <w:pPr>
        <w:pStyle w:val="2"/>
        <w:rPr>
          <w:rFonts w:hint="eastAsia"/>
        </w:rPr>
      </w:pPr>
      <w:r>
        <w:rPr>
          <w:rFonts w:hint="eastAsia"/>
        </w:rPr>
        <w:t>(6)King George Medical University, Lucknow, India.</w:t>
      </w:r>
    </w:p>
    <w:p w14:paraId="3C955B74">
      <w:pPr>
        <w:pStyle w:val="2"/>
        <w:rPr>
          <w:rFonts w:hint="eastAsia"/>
        </w:rPr>
      </w:pPr>
      <w:r>
        <w:rPr>
          <w:rFonts w:hint="eastAsia"/>
        </w:rPr>
        <w:t>(7)AIIMS, Bhopal, India.</w:t>
      </w:r>
    </w:p>
    <w:p w14:paraId="71415B83">
      <w:pPr>
        <w:pStyle w:val="2"/>
        <w:rPr>
          <w:rFonts w:hint="eastAsia"/>
        </w:rPr>
      </w:pPr>
      <w:r>
        <w:rPr>
          <w:rFonts w:hint="eastAsia"/>
        </w:rPr>
        <w:t>(8)Government Medical College, Ratlam, India.</w:t>
      </w:r>
    </w:p>
    <w:p w14:paraId="12C02B21">
      <w:pPr>
        <w:pStyle w:val="2"/>
        <w:rPr>
          <w:rFonts w:hint="eastAsia"/>
        </w:rPr>
      </w:pPr>
    </w:p>
    <w:p w14:paraId="7B0875AC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Tuberculosis is a major public health challenge in India, </w:t>
      </w:r>
    </w:p>
    <w:p w14:paraId="5C526281">
      <w:pPr>
        <w:pStyle w:val="2"/>
        <w:rPr>
          <w:rFonts w:hint="eastAsia"/>
        </w:rPr>
      </w:pPr>
      <w:r>
        <w:rPr>
          <w:rFonts w:hint="eastAsia"/>
        </w:rPr>
        <w:t xml:space="preserve">contributing to one-fourth of global burden of TB disease. Comorbidities in </w:t>
      </w:r>
    </w:p>
    <w:p w14:paraId="6CCAC093">
      <w:pPr>
        <w:pStyle w:val="2"/>
        <w:rPr>
          <w:rFonts w:hint="eastAsia"/>
        </w:rPr>
      </w:pPr>
      <w:r>
        <w:rPr>
          <w:rFonts w:hint="eastAsia"/>
        </w:rPr>
        <w:t xml:space="preserve">uninfected individuals make them vulnerable to TB disease. This study estimates </w:t>
      </w:r>
    </w:p>
    <w:p w14:paraId="4DB3E5A0">
      <w:pPr>
        <w:pStyle w:val="2"/>
        <w:rPr>
          <w:rFonts w:hint="eastAsia"/>
        </w:rPr>
      </w:pPr>
      <w:r>
        <w:rPr>
          <w:rFonts w:hint="eastAsia"/>
        </w:rPr>
        <w:t xml:space="preserve">the self-reported prevalence of tuberculosis and selected vulnerability factors </w:t>
      </w:r>
    </w:p>
    <w:p w14:paraId="5BE3861F">
      <w:pPr>
        <w:pStyle w:val="2"/>
        <w:rPr>
          <w:rFonts w:hint="eastAsia"/>
        </w:rPr>
      </w:pPr>
      <w:r>
        <w:rPr>
          <w:rFonts w:hint="eastAsia"/>
        </w:rPr>
        <w:t xml:space="preserve">(HIV, current smoking, silicosis, occupational silica-dust exposure, diabetes </w:t>
      </w:r>
    </w:p>
    <w:p w14:paraId="064BAFD6">
      <w:pPr>
        <w:pStyle w:val="2"/>
        <w:rPr>
          <w:rFonts w:hint="eastAsia"/>
        </w:rPr>
      </w:pPr>
      <w:r>
        <w:rPr>
          <w:rFonts w:hint="eastAsia"/>
        </w:rPr>
        <w:t xml:space="preserve">mellitus and persistent cough &gt;2 weeks) among the rural demography of six </w:t>
      </w:r>
    </w:p>
    <w:p w14:paraId="28F3106A">
      <w:pPr>
        <w:pStyle w:val="2"/>
        <w:rPr>
          <w:rFonts w:hint="eastAsia"/>
        </w:rPr>
      </w:pPr>
      <w:r>
        <w:rPr>
          <w:rFonts w:hint="eastAsia"/>
        </w:rPr>
        <w:t xml:space="preserve">districts in India, with the aim of informing targeted active case finding under </w:t>
      </w:r>
    </w:p>
    <w:p w14:paraId="4ECFBBD5">
      <w:pPr>
        <w:pStyle w:val="2"/>
        <w:rPr>
          <w:rFonts w:hint="eastAsia"/>
        </w:rPr>
      </w:pPr>
      <w:r>
        <w:rPr>
          <w:rFonts w:hint="eastAsia"/>
        </w:rPr>
        <w:t>the National Tuberculosis Elimination Programme (NTEP).</w:t>
      </w:r>
    </w:p>
    <w:p w14:paraId="5A65667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The study conducted was a community-based cross-sectional survey </w:t>
      </w:r>
    </w:p>
    <w:p w14:paraId="7E6749B1">
      <w:pPr>
        <w:pStyle w:val="2"/>
        <w:rPr>
          <w:rFonts w:hint="eastAsia"/>
        </w:rPr>
      </w:pPr>
      <w:r>
        <w:rPr>
          <w:rFonts w:hint="eastAsia"/>
        </w:rPr>
        <w:t xml:space="preserve">carried out across six districts of India. Two blocks from each district was </w:t>
      </w:r>
    </w:p>
    <w:p w14:paraId="6ECAA03B">
      <w:pPr>
        <w:pStyle w:val="2"/>
        <w:rPr>
          <w:rFonts w:hint="eastAsia"/>
        </w:rPr>
      </w:pPr>
      <w:r>
        <w:rPr>
          <w:rFonts w:hint="eastAsia"/>
        </w:rPr>
        <w:t xml:space="preserve">selected randomly followed by randomly selected villages under each block. A </w:t>
      </w:r>
    </w:p>
    <w:p w14:paraId="3725CE15">
      <w:pPr>
        <w:pStyle w:val="2"/>
        <w:rPr>
          <w:rFonts w:hint="eastAsia"/>
        </w:rPr>
      </w:pPr>
      <w:r>
        <w:rPr>
          <w:rFonts w:hint="eastAsia"/>
        </w:rPr>
        <w:t xml:space="preserve">universal sampling technique was followed for including all the households of </w:t>
      </w:r>
    </w:p>
    <w:p w14:paraId="7175DD5C">
      <w:pPr>
        <w:pStyle w:val="2"/>
        <w:rPr>
          <w:rFonts w:hint="eastAsia"/>
        </w:rPr>
      </w:pPr>
      <w:r>
        <w:rPr>
          <w:rFonts w:hint="eastAsia"/>
        </w:rPr>
        <w:t xml:space="preserve">the randomly selected villages. The data were collected through a pre-tested </w:t>
      </w:r>
    </w:p>
    <w:p w14:paraId="34D202B1">
      <w:pPr>
        <w:pStyle w:val="2"/>
        <w:rPr>
          <w:rFonts w:hint="eastAsia"/>
        </w:rPr>
      </w:pPr>
      <w:r>
        <w:rPr>
          <w:rFonts w:hint="eastAsia"/>
        </w:rPr>
        <w:t xml:space="preserve">semi-structured questionnaire schedule via face-to-face interviews at all the </w:t>
      </w:r>
    </w:p>
    <w:p w14:paraId="69ACAA70">
      <w:pPr>
        <w:pStyle w:val="2"/>
        <w:rPr>
          <w:rFonts w:hint="eastAsia"/>
        </w:rPr>
      </w:pPr>
      <w:r>
        <w:rPr>
          <w:rFonts w:hint="eastAsia"/>
        </w:rPr>
        <w:t xml:space="preserve">eligible households of the study sites. Descriptive analysis was performed, and </w:t>
      </w:r>
    </w:p>
    <w:p w14:paraId="6C1179EE">
      <w:pPr>
        <w:pStyle w:val="2"/>
        <w:rPr>
          <w:rFonts w:hint="eastAsia"/>
        </w:rPr>
      </w:pPr>
      <w:r>
        <w:rPr>
          <w:rFonts w:hint="eastAsia"/>
        </w:rPr>
        <w:t>the results were obtained in the form of frequencies and percentages.</w:t>
      </w:r>
    </w:p>
    <w:p w14:paraId="453A584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The ultimate data consisted of 82,636 individuals, with males at 52% </w:t>
      </w:r>
    </w:p>
    <w:p w14:paraId="27BA899B">
      <w:pPr>
        <w:pStyle w:val="2"/>
        <w:rPr>
          <w:rFonts w:hint="eastAsia"/>
        </w:rPr>
      </w:pPr>
      <w:r>
        <w:rPr>
          <w:rFonts w:hint="eastAsia"/>
        </w:rPr>
        <w:t xml:space="preserve">and females at 47%. 77% of the study population were 15 years of age or older. </w:t>
      </w:r>
    </w:p>
    <w:p w14:paraId="5A595A65">
      <w:pPr>
        <w:pStyle w:val="2"/>
        <w:rPr>
          <w:rFonts w:hint="eastAsia"/>
        </w:rPr>
      </w:pPr>
      <w:r>
        <w:rPr>
          <w:rFonts w:hint="eastAsia"/>
        </w:rPr>
        <w:t xml:space="preserve">This study analyzes a large dataset. The TB prevalence was around 150 per lakh </w:t>
      </w:r>
    </w:p>
    <w:p w14:paraId="0F390272">
      <w:pPr>
        <w:pStyle w:val="2"/>
        <w:rPr>
          <w:rFonts w:hint="eastAsia"/>
        </w:rPr>
      </w:pPr>
      <w:r>
        <w:rPr>
          <w:rFonts w:hint="eastAsia"/>
        </w:rPr>
        <w:t xml:space="preserve">of the population, while the prevalence of HIV-reactive individuals, current </w:t>
      </w:r>
    </w:p>
    <w:p w14:paraId="13BFDF45">
      <w:pPr>
        <w:pStyle w:val="2"/>
        <w:rPr>
          <w:rFonts w:hint="eastAsia"/>
        </w:rPr>
      </w:pPr>
      <w:r>
        <w:rPr>
          <w:rFonts w:hint="eastAsia"/>
        </w:rPr>
        <w:t xml:space="preserve">smokers, silicosis, occupational exposure to silica dust, diabetes mellitus and </w:t>
      </w:r>
    </w:p>
    <w:p w14:paraId="1E6CD1DE">
      <w:pPr>
        <w:pStyle w:val="2"/>
        <w:rPr>
          <w:rFonts w:hint="eastAsia"/>
        </w:rPr>
      </w:pPr>
      <w:r>
        <w:rPr>
          <w:rFonts w:hint="eastAsia"/>
        </w:rPr>
        <w:t xml:space="preserve">cough of greater than two weeks is found in 0.9%, 5%, 1.2%, 1.1%, 1.4% and 4% </w:t>
      </w:r>
    </w:p>
    <w:p w14:paraId="12C9DD86">
      <w:pPr>
        <w:pStyle w:val="2"/>
        <w:rPr>
          <w:rFonts w:hint="eastAsia"/>
        </w:rPr>
      </w:pPr>
      <w:r>
        <w:rPr>
          <w:rFonts w:hint="eastAsia"/>
        </w:rPr>
        <w:t>respectively.</w:t>
      </w:r>
    </w:p>
    <w:p w14:paraId="52AF1A2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DISCUSSION AND CONCLUSION: </w:t>
      </w:r>
      <w:r>
        <w:rPr>
          <w:rFonts w:hint="eastAsia"/>
        </w:rPr>
        <w:t xml:space="preserve">The study highlights TB status and selected </w:t>
      </w:r>
    </w:p>
    <w:p w14:paraId="2D0DF00A">
      <w:pPr>
        <w:pStyle w:val="2"/>
        <w:rPr>
          <w:rFonts w:hint="eastAsia"/>
        </w:rPr>
      </w:pPr>
      <w:r>
        <w:rPr>
          <w:rFonts w:hint="eastAsia"/>
        </w:rPr>
        <w:t xml:space="preserve">TB-vulnerable groups. The study has a large sample size, and it follows </w:t>
      </w:r>
    </w:p>
    <w:p w14:paraId="062D28D6">
      <w:pPr>
        <w:pStyle w:val="2"/>
        <w:rPr>
          <w:rFonts w:hint="eastAsia"/>
        </w:rPr>
      </w:pPr>
      <w:r>
        <w:rPr>
          <w:rFonts w:hint="eastAsia"/>
        </w:rPr>
        <w:t xml:space="preserve">multipronged approach to study selected vulnerable population groups. This data </w:t>
      </w:r>
    </w:p>
    <w:p w14:paraId="36313A17">
      <w:pPr>
        <w:pStyle w:val="2"/>
        <w:rPr>
          <w:rFonts w:hint="eastAsia"/>
        </w:rPr>
      </w:pPr>
      <w:r>
        <w:rPr>
          <w:rFonts w:hint="eastAsia"/>
        </w:rPr>
        <w:t xml:space="preserve">may improve targeted active case finding among the high-risk groups as outlined </w:t>
      </w:r>
    </w:p>
    <w:p w14:paraId="3BE722F9">
      <w:pPr>
        <w:pStyle w:val="2"/>
        <w:rPr>
          <w:rFonts w:hint="eastAsia"/>
        </w:rPr>
      </w:pPr>
      <w:r>
        <w:rPr>
          <w:rFonts w:hint="eastAsia"/>
        </w:rPr>
        <w:t xml:space="preserve">by NTEP and provide better TB control strategy outcome at high TB burden </w:t>
      </w:r>
    </w:p>
    <w:p w14:paraId="0DD97AC8">
      <w:pPr>
        <w:pStyle w:val="2"/>
        <w:rPr>
          <w:rFonts w:hint="eastAsia"/>
        </w:rPr>
      </w:pPr>
      <w:r>
        <w:rPr>
          <w:rFonts w:hint="eastAsia"/>
        </w:rPr>
        <w:t>settings.</w:t>
      </w:r>
    </w:p>
    <w:p w14:paraId="72FE3449">
      <w:pPr>
        <w:pStyle w:val="2"/>
        <w:rPr>
          <w:rFonts w:hint="eastAsia"/>
        </w:rPr>
      </w:pPr>
    </w:p>
    <w:p w14:paraId="0D41E73A">
      <w:pPr>
        <w:pStyle w:val="2"/>
        <w:rPr>
          <w:rFonts w:hint="eastAsia"/>
        </w:rPr>
      </w:pPr>
      <w:r>
        <w:rPr>
          <w:rFonts w:hint="eastAsia"/>
        </w:rPr>
        <w:t xml:space="preserve">Copyright: © 2026 Anand et al. This is an open access article distributed under </w:t>
      </w:r>
    </w:p>
    <w:p w14:paraId="1A694C2D">
      <w:pPr>
        <w:pStyle w:val="2"/>
        <w:rPr>
          <w:rFonts w:hint="eastAsia"/>
        </w:rPr>
      </w:pPr>
      <w:r>
        <w:rPr>
          <w:rFonts w:hint="eastAsia"/>
        </w:rPr>
        <w:t xml:space="preserve">the terms of the Creative Commons Attribution License, which permits </w:t>
      </w:r>
    </w:p>
    <w:p w14:paraId="52EF20D9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7FD7F85F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3DF3C8E7">
      <w:pPr>
        <w:pStyle w:val="2"/>
        <w:rPr>
          <w:rFonts w:hint="eastAsia"/>
        </w:rPr>
      </w:pPr>
    </w:p>
    <w:p w14:paraId="2296A19E">
      <w:pPr>
        <w:pStyle w:val="2"/>
        <w:rPr>
          <w:rFonts w:hint="eastAsia"/>
        </w:rPr>
      </w:pPr>
      <w:r>
        <w:rPr>
          <w:rFonts w:hint="eastAsia"/>
        </w:rPr>
        <w:t>DOI: 10.1371/journal.pone.0360758</w:t>
      </w:r>
    </w:p>
    <w:p w14:paraId="3B46CBC4">
      <w:pPr>
        <w:pStyle w:val="2"/>
        <w:rPr>
          <w:rFonts w:hint="eastAsia"/>
        </w:rPr>
      </w:pPr>
      <w:r>
        <w:rPr>
          <w:rFonts w:hint="eastAsia"/>
        </w:rPr>
        <w:t>PMID: 42886679 [Indexed for MEDLINE]</w:t>
      </w:r>
    </w:p>
    <w:p w14:paraId="4EC03B44">
      <w:pPr>
        <w:pStyle w:val="2"/>
        <w:rPr>
          <w:rFonts w:hint="eastAsia"/>
        </w:rPr>
      </w:pPr>
    </w:p>
    <w:p w14:paraId="664A76B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</w:t>
      </w:r>
      <w:r>
        <w:rPr>
          <w:rFonts w:hint="eastAsia"/>
          <w:b/>
          <w:bCs/>
          <w:color w:val="FF0000"/>
        </w:rPr>
        <w:t>. Curr Microbiol. 2026 Oct 16;83(12):594. doi: 10.1007/s00284-026-05196-3.</w:t>
      </w:r>
    </w:p>
    <w:p w14:paraId="72DB5BF3">
      <w:pPr>
        <w:pStyle w:val="2"/>
        <w:rPr>
          <w:rFonts w:hint="eastAsia"/>
        </w:rPr>
      </w:pPr>
    </w:p>
    <w:p w14:paraId="15DD7B0C">
      <w:pPr>
        <w:pStyle w:val="2"/>
        <w:rPr>
          <w:rFonts w:hint="eastAsia"/>
        </w:rPr>
      </w:pPr>
      <w:r>
        <w:rPr>
          <w:rFonts w:hint="eastAsia"/>
        </w:rPr>
        <w:t xml:space="preserve">Carbonic Anhydrases in Mycobacteria: Linking Metabolic Adaptation to Phenotypic </w:t>
      </w:r>
    </w:p>
    <w:p w14:paraId="18482888">
      <w:pPr>
        <w:pStyle w:val="2"/>
        <w:rPr>
          <w:rFonts w:hint="eastAsia"/>
        </w:rPr>
      </w:pPr>
      <w:r>
        <w:rPr>
          <w:rFonts w:hint="eastAsia"/>
        </w:rPr>
        <w:t>Drug Tolerance.</w:t>
      </w:r>
    </w:p>
    <w:p w14:paraId="0F9A934E">
      <w:pPr>
        <w:pStyle w:val="2"/>
        <w:rPr>
          <w:rFonts w:hint="eastAsia"/>
        </w:rPr>
      </w:pPr>
    </w:p>
    <w:p w14:paraId="7ABF36DB">
      <w:pPr>
        <w:pStyle w:val="2"/>
        <w:rPr>
          <w:rFonts w:hint="eastAsia"/>
        </w:rPr>
      </w:pPr>
      <w:r>
        <w:rPr>
          <w:rFonts w:hint="eastAsia"/>
        </w:rPr>
        <w:t>Kumar M(1), Aspatwar A(2).</w:t>
      </w:r>
    </w:p>
    <w:p w14:paraId="3A4463C8">
      <w:pPr>
        <w:pStyle w:val="2"/>
        <w:rPr>
          <w:rFonts w:hint="eastAsia"/>
        </w:rPr>
      </w:pPr>
    </w:p>
    <w:p w14:paraId="31741DE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53F7EE6">
      <w:pPr>
        <w:pStyle w:val="2"/>
        <w:rPr>
          <w:rFonts w:hint="eastAsia"/>
        </w:rPr>
      </w:pPr>
      <w:r>
        <w:rPr>
          <w:rFonts w:hint="eastAsia"/>
        </w:rPr>
        <w:t xml:space="preserve">(1)State VRDL, Department of Microbiology, All India Institute of Medical </w:t>
      </w:r>
    </w:p>
    <w:p w14:paraId="0C2B9086">
      <w:pPr>
        <w:pStyle w:val="2"/>
        <w:rPr>
          <w:rFonts w:hint="eastAsia"/>
        </w:rPr>
      </w:pPr>
      <w:r>
        <w:rPr>
          <w:rFonts w:hint="eastAsia"/>
        </w:rPr>
        <w:t>Sciences, Deoghar, 814152, Jharkhand, India.</w:t>
      </w:r>
    </w:p>
    <w:p w14:paraId="0F79854B">
      <w:pPr>
        <w:pStyle w:val="2"/>
        <w:rPr>
          <w:rFonts w:hint="eastAsia"/>
        </w:rPr>
      </w:pPr>
      <w:r>
        <w:rPr>
          <w:rFonts w:hint="eastAsia"/>
        </w:rPr>
        <w:t xml:space="preserve">(2)Faculty of Medicine and Health Technology, Tampere University, Tampere, </w:t>
      </w:r>
    </w:p>
    <w:p w14:paraId="1EAEF392">
      <w:pPr>
        <w:pStyle w:val="2"/>
        <w:rPr>
          <w:rFonts w:hint="eastAsia"/>
        </w:rPr>
      </w:pPr>
      <w:r>
        <w:rPr>
          <w:rFonts w:hint="eastAsia"/>
        </w:rPr>
        <w:t>33520, Finland. ashok.aspatwar@tuni.fi.</w:t>
      </w:r>
    </w:p>
    <w:p w14:paraId="7DD73A00">
      <w:pPr>
        <w:pStyle w:val="2"/>
        <w:rPr>
          <w:rFonts w:hint="eastAsia"/>
        </w:rPr>
      </w:pPr>
    </w:p>
    <w:p w14:paraId="0810023B">
      <w:pPr>
        <w:pStyle w:val="2"/>
        <w:rPr>
          <w:rFonts w:hint="eastAsia"/>
        </w:rPr>
      </w:pPr>
      <w:r>
        <w:rPr>
          <w:rFonts w:hint="eastAsia"/>
        </w:rPr>
        <w:t xml:space="preserve">Tuberculosis (TB) treatment is increasingly challenged by both antimicrobial </w:t>
      </w:r>
    </w:p>
    <w:p w14:paraId="77C47CCD">
      <w:pPr>
        <w:pStyle w:val="2"/>
        <w:rPr>
          <w:rFonts w:hint="eastAsia"/>
        </w:rPr>
      </w:pPr>
      <w:r>
        <w:rPr>
          <w:rFonts w:hint="eastAsia"/>
        </w:rPr>
        <w:t xml:space="preserve">resistance (AMR) and phenotypic drug tolerance, the latter representing a </w:t>
      </w:r>
    </w:p>
    <w:p w14:paraId="713C16E8">
      <w:pPr>
        <w:pStyle w:val="2"/>
        <w:rPr>
          <w:rFonts w:hint="eastAsia"/>
        </w:rPr>
      </w:pPr>
      <w:r>
        <w:rPr>
          <w:rFonts w:hint="eastAsia"/>
        </w:rPr>
        <w:t xml:space="preserve">reversible physiological state that contributes to persistence and prolonged </w:t>
      </w:r>
    </w:p>
    <w:p w14:paraId="64F27A9F">
      <w:pPr>
        <w:pStyle w:val="2"/>
        <w:rPr>
          <w:rFonts w:hint="eastAsia"/>
        </w:rPr>
      </w:pPr>
      <w:r>
        <w:rPr>
          <w:rFonts w:hint="eastAsia"/>
        </w:rPr>
        <w:t xml:space="preserve">therapy. While AMR is driven by heritable genetic mutations, drug tolerance </w:t>
      </w:r>
    </w:p>
    <w:p w14:paraId="390C8ABC">
      <w:pPr>
        <w:pStyle w:val="2"/>
        <w:rPr>
          <w:rFonts w:hint="eastAsia"/>
        </w:rPr>
      </w:pPr>
      <w:r>
        <w:rPr>
          <w:rFonts w:hint="eastAsia"/>
        </w:rPr>
        <w:t xml:space="preserve">arises from reversible physiological adaptations that enable bacterial survival </w:t>
      </w:r>
    </w:p>
    <w:p w14:paraId="346C0ED8">
      <w:pPr>
        <w:pStyle w:val="2"/>
        <w:rPr>
          <w:rFonts w:hint="eastAsia"/>
        </w:rPr>
      </w:pPr>
      <w:r>
        <w:rPr>
          <w:rFonts w:hint="eastAsia"/>
        </w:rPr>
        <w:t xml:space="preserve">during prolonged antibiotic exposure. Increasing evidence suggests that </w:t>
      </w:r>
    </w:p>
    <w:p w14:paraId="44B34EBF">
      <w:pPr>
        <w:pStyle w:val="2"/>
        <w:rPr>
          <w:rFonts w:hint="eastAsia"/>
        </w:rPr>
      </w:pPr>
      <w:r>
        <w:rPr>
          <w:rFonts w:hint="eastAsia"/>
        </w:rPr>
        <w:t xml:space="preserve">metabolic remodeling plays a central role in establishing these drug-tolerant </w:t>
      </w:r>
    </w:p>
    <w:p w14:paraId="52BF046E">
      <w:pPr>
        <w:pStyle w:val="2"/>
        <w:rPr>
          <w:rFonts w:hint="eastAsia"/>
        </w:rPr>
      </w:pPr>
      <w:r>
        <w:rPr>
          <w:rFonts w:hint="eastAsia"/>
        </w:rPr>
        <w:t xml:space="preserve">states. Carbonic anhydrases (CAs) are zinc-containing metalloenzymes that </w:t>
      </w:r>
    </w:p>
    <w:p w14:paraId="2DD75D98">
      <w:pPr>
        <w:pStyle w:val="2"/>
        <w:rPr>
          <w:rFonts w:hint="eastAsia"/>
        </w:rPr>
      </w:pPr>
      <w:r>
        <w:rPr>
          <w:rFonts w:hint="eastAsia"/>
        </w:rPr>
        <w:t xml:space="preserve">catalyze the reversible interconversion of carbon dioxide and bicarbonate, </w:t>
      </w:r>
    </w:p>
    <w:p w14:paraId="54A8F804">
      <w:pPr>
        <w:pStyle w:val="2"/>
        <w:rPr>
          <w:rFonts w:hint="eastAsia"/>
        </w:rPr>
      </w:pPr>
      <w:r>
        <w:rPr>
          <w:rFonts w:hint="eastAsia"/>
        </w:rPr>
        <w:t xml:space="preserve">thereby maintaining intracellular pH homeostasis and supporting </w:t>
      </w:r>
    </w:p>
    <w:p w14:paraId="7BDBB38C">
      <w:pPr>
        <w:pStyle w:val="2"/>
        <w:rPr>
          <w:rFonts w:hint="eastAsia"/>
        </w:rPr>
      </w:pPr>
      <w:r>
        <w:rPr>
          <w:rFonts w:hint="eastAsia"/>
        </w:rPr>
        <w:t xml:space="preserve">bicarbonate-dependent metabolism. Beyond their established metabolic functions, </w:t>
      </w:r>
    </w:p>
    <w:p w14:paraId="704D16DB">
      <w:pPr>
        <w:pStyle w:val="2"/>
        <w:rPr>
          <w:rFonts w:hint="eastAsia"/>
        </w:rPr>
      </w:pPr>
      <w:r>
        <w:rPr>
          <w:rFonts w:hint="eastAsia"/>
        </w:rPr>
        <w:t xml:space="preserve">indirect evidence suggests that CAs may contribute to physiological adaptations </w:t>
      </w:r>
    </w:p>
    <w:p w14:paraId="0B61B183">
      <w:pPr>
        <w:pStyle w:val="2"/>
        <w:rPr>
          <w:rFonts w:hint="eastAsia"/>
        </w:rPr>
      </w:pPr>
      <w:r>
        <w:rPr>
          <w:rFonts w:hint="eastAsia"/>
        </w:rPr>
        <w:t xml:space="preserve">associated with bacterial persistence under host-imposed stresses, including </w:t>
      </w:r>
    </w:p>
    <w:p w14:paraId="142FFCD2">
      <w:pPr>
        <w:pStyle w:val="2"/>
        <w:rPr>
          <w:rFonts w:hint="eastAsia"/>
        </w:rPr>
      </w:pPr>
      <w:r>
        <w:rPr>
          <w:rFonts w:hint="eastAsia"/>
        </w:rPr>
        <w:t xml:space="preserve">hypoxia, nutrient limitation, and acidic environments. Although they are not </w:t>
      </w:r>
    </w:p>
    <w:p w14:paraId="086401BC">
      <w:pPr>
        <w:pStyle w:val="2"/>
        <w:rPr>
          <w:rFonts w:hint="eastAsia"/>
        </w:rPr>
      </w:pPr>
      <w:r>
        <w:rPr>
          <w:rFonts w:hint="eastAsia"/>
        </w:rPr>
        <w:t xml:space="preserve">classical AMR determinants, CAs may influence the metabolic landscape associated </w:t>
      </w:r>
    </w:p>
    <w:p w14:paraId="3AACBA8E">
      <w:pPr>
        <w:pStyle w:val="2"/>
        <w:rPr>
          <w:rFonts w:hint="eastAsia"/>
        </w:rPr>
      </w:pPr>
      <w:r>
        <w:rPr>
          <w:rFonts w:hint="eastAsia"/>
        </w:rPr>
        <w:t xml:space="preserve">with phenotypic drug tolerance. In this review, we examine current evidence </w:t>
      </w:r>
    </w:p>
    <w:p w14:paraId="3538F5F1">
      <w:pPr>
        <w:pStyle w:val="2"/>
        <w:rPr>
          <w:rFonts w:hint="eastAsia"/>
        </w:rPr>
      </w:pPr>
      <w:r>
        <w:rPr>
          <w:rFonts w:hint="eastAsia"/>
        </w:rPr>
        <w:t xml:space="preserve">supporting the role of CAs in mycobacterial metabolism and propose a conceptual </w:t>
      </w:r>
    </w:p>
    <w:p w14:paraId="5023D4F7">
      <w:pPr>
        <w:pStyle w:val="2"/>
        <w:rPr>
          <w:rFonts w:hint="eastAsia"/>
        </w:rPr>
      </w:pPr>
      <w:r>
        <w:rPr>
          <w:rFonts w:hint="eastAsia"/>
        </w:rPr>
        <w:t xml:space="preserve">framework linking bicarbonate homeostasis, intracellular pH regulation, and </w:t>
      </w:r>
    </w:p>
    <w:p w14:paraId="659D32AB">
      <w:pPr>
        <w:pStyle w:val="2"/>
        <w:rPr>
          <w:rFonts w:hint="eastAsia"/>
        </w:rPr>
      </w:pPr>
      <w:r>
        <w:rPr>
          <w:rFonts w:hint="eastAsia"/>
        </w:rPr>
        <w:t xml:space="preserve">metabolic adaptation to bacterial persistence and drug tolerance. We further </w:t>
      </w:r>
    </w:p>
    <w:p w14:paraId="77B358DF">
      <w:pPr>
        <w:pStyle w:val="2"/>
        <w:rPr>
          <w:rFonts w:hint="eastAsia"/>
        </w:rPr>
      </w:pPr>
      <w:r>
        <w:rPr>
          <w:rFonts w:hint="eastAsia"/>
        </w:rPr>
        <w:t xml:space="preserve">discuss the potential of carbonic anhydrase inhibitors (CAIs) as adjunctive </w:t>
      </w:r>
    </w:p>
    <w:p w14:paraId="4C6E2396">
      <w:pPr>
        <w:pStyle w:val="2"/>
        <w:rPr>
          <w:rFonts w:hint="eastAsia"/>
        </w:rPr>
      </w:pPr>
      <w:r>
        <w:rPr>
          <w:rFonts w:hint="eastAsia"/>
        </w:rPr>
        <w:t xml:space="preserve">agents whose ability to enhance the activity of conventional antitubercular </w:t>
      </w:r>
    </w:p>
    <w:p w14:paraId="1BD35C29">
      <w:pPr>
        <w:pStyle w:val="2"/>
        <w:rPr>
          <w:rFonts w:hint="eastAsia"/>
        </w:rPr>
      </w:pPr>
      <w:r>
        <w:rPr>
          <w:rFonts w:hint="eastAsia"/>
        </w:rPr>
        <w:t xml:space="preserve">drugs requires experimental validation, together with the value of experimental </w:t>
      </w:r>
    </w:p>
    <w:p w14:paraId="71DD936A">
      <w:pPr>
        <w:pStyle w:val="2"/>
        <w:rPr>
          <w:rFonts w:hint="eastAsia"/>
        </w:rPr>
      </w:pPr>
      <w:r>
        <w:rPr>
          <w:rFonts w:hint="eastAsia"/>
        </w:rPr>
        <w:t xml:space="preserve">models, including the Mycobacterium marinum-zebrafish system, and computational </w:t>
      </w:r>
    </w:p>
    <w:p w14:paraId="53A44EAC">
      <w:pPr>
        <w:pStyle w:val="2"/>
        <w:rPr>
          <w:rFonts w:hint="eastAsia"/>
        </w:rPr>
      </w:pPr>
      <w:r>
        <w:rPr>
          <w:rFonts w:hint="eastAsia"/>
        </w:rPr>
        <w:t xml:space="preserve">approaches for validating CA-targeted therapeutic strategies. Overall, this </w:t>
      </w:r>
    </w:p>
    <w:p w14:paraId="589700E6">
      <w:pPr>
        <w:pStyle w:val="2"/>
        <w:rPr>
          <w:rFonts w:hint="eastAsia"/>
        </w:rPr>
      </w:pPr>
      <w:r>
        <w:rPr>
          <w:rFonts w:hint="eastAsia"/>
        </w:rPr>
        <w:t xml:space="preserve">review highlights CAs as candidate metabolic regulators that may influence the </w:t>
      </w:r>
    </w:p>
    <w:p w14:paraId="416970C3">
      <w:pPr>
        <w:pStyle w:val="2"/>
        <w:rPr>
          <w:rFonts w:hint="eastAsia"/>
        </w:rPr>
      </w:pPr>
      <w:r>
        <w:rPr>
          <w:rFonts w:hint="eastAsia"/>
        </w:rPr>
        <w:t xml:space="preserve">physiological state underlying phenotypic drug tolerance. Defining their </w:t>
      </w:r>
    </w:p>
    <w:p w14:paraId="73CA3536">
      <w:pPr>
        <w:pStyle w:val="2"/>
        <w:rPr>
          <w:rFonts w:hint="eastAsia"/>
        </w:rPr>
      </w:pPr>
      <w:r>
        <w:rPr>
          <w:rFonts w:hint="eastAsia"/>
        </w:rPr>
        <w:t xml:space="preserve">mechanistic contribution to persistence could facilitate the development of </w:t>
      </w:r>
    </w:p>
    <w:p w14:paraId="0E66F25F">
      <w:pPr>
        <w:pStyle w:val="2"/>
        <w:rPr>
          <w:rFonts w:hint="eastAsia"/>
        </w:rPr>
      </w:pPr>
      <w:r>
        <w:rPr>
          <w:rFonts w:hint="eastAsia"/>
        </w:rPr>
        <w:t>metabolism-based therapeutic strategies that complement existing TB treatment.</w:t>
      </w:r>
    </w:p>
    <w:p w14:paraId="77E12245">
      <w:pPr>
        <w:pStyle w:val="2"/>
        <w:rPr>
          <w:rFonts w:hint="eastAsia"/>
        </w:rPr>
      </w:pPr>
    </w:p>
    <w:p w14:paraId="3074088C">
      <w:pPr>
        <w:pStyle w:val="2"/>
        <w:rPr>
          <w:rFonts w:hint="eastAsia"/>
        </w:rPr>
      </w:pPr>
      <w:r>
        <w:rPr>
          <w:rFonts w:hint="eastAsia"/>
        </w:rPr>
        <w:t>© 2026. The Author(s).</w:t>
      </w:r>
    </w:p>
    <w:p w14:paraId="5DA639D6">
      <w:pPr>
        <w:pStyle w:val="2"/>
        <w:rPr>
          <w:rFonts w:hint="eastAsia"/>
        </w:rPr>
      </w:pPr>
    </w:p>
    <w:p w14:paraId="17D8334B">
      <w:pPr>
        <w:pStyle w:val="2"/>
        <w:rPr>
          <w:rFonts w:hint="eastAsia"/>
        </w:rPr>
      </w:pPr>
      <w:r>
        <w:rPr>
          <w:rFonts w:hint="eastAsia"/>
        </w:rPr>
        <w:t>DOI: 10.1007/s00284-026-05196-3</w:t>
      </w:r>
    </w:p>
    <w:p w14:paraId="73A67B6F">
      <w:pPr>
        <w:pStyle w:val="2"/>
        <w:rPr>
          <w:rFonts w:hint="eastAsia"/>
        </w:rPr>
      </w:pPr>
      <w:r>
        <w:rPr>
          <w:rFonts w:hint="eastAsia"/>
        </w:rPr>
        <w:t>PMCID: PMC13675255</w:t>
      </w:r>
    </w:p>
    <w:p w14:paraId="1E3AE335">
      <w:pPr>
        <w:pStyle w:val="2"/>
        <w:rPr>
          <w:rFonts w:hint="eastAsia"/>
        </w:rPr>
      </w:pPr>
      <w:r>
        <w:rPr>
          <w:rFonts w:hint="eastAsia"/>
        </w:rPr>
        <w:t>PMID: 42886350 [Indexed for MEDLINE]</w:t>
      </w:r>
    </w:p>
    <w:p w14:paraId="4E1878B7">
      <w:pPr>
        <w:pStyle w:val="2"/>
        <w:rPr>
          <w:rFonts w:hint="eastAsia"/>
        </w:rPr>
      </w:pPr>
    </w:p>
    <w:p w14:paraId="102BBB5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0</w:t>
      </w:r>
      <w:r>
        <w:rPr>
          <w:rFonts w:hint="eastAsia"/>
          <w:b/>
          <w:bCs/>
          <w:color w:val="FF0000"/>
        </w:rPr>
        <w:t xml:space="preserve">. Am J Ther. 2026 Oct 16. doi: 10.1097/MJT.0000000000002212. Online ahead of </w:t>
      </w:r>
    </w:p>
    <w:p w14:paraId="4E1AFE6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print.</w:t>
      </w:r>
    </w:p>
    <w:p w14:paraId="1740BB18">
      <w:pPr>
        <w:pStyle w:val="2"/>
        <w:rPr>
          <w:rFonts w:hint="eastAsia"/>
        </w:rPr>
      </w:pPr>
    </w:p>
    <w:p w14:paraId="5902282D">
      <w:pPr>
        <w:pStyle w:val="2"/>
        <w:rPr>
          <w:rFonts w:hint="eastAsia"/>
        </w:rPr>
      </w:pPr>
      <w:r>
        <w:rPr>
          <w:rFonts w:hint="eastAsia"/>
        </w:rPr>
        <w:t xml:space="preserve">Sequential Drug Rechallenge Identifying Unusually Concomitant Rifampicin and </w:t>
      </w:r>
    </w:p>
    <w:p w14:paraId="4B6926D8">
      <w:pPr>
        <w:pStyle w:val="2"/>
        <w:rPr>
          <w:rFonts w:hint="eastAsia"/>
        </w:rPr>
      </w:pPr>
      <w:r>
        <w:rPr>
          <w:rFonts w:hint="eastAsia"/>
        </w:rPr>
        <w:t>Pyrazinamide Hepatotoxicity in a Patient Treated for Ganglionar Tuberculosis.</w:t>
      </w:r>
    </w:p>
    <w:p w14:paraId="0AB01738">
      <w:pPr>
        <w:pStyle w:val="2"/>
        <w:rPr>
          <w:rFonts w:hint="eastAsia"/>
        </w:rPr>
      </w:pPr>
    </w:p>
    <w:p w14:paraId="475C53AB">
      <w:pPr>
        <w:pStyle w:val="2"/>
        <w:rPr>
          <w:rFonts w:hint="eastAsia"/>
        </w:rPr>
      </w:pPr>
      <w:r>
        <w:rPr>
          <w:rFonts w:hint="eastAsia"/>
        </w:rPr>
        <w:t xml:space="preserve">Bensayed N(1), Baya W(2), Khalifa MA(3), Chahed F(4), Fathallah N(4), Slim R(4), </w:t>
      </w:r>
    </w:p>
    <w:p w14:paraId="502E5EC7">
      <w:pPr>
        <w:pStyle w:val="2"/>
        <w:rPr>
          <w:rFonts w:hint="eastAsia"/>
        </w:rPr>
      </w:pPr>
      <w:r>
        <w:rPr>
          <w:rFonts w:hint="eastAsia"/>
        </w:rPr>
        <w:t>Ouni B(4).</w:t>
      </w:r>
    </w:p>
    <w:p w14:paraId="4A78EA93">
      <w:pPr>
        <w:pStyle w:val="2"/>
        <w:rPr>
          <w:rFonts w:hint="eastAsia"/>
        </w:rPr>
      </w:pPr>
    </w:p>
    <w:p w14:paraId="203EA9E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ED91119">
      <w:pPr>
        <w:pStyle w:val="2"/>
        <w:rPr>
          <w:rFonts w:hint="eastAsia"/>
        </w:rPr>
      </w:pPr>
      <w:r>
        <w:rPr>
          <w:rFonts w:hint="eastAsia"/>
        </w:rPr>
        <w:t>(1)Department of Hematology, Farhat Hached Hospital, Sousse, Tunisia.</w:t>
      </w:r>
    </w:p>
    <w:p w14:paraId="6B88E79C">
      <w:pPr>
        <w:pStyle w:val="2"/>
        <w:rPr>
          <w:rFonts w:hint="eastAsia"/>
        </w:rPr>
      </w:pPr>
      <w:r>
        <w:rPr>
          <w:rFonts w:hint="eastAsia"/>
        </w:rPr>
        <w:t>(2)Department of Internal Medicine, Sahloul Hospital, Sousse, Tunisia.</w:t>
      </w:r>
    </w:p>
    <w:p w14:paraId="4FB9498A">
      <w:pPr>
        <w:pStyle w:val="2"/>
        <w:rPr>
          <w:rFonts w:hint="eastAsia"/>
        </w:rPr>
      </w:pPr>
      <w:r>
        <w:rPr>
          <w:rFonts w:hint="eastAsia"/>
        </w:rPr>
        <w:t>(3)Department of Orthopedic Surgery, Sahloul Hospital, Sousse, Tunisia; and.</w:t>
      </w:r>
    </w:p>
    <w:p w14:paraId="41029037">
      <w:pPr>
        <w:pStyle w:val="2"/>
        <w:rPr>
          <w:rFonts w:hint="eastAsia"/>
        </w:rPr>
      </w:pPr>
      <w:r>
        <w:rPr>
          <w:rFonts w:hint="eastAsia"/>
        </w:rPr>
        <w:t xml:space="preserve">(4)Department of Pharmacology, Faculty of Medicine, University of Sousse, </w:t>
      </w:r>
    </w:p>
    <w:p w14:paraId="613D795F">
      <w:pPr>
        <w:pStyle w:val="2"/>
        <w:rPr>
          <w:rFonts w:hint="eastAsia"/>
        </w:rPr>
      </w:pPr>
      <w:r>
        <w:rPr>
          <w:rFonts w:hint="eastAsia"/>
        </w:rPr>
        <w:t>Tunisia.</w:t>
      </w:r>
    </w:p>
    <w:p w14:paraId="1053ABD4">
      <w:pPr>
        <w:pStyle w:val="2"/>
        <w:rPr>
          <w:rFonts w:hint="eastAsia"/>
        </w:rPr>
      </w:pPr>
    </w:p>
    <w:p w14:paraId="33B51CBF">
      <w:pPr>
        <w:pStyle w:val="2"/>
        <w:rPr>
          <w:rFonts w:hint="eastAsia"/>
        </w:rPr>
      </w:pPr>
      <w:r>
        <w:rPr>
          <w:rFonts w:hint="eastAsia"/>
        </w:rPr>
        <w:t>DOI: 10.1097/MJT.0000000000002212</w:t>
      </w:r>
    </w:p>
    <w:p w14:paraId="4736DEFD">
      <w:pPr>
        <w:pStyle w:val="2"/>
        <w:rPr>
          <w:rFonts w:hint="eastAsia"/>
        </w:rPr>
      </w:pPr>
      <w:r>
        <w:rPr>
          <w:rFonts w:hint="eastAsia"/>
        </w:rPr>
        <w:t>PMID: 42881492</w:t>
      </w:r>
    </w:p>
    <w:p w14:paraId="00474DF4">
      <w:pPr>
        <w:pStyle w:val="2"/>
        <w:rPr>
          <w:rFonts w:hint="eastAsia"/>
        </w:rPr>
      </w:pPr>
    </w:p>
    <w:p w14:paraId="7FDE0A5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1</w:t>
      </w:r>
      <w:r>
        <w:rPr>
          <w:rFonts w:hint="eastAsia"/>
          <w:b/>
          <w:bCs/>
          <w:color w:val="FF0000"/>
        </w:rPr>
        <w:t>. BMJ Open. 2026 Oct 14;16(10):e121108. doi: 10.1136/bmjopen-2026-121108.</w:t>
      </w:r>
    </w:p>
    <w:p w14:paraId="7AD7B991">
      <w:pPr>
        <w:pStyle w:val="2"/>
        <w:rPr>
          <w:rFonts w:hint="eastAsia"/>
        </w:rPr>
      </w:pPr>
    </w:p>
    <w:p w14:paraId="7769E81A">
      <w:pPr>
        <w:pStyle w:val="2"/>
        <w:rPr>
          <w:rFonts w:hint="eastAsia"/>
        </w:rPr>
      </w:pPr>
      <w:r>
        <w:rPr>
          <w:rFonts w:hint="eastAsia"/>
        </w:rPr>
        <w:t xml:space="preserve">Preferences for treatment for latent tuberculosis infection in primary care </w:t>
      </w:r>
    </w:p>
    <w:p w14:paraId="14AD587C">
      <w:pPr>
        <w:pStyle w:val="2"/>
        <w:rPr>
          <w:rFonts w:hint="eastAsia"/>
        </w:rPr>
      </w:pPr>
      <w:r>
        <w:rPr>
          <w:rFonts w:hint="eastAsia"/>
        </w:rPr>
        <w:t>among people in the USA at increased risk of tuberculosis: a pilot survey.</w:t>
      </w:r>
    </w:p>
    <w:p w14:paraId="77F22D28">
      <w:pPr>
        <w:pStyle w:val="2"/>
        <w:rPr>
          <w:rFonts w:hint="eastAsia"/>
        </w:rPr>
      </w:pPr>
    </w:p>
    <w:p w14:paraId="63364ED8">
      <w:pPr>
        <w:pStyle w:val="2"/>
        <w:rPr>
          <w:rFonts w:hint="eastAsia"/>
        </w:rPr>
      </w:pPr>
      <w:r>
        <w:rPr>
          <w:rFonts w:hint="eastAsia"/>
        </w:rPr>
        <w:t xml:space="preserve">Aschmann HE(1)(2), Tang AS(3), Lee M(3), Salcedo KL(4)(5), Murrill MT(2)(6), </w:t>
      </w:r>
    </w:p>
    <w:p w14:paraId="186B84EA">
      <w:pPr>
        <w:pStyle w:val="2"/>
        <w:rPr>
          <w:rFonts w:hint="eastAsia"/>
        </w:rPr>
      </w:pPr>
      <w:r>
        <w:rPr>
          <w:rFonts w:hint="eastAsia"/>
        </w:rPr>
        <w:t xml:space="preserve">Chen G(3), Ouyang Y(3), Lui K(3), Rahman M(7), Flood J(5), Kerkhoff AD(2)(8), </w:t>
      </w:r>
    </w:p>
    <w:p w14:paraId="4ADC19B0">
      <w:pPr>
        <w:pStyle w:val="2"/>
        <w:rPr>
          <w:rFonts w:hint="eastAsia"/>
        </w:rPr>
      </w:pPr>
      <w:r>
        <w:rPr>
          <w:rFonts w:hint="eastAsia"/>
        </w:rPr>
        <w:t>Lin TK(9), Shete PB(10)(2); Tuberculosis Epidemiologic Studies Consortium.</w:t>
      </w:r>
    </w:p>
    <w:p w14:paraId="550A08EC">
      <w:pPr>
        <w:pStyle w:val="2"/>
        <w:rPr>
          <w:rFonts w:hint="eastAsia"/>
        </w:rPr>
      </w:pPr>
    </w:p>
    <w:p w14:paraId="0B23B95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7A3C893">
      <w:pPr>
        <w:pStyle w:val="2"/>
        <w:rPr>
          <w:rFonts w:hint="eastAsia"/>
        </w:rPr>
      </w:pPr>
      <w:r>
        <w:rPr>
          <w:rFonts w:hint="eastAsia"/>
        </w:rPr>
        <w:t xml:space="preserve">(1)Division of Pulmonary and Critical Care Medicine, Zuckerberg San Francisco </w:t>
      </w:r>
    </w:p>
    <w:p w14:paraId="376B5DC9">
      <w:pPr>
        <w:pStyle w:val="2"/>
        <w:rPr>
          <w:rFonts w:hint="eastAsia"/>
        </w:rPr>
      </w:pPr>
      <w:r>
        <w:rPr>
          <w:rFonts w:hint="eastAsia"/>
        </w:rPr>
        <w:t xml:space="preserve">General Hospital and Trauma Center, University of California San Francisco, San </w:t>
      </w:r>
    </w:p>
    <w:p w14:paraId="4282B04E">
      <w:pPr>
        <w:pStyle w:val="2"/>
        <w:rPr>
          <w:rFonts w:hint="eastAsia"/>
        </w:rPr>
      </w:pPr>
      <w:r>
        <w:rPr>
          <w:rFonts w:hint="eastAsia"/>
        </w:rPr>
        <w:t>Francisco, California, USA heleneaschmann@gmail.com.</w:t>
      </w:r>
    </w:p>
    <w:p w14:paraId="6A07A18A">
      <w:pPr>
        <w:pStyle w:val="2"/>
        <w:rPr>
          <w:rFonts w:hint="eastAsia"/>
        </w:rPr>
      </w:pPr>
      <w:r>
        <w:rPr>
          <w:rFonts w:hint="eastAsia"/>
        </w:rPr>
        <w:t xml:space="preserve">(2)Center for Tuberculosis, University of California San Francisco, San </w:t>
      </w:r>
    </w:p>
    <w:p w14:paraId="76096CC8">
      <w:pPr>
        <w:pStyle w:val="2"/>
        <w:rPr>
          <w:rFonts w:hint="eastAsia"/>
        </w:rPr>
      </w:pPr>
      <w:r>
        <w:rPr>
          <w:rFonts w:hint="eastAsia"/>
        </w:rPr>
        <w:t>Francisco, California, USA.</w:t>
      </w:r>
    </w:p>
    <w:p w14:paraId="3A8FF2EC">
      <w:pPr>
        <w:pStyle w:val="2"/>
        <w:rPr>
          <w:rFonts w:hint="eastAsia"/>
        </w:rPr>
      </w:pPr>
      <w:r>
        <w:rPr>
          <w:rFonts w:hint="eastAsia"/>
        </w:rPr>
        <w:t>(3)North East Medical Services, San Francisco, California, USA.</w:t>
      </w:r>
    </w:p>
    <w:p w14:paraId="02BDE218">
      <w:pPr>
        <w:pStyle w:val="2"/>
        <w:rPr>
          <w:rFonts w:hint="eastAsia"/>
        </w:rPr>
      </w:pPr>
      <w:r>
        <w:rPr>
          <w:rFonts w:hint="eastAsia"/>
        </w:rPr>
        <w:t xml:space="preserve">(4)Institute for Global Health Sciences, University of California San Francisco, </w:t>
      </w:r>
    </w:p>
    <w:p w14:paraId="40B78B49">
      <w:pPr>
        <w:pStyle w:val="2"/>
        <w:rPr>
          <w:rFonts w:hint="eastAsia"/>
        </w:rPr>
      </w:pPr>
      <w:r>
        <w:rPr>
          <w:rFonts w:hint="eastAsia"/>
        </w:rPr>
        <w:t>San Francisco, California, USA.</w:t>
      </w:r>
    </w:p>
    <w:p w14:paraId="6BD18863">
      <w:pPr>
        <w:pStyle w:val="2"/>
        <w:rPr>
          <w:rFonts w:hint="eastAsia"/>
        </w:rPr>
      </w:pPr>
      <w:r>
        <w:rPr>
          <w:rFonts w:hint="eastAsia"/>
        </w:rPr>
        <w:t xml:space="preserve">(5)Tuberculosis Control Branch, California Department of Public Health, </w:t>
      </w:r>
    </w:p>
    <w:p w14:paraId="4173F95E">
      <w:pPr>
        <w:pStyle w:val="2"/>
        <w:rPr>
          <w:rFonts w:hint="eastAsia"/>
        </w:rPr>
      </w:pPr>
      <w:r>
        <w:rPr>
          <w:rFonts w:hint="eastAsia"/>
        </w:rPr>
        <w:t>Richmond, California, USA.</w:t>
      </w:r>
    </w:p>
    <w:p w14:paraId="02EBC3FF">
      <w:pPr>
        <w:pStyle w:val="2"/>
        <w:rPr>
          <w:rFonts w:hint="eastAsia"/>
        </w:rPr>
      </w:pPr>
      <w:r>
        <w:rPr>
          <w:rFonts w:hint="eastAsia"/>
        </w:rPr>
        <w:t xml:space="preserve">(6)Division of Hospital Medicine, University of California San Francisco, San </w:t>
      </w:r>
    </w:p>
    <w:p w14:paraId="247CC862">
      <w:pPr>
        <w:pStyle w:val="2"/>
        <w:rPr>
          <w:rFonts w:hint="eastAsia"/>
        </w:rPr>
      </w:pPr>
      <w:r>
        <w:rPr>
          <w:rFonts w:hint="eastAsia"/>
        </w:rPr>
        <w:t>Francisco, California, USA.</w:t>
      </w:r>
    </w:p>
    <w:p w14:paraId="2AFCE141">
      <w:pPr>
        <w:pStyle w:val="2"/>
        <w:rPr>
          <w:rFonts w:hint="eastAsia"/>
        </w:rPr>
      </w:pPr>
      <w:r>
        <w:rPr>
          <w:rFonts w:hint="eastAsia"/>
        </w:rPr>
        <w:t xml:space="preserve">(7)Division of Tuberculosis Elimination, National Center for HIV, Viral </w:t>
      </w:r>
    </w:p>
    <w:p w14:paraId="118627AE">
      <w:pPr>
        <w:pStyle w:val="2"/>
        <w:rPr>
          <w:rFonts w:hint="eastAsia"/>
        </w:rPr>
      </w:pPr>
      <w:r>
        <w:rPr>
          <w:rFonts w:hint="eastAsia"/>
        </w:rPr>
        <w:t xml:space="preserve">Hepatitis, STD, and TB Prevention, Centers for Disease Control and Prevention, </w:t>
      </w:r>
    </w:p>
    <w:p w14:paraId="504F0481">
      <w:pPr>
        <w:pStyle w:val="2"/>
        <w:rPr>
          <w:rFonts w:hint="eastAsia"/>
        </w:rPr>
      </w:pPr>
      <w:r>
        <w:rPr>
          <w:rFonts w:hint="eastAsia"/>
        </w:rPr>
        <w:t>Atlanta, Georgia, USA.</w:t>
      </w:r>
    </w:p>
    <w:p w14:paraId="3E6E82A5">
      <w:pPr>
        <w:pStyle w:val="2"/>
        <w:rPr>
          <w:rFonts w:hint="eastAsia"/>
        </w:rPr>
      </w:pPr>
      <w:r>
        <w:rPr>
          <w:rFonts w:hint="eastAsia"/>
        </w:rPr>
        <w:t xml:space="preserve">(8)Division of HIV, Infectious Diseases and Global Medicine, Zuckerberg San </w:t>
      </w:r>
    </w:p>
    <w:p w14:paraId="2811D3EC">
      <w:pPr>
        <w:pStyle w:val="2"/>
        <w:rPr>
          <w:rFonts w:hint="eastAsia"/>
        </w:rPr>
      </w:pPr>
      <w:r>
        <w:rPr>
          <w:rFonts w:hint="eastAsia"/>
        </w:rPr>
        <w:t xml:space="preserve">Francisco General Hospital and Trauma Center, University of California San </w:t>
      </w:r>
    </w:p>
    <w:p w14:paraId="1934F98E">
      <w:pPr>
        <w:pStyle w:val="2"/>
        <w:rPr>
          <w:rFonts w:hint="eastAsia"/>
        </w:rPr>
      </w:pPr>
      <w:r>
        <w:rPr>
          <w:rFonts w:hint="eastAsia"/>
        </w:rPr>
        <w:t>Francisco, San Francisco, California, USA.</w:t>
      </w:r>
    </w:p>
    <w:p w14:paraId="560D53E3">
      <w:pPr>
        <w:pStyle w:val="2"/>
        <w:rPr>
          <w:rFonts w:hint="eastAsia"/>
        </w:rPr>
      </w:pPr>
      <w:r>
        <w:rPr>
          <w:rFonts w:hint="eastAsia"/>
        </w:rPr>
        <w:t xml:space="preserve">(9)Department of Social and Behavioral Sciences, Institute for Health &amp; Aging, </w:t>
      </w:r>
    </w:p>
    <w:p w14:paraId="2DDB4231">
      <w:pPr>
        <w:pStyle w:val="2"/>
        <w:rPr>
          <w:rFonts w:hint="eastAsia"/>
        </w:rPr>
      </w:pPr>
      <w:r>
        <w:rPr>
          <w:rFonts w:hint="eastAsia"/>
        </w:rPr>
        <w:t>University of California San Francisco, San Francisco, California, USA.</w:t>
      </w:r>
    </w:p>
    <w:p w14:paraId="6034776F">
      <w:pPr>
        <w:pStyle w:val="2"/>
        <w:rPr>
          <w:rFonts w:hint="eastAsia"/>
        </w:rPr>
      </w:pPr>
      <w:r>
        <w:rPr>
          <w:rFonts w:hint="eastAsia"/>
        </w:rPr>
        <w:t xml:space="preserve">(10)Division of Pulmonary and Critical Care Medicine, Zuckerberg San Francisco </w:t>
      </w:r>
    </w:p>
    <w:p w14:paraId="00C0DD31">
      <w:pPr>
        <w:pStyle w:val="2"/>
        <w:rPr>
          <w:rFonts w:hint="eastAsia"/>
        </w:rPr>
      </w:pPr>
      <w:r>
        <w:rPr>
          <w:rFonts w:hint="eastAsia"/>
        </w:rPr>
        <w:t xml:space="preserve">General Hospital and Trauma Center, University of California San Francisco, San </w:t>
      </w:r>
    </w:p>
    <w:p w14:paraId="7BFE2E30">
      <w:pPr>
        <w:pStyle w:val="2"/>
        <w:rPr>
          <w:rFonts w:hint="eastAsia"/>
        </w:rPr>
      </w:pPr>
      <w:r>
        <w:rPr>
          <w:rFonts w:hint="eastAsia"/>
        </w:rPr>
        <w:t>Francisco, California, USA.</w:t>
      </w:r>
    </w:p>
    <w:p w14:paraId="32E30064">
      <w:pPr>
        <w:pStyle w:val="2"/>
        <w:rPr>
          <w:rFonts w:hint="eastAsia"/>
        </w:rPr>
      </w:pPr>
    </w:p>
    <w:p w14:paraId="56FC0999">
      <w:pPr>
        <w:pStyle w:val="2"/>
        <w:rPr>
          <w:rFonts w:hint="eastAsia"/>
        </w:rPr>
      </w:pPr>
      <w:r>
        <w:rPr>
          <w:rFonts w:hint="eastAsia"/>
        </w:rPr>
        <w:t>DOI: 10.1136/bmjopen-2026-121108</w:t>
      </w:r>
    </w:p>
    <w:p w14:paraId="2D7CCD33">
      <w:pPr>
        <w:pStyle w:val="2"/>
        <w:rPr>
          <w:rFonts w:hint="eastAsia"/>
        </w:rPr>
      </w:pPr>
      <w:r>
        <w:rPr>
          <w:rFonts w:hint="eastAsia"/>
        </w:rPr>
        <w:t>PMID: 42880810</w:t>
      </w:r>
    </w:p>
    <w:p w14:paraId="3ACDABA4">
      <w:pPr>
        <w:pStyle w:val="2"/>
        <w:rPr>
          <w:rFonts w:hint="eastAsia"/>
        </w:rPr>
      </w:pPr>
    </w:p>
    <w:p w14:paraId="5E9FF7B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</w:t>
      </w:r>
      <w:r>
        <w:rPr>
          <w:rFonts w:hint="eastAsia"/>
          <w:b/>
          <w:bCs/>
          <w:color w:val="FF0000"/>
          <w:lang w:val="en-US" w:eastAsia="zh-CN"/>
        </w:rPr>
        <w:t>2</w:t>
      </w:r>
      <w:r>
        <w:rPr>
          <w:rFonts w:hint="eastAsia"/>
          <w:b/>
          <w:bCs/>
          <w:color w:val="FF0000"/>
        </w:rPr>
        <w:t>. J Mol Biol. 2026 Oct 15:170069. doi: 10.1016/j.jmb.2026.170069. Online ahead of print.</w:t>
      </w:r>
    </w:p>
    <w:p w14:paraId="7CDE853C">
      <w:pPr>
        <w:pStyle w:val="2"/>
        <w:rPr>
          <w:rFonts w:hint="eastAsia"/>
        </w:rPr>
      </w:pPr>
    </w:p>
    <w:p w14:paraId="5BC68A52">
      <w:pPr>
        <w:pStyle w:val="2"/>
        <w:rPr>
          <w:rFonts w:hint="eastAsia"/>
        </w:rPr>
      </w:pPr>
      <w:r>
        <w:rPr>
          <w:rFonts w:hint="eastAsia"/>
        </w:rPr>
        <w:t xml:space="preserve">Two heads are better than one: Single stranded DNA translocation of UvrD-family </w:t>
      </w:r>
    </w:p>
    <w:p w14:paraId="38245756">
      <w:pPr>
        <w:pStyle w:val="2"/>
        <w:rPr>
          <w:rFonts w:hint="eastAsia"/>
        </w:rPr>
      </w:pPr>
      <w:r>
        <w:rPr>
          <w:rFonts w:hint="eastAsia"/>
        </w:rPr>
        <w:t>dimers vs. monomers.</w:t>
      </w:r>
    </w:p>
    <w:p w14:paraId="0FF30483">
      <w:pPr>
        <w:pStyle w:val="2"/>
        <w:rPr>
          <w:rFonts w:hint="eastAsia"/>
        </w:rPr>
      </w:pPr>
    </w:p>
    <w:p w14:paraId="308ECC66">
      <w:pPr>
        <w:pStyle w:val="2"/>
        <w:rPr>
          <w:rFonts w:hint="eastAsia"/>
        </w:rPr>
      </w:pPr>
      <w:r>
        <w:rPr>
          <w:rFonts w:hint="eastAsia"/>
        </w:rPr>
        <w:t>Mersch KN(1), Nguyen B(1), Kozlov AG(1), Lohman TM(2).</w:t>
      </w:r>
    </w:p>
    <w:p w14:paraId="54AFB25A">
      <w:pPr>
        <w:pStyle w:val="2"/>
        <w:rPr>
          <w:rFonts w:hint="eastAsia"/>
        </w:rPr>
      </w:pPr>
    </w:p>
    <w:p w14:paraId="2C9E3F5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AB616AD">
      <w:pPr>
        <w:pStyle w:val="2"/>
        <w:rPr>
          <w:rFonts w:hint="eastAsia"/>
        </w:rPr>
      </w:pPr>
      <w:r>
        <w:rPr>
          <w:rFonts w:hint="eastAsia"/>
        </w:rPr>
        <w:t xml:space="preserve">(1)Department of Biochemistry and Molecular Biophysics, Washington University in </w:t>
      </w:r>
    </w:p>
    <w:p w14:paraId="5E17FA5A">
      <w:pPr>
        <w:pStyle w:val="2"/>
        <w:rPr>
          <w:rFonts w:hint="eastAsia"/>
        </w:rPr>
      </w:pPr>
      <w:r>
        <w:rPr>
          <w:rFonts w:hint="eastAsia"/>
        </w:rPr>
        <w:t>St. Louis School of Medicine, St. Louis, MO 63110.</w:t>
      </w:r>
    </w:p>
    <w:p w14:paraId="713EF740">
      <w:pPr>
        <w:pStyle w:val="2"/>
        <w:rPr>
          <w:rFonts w:hint="eastAsia"/>
        </w:rPr>
      </w:pPr>
      <w:r>
        <w:rPr>
          <w:rFonts w:hint="eastAsia"/>
        </w:rPr>
        <w:t xml:space="preserve">(2)Department of Biochemistry and Molecular Biophysics, Washington University in </w:t>
      </w:r>
    </w:p>
    <w:p w14:paraId="5F6AAEEC">
      <w:pPr>
        <w:pStyle w:val="2"/>
        <w:rPr>
          <w:rFonts w:hint="eastAsia"/>
        </w:rPr>
      </w:pPr>
      <w:r>
        <w:rPr>
          <w:rFonts w:hint="eastAsia"/>
        </w:rPr>
        <w:t xml:space="preserve">St. Louis School of Medicine, St. Louis, MO 63110. Electronic address: </w:t>
      </w:r>
    </w:p>
    <w:p w14:paraId="37D2B635">
      <w:pPr>
        <w:pStyle w:val="2"/>
        <w:rPr>
          <w:rFonts w:hint="eastAsia"/>
        </w:rPr>
      </w:pPr>
      <w:r>
        <w:rPr>
          <w:rFonts w:hint="eastAsia"/>
        </w:rPr>
        <w:t>lohman@wustl.edu.</w:t>
      </w:r>
    </w:p>
    <w:p w14:paraId="0DCF2DE2">
      <w:pPr>
        <w:pStyle w:val="2"/>
        <w:rPr>
          <w:rFonts w:hint="eastAsia"/>
        </w:rPr>
      </w:pPr>
    </w:p>
    <w:p w14:paraId="383DEACD">
      <w:pPr>
        <w:pStyle w:val="2"/>
        <w:rPr>
          <w:rFonts w:hint="eastAsia"/>
        </w:rPr>
      </w:pPr>
      <w:r>
        <w:rPr>
          <w:rFonts w:hint="eastAsia"/>
        </w:rPr>
        <w:t xml:space="preserve">UvrD-family Superfamily 1A helicases are processive ATP-dependent motor proteins </w:t>
      </w:r>
    </w:p>
    <w:p w14:paraId="7F9440A8">
      <w:pPr>
        <w:pStyle w:val="2"/>
        <w:rPr>
          <w:rFonts w:hint="eastAsia"/>
        </w:rPr>
      </w:pPr>
      <w:r>
        <w:rPr>
          <w:rFonts w:hint="eastAsia"/>
        </w:rPr>
        <w:t xml:space="preserve">that function during DNA replication, recombination, repair, and transcription. </w:t>
      </w:r>
    </w:p>
    <w:p w14:paraId="5188D128">
      <w:pPr>
        <w:pStyle w:val="2"/>
        <w:rPr>
          <w:rFonts w:hint="eastAsia"/>
        </w:rPr>
      </w:pPr>
      <w:r>
        <w:rPr>
          <w:rFonts w:hint="eastAsia"/>
        </w:rPr>
        <w:t xml:space="preserve">UvrD-family monomers translocate along single stranded (ss) DNA with 3'-to-5' </w:t>
      </w:r>
    </w:p>
    <w:p w14:paraId="7730658F">
      <w:pPr>
        <w:pStyle w:val="2"/>
        <w:rPr>
          <w:rFonts w:hint="eastAsia"/>
        </w:rPr>
      </w:pPr>
      <w:r>
        <w:rPr>
          <w:rFonts w:hint="eastAsia"/>
        </w:rPr>
        <w:t xml:space="preserve">directionality but must be activated by dimerization to become helicases in the </w:t>
      </w:r>
    </w:p>
    <w:p w14:paraId="654FB4B6">
      <w:pPr>
        <w:pStyle w:val="2"/>
        <w:rPr>
          <w:rFonts w:hint="eastAsia"/>
        </w:rPr>
      </w:pPr>
      <w:r>
        <w:rPr>
          <w:rFonts w:hint="eastAsia"/>
        </w:rPr>
        <w:t xml:space="preserve">absence of force or accessory factors. Mycobacterium tuberculosis (Mtb) UvrD1 </w:t>
      </w:r>
    </w:p>
    <w:p w14:paraId="3E23653C">
      <w:pPr>
        <w:pStyle w:val="2"/>
        <w:rPr>
          <w:rFonts w:hint="eastAsia"/>
        </w:rPr>
      </w:pPr>
      <w:r>
        <w:rPr>
          <w:rFonts w:hint="eastAsia"/>
        </w:rPr>
        <w:t xml:space="preserve">helicase forms dimers via a disulfide bond between native cysteines in the 2B </w:t>
      </w:r>
    </w:p>
    <w:p w14:paraId="54051027">
      <w:pPr>
        <w:pStyle w:val="2"/>
        <w:rPr>
          <w:rFonts w:hint="eastAsia"/>
        </w:rPr>
      </w:pPr>
      <w:r>
        <w:rPr>
          <w:rFonts w:hint="eastAsia"/>
        </w:rPr>
        <w:t xml:space="preserve">sub-domains of each monomer. E. coli UvrD forms non-covalent dimers using the </w:t>
      </w:r>
    </w:p>
    <w:p w14:paraId="43ADD23C">
      <w:pPr>
        <w:pStyle w:val="2"/>
        <w:rPr>
          <w:rFonts w:hint="eastAsia"/>
        </w:rPr>
      </w:pPr>
      <w:r>
        <w:rPr>
          <w:rFonts w:hint="eastAsia"/>
        </w:rPr>
        <w:t xml:space="preserve">same 2B domain interface as in Mtb UvrD1. Using both ensemble and single DNA </w:t>
      </w:r>
    </w:p>
    <w:p w14:paraId="784BBAF1">
      <w:pPr>
        <w:pStyle w:val="2"/>
        <w:rPr>
          <w:rFonts w:hint="eastAsia"/>
        </w:rPr>
      </w:pPr>
      <w:r>
        <w:rPr>
          <w:rFonts w:hint="eastAsia"/>
        </w:rPr>
        <w:t xml:space="preserve">molecule approaches we examined an E. coli UvrD variant (R421C), which forms </w:t>
      </w:r>
    </w:p>
    <w:p w14:paraId="5B91668C">
      <w:pPr>
        <w:pStyle w:val="2"/>
        <w:rPr>
          <w:rFonts w:hint="eastAsia"/>
        </w:rPr>
      </w:pPr>
      <w:r>
        <w:rPr>
          <w:rFonts w:hint="eastAsia"/>
        </w:rPr>
        <w:t xml:space="preserve">covalent dimers with constitutive helicase activity. For the first time this has </w:t>
      </w:r>
    </w:p>
    <w:p w14:paraId="43ECFAC2">
      <w:pPr>
        <w:pStyle w:val="2"/>
        <w:rPr>
          <w:rFonts w:hint="eastAsia"/>
        </w:rPr>
      </w:pPr>
      <w:r>
        <w:rPr>
          <w:rFonts w:hint="eastAsia"/>
        </w:rPr>
        <w:t xml:space="preserve">enabled us to compare the ssDNA translocation and helicase activities of </w:t>
      </w:r>
    </w:p>
    <w:p w14:paraId="33AD8E50">
      <w:pPr>
        <w:pStyle w:val="2"/>
        <w:rPr>
          <w:rFonts w:hint="eastAsia"/>
        </w:rPr>
      </w:pPr>
      <w:r>
        <w:rPr>
          <w:rFonts w:hint="eastAsia"/>
        </w:rPr>
        <w:t xml:space="preserve">covalent dimers and monomers. Crosslinked UvrD dimers exhibit much higher ssDNA </w:t>
      </w:r>
    </w:p>
    <w:p w14:paraId="7BF02022">
      <w:pPr>
        <w:pStyle w:val="2"/>
        <w:rPr>
          <w:rFonts w:hint="eastAsia"/>
        </w:rPr>
      </w:pPr>
      <w:r>
        <w:rPr>
          <w:rFonts w:hint="eastAsia"/>
        </w:rPr>
        <w:t xml:space="preserve">translocation processivities than monomers, although with similar translocation </w:t>
      </w:r>
    </w:p>
    <w:p w14:paraId="67B102DE">
      <w:pPr>
        <w:pStyle w:val="2"/>
        <w:rPr>
          <w:rFonts w:hint="eastAsia"/>
        </w:rPr>
      </w:pPr>
      <w:r>
        <w:rPr>
          <w:rFonts w:hint="eastAsia"/>
        </w:rPr>
        <w:t xml:space="preserve">rates. Crosslinked UvrD dimers also show highly processive DNA unwinding of </w:t>
      </w:r>
    </w:p>
    <w:p w14:paraId="3D8632AF">
      <w:pPr>
        <w:pStyle w:val="2"/>
        <w:rPr>
          <w:rFonts w:hint="eastAsia"/>
        </w:rPr>
      </w:pPr>
      <w:r>
        <w:rPr>
          <w:rFonts w:hint="eastAsia"/>
        </w:rPr>
        <w:t xml:space="preserve">thousands of base pairs, much higher than non-crosslinked UvrD dimers, while </w:t>
      </w:r>
    </w:p>
    <w:p w14:paraId="492ADAD1">
      <w:pPr>
        <w:pStyle w:val="2"/>
        <w:rPr>
          <w:rFonts w:hint="eastAsia"/>
        </w:rPr>
      </w:pPr>
      <w:r>
        <w:rPr>
          <w:rFonts w:hint="eastAsia"/>
        </w:rPr>
        <w:t xml:space="preserve">monomers show no DNA unwinding activity. DNA unwinding rates of crosslinked UvrD </w:t>
      </w:r>
    </w:p>
    <w:p w14:paraId="59036DAE">
      <w:pPr>
        <w:pStyle w:val="2"/>
        <w:rPr>
          <w:rFonts w:hint="eastAsia"/>
        </w:rPr>
      </w:pPr>
      <w:r>
        <w:rPr>
          <w:rFonts w:hint="eastAsia"/>
        </w:rPr>
        <w:t xml:space="preserve">dimers are only ∼20% slower than ssDNA translocation rates, indicating they are </w:t>
      </w:r>
    </w:p>
    <w:p w14:paraId="3171140A">
      <w:pPr>
        <w:pStyle w:val="2"/>
        <w:rPr>
          <w:rFonts w:hint="eastAsia"/>
        </w:rPr>
      </w:pPr>
      <w:r>
        <w:rPr>
          <w:rFonts w:hint="eastAsia"/>
        </w:rPr>
        <w:t>"active" helicases that directly facilitate duplex destabilization.</w:t>
      </w:r>
    </w:p>
    <w:p w14:paraId="61C9021D">
      <w:pPr>
        <w:pStyle w:val="2"/>
        <w:rPr>
          <w:rFonts w:hint="eastAsia"/>
        </w:rPr>
      </w:pPr>
    </w:p>
    <w:p w14:paraId="45C51231">
      <w:pPr>
        <w:pStyle w:val="2"/>
        <w:rPr>
          <w:rFonts w:hint="eastAsia"/>
        </w:rPr>
      </w:pPr>
      <w:r>
        <w:rPr>
          <w:rFonts w:hint="eastAsia"/>
        </w:rPr>
        <w:t>Copyright © 2026 The Author(s). Published by Elsevier Ltd.. All rights reserved.</w:t>
      </w:r>
    </w:p>
    <w:p w14:paraId="72AA5C75">
      <w:pPr>
        <w:pStyle w:val="2"/>
        <w:rPr>
          <w:rFonts w:hint="eastAsia"/>
        </w:rPr>
      </w:pPr>
    </w:p>
    <w:p w14:paraId="211DAF2A">
      <w:pPr>
        <w:pStyle w:val="2"/>
        <w:rPr>
          <w:rFonts w:hint="eastAsia"/>
        </w:rPr>
      </w:pPr>
      <w:r>
        <w:rPr>
          <w:rFonts w:hint="eastAsia"/>
        </w:rPr>
        <w:t>DOI: 10.1016/j.jmb.2026.170069</w:t>
      </w:r>
    </w:p>
    <w:p w14:paraId="21300365">
      <w:pPr>
        <w:pStyle w:val="2"/>
        <w:rPr>
          <w:rFonts w:hint="eastAsia"/>
        </w:rPr>
      </w:pPr>
      <w:r>
        <w:rPr>
          <w:rFonts w:hint="eastAsia"/>
        </w:rPr>
        <w:t>PMID: 42880540</w:t>
      </w:r>
    </w:p>
    <w:p w14:paraId="13267605">
      <w:pPr>
        <w:pStyle w:val="2"/>
        <w:rPr>
          <w:rFonts w:hint="eastAsia"/>
        </w:rPr>
      </w:pPr>
    </w:p>
    <w:p w14:paraId="5FB84AF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13</w:t>
      </w:r>
      <w:r>
        <w:rPr>
          <w:rFonts w:hint="eastAsia"/>
          <w:b/>
          <w:bCs/>
          <w:color w:val="FF0000"/>
        </w:rPr>
        <w:t xml:space="preserve">. J Glob Antimicrob Resist. 2026 Oct 15:S2213-7165(26)00189-X. doi: </w:t>
      </w:r>
    </w:p>
    <w:p w14:paraId="36938B8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10.1016/j.jgar.2026.10.004. Online ahead of print.</w:t>
      </w:r>
    </w:p>
    <w:p w14:paraId="0179D604">
      <w:pPr>
        <w:pStyle w:val="2"/>
        <w:rPr>
          <w:rFonts w:hint="eastAsia"/>
        </w:rPr>
      </w:pPr>
    </w:p>
    <w:p w14:paraId="711D3158">
      <w:pPr>
        <w:pStyle w:val="2"/>
        <w:rPr>
          <w:rFonts w:hint="eastAsia"/>
        </w:rPr>
      </w:pPr>
      <w:r>
        <w:rPr>
          <w:rFonts w:hint="eastAsia"/>
        </w:rPr>
        <w:t xml:space="preserve">MSMEI_4050 modulates resistance to the antitubercular drug rifampicin in </w:t>
      </w:r>
    </w:p>
    <w:p w14:paraId="7EA8567B">
      <w:pPr>
        <w:pStyle w:val="2"/>
        <w:rPr>
          <w:rFonts w:hint="eastAsia"/>
        </w:rPr>
      </w:pPr>
      <w:r>
        <w:rPr>
          <w:rFonts w:hint="eastAsia"/>
        </w:rPr>
        <w:t>Mycolicibacterium smegmatis.</w:t>
      </w:r>
    </w:p>
    <w:p w14:paraId="71EA1895">
      <w:pPr>
        <w:pStyle w:val="2"/>
        <w:rPr>
          <w:rFonts w:hint="eastAsia"/>
        </w:rPr>
      </w:pPr>
    </w:p>
    <w:p w14:paraId="4A363DF3">
      <w:pPr>
        <w:pStyle w:val="2"/>
        <w:rPr>
          <w:rFonts w:hint="eastAsia"/>
        </w:rPr>
      </w:pPr>
      <w:r>
        <w:rPr>
          <w:rFonts w:hint="eastAsia"/>
        </w:rPr>
        <w:t xml:space="preserve">Arriaga-Guerrero AL(1), Granados-Tristán AL(2), Mota-Cerecero L(3), </w:t>
      </w:r>
    </w:p>
    <w:p w14:paraId="62549126">
      <w:pPr>
        <w:pStyle w:val="2"/>
        <w:rPr>
          <w:rFonts w:hint="eastAsia"/>
        </w:rPr>
      </w:pPr>
      <w:r>
        <w:rPr>
          <w:rFonts w:hint="eastAsia"/>
        </w:rPr>
        <w:t xml:space="preserve">Hernández-Luna CE(4), Carrillo-Tripp M(5), Herrera-Rodulfo A(5), Ramírez-Flores </w:t>
      </w:r>
    </w:p>
    <w:p w14:paraId="32C2D6FC">
      <w:pPr>
        <w:pStyle w:val="2"/>
        <w:rPr>
          <w:rFonts w:hint="eastAsia"/>
        </w:rPr>
      </w:pPr>
      <w:r>
        <w:rPr>
          <w:rFonts w:hint="eastAsia"/>
        </w:rPr>
        <w:t xml:space="preserve">PN(6), González-Escalante LA(7), Escobedo-Guajardo BL(7), Camacho-Moll ME(7), </w:t>
      </w:r>
    </w:p>
    <w:p w14:paraId="35F8A8B5">
      <w:pPr>
        <w:pStyle w:val="2"/>
        <w:rPr>
          <w:rFonts w:hint="eastAsia"/>
        </w:rPr>
      </w:pPr>
      <w:r>
        <w:rPr>
          <w:rFonts w:hint="eastAsia"/>
        </w:rPr>
        <w:t xml:space="preserve">Silva-Ramírez B(8), Mercado-Hernández R(4), de León MB(7), Peñuelas-Urquides </w:t>
      </w:r>
    </w:p>
    <w:p w14:paraId="45F49C4B">
      <w:pPr>
        <w:pStyle w:val="2"/>
        <w:rPr>
          <w:rFonts w:hint="eastAsia"/>
        </w:rPr>
      </w:pPr>
      <w:r>
        <w:rPr>
          <w:rFonts w:hint="eastAsia"/>
        </w:rPr>
        <w:t>K(9).</w:t>
      </w:r>
    </w:p>
    <w:p w14:paraId="1C341D3B">
      <w:pPr>
        <w:pStyle w:val="2"/>
        <w:rPr>
          <w:rFonts w:hint="eastAsia"/>
        </w:rPr>
      </w:pPr>
    </w:p>
    <w:p w14:paraId="6F8A74D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78E73C7">
      <w:pPr>
        <w:pStyle w:val="2"/>
        <w:rPr>
          <w:rFonts w:hint="eastAsia"/>
        </w:rPr>
      </w:pPr>
      <w:r>
        <w:rPr>
          <w:rFonts w:hint="eastAsia"/>
        </w:rPr>
        <w:t xml:space="preserve">(1)Departamento de Biología Molecular, Centro de Investigación Biomédica del </w:t>
      </w:r>
    </w:p>
    <w:p w14:paraId="0C5833AA">
      <w:pPr>
        <w:pStyle w:val="2"/>
        <w:rPr>
          <w:rFonts w:hint="eastAsia"/>
        </w:rPr>
      </w:pPr>
      <w:r>
        <w:rPr>
          <w:rFonts w:hint="eastAsia"/>
        </w:rPr>
        <w:t xml:space="preserve">Noreste, Instituto Mexicano del Seguro Social. Monterrey, 64720, Nuevo León, </w:t>
      </w:r>
    </w:p>
    <w:p w14:paraId="55AAC270">
      <w:pPr>
        <w:pStyle w:val="2"/>
        <w:rPr>
          <w:rFonts w:hint="eastAsia"/>
        </w:rPr>
      </w:pPr>
      <w:r>
        <w:rPr>
          <w:rFonts w:hint="eastAsia"/>
        </w:rPr>
        <w:t xml:space="preserve">Mexico; Universidad Autónoma de Nuevo León (UANL), Facultad de Ciencias </w:t>
      </w:r>
    </w:p>
    <w:p w14:paraId="318B5E71">
      <w:pPr>
        <w:pStyle w:val="2"/>
        <w:rPr>
          <w:rFonts w:hint="eastAsia"/>
        </w:rPr>
      </w:pPr>
      <w:r>
        <w:rPr>
          <w:rFonts w:hint="eastAsia"/>
        </w:rPr>
        <w:t xml:space="preserve">Biológicas, San Nicolás de los Garza, 66455, Nuevo León, Mexico; Departamento de </w:t>
      </w:r>
    </w:p>
    <w:p w14:paraId="65468FEC">
      <w:pPr>
        <w:pStyle w:val="2"/>
        <w:rPr>
          <w:rFonts w:hint="eastAsia"/>
        </w:rPr>
      </w:pPr>
      <w:r>
        <w:rPr>
          <w:rFonts w:hint="eastAsia"/>
        </w:rPr>
        <w:t xml:space="preserve">Bioquímica, Facultad de Medicina, Universidad Nacional Autónoma de México, </w:t>
      </w:r>
    </w:p>
    <w:p w14:paraId="61D557E2">
      <w:pPr>
        <w:pStyle w:val="2"/>
        <w:rPr>
          <w:rFonts w:hint="eastAsia"/>
        </w:rPr>
      </w:pPr>
      <w:r>
        <w:rPr>
          <w:rFonts w:hint="eastAsia"/>
        </w:rPr>
        <w:t>Coyoacán, 04510, Ciudad de México, Mexico.</w:t>
      </w:r>
    </w:p>
    <w:p w14:paraId="3D24EB43">
      <w:pPr>
        <w:pStyle w:val="2"/>
        <w:rPr>
          <w:rFonts w:hint="eastAsia"/>
        </w:rPr>
      </w:pPr>
      <w:r>
        <w:rPr>
          <w:rFonts w:hint="eastAsia"/>
        </w:rPr>
        <w:t xml:space="preserve">(2)Departamento de Biología Molecular, Centro de Investigación Biomédica del </w:t>
      </w:r>
    </w:p>
    <w:p w14:paraId="72C8B71E">
      <w:pPr>
        <w:pStyle w:val="2"/>
        <w:rPr>
          <w:rFonts w:hint="eastAsia"/>
        </w:rPr>
      </w:pPr>
      <w:r>
        <w:rPr>
          <w:rFonts w:hint="eastAsia"/>
        </w:rPr>
        <w:t xml:space="preserve">Noreste, Instituto Mexicano del Seguro Social. Monterrey, 64720, Nuevo León, </w:t>
      </w:r>
    </w:p>
    <w:p w14:paraId="6D719820">
      <w:pPr>
        <w:pStyle w:val="2"/>
        <w:rPr>
          <w:rFonts w:hint="eastAsia"/>
        </w:rPr>
      </w:pPr>
      <w:r>
        <w:rPr>
          <w:rFonts w:hint="eastAsia"/>
        </w:rPr>
        <w:t xml:space="preserve">Mexico; Universidad Autónoma de Nuevo León (UANL), Facultad de Ciencias </w:t>
      </w:r>
    </w:p>
    <w:p w14:paraId="5BFDBAF4">
      <w:pPr>
        <w:pStyle w:val="2"/>
        <w:rPr>
          <w:rFonts w:hint="eastAsia"/>
        </w:rPr>
      </w:pPr>
      <w:r>
        <w:rPr>
          <w:rFonts w:hint="eastAsia"/>
        </w:rPr>
        <w:t xml:space="preserve">Biológicas, San Nicolás de los Garza, 66455, Nuevo León, Mexico; Universidad del </w:t>
      </w:r>
    </w:p>
    <w:p w14:paraId="7E6F82CA">
      <w:pPr>
        <w:pStyle w:val="2"/>
        <w:rPr>
          <w:rFonts w:hint="eastAsia"/>
        </w:rPr>
      </w:pPr>
      <w:r>
        <w:rPr>
          <w:rFonts w:hint="eastAsia"/>
        </w:rPr>
        <w:t xml:space="preserve">Valle de México, Campus Cumbres, Departamento de Ciencias de la Salud, 64610, </w:t>
      </w:r>
    </w:p>
    <w:p w14:paraId="1AE92BD5">
      <w:pPr>
        <w:pStyle w:val="2"/>
        <w:rPr>
          <w:rFonts w:hint="eastAsia"/>
        </w:rPr>
      </w:pPr>
      <w:r>
        <w:rPr>
          <w:rFonts w:hint="eastAsia"/>
        </w:rPr>
        <w:t>Monterrey, Nuevo León.</w:t>
      </w:r>
    </w:p>
    <w:p w14:paraId="44D2A026">
      <w:pPr>
        <w:pStyle w:val="2"/>
        <w:rPr>
          <w:rFonts w:hint="eastAsia"/>
        </w:rPr>
      </w:pPr>
      <w:r>
        <w:rPr>
          <w:rFonts w:hint="eastAsia"/>
        </w:rPr>
        <w:t xml:space="preserve">(3)Departamento de Biología Molecular, Centro de Investigación Biomédica del </w:t>
      </w:r>
    </w:p>
    <w:p w14:paraId="15DFB71E">
      <w:pPr>
        <w:pStyle w:val="2"/>
        <w:rPr>
          <w:rFonts w:hint="eastAsia"/>
        </w:rPr>
      </w:pPr>
      <w:r>
        <w:rPr>
          <w:rFonts w:hint="eastAsia"/>
        </w:rPr>
        <w:t xml:space="preserve">Noreste, Instituto Mexicano del Seguro Social. Monterrey, 64720, Nuevo León, </w:t>
      </w:r>
    </w:p>
    <w:p w14:paraId="6230AAED">
      <w:pPr>
        <w:pStyle w:val="2"/>
        <w:rPr>
          <w:rFonts w:hint="eastAsia"/>
        </w:rPr>
      </w:pPr>
      <w:r>
        <w:rPr>
          <w:rFonts w:hint="eastAsia"/>
        </w:rPr>
        <w:t xml:space="preserve">Mexico; Universidad Autónoma de Nuevo León (UANL), Facultad de Ciencias </w:t>
      </w:r>
    </w:p>
    <w:p w14:paraId="2BD41B66">
      <w:pPr>
        <w:pStyle w:val="2"/>
        <w:rPr>
          <w:rFonts w:hint="eastAsia"/>
        </w:rPr>
      </w:pPr>
      <w:r>
        <w:rPr>
          <w:rFonts w:hint="eastAsia"/>
        </w:rPr>
        <w:t>Biológicas, San Nicolás de los Garza, 66455, Nuevo León, Mexico.</w:t>
      </w:r>
    </w:p>
    <w:p w14:paraId="10F04EA6">
      <w:pPr>
        <w:pStyle w:val="2"/>
        <w:rPr>
          <w:rFonts w:hint="eastAsia"/>
        </w:rPr>
      </w:pPr>
      <w:r>
        <w:rPr>
          <w:rFonts w:hint="eastAsia"/>
        </w:rPr>
        <w:t xml:space="preserve">(4)Universidad Autónoma de Nuevo León (UANL), Facultad de Ciencias Biológicas, </w:t>
      </w:r>
    </w:p>
    <w:p w14:paraId="6BF2E879">
      <w:pPr>
        <w:pStyle w:val="2"/>
        <w:rPr>
          <w:rFonts w:hint="eastAsia"/>
        </w:rPr>
      </w:pPr>
      <w:r>
        <w:rPr>
          <w:rFonts w:hint="eastAsia"/>
        </w:rPr>
        <w:t>San Nicolás de los Garza, 66455, Nuevo León, Mexico.</w:t>
      </w:r>
    </w:p>
    <w:p w14:paraId="6302594D">
      <w:pPr>
        <w:pStyle w:val="2"/>
        <w:rPr>
          <w:rFonts w:hint="eastAsia"/>
        </w:rPr>
      </w:pPr>
      <w:r>
        <w:rPr>
          <w:rFonts w:hint="eastAsia"/>
        </w:rPr>
        <w:t xml:space="preserve">(5)Laboratorio de la Diversidad Biomolecular, Centro de Investigación y de </w:t>
      </w:r>
    </w:p>
    <w:p w14:paraId="0833269F">
      <w:pPr>
        <w:pStyle w:val="2"/>
        <w:rPr>
          <w:rFonts w:hint="eastAsia"/>
        </w:rPr>
      </w:pPr>
      <w:r>
        <w:rPr>
          <w:rFonts w:hint="eastAsia"/>
        </w:rPr>
        <w:t xml:space="preserve">Estudios Avanzados del Instituto Politécnico Nacional, Unidad Monterrey, </w:t>
      </w:r>
    </w:p>
    <w:p w14:paraId="393F24EA">
      <w:pPr>
        <w:pStyle w:val="2"/>
        <w:rPr>
          <w:rFonts w:hint="eastAsia"/>
        </w:rPr>
      </w:pPr>
      <w:r>
        <w:rPr>
          <w:rFonts w:hint="eastAsia"/>
        </w:rPr>
        <w:t>Apodaca, 66600, Nuevo León, Mexico.</w:t>
      </w:r>
    </w:p>
    <w:p w14:paraId="3AEFF811">
      <w:pPr>
        <w:pStyle w:val="2"/>
        <w:rPr>
          <w:rFonts w:hint="eastAsia"/>
        </w:rPr>
      </w:pPr>
      <w:r>
        <w:rPr>
          <w:rFonts w:hint="eastAsia"/>
        </w:rPr>
        <w:t xml:space="preserve">(6)Departamento de Biología Molecular, Centro de Investigación Biomédica del </w:t>
      </w:r>
    </w:p>
    <w:p w14:paraId="24A21427">
      <w:pPr>
        <w:pStyle w:val="2"/>
        <w:rPr>
          <w:rFonts w:hint="eastAsia"/>
        </w:rPr>
      </w:pPr>
      <w:r>
        <w:rPr>
          <w:rFonts w:hint="eastAsia"/>
        </w:rPr>
        <w:t xml:space="preserve">Noreste, Instituto Mexicano del Seguro Social. Monterrey, 64720, Nuevo León, </w:t>
      </w:r>
    </w:p>
    <w:p w14:paraId="2F0DC7D6">
      <w:pPr>
        <w:pStyle w:val="2"/>
        <w:rPr>
          <w:rFonts w:hint="eastAsia"/>
        </w:rPr>
      </w:pPr>
      <w:r>
        <w:rPr>
          <w:rFonts w:hint="eastAsia"/>
        </w:rPr>
        <w:t xml:space="preserve">Mexico; Tecnológico de Monterrey, Escuela de Medicina y Ciencias de la Salud, </w:t>
      </w:r>
    </w:p>
    <w:p w14:paraId="7F89DD3B">
      <w:pPr>
        <w:pStyle w:val="2"/>
        <w:rPr>
          <w:rFonts w:hint="eastAsia"/>
        </w:rPr>
      </w:pPr>
      <w:r>
        <w:rPr>
          <w:rFonts w:hint="eastAsia"/>
        </w:rPr>
        <w:t>Monterrey, 64710, Nuevo León, Mexico.</w:t>
      </w:r>
    </w:p>
    <w:p w14:paraId="53617B69">
      <w:pPr>
        <w:pStyle w:val="2"/>
        <w:rPr>
          <w:rFonts w:hint="eastAsia"/>
        </w:rPr>
      </w:pPr>
      <w:r>
        <w:rPr>
          <w:rFonts w:hint="eastAsia"/>
        </w:rPr>
        <w:t xml:space="preserve">(7)Departamento de Biología Molecular, Centro de Investigación Biomédica del </w:t>
      </w:r>
    </w:p>
    <w:p w14:paraId="59026489">
      <w:pPr>
        <w:pStyle w:val="2"/>
        <w:rPr>
          <w:rFonts w:hint="eastAsia"/>
        </w:rPr>
      </w:pPr>
      <w:r>
        <w:rPr>
          <w:rFonts w:hint="eastAsia"/>
        </w:rPr>
        <w:t xml:space="preserve">Noreste, Instituto Mexicano del Seguro Social. Monterrey, 64720, Nuevo León, </w:t>
      </w:r>
    </w:p>
    <w:p w14:paraId="2F469077">
      <w:pPr>
        <w:pStyle w:val="2"/>
        <w:rPr>
          <w:rFonts w:hint="eastAsia"/>
        </w:rPr>
      </w:pPr>
      <w:r>
        <w:rPr>
          <w:rFonts w:hint="eastAsia"/>
        </w:rPr>
        <w:t>Mexico.</w:t>
      </w:r>
    </w:p>
    <w:p w14:paraId="5FFDB2DC">
      <w:pPr>
        <w:pStyle w:val="2"/>
        <w:rPr>
          <w:rFonts w:hint="eastAsia"/>
        </w:rPr>
      </w:pPr>
      <w:r>
        <w:rPr>
          <w:rFonts w:hint="eastAsia"/>
        </w:rPr>
        <w:t xml:space="preserve">(8)Departamento de Inmunogenética, Centro de Investigación Biomédica del </w:t>
      </w:r>
    </w:p>
    <w:p w14:paraId="74DDC516">
      <w:pPr>
        <w:pStyle w:val="2"/>
        <w:rPr>
          <w:rFonts w:hint="eastAsia"/>
        </w:rPr>
      </w:pPr>
      <w:r>
        <w:rPr>
          <w:rFonts w:hint="eastAsia"/>
        </w:rPr>
        <w:t xml:space="preserve">Noreste, Instituto Mexicano del Seguro Social, Monterrey, 64720, Nuevo León, </w:t>
      </w:r>
    </w:p>
    <w:p w14:paraId="31A7F7BB">
      <w:pPr>
        <w:pStyle w:val="2"/>
        <w:rPr>
          <w:rFonts w:hint="eastAsia"/>
        </w:rPr>
      </w:pPr>
      <w:r>
        <w:rPr>
          <w:rFonts w:hint="eastAsia"/>
        </w:rPr>
        <w:t>Mexico.</w:t>
      </w:r>
    </w:p>
    <w:p w14:paraId="01ACC21C">
      <w:pPr>
        <w:pStyle w:val="2"/>
        <w:rPr>
          <w:rFonts w:hint="eastAsia"/>
        </w:rPr>
      </w:pPr>
      <w:r>
        <w:rPr>
          <w:rFonts w:hint="eastAsia"/>
        </w:rPr>
        <w:t xml:space="preserve">(9)Departamento de Biología Molecular, Centro de Investigación Biomédica del </w:t>
      </w:r>
    </w:p>
    <w:p w14:paraId="32032E1C">
      <w:pPr>
        <w:pStyle w:val="2"/>
        <w:rPr>
          <w:rFonts w:hint="eastAsia"/>
        </w:rPr>
      </w:pPr>
      <w:r>
        <w:rPr>
          <w:rFonts w:hint="eastAsia"/>
        </w:rPr>
        <w:t xml:space="preserve">Noreste, Instituto Mexicano del Seguro Social. Monterrey, 64720, Nuevo León, </w:t>
      </w:r>
    </w:p>
    <w:p w14:paraId="4D1E71A0">
      <w:pPr>
        <w:pStyle w:val="2"/>
        <w:rPr>
          <w:rFonts w:hint="eastAsia"/>
        </w:rPr>
      </w:pPr>
      <w:r>
        <w:rPr>
          <w:rFonts w:hint="eastAsia"/>
        </w:rPr>
        <w:t>Mexico. Electronic address: katia.penuelasu@imss.gob.mx.</w:t>
      </w:r>
    </w:p>
    <w:p w14:paraId="0983884A">
      <w:pPr>
        <w:pStyle w:val="2"/>
        <w:rPr>
          <w:rFonts w:hint="eastAsia"/>
        </w:rPr>
      </w:pPr>
    </w:p>
    <w:p w14:paraId="3443669C">
      <w:pPr>
        <w:pStyle w:val="2"/>
        <w:rPr>
          <w:rFonts w:hint="eastAsia"/>
        </w:rPr>
      </w:pPr>
      <w:r>
        <w:rPr>
          <w:rFonts w:hint="eastAsia"/>
          <w:b/>
          <w:bCs/>
        </w:rPr>
        <w:t>OBJECTIVES:</w:t>
      </w:r>
      <w:r>
        <w:rPr>
          <w:rFonts w:hint="eastAsia"/>
        </w:rPr>
        <w:t xml:space="preserve"> Drug-resistant tuberculosis increases the risk of first-line drugs </w:t>
      </w:r>
    </w:p>
    <w:p w14:paraId="3D89489F">
      <w:pPr>
        <w:pStyle w:val="2"/>
        <w:rPr>
          <w:rFonts w:hint="eastAsia"/>
        </w:rPr>
      </w:pPr>
      <w:r>
        <w:rPr>
          <w:rFonts w:hint="eastAsia"/>
        </w:rPr>
        <w:t xml:space="preserve">failure, and one strategy involves the identification of new molecular </w:t>
      </w:r>
    </w:p>
    <w:p w14:paraId="14C092D1">
      <w:pPr>
        <w:pStyle w:val="2"/>
        <w:rPr>
          <w:rFonts w:hint="eastAsia"/>
        </w:rPr>
      </w:pPr>
      <w:r>
        <w:rPr>
          <w:rFonts w:hint="eastAsia"/>
        </w:rPr>
        <w:t xml:space="preserve">mechanisms of drug resistance. Mycobacterium tuberculosis lipases play a role in </w:t>
      </w:r>
    </w:p>
    <w:p w14:paraId="414A095B">
      <w:pPr>
        <w:pStyle w:val="2"/>
        <w:rPr>
          <w:rFonts w:hint="eastAsia"/>
        </w:rPr>
      </w:pPr>
      <w:r>
        <w:rPr>
          <w:rFonts w:hint="eastAsia"/>
        </w:rPr>
        <w:t xml:space="preserve">the synthesis of bacterial cell wall lipids. In addition, different studies have </w:t>
      </w:r>
    </w:p>
    <w:p w14:paraId="1CFC3FAD">
      <w:pPr>
        <w:pStyle w:val="2"/>
        <w:rPr>
          <w:rFonts w:hint="eastAsia"/>
        </w:rPr>
      </w:pPr>
      <w:r>
        <w:rPr>
          <w:rFonts w:hint="eastAsia"/>
        </w:rPr>
        <w:t xml:space="preserve">shown that lipases are associated with drug resistance. The NLH-H protein </w:t>
      </w:r>
    </w:p>
    <w:p w14:paraId="1EA87D36">
      <w:pPr>
        <w:pStyle w:val="2"/>
        <w:rPr>
          <w:rFonts w:hint="eastAsia"/>
        </w:rPr>
      </w:pPr>
      <w:r>
        <w:rPr>
          <w:rFonts w:hint="eastAsia"/>
        </w:rPr>
        <w:t xml:space="preserve">(Rv1399c) from M. tuberculosis has been characterized, and its overexpression </w:t>
      </w:r>
    </w:p>
    <w:p w14:paraId="6AFF3447">
      <w:pPr>
        <w:pStyle w:val="2"/>
        <w:rPr>
          <w:rFonts w:hint="eastAsia"/>
        </w:rPr>
      </w:pPr>
      <w:r>
        <w:rPr>
          <w:rFonts w:hint="eastAsia"/>
        </w:rPr>
        <w:t xml:space="preserve">decreases susceptibility to tetrahydrolipstatin. The MSMEI_4050 gene of </w:t>
      </w:r>
    </w:p>
    <w:p w14:paraId="193CD1EA">
      <w:pPr>
        <w:pStyle w:val="2"/>
        <w:rPr>
          <w:rFonts w:hint="eastAsia"/>
        </w:rPr>
      </w:pPr>
      <w:r>
        <w:rPr>
          <w:rFonts w:hint="eastAsia"/>
        </w:rPr>
        <w:t xml:space="preserve">Mycolicibacterium smegmatis encoded a protein which has more than 30% identity </w:t>
      </w:r>
    </w:p>
    <w:p w14:paraId="26BDC1FF">
      <w:pPr>
        <w:pStyle w:val="2"/>
        <w:rPr>
          <w:rFonts w:hint="eastAsia"/>
        </w:rPr>
      </w:pPr>
      <w:r>
        <w:rPr>
          <w:rFonts w:hint="eastAsia"/>
        </w:rPr>
        <w:t xml:space="preserve">with the NLN-H protein and shares the SER-ARG-HIS catalytic triad. The aim of </w:t>
      </w:r>
    </w:p>
    <w:p w14:paraId="451C552C">
      <w:pPr>
        <w:pStyle w:val="2"/>
        <w:rPr>
          <w:rFonts w:hint="eastAsia"/>
        </w:rPr>
      </w:pPr>
      <w:r>
        <w:rPr>
          <w:rFonts w:hint="eastAsia"/>
        </w:rPr>
        <w:t xml:space="preserve">this study was to evaluate the effect of MSMEI_4050 expression on drug </w:t>
      </w:r>
    </w:p>
    <w:p w14:paraId="0D3C6509">
      <w:pPr>
        <w:pStyle w:val="2"/>
        <w:rPr>
          <w:rFonts w:hint="eastAsia"/>
        </w:rPr>
      </w:pPr>
      <w:r>
        <w:rPr>
          <w:rFonts w:hint="eastAsia"/>
        </w:rPr>
        <w:t>resistance in M. smegmatis as a M. tuberculosis model.</w:t>
      </w:r>
    </w:p>
    <w:p w14:paraId="37D708A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MSMEI_4050 gene overexpression and inhibition were achieved by using </w:t>
      </w:r>
    </w:p>
    <w:p w14:paraId="3CB2AD68">
      <w:pPr>
        <w:pStyle w:val="2"/>
        <w:rPr>
          <w:rFonts w:hint="eastAsia"/>
        </w:rPr>
      </w:pPr>
      <w:r>
        <w:rPr>
          <w:rFonts w:hint="eastAsia"/>
        </w:rPr>
        <w:t xml:space="preserve">the pMV261 vector and CRISPR interference system, respectively. Confirmation of </w:t>
      </w:r>
    </w:p>
    <w:p w14:paraId="4CFABF41">
      <w:pPr>
        <w:pStyle w:val="2"/>
        <w:rPr>
          <w:rFonts w:hint="eastAsia"/>
        </w:rPr>
      </w:pPr>
      <w:r>
        <w:rPr>
          <w:rFonts w:hint="eastAsia"/>
        </w:rPr>
        <w:t xml:space="preserve">gene expression was determined using qPCR. To evaluate the effect of MSMEI_4050 </w:t>
      </w:r>
    </w:p>
    <w:p w14:paraId="52A58D06">
      <w:pPr>
        <w:pStyle w:val="2"/>
        <w:rPr>
          <w:rFonts w:hint="eastAsia"/>
        </w:rPr>
      </w:pPr>
      <w:r>
        <w:rPr>
          <w:rFonts w:hint="eastAsia"/>
        </w:rPr>
        <w:t xml:space="preserve">expression on drug resistance, resazurin microtiter assays and kinetic growth </w:t>
      </w:r>
    </w:p>
    <w:p w14:paraId="48E2289C">
      <w:pPr>
        <w:pStyle w:val="2"/>
        <w:rPr>
          <w:rFonts w:hint="eastAsia"/>
        </w:rPr>
      </w:pPr>
      <w:r>
        <w:rPr>
          <w:rFonts w:hint="eastAsia"/>
        </w:rPr>
        <w:t xml:space="preserve">curves were generated. Additionally, molecular docking modeling assays were </w:t>
      </w:r>
    </w:p>
    <w:p w14:paraId="65EE3E4D">
      <w:pPr>
        <w:pStyle w:val="2"/>
        <w:rPr>
          <w:rFonts w:hint="eastAsia"/>
        </w:rPr>
      </w:pPr>
      <w:r>
        <w:rPr>
          <w:rFonts w:hint="eastAsia"/>
        </w:rPr>
        <w:t>performed.</w:t>
      </w:r>
    </w:p>
    <w:p w14:paraId="1C7C8BCC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The results demonstrated that the overexpression of MSMEI_4050 </w:t>
      </w:r>
    </w:p>
    <w:p w14:paraId="69D61EAA">
      <w:pPr>
        <w:pStyle w:val="2"/>
        <w:rPr>
          <w:rFonts w:hint="eastAsia"/>
        </w:rPr>
      </w:pPr>
      <w:r>
        <w:rPr>
          <w:rFonts w:hint="eastAsia"/>
        </w:rPr>
        <w:t xml:space="preserve">decreased rifampicin resistance in M. smegmatis, whereas the opposite effect was </w:t>
      </w:r>
    </w:p>
    <w:p w14:paraId="58F28101">
      <w:pPr>
        <w:pStyle w:val="2"/>
        <w:rPr>
          <w:rFonts w:hint="eastAsia"/>
        </w:rPr>
      </w:pPr>
      <w:r>
        <w:rPr>
          <w:rFonts w:hint="eastAsia"/>
        </w:rPr>
        <w:t xml:space="preserve">observed upon MSMEI_4050 inhibition. Molecular docking analysis revealed a </w:t>
      </w:r>
    </w:p>
    <w:p w14:paraId="77EED070">
      <w:pPr>
        <w:pStyle w:val="2"/>
        <w:rPr>
          <w:rFonts w:hint="eastAsia"/>
        </w:rPr>
      </w:pPr>
      <w:r>
        <w:rPr>
          <w:rFonts w:hint="eastAsia"/>
        </w:rPr>
        <w:t xml:space="preserve">positive value of the change in Gibbs free energy estimation between MSMEI_4050 </w:t>
      </w:r>
    </w:p>
    <w:p w14:paraId="48241758">
      <w:pPr>
        <w:pStyle w:val="2"/>
        <w:rPr>
          <w:rFonts w:hint="eastAsia"/>
        </w:rPr>
      </w:pPr>
      <w:r>
        <w:rPr>
          <w:rFonts w:hint="eastAsia"/>
        </w:rPr>
        <w:t xml:space="preserve">and rifampicin, suggesting that no direct protein‒drug interaction occurs at the </w:t>
      </w:r>
    </w:p>
    <w:p w14:paraId="402CBAD3">
      <w:pPr>
        <w:pStyle w:val="2"/>
        <w:rPr>
          <w:rFonts w:hint="eastAsia"/>
        </w:rPr>
      </w:pPr>
      <w:r>
        <w:rPr>
          <w:rFonts w:hint="eastAsia"/>
        </w:rPr>
        <w:t>active site of the protein.</w:t>
      </w:r>
    </w:p>
    <w:p w14:paraId="0D7BDDB7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MSMEI_4050 expression is associated with rifampicin resistance; </w:t>
      </w:r>
    </w:p>
    <w:p w14:paraId="033F4937">
      <w:pPr>
        <w:pStyle w:val="2"/>
        <w:rPr>
          <w:rFonts w:hint="eastAsia"/>
        </w:rPr>
      </w:pPr>
      <w:r>
        <w:rPr>
          <w:rFonts w:hint="eastAsia"/>
        </w:rPr>
        <w:t xml:space="preserve">further studies are needed to understand the role of MSMEI_4050 in the mechanism </w:t>
      </w:r>
    </w:p>
    <w:p w14:paraId="599E936A">
      <w:pPr>
        <w:pStyle w:val="2"/>
        <w:rPr>
          <w:rFonts w:hint="eastAsia"/>
        </w:rPr>
      </w:pPr>
      <w:r>
        <w:rPr>
          <w:rFonts w:hint="eastAsia"/>
        </w:rPr>
        <w:t>underlying rifampicin resistance.</w:t>
      </w:r>
    </w:p>
    <w:p w14:paraId="61B5DFFA">
      <w:pPr>
        <w:pStyle w:val="2"/>
        <w:rPr>
          <w:rFonts w:hint="eastAsia"/>
        </w:rPr>
      </w:pPr>
    </w:p>
    <w:p w14:paraId="5750FE1C">
      <w:pPr>
        <w:pStyle w:val="2"/>
        <w:rPr>
          <w:rFonts w:hint="eastAsia"/>
        </w:rPr>
      </w:pPr>
      <w:r>
        <w:rPr>
          <w:rFonts w:hint="eastAsia"/>
        </w:rPr>
        <w:t>Copyright © 2026. Published by Elsevier Ltd.</w:t>
      </w:r>
    </w:p>
    <w:p w14:paraId="0A8F6795">
      <w:pPr>
        <w:pStyle w:val="2"/>
        <w:rPr>
          <w:rFonts w:hint="eastAsia"/>
        </w:rPr>
      </w:pPr>
    </w:p>
    <w:p w14:paraId="26DAA1E7">
      <w:pPr>
        <w:pStyle w:val="2"/>
        <w:rPr>
          <w:rFonts w:hint="eastAsia"/>
        </w:rPr>
      </w:pPr>
      <w:r>
        <w:rPr>
          <w:rFonts w:hint="eastAsia"/>
        </w:rPr>
        <w:t>DOI: 10.1016/j.jgar.2026.10.004</w:t>
      </w:r>
    </w:p>
    <w:p w14:paraId="3E6FAD19">
      <w:pPr>
        <w:pStyle w:val="2"/>
        <w:rPr>
          <w:rFonts w:hint="eastAsia"/>
        </w:rPr>
      </w:pPr>
      <w:r>
        <w:rPr>
          <w:rFonts w:hint="eastAsia"/>
        </w:rPr>
        <w:t>PMID: 42880497</w:t>
      </w:r>
    </w:p>
    <w:p w14:paraId="51B8B127">
      <w:pPr>
        <w:pStyle w:val="2"/>
        <w:rPr>
          <w:rFonts w:hint="eastAsia"/>
        </w:rPr>
      </w:pPr>
    </w:p>
    <w:p w14:paraId="7085E8F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14</w:t>
      </w:r>
      <w:r>
        <w:rPr>
          <w:rFonts w:hint="eastAsia"/>
          <w:b/>
          <w:bCs/>
          <w:color w:val="FF0000"/>
        </w:rPr>
        <w:t>. Pneumologie. 2026 Oct 15. doi: 10.1055/a-2965-2426. Online ahead of print.</w:t>
      </w:r>
    </w:p>
    <w:p w14:paraId="2B7A8283">
      <w:pPr>
        <w:pStyle w:val="2"/>
        <w:rPr>
          <w:rFonts w:hint="eastAsia"/>
        </w:rPr>
      </w:pPr>
    </w:p>
    <w:p w14:paraId="27CDB0A8">
      <w:pPr>
        <w:pStyle w:val="2"/>
        <w:rPr>
          <w:rFonts w:hint="eastAsia"/>
        </w:rPr>
      </w:pPr>
      <w:r>
        <w:rPr>
          <w:rFonts w:hint="eastAsia"/>
        </w:rPr>
        <w:t>Tenosynovitis caused by Mycobacterium malmoense.</w:t>
      </w:r>
    </w:p>
    <w:p w14:paraId="15FA3EAF">
      <w:pPr>
        <w:pStyle w:val="2"/>
        <w:rPr>
          <w:rFonts w:hint="eastAsia"/>
        </w:rPr>
      </w:pPr>
    </w:p>
    <w:p w14:paraId="20953951">
      <w:pPr>
        <w:pStyle w:val="2"/>
        <w:rPr>
          <w:rFonts w:hint="eastAsia"/>
        </w:rPr>
      </w:pPr>
      <w:r>
        <w:rPr>
          <w:rFonts w:hint="eastAsia"/>
        </w:rPr>
        <w:t>[Article in English]</w:t>
      </w:r>
    </w:p>
    <w:p w14:paraId="4DD5BDB2">
      <w:pPr>
        <w:pStyle w:val="2"/>
        <w:rPr>
          <w:rFonts w:hint="eastAsia"/>
        </w:rPr>
      </w:pPr>
    </w:p>
    <w:p w14:paraId="7B97C6F7">
      <w:pPr>
        <w:pStyle w:val="2"/>
        <w:rPr>
          <w:rFonts w:hint="eastAsia"/>
        </w:rPr>
      </w:pPr>
      <w:r>
        <w:rPr>
          <w:rFonts w:hint="eastAsia"/>
        </w:rPr>
        <w:t>Peterka MV(1), Polsfuss S(2), Bauer T(1), Schoenfeld N(1).</w:t>
      </w:r>
    </w:p>
    <w:p w14:paraId="3EF23534">
      <w:pPr>
        <w:pStyle w:val="2"/>
        <w:rPr>
          <w:rFonts w:hint="eastAsia"/>
        </w:rPr>
      </w:pPr>
    </w:p>
    <w:p w14:paraId="13210B1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9525090">
      <w:pPr>
        <w:pStyle w:val="2"/>
        <w:rPr>
          <w:rFonts w:hint="eastAsia"/>
        </w:rPr>
      </w:pPr>
      <w:r>
        <w:rPr>
          <w:rFonts w:hint="eastAsia"/>
        </w:rPr>
        <w:t xml:space="preserve">(1)Helios Klinikum Emil von Behring Berlin-Zehlendorf, Klinik für Pneumologie, </w:t>
      </w:r>
    </w:p>
    <w:p w14:paraId="15534424">
      <w:pPr>
        <w:pStyle w:val="2"/>
        <w:rPr>
          <w:rFonts w:hint="eastAsia"/>
        </w:rPr>
      </w:pPr>
      <w:r>
        <w:rPr>
          <w:rFonts w:hint="eastAsia"/>
        </w:rPr>
        <w:t>Lungenklinik Heckeshorn, Germany, Berlin.</w:t>
      </w:r>
    </w:p>
    <w:p w14:paraId="71429AC3">
      <w:pPr>
        <w:pStyle w:val="2"/>
        <w:rPr>
          <w:rFonts w:hint="eastAsia"/>
        </w:rPr>
      </w:pPr>
      <w:r>
        <w:rPr>
          <w:rFonts w:hint="eastAsia"/>
        </w:rPr>
        <w:t xml:space="preserve">(2)Helios Hospital Emil von Behring Berlin-Zehlendorf, Institute for </w:t>
      </w:r>
    </w:p>
    <w:p w14:paraId="76BE1B42">
      <w:pPr>
        <w:pStyle w:val="2"/>
        <w:rPr>
          <w:rFonts w:hint="eastAsia"/>
        </w:rPr>
      </w:pPr>
      <w:r>
        <w:rPr>
          <w:rFonts w:hint="eastAsia"/>
        </w:rPr>
        <w:t>Microbiology, Immunology and Laboratory Medicine, Germany, Berlin.</w:t>
      </w:r>
    </w:p>
    <w:p w14:paraId="0D20CDC2">
      <w:pPr>
        <w:pStyle w:val="2"/>
        <w:rPr>
          <w:rFonts w:hint="eastAsia"/>
        </w:rPr>
      </w:pPr>
    </w:p>
    <w:p w14:paraId="719F24F8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Mycobacterium malmoense is a slow-growing nontuberculous </w:t>
      </w:r>
    </w:p>
    <w:p w14:paraId="3B3718E2">
      <w:pPr>
        <w:pStyle w:val="2"/>
        <w:rPr>
          <w:rFonts w:hint="eastAsia"/>
        </w:rPr>
      </w:pPr>
      <w:r>
        <w:rPr>
          <w:rFonts w:hint="eastAsia"/>
        </w:rPr>
        <w:t xml:space="preserve">mycobacterium (NTM) increasingly recognized as a cause of extrapulmonary </w:t>
      </w:r>
    </w:p>
    <w:p w14:paraId="3074B268">
      <w:pPr>
        <w:pStyle w:val="2"/>
        <w:rPr>
          <w:rFonts w:hint="eastAsia"/>
        </w:rPr>
      </w:pPr>
      <w:r>
        <w:rPr>
          <w:rFonts w:hint="eastAsia"/>
        </w:rPr>
        <w:t xml:space="preserve">infections. Tenosynovitis due to M. malmoense is rare and diagnostically </w:t>
      </w:r>
    </w:p>
    <w:p w14:paraId="72902160">
      <w:pPr>
        <w:pStyle w:val="2"/>
        <w:rPr>
          <w:rFonts w:hint="eastAsia"/>
        </w:rPr>
      </w:pPr>
      <w:r>
        <w:rPr>
          <w:rFonts w:hint="eastAsia"/>
        </w:rPr>
        <w:t xml:space="preserve">challenging because of its indolent course and nonspecific clinical </w:t>
      </w:r>
    </w:p>
    <w:p w14:paraId="0F429D86">
      <w:pPr>
        <w:pStyle w:val="2"/>
        <w:rPr>
          <w:rFonts w:hint="eastAsia"/>
        </w:rPr>
      </w:pPr>
      <w:r>
        <w:rPr>
          <w:rFonts w:hint="eastAsia"/>
        </w:rPr>
        <w:t>presentation.</w:t>
      </w:r>
    </w:p>
    <w:p w14:paraId="51EC9AD6">
      <w:pPr>
        <w:pStyle w:val="2"/>
        <w:rPr>
          <w:rFonts w:hint="eastAsia"/>
        </w:rPr>
      </w:pPr>
      <w:r>
        <w:rPr>
          <w:rFonts w:hint="eastAsia"/>
          <w:b/>
          <w:bCs/>
        </w:rPr>
        <w:t>CASE PRESENTATION:</w:t>
      </w:r>
      <w:r>
        <w:rPr>
          <w:rFonts w:hint="eastAsia"/>
        </w:rPr>
        <w:t xml:space="preserve"> We report a 65-year-old immunocompetent woman presenting with </w:t>
      </w:r>
    </w:p>
    <w:p w14:paraId="7948C4A7">
      <w:pPr>
        <w:pStyle w:val="2"/>
        <w:rPr>
          <w:rFonts w:hint="eastAsia"/>
        </w:rPr>
      </w:pPr>
      <w:r>
        <w:rPr>
          <w:rFonts w:hint="eastAsia"/>
        </w:rPr>
        <w:t xml:space="preserve">progressive wrist pain, swelling, and impaired hand function without prior </w:t>
      </w:r>
    </w:p>
    <w:p w14:paraId="2EFE9872">
      <w:pPr>
        <w:pStyle w:val="2"/>
        <w:rPr>
          <w:rFonts w:hint="eastAsia"/>
        </w:rPr>
      </w:pPr>
      <w:r>
        <w:rPr>
          <w:rFonts w:hint="eastAsia"/>
        </w:rPr>
        <w:t xml:space="preserve">trauma. Symptoms developed after exposure to fresh fish and shellfish. Surgical </w:t>
      </w:r>
    </w:p>
    <w:p w14:paraId="4F345057">
      <w:pPr>
        <w:pStyle w:val="2"/>
        <w:rPr>
          <w:rFonts w:hint="eastAsia"/>
        </w:rPr>
      </w:pPr>
      <w:r>
        <w:rPr>
          <w:rFonts w:hint="eastAsia"/>
        </w:rPr>
        <w:t xml:space="preserve">exploration revealed extensive tenosynovitis with median nerve compression. </w:t>
      </w:r>
    </w:p>
    <w:p w14:paraId="7BB88752">
      <w:pPr>
        <w:pStyle w:val="2"/>
        <w:rPr>
          <w:rFonts w:hint="eastAsia"/>
        </w:rPr>
      </w:pPr>
      <w:r>
        <w:rPr>
          <w:rFonts w:hint="eastAsia"/>
        </w:rPr>
        <w:t xml:space="preserve">Histopathology showed granulomatous synovitis suggestive of mycobacterial </w:t>
      </w:r>
    </w:p>
    <w:p w14:paraId="6F6A71B6">
      <w:pPr>
        <w:pStyle w:val="2"/>
        <w:rPr>
          <w:rFonts w:hint="eastAsia"/>
        </w:rPr>
      </w:pPr>
      <w:r>
        <w:rPr>
          <w:rFonts w:hint="eastAsia"/>
        </w:rPr>
        <w:t xml:space="preserve">infection. Molecular testing detected Mycobacterium genus DNA, while PCR for the </w:t>
      </w:r>
    </w:p>
    <w:p w14:paraId="0B51660E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complex was negative. After prolonged incubation, </w:t>
      </w:r>
    </w:p>
    <w:p w14:paraId="1910D643">
      <w:pPr>
        <w:pStyle w:val="2"/>
        <w:rPr>
          <w:rFonts w:hint="eastAsia"/>
        </w:rPr>
      </w:pPr>
      <w:r>
        <w:rPr>
          <w:rFonts w:hint="eastAsia"/>
        </w:rPr>
        <w:t xml:space="preserve">culture identified M. malmoense. Drug susceptibility testing demonstrated </w:t>
      </w:r>
    </w:p>
    <w:p w14:paraId="3FE4425B">
      <w:pPr>
        <w:pStyle w:val="2"/>
        <w:rPr>
          <w:rFonts w:hint="eastAsia"/>
        </w:rPr>
      </w:pPr>
      <w:r>
        <w:rPr>
          <w:rFonts w:hint="eastAsia"/>
        </w:rPr>
        <w:t xml:space="preserve">susceptibility to standard antimycobacterial agents except doxycycline. Initial </w:t>
      </w:r>
    </w:p>
    <w:p w14:paraId="5869C211">
      <w:pPr>
        <w:pStyle w:val="2"/>
        <w:rPr>
          <w:rFonts w:hint="eastAsia"/>
        </w:rPr>
      </w:pPr>
      <w:r>
        <w:rPr>
          <w:rFonts w:hint="eastAsia"/>
        </w:rPr>
        <w:t xml:space="preserve">empiric therapy targeting M. marinum was adapted following species </w:t>
      </w:r>
    </w:p>
    <w:p w14:paraId="4FA8807D">
      <w:pPr>
        <w:pStyle w:val="2"/>
        <w:rPr>
          <w:rFonts w:hint="eastAsia"/>
        </w:rPr>
      </w:pPr>
      <w:r>
        <w:rPr>
          <w:rFonts w:hint="eastAsia"/>
        </w:rPr>
        <w:t xml:space="preserve">identification. After 8 months of treatment, significant clinical and </w:t>
      </w:r>
    </w:p>
    <w:p w14:paraId="0C2D221E">
      <w:pPr>
        <w:pStyle w:val="2"/>
        <w:rPr>
          <w:rFonts w:hint="eastAsia"/>
        </w:rPr>
      </w:pPr>
      <w:r>
        <w:rPr>
          <w:rFonts w:hint="eastAsia"/>
        </w:rPr>
        <w:t xml:space="preserve">radiological improvement was observed, with no evidence of relapse at 6-month </w:t>
      </w:r>
    </w:p>
    <w:p w14:paraId="2E437482">
      <w:pPr>
        <w:pStyle w:val="2"/>
        <w:rPr>
          <w:rFonts w:hint="eastAsia"/>
        </w:rPr>
      </w:pPr>
      <w:r>
        <w:rPr>
          <w:rFonts w:hint="eastAsia"/>
        </w:rPr>
        <w:t>follow-up.</w:t>
      </w:r>
    </w:p>
    <w:p w14:paraId="0C4CC790">
      <w:pPr>
        <w:pStyle w:val="2"/>
        <w:rPr>
          <w:rFonts w:hint="eastAsia"/>
        </w:rPr>
      </w:pPr>
      <w:r>
        <w:rPr>
          <w:rFonts w:hint="eastAsia"/>
          <w:b/>
          <w:bCs/>
        </w:rPr>
        <w:t>DISCUSSION:</w:t>
      </w:r>
      <w:r>
        <w:rPr>
          <w:rFonts w:hint="eastAsia"/>
        </w:rPr>
        <w:t xml:space="preserve"> M. malmoense tenosynovitis is extremely rare, with only few cases </w:t>
      </w:r>
    </w:p>
    <w:p w14:paraId="3EA568F5">
      <w:pPr>
        <w:pStyle w:val="2"/>
        <w:rPr>
          <w:rFonts w:hint="eastAsia"/>
        </w:rPr>
      </w:pPr>
      <w:r>
        <w:rPr>
          <w:rFonts w:hint="eastAsia"/>
        </w:rPr>
        <w:t xml:space="preserve">reported. Diagnosis is frequently delayed due to low sensitivity of microscopy, </w:t>
      </w:r>
    </w:p>
    <w:p w14:paraId="124BAE54">
      <w:pPr>
        <w:pStyle w:val="2"/>
        <w:rPr>
          <w:rFonts w:hint="eastAsia"/>
        </w:rPr>
      </w:pPr>
      <w:r>
        <w:rPr>
          <w:rFonts w:hint="eastAsia"/>
        </w:rPr>
        <w:t xml:space="preserve">slow growth in culture, and nonspecific findings. Molecular diagnostics and </w:t>
      </w:r>
    </w:p>
    <w:p w14:paraId="71CC675B">
      <w:pPr>
        <w:pStyle w:val="2"/>
        <w:rPr>
          <w:rFonts w:hint="eastAsia"/>
        </w:rPr>
      </w:pPr>
      <w:r>
        <w:rPr>
          <w:rFonts w:hint="eastAsia"/>
        </w:rPr>
        <w:t xml:space="preserve">prolonged incubation are essential. Management requires a combination of surgery </w:t>
      </w:r>
    </w:p>
    <w:p w14:paraId="7AE471C5">
      <w:pPr>
        <w:pStyle w:val="2"/>
        <w:rPr>
          <w:rFonts w:hint="eastAsia"/>
        </w:rPr>
      </w:pPr>
      <w:r>
        <w:rPr>
          <w:rFonts w:hint="eastAsia"/>
        </w:rPr>
        <w:t>and prolonged antimycobacterial therapy.</w:t>
      </w:r>
    </w:p>
    <w:p w14:paraId="4C45393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NTM infections, including M. malmoense, should be considered in </w:t>
      </w:r>
    </w:p>
    <w:p w14:paraId="3E572275">
      <w:pPr>
        <w:pStyle w:val="2"/>
        <w:rPr>
          <w:rFonts w:hint="eastAsia"/>
        </w:rPr>
      </w:pPr>
      <w:r>
        <w:rPr>
          <w:rFonts w:hint="eastAsia"/>
        </w:rPr>
        <w:t xml:space="preserve">chronic tenosynovitis unresponsive to standard treatment. Early diagnostic </w:t>
      </w:r>
    </w:p>
    <w:p w14:paraId="315088EA">
      <w:pPr>
        <w:pStyle w:val="2"/>
        <w:rPr>
          <w:rFonts w:hint="eastAsia"/>
        </w:rPr>
      </w:pPr>
      <w:r>
        <w:rPr>
          <w:rFonts w:hint="eastAsia"/>
        </w:rPr>
        <w:t>suspicion and interdisciplinary management are crucial for favorable outcomes.</w:t>
      </w:r>
    </w:p>
    <w:p w14:paraId="47C03E63">
      <w:pPr>
        <w:pStyle w:val="2"/>
        <w:rPr>
          <w:rFonts w:hint="eastAsia"/>
        </w:rPr>
      </w:pPr>
    </w:p>
    <w:p w14:paraId="5EF97207">
      <w:pPr>
        <w:pStyle w:val="2"/>
        <w:rPr>
          <w:rFonts w:hint="eastAsia"/>
        </w:rPr>
      </w:pPr>
      <w:r>
        <w:rPr>
          <w:rFonts w:hint="eastAsia"/>
        </w:rPr>
        <w:t>Thieme. All rights reserved.</w:t>
      </w:r>
    </w:p>
    <w:p w14:paraId="553E8E90">
      <w:pPr>
        <w:pStyle w:val="2"/>
        <w:rPr>
          <w:rFonts w:hint="eastAsia"/>
        </w:rPr>
      </w:pPr>
    </w:p>
    <w:p w14:paraId="2F984072">
      <w:pPr>
        <w:pStyle w:val="2"/>
        <w:rPr>
          <w:rFonts w:hint="eastAsia"/>
        </w:rPr>
      </w:pPr>
      <w:r>
        <w:rPr>
          <w:rFonts w:hint="eastAsia"/>
        </w:rPr>
        <w:t>DOI: 10.1055/a-2965-2426</w:t>
      </w:r>
    </w:p>
    <w:p w14:paraId="43DE8D64">
      <w:pPr>
        <w:pStyle w:val="2"/>
        <w:rPr>
          <w:rFonts w:hint="eastAsia"/>
        </w:rPr>
      </w:pPr>
      <w:r>
        <w:rPr>
          <w:rFonts w:hint="eastAsia"/>
        </w:rPr>
        <w:t>PMID: 42880314</w:t>
      </w:r>
    </w:p>
    <w:p w14:paraId="7C3FB10C">
      <w:pPr>
        <w:pStyle w:val="2"/>
        <w:rPr>
          <w:rFonts w:hint="eastAsia"/>
        </w:rPr>
      </w:pPr>
    </w:p>
    <w:p w14:paraId="264F4EE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15</w:t>
      </w:r>
      <w:r>
        <w:rPr>
          <w:rFonts w:hint="eastAsia"/>
          <w:b/>
          <w:bCs/>
          <w:color w:val="FF0000"/>
        </w:rPr>
        <w:t>. J Infect Dis. 2026 Oct 15:jiag516. doi: 10.1093/infdis/jiag516. Online ahead of print.</w:t>
      </w:r>
    </w:p>
    <w:p w14:paraId="640527CA">
      <w:pPr>
        <w:pStyle w:val="2"/>
        <w:rPr>
          <w:rFonts w:hint="eastAsia"/>
        </w:rPr>
      </w:pPr>
    </w:p>
    <w:p w14:paraId="3A5D81B0">
      <w:pPr>
        <w:pStyle w:val="2"/>
        <w:rPr>
          <w:rFonts w:hint="eastAsia"/>
        </w:rPr>
      </w:pPr>
      <w:r>
        <w:rPr>
          <w:rFonts w:hint="eastAsia"/>
        </w:rPr>
        <w:t xml:space="preserve">Activity of a three-phage combination against Mycobacterium tuberculosis in </w:t>
      </w:r>
    </w:p>
    <w:p w14:paraId="0201EE7F">
      <w:pPr>
        <w:pStyle w:val="2"/>
        <w:rPr>
          <w:rFonts w:hint="eastAsia"/>
        </w:rPr>
      </w:pPr>
      <w:r>
        <w:rPr>
          <w:rFonts w:hint="eastAsia"/>
        </w:rPr>
        <w:t>disease-relevant conditions.</w:t>
      </w:r>
    </w:p>
    <w:p w14:paraId="61690419">
      <w:pPr>
        <w:pStyle w:val="2"/>
        <w:rPr>
          <w:rFonts w:hint="eastAsia"/>
        </w:rPr>
      </w:pPr>
    </w:p>
    <w:p w14:paraId="08430E9B">
      <w:pPr>
        <w:pStyle w:val="2"/>
        <w:rPr>
          <w:rFonts w:hint="eastAsia"/>
        </w:rPr>
      </w:pPr>
      <w:r>
        <w:rPr>
          <w:rFonts w:hint="eastAsia"/>
        </w:rPr>
        <w:t xml:space="preserve">Janssen S(1)(2), Larsen SE(3), Torres MP(4), Beldjenna M(5), Bustamante CAG(6), </w:t>
      </w:r>
    </w:p>
    <w:p w14:paraId="5ED5A886">
      <w:pPr>
        <w:pStyle w:val="2"/>
        <w:rPr>
          <w:rFonts w:hint="eastAsia"/>
        </w:rPr>
      </w:pPr>
      <w:r>
        <w:rPr>
          <w:rFonts w:hint="eastAsia"/>
        </w:rPr>
        <w:t xml:space="preserve">Florian I(7), Smytheman T(3), Guo T(4), van Wijk RC(4), Hatfull GF(5), Diacon </w:t>
      </w:r>
    </w:p>
    <w:p w14:paraId="0EC37114">
      <w:pPr>
        <w:pStyle w:val="2"/>
        <w:rPr>
          <w:rFonts w:hint="eastAsia"/>
        </w:rPr>
      </w:pPr>
      <w:r>
        <w:rPr>
          <w:rFonts w:hint="eastAsia"/>
        </w:rPr>
        <w:t>AH(2), Coler RN(3)(6)(7), van Ingen J(1).</w:t>
      </w:r>
    </w:p>
    <w:p w14:paraId="71BF043E">
      <w:pPr>
        <w:pStyle w:val="2"/>
        <w:rPr>
          <w:rFonts w:hint="eastAsia"/>
        </w:rPr>
      </w:pPr>
    </w:p>
    <w:p w14:paraId="4409B47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68BFCEF">
      <w:pPr>
        <w:pStyle w:val="2"/>
        <w:rPr>
          <w:rFonts w:hint="eastAsia"/>
        </w:rPr>
      </w:pPr>
      <w:r>
        <w:rPr>
          <w:rFonts w:hint="eastAsia"/>
        </w:rPr>
        <w:t xml:space="preserve">(1)Radboud University Medical Centre, Department of Medical Microbiology, </w:t>
      </w:r>
    </w:p>
    <w:p w14:paraId="4D8D3E45">
      <w:pPr>
        <w:pStyle w:val="2"/>
        <w:rPr>
          <w:rFonts w:hint="eastAsia"/>
        </w:rPr>
      </w:pPr>
      <w:r>
        <w:rPr>
          <w:rFonts w:hint="eastAsia"/>
        </w:rPr>
        <w:t xml:space="preserve">Community for Infectious Diseases &amp; Research Institute of Medical Innovation, </w:t>
      </w:r>
    </w:p>
    <w:p w14:paraId="15F69CE8">
      <w:pPr>
        <w:pStyle w:val="2"/>
        <w:rPr>
          <w:rFonts w:hint="eastAsia"/>
        </w:rPr>
      </w:pPr>
      <w:r>
        <w:rPr>
          <w:rFonts w:hint="eastAsia"/>
        </w:rPr>
        <w:t>Nijmegen, The Netherlands.</w:t>
      </w:r>
    </w:p>
    <w:p w14:paraId="1C530C6E">
      <w:pPr>
        <w:pStyle w:val="2"/>
        <w:rPr>
          <w:rFonts w:hint="eastAsia"/>
        </w:rPr>
      </w:pPr>
      <w:r>
        <w:rPr>
          <w:rFonts w:hint="eastAsia"/>
        </w:rPr>
        <w:t>(2)TASK, Cape Town, South Africa.</w:t>
      </w:r>
    </w:p>
    <w:p w14:paraId="1D3D27EF">
      <w:pPr>
        <w:pStyle w:val="2"/>
        <w:rPr>
          <w:rFonts w:hint="eastAsia"/>
        </w:rPr>
      </w:pPr>
      <w:r>
        <w:rPr>
          <w:rFonts w:hint="eastAsia"/>
        </w:rPr>
        <w:t xml:space="preserve">(3)Seattle Children's Research Institute, Center for Global Infectious Disease </w:t>
      </w:r>
    </w:p>
    <w:p w14:paraId="3209F52B">
      <w:pPr>
        <w:pStyle w:val="2"/>
        <w:rPr>
          <w:rFonts w:hint="eastAsia"/>
        </w:rPr>
      </w:pPr>
      <w:r>
        <w:rPr>
          <w:rFonts w:hint="eastAsia"/>
        </w:rPr>
        <w:t>Research, Seattle, WA, USA.</w:t>
      </w:r>
    </w:p>
    <w:p w14:paraId="1B4C8035">
      <w:pPr>
        <w:pStyle w:val="2"/>
        <w:rPr>
          <w:rFonts w:hint="eastAsia"/>
        </w:rPr>
      </w:pPr>
      <w:r>
        <w:rPr>
          <w:rFonts w:hint="eastAsia"/>
        </w:rPr>
        <w:t xml:space="preserve">(4)Systems Pharmacology and Pharmacy, Leiden Academic Centre for Drug Research, </w:t>
      </w:r>
    </w:p>
    <w:p w14:paraId="29F14126">
      <w:pPr>
        <w:pStyle w:val="2"/>
        <w:rPr>
          <w:rFonts w:hint="eastAsia"/>
        </w:rPr>
      </w:pPr>
      <w:r>
        <w:rPr>
          <w:rFonts w:hint="eastAsia"/>
        </w:rPr>
        <w:t>Leiden University, the Netherlands.</w:t>
      </w:r>
    </w:p>
    <w:p w14:paraId="61112B5D">
      <w:pPr>
        <w:pStyle w:val="2"/>
        <w:rPr>
          <w:rFonts w:hint="eastAsia"/>
        </w:rPr>
      </w:pPr>
      <w:r>
        <w:rPr>
          <w:rFonts w:hint="eastAsia"/>
        </w:rPr>
        <w:t>(5)University of Pittsburgh, Pittsburgh, United States.</w:t>
      </w:r>
    </w:p>
    <w:p w14:paraId="6F508C61">
      <w:pPr>
        <w:pStyle w:val="2"/>
        <w:rPr>
          <w:rFonts w:hint="eastAsia"/>
        </w:rPr>
      </w:pPr>
      <w:r>
        <w:rPr>
          <w:rFonts w:hint="eastAsia"/>
        </w:rPr>
        <w:t xml:space="preserve">(6)University of Washington School of Medicine, Department of Pediatrics, </w:t>
      </w:r>
    </w:p>
    <w:p w14:paraId="63D30B20">
      <w:pPr>
        <w:pStyle w:val="2"/>
        <w:rPr>
          <w:rFonts w:hint="eastAsia"/>
        </w:rPr>
      </w:pPr>
      <w:r>
        <w:rPr>
          <w:rFonts w:hint="eastAsia"/>
        </w:rPr>
        <w:t>Seattle, WA, USA.</w:t>
      </w:r>
    </w:p>
    <w:p w14:paraId="62C1A30F">
      <w:pPr>
        <w:pStyle w:val="2"/>
        <w:rPr>
          <w:rFonts w:hint="eastAsia"/>
        </w:rPr>
      </w:pPr>
      <w:r>
        <w:rPr>
          <w:rFonts w:hint="eastAsia"/>
        </w:rPr>
        <w:t>(7)University of Washington, Department of Global Health, Seattle, WA, USA.</w:t>
      </w:r>
    </w:p>
    <w:p w14:paraId="498EA2BD">
      <w:pPr>
        <w:pStyle w:val="2"/>
        <w:rPr>
          <w:rFonts w:hint="eastAsia"/>
        </w:rPr>
      </w:pPr>
    </w:p>
    <w:p w14:paraId="41508DD7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Phage therapy offers promise to combat antimicrobial resistance, </w:t>
      </w:r>
    </w:p>
    <w:p w14:paraId="5B2415C1">
      <w:pPr>
        <w:pStyle w:val="2"/>
        <w:rPr>
          <w:rFonts w:hint="eastAsia"/>
        </w:rPr>
      </w:pPr>
      <w:r>
        <w:rPr>
          <w:rFonts w:hint="eastAsia"/>
        </w:rPr>
        <w:t xml:space="preserve">including drug-resistant tuberculosis. Understanding phage activity against </w:t>
      </w:r>
    </w:p>
    <w:p w14:paraId="5002756F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(Mtb) in granuloma-like microenvironments that induce </w:t>
      </w:r>
    </w:p>
    <w:p w14:paraId="47B12CB7">
      <w:pPr>
        <w:pStyle w:val="2"/>
        <w:rPr>
          <w:rFonts w:hint="eastAsia"/>
        </w:rPr>
      </w:pPr>
      <w:r>
        <w:rPr>
          <w:rFonts w:hint="eastAsia"/>
        </w:rPr>
        <w:t>non-replicating states, characterized by hypoxia and acidity, is essential.</w:t>
      </w:r>
    </w:p>
    <w:p w14:paraId="30259C4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OBJECTIVES: </w:t>
      </w:r>
      <w:r>
        <w:rPr>
          <w:rFonts w:hint="eastAsia"/>
        </w:rPr>
        <w:t xml:space="preserve">To evaluate a phage combination against Mtb under hypoxic, acidic </w:t>
      </w:r>
    </w:p>
    <w:p w14:paraId="5FDADB1F">
      <w:pPr>
        <w:pStyle w:val="2"/>
        <w:rPr>
          <w:rFonts w:hint="eastAsia"/>
        </w:rPr>
      </w:pPr>
      <w:r>
        <w:rPr>
          <w:rFonts w:hint="eastAsia"/>
        </w:rPr>
        <w:t>(pH 5.5), and stationary-phase conditions in vitro.</w:t>
      </w:r>
    </w:p>
    <w:p w14:paraId="1EDE0FE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Mtb H37Rv cultures were grown to exponential phase for time-kill </w:t>
      </w:r>
    </w:p>
    <w:p w14:paraId="0BF8E14E">
      <w:pPr>
        <w:pStyle w:val="2"/>
        <w:rPr>
          <w:rFonts w:hint="eastAsia"/>
        </w:rPr>
      </w:pPr>
      <w:r>
        <w:rPr>
          <w:rFonts w:hint="eastAsia"/>
        </w:rPr>
        <w:t xml:space="preserve">studies (106 colony forming units (CFU)/mL) under normal, hypoxic, and acidic </w:t>
      </w:r>
    </w:p>
    <w:p w14:paraId="561C0E19">
      <w:pPr>
        <w:pStyle w:val="2"/>
        <w:rPr>
          <w:rFonts w:hint="eastAsia"/>
        </w:rPr>
      </w:pPr>
      <w:r>
        <w:rPr>
          <w:rFonts w:hint="eastAsia"/>
        </w:rPr>
        <w:t xml:space="preserve">conditions. Hypoxia was generated using sealed containers with gas sachets. </w:t>
      </w:r>
    </w:p>
    <w:p w14:paraId="24FF5CDB">
      <w:pPr>
        <w:pStyle w:val="2"/>
        <w:rPr>
          <w:rFonts w:hint="eastAsia"/>
        </w:rPr>
      </w:pPr>
      <w:r>
        <w:rPr>
          <w:rFonts w:hint="eastAsia"/>
        </w:rPr>
        <w:t xml:space="preserve">Stationary-phase cultures were grown for 14-21 days and used undiluted. </w:t>
      </w:r>
    </w:p>
    <w:p w14:paraId="685B6A8A">
      <w:pPr>
        <w:pStyle w:val="2"/>
        <w:rPr>
          <w:rFonts w:hint="eastAsia"/>
        </w:rPr>
      </w:pPr>
      <w:r>
        <w:rPr>
          <w:rFonts w:hint="eastAsia"/>
        </w:rPr>
        <w:t xml:space="preserve">Treatments included control media, single phages (Fred313cpm-1Δ33, </w:t>
      </w:r>
    </w:p>
    <w:p w14:paraId="272B7544">
      <w:pPr>
        <w:pStyle w:val="2"/>
        <w:rPr>
          <w:rFonts w:hint="eastAsia"/>
        </w:rPr>
      </w:pPr>
      <w:r>
        <w:rPr>
          <w:rFonts w:hint="eastAsia"/>
        </w:rPr>
        <w:t xml:space="preserve">FionnbharthΔ45Δ47and Muddy HRM N0157-2), phage combination (multiplicity of </w:t>
      </w:r>
    </w:p>
    <w:p w14:paraId="314167A1">
      <w:pPr>
        <w:pStyle w:val="2"/>
        <w:rPr>
          <w:rFonts w:hint="eastAsia"/>
        </w:rPr>
      </w:pPr>
      <w:r>
        <w:rPr>
          <w:rFonts w:hint="eastAsia"/>
        </w:rPr>
        <w:t xml:space="preserve">infection 10:1), and rifampicin or isoniazid (0.1 µg/mL each). Phage titers </w:t>
      </w:r>
    </w:p>
    <w:p w14:paraId="40476887">
      <w:pPr>
        <w:pStyle w:val="2"/>
        <w:rPr>
          <w:rFonts w:hint="eastAsia"/>
        </w:rPr>
      </w:pPr>
      <w:r>
        <w:rPr>
          <w:rFonts w:hint="eastAsia"/>
        </w:rPr>
        <w:t xml:space="preserve">(measured using M. smegmatis overlays) and bacterial counts (CFU on Middlebrook </w:t>
      </w:r>
    </w:p>
    <w:p w14:paraId="50C43A9E">
      <w:pPr>
        <w:pStyle w:val="2"/>
        <w:rPr>
          <w:rFonts w:hint="eastAsia"/>
        </w:rPr>
      </w:pPr>
      <w:r>
        <w:rPr>
          <w:rFonts w:hint="eastAsia"/>
        </w:rPr>
        <w:t xml:space="preserve">7H11) were assessed at repeated time-points. Longitudinal phage-bacteria </w:t>
      </w:r>
    </w:p>
    <w:p w14:paraId="5BBBBCE5">
      <w:pPr>
        <w:pStyle w:val="2"/>
        <w:rPr>
          <w:rFonts w:hint="eastAsia"/>
        </w:rPr>
      </w:pPr>
      <w:r>
        <w:rPr>
          <w:rFonts w:hint="eastAsia"/>
        </w:rPr>
        <w:t>dynamics mixed-effects modelling and simulation was performed.</w:t>
      </w:r>
    </w:p>
    <w:p w14:paraId="60C9E5A4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In actively growing cultures, phage levels rose by day 7, followed by </w:t>
      </w:r>
    </w:p>
    <w:p w14:paraId="34D937B5">
      <w:pPr>
        <w:pStyle w:val="2"/>
        <w:rPr>
          <w:rFonts w:hint="eastAsia"/>
        </w:rPr>
      </w:pPr>
      <w:r>
        <w:rPr>
          <w:rFonts w:hint="eastAsia"/>
        </w:rPr>
        <w:t xml:space="preserve">sustained reductions in Mtb counts over 31 days. Phages prevented regrowth seen </w:t>
      </w:r>
    </w:p>
    <w:p w14:paraId="3DFA1CF3">
      <w:pPr>
        <w:pStyle w:val="2"/>
        <w:rPr>
          <w:rFonts w:hint="eastAsia"/>
        </w:rPr>
      </w:pPr>
      <w:r>
        <w:rPr>
          <w:rFonts w:hint="eastAsia"/>
        </w:rPr>
        <w:t xml:space="preserve">with antibiotics alone. Acidic conditions variably affected individual phage </w:t>
      </w:r>
    </w:p>
    <w:p w14:paraId="06DD5A97">
      <w:pPr>
        <w:pStyle w:val="2"/>
        <w:rPr>
          <w:rFonts w:hint="eastAsia"/>
        </w:rPr>
      </w:pPr>
      <w:r>
        <w:rPr>
          <w:rFonts w:hint="eastAsia"/>
        </w:rPr>
        <w:t xml:space="preserve">stability and activity. Under hypoxic and stationary conditions, phage titers </w:t>
      </w:r>
    </w:p>
    <w:p w14:paraId="489D91A1">
      <w:pPr>
        <w:pStyle w:val="2"/>
        <w:rPr>
          <w:rFonts w:hint="eastAsia"/>
        </w:rPr>
      </w:pPr>
      <w:r>
        <w:rPr>
          <w:rFonts w:hint="eastAsia"/>
        </w:rPr>
        <w:t xml:space="preserve">remained stable, but no reduction in Mtb was observed. Model-based predictions </w:t>
      </w:r>
    </w:p>
    <w:p w14:paraId="4275D2A3">
      <w:pPr>
        <w:pStyle w:val="2"/>
        <w:rPr>
          <w:rFonts w:hint="eastAsia"/>
        </w:rPr>
      </w:pPr>
      <w:r>
        <w:rPr>
          <w:rFonts w:hint="eastAsia"/>
        </w:rPr>
        <w:t xml:space="preserve">adequately captured phage-mycobacterial interactions with and without </w:t>
      </w:r>
    </w:p>
    <w:p w14:paraId="0DA9B132">
      <w:pPr>
        <w:pStyle w:val="2"/>
        <w:rPr>
          <w:rFonts w:hint="eastAsia"/>
        </w:rPr>
      </w:pPr>
      <w:r>
        <w:rPr>
          <w:rFonts w:hint="eastAsia"/>
        </w:rPr>
        <w:t>rifampicin.</w:t>
      </w:r>
    </w:p>
    <w:p w14:paraId="5E53D6FA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</w:t>
      </w:r>
      <w:r>
        <w:rPr>
          <w:rFonts w:hint="eastAsia"/>
        </w:rPr>
        <w:t xml:space="preserve">: Productive lytic activity was not observed in assays with </w:t>
      </w:r>
    </w:p>
    <w:p w14:paraId="243F65CE">
      <w:pPr>
        <w:pStyle w:val="2"/>
        <w:rPr>
          <w:rFonts w:hint="eastAsia"/>
        </w:rPr>
      </w:pPr>
      <w:r>
        <w:rPr>
          <w:rFonts w:hint="eastAsia"/>
        </w:rPr>
        <w:t xml:space="preserve">non-replicating mycobacteria. Established models can support future experimental </w:t>
      </w:r>
    </w:p>
    <w:p w14:paraId="3CC479BC">
      <w:pPr>
        <w:pStyle w:val="2"/>
        <w:rPr>
          <w:rFonts w:hint="eastAsia"/>
        </w:rPr>
      </w:pPr>
      <w:r>
        <w:rPr>
          <w:rFonts w:hint="eastAsia"/>
        </w:rPr>
        <w:t xml:space="preserve">designs. This study provides mechanistic insights driving progress in the field </w:t>
      </w:r>
    </w:p>
    <w:p w14:paraId="3512D238">
      <w:pPr>
        <w:pStyle w:val="2"/>
        <w:rPr>
          <w:rFonts w:hint="eastAsia"/>
        </w:rPr>
      </w:pPr>
      <w:r>
        <w:rPr>
          <w:rFonts w:hint="eastAsia"/>
        </w:rPr>
        <w:t>of phage therapy development.</w:t>
      </w:r>
    </w:p>
    <w:p w14:paraId="42FCBBB7">
      <w:pPr>
        <w:pStyle w:val="2"/>
        <w:rPr>
          <w:rFonts w:hint="eastAsia"/>
        </w:rPr>
      </w:pPr>
    </w:p>
    <w:p w14:paraId="447740AF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</w:t>
      </w:r>
    </w:p>
    <w:p w14:paraId="7D5E410E">
      <w:pPr>
        <w:pStyle w:val="2"/>
        <w:rPr>
          <w:rFonts w:hint="eastAsia"/>
        </w:rPr>
      </w:pPr>
      <w:r>
        <w:rPr>
          <w:rFonts w:hint="eastAsia"/>
        </w:rPr>
        <w:t xml:space="preserve">Infectious Diseases Society of America. All rights reserved. For commercial </w:t>
      </w:r>
    </w:p>
    <w:p w14:paraId="7BADA2AC">
      <w:pPr>
        <w:pStyle w:val="2"/>
        <w:rPr>
          <w:rFonts w:hint="eastAsia"/>
        </w:rPr>
      </w:pPr>
      <w:r>
        <w:rPr>
          <w:rFonts w:hint="eastAsia"/>
        </w:rPr>
        <w:t xml:space="preserve">re-use, please contact reprints@oup.com for reprints and translation rights for </w:t>
      </w:r>
    </w:p>
    <w:p w14:paraId="76F69044">
      <w:pPr>
        <w:pStyle w:val="2"/>
        <w:rPr>
          <w:rFonts w:hint="eastAsia"/>
        </w:rPr>
      </w:pPr>
      <w:r>
        <w:rPr>
          <w:rFonts w:hint="eastAsia"/>
        </w:rPr>
        <w:t xml:space="preserve">reprints. All other permissions can be obtained through our RightsLink service </w:t>
      </w:r>
    </w:p>
    <w:p w14:paraId="07E75EAA">
      <w:pPr>
        <w:pStyle w:val="2"/>
        <w:rPr>
          <w:rFonts w:hint="eastAsia"/>
        </w:rPr>
      </w:pPr>
      <w:r>
        <w:rPr>
          <w:rFonts w:hint="eastAsia"/>
        </w:rPr>
        <w:t xml:space="preserve">via the Permissions link on the article page on our site—for further information </w:t>
      </w:r>
    </w:p>
    <w:p w14:paraId="1D5E2A1F">
      <w:pPr>
        <w:pStyle w:val="2"/>
        <w:rPr>
          <w:rFonts w:hint="eastAsia"/>
        </w:rPr>
      </w:pPr>
      <w:r>
        <w:rPr>
          <w:rFonts w:hint="eastAsia"/>
        </w:rPr>
        <w:t>please contact journals.permissions@oup.com.</w:t>
      </w:r>
    </w:p>
    <w:p w14:paraId="11B5F64C">
      <w:pPr>
        <w:pStyle w:val="2"/>
        <w:rPr>
          <w:rFonts w:hint="eastAsia"/>
        </w:rPr>
      </w:pPr>
    </w:p>
    <w:p w14:paraId="0B270F53">
      <w:pPr>
        <w:pStyle w:val="2"/>
        <w:rPr>
          <w:rFonts w:hint="eastAsia"/>
        </w:rPr>
      </w:pPr>
      <w:r>
        <w:rPr>
          <w:rFonts w:hint="eastAsia"/>
        </w:rPr>
        <w:t>DOI: 10.1093/infdis/jiag516</w:t>
      </w:r>
    </w:p>
    <w:p w14:paraId="7DC95373">
      <w:pPr>
        <w:pStyle w:val="2"/>
        <w:rPr>
          <w:rFonts w:hint="eastAsia"/>
        </w:rPr>
      </w:pPr>
      <w:r>
        <w:rPr>
          <w:rFonts w:hint="eastAsia"/>
        </w:rPr>
        <w:t>PMID: 42879186</w:t>
      </w:r>
    </w:p>
    <w:p w14:paraId="7A2A88BB">
      <w:pPr>
        <w:pStyle w:val="2"/>
        <w:rPr>
          <w:rFonts w:hint="eastAsia"/>
        </w:rPr>
      </w:pPr>
    </w:p>
    <w:p w14:paraId="6DDC6EA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16</w:t>
      </w:r>
      <w:r>
        <w:rPr>
          <w:rFonts w:hint="eastAsia"/>
          <w:b/>
          <w:bCs/>
          <w:color w:val="FF0000"/>
        </w:rPr>
        <w:t>. Infection. 2026 Oct 15. doi: 10.1007/s15010-026-03020-5. Online ahead of print.</w:t>
      </w:r>
    </w:p>
    <w:p w14:paraId="2B9CCA16">
      <w:pPr>
        <w:pStyle w:val="2"/>
        <w:rPr>
          <w:rFonts w:hint="eastAsia"/>
        </w:rPr>
      </w:pPr>
    </w:p>
    <w:p w14:paraId="10393FFC">
      <w:pPr>
        <w:pStyle w:val="2"/>
        <w:rPr>
          <w:rFonts w:hint="eastAsia"/>
        </w:rPr>
      </w:pPr>
      <w:r>
        <w:rPr>
          <w:rFonts w:hint="eastAsia"/>
        </w:rPr>
        <w:t xml:space="preserve">Serum hepcidin as a host-derived biomarker of disease severity and risk </w:t>
      </w:r>
    </w:p>
    <w:p w14:paraId="5D2249B0">
      <w:pPr>
        <w:pStyle w:val="2"/>
        <w:rPr>
          <w:rFonts w:hint="eastAsia"/>
        </w:rPr>
      </w:pPr>
      <w:r>
        <w:rPr>
          <w:rFonts w:hint="eastAsia"/>
        </w:rPr>
        <w:t>stratification in tuberculosis.</w:t>
      </w:r>
    </w:p>
    <w:p w14:paraId="7B4D2980">
      <w:pPr>
        <w:pStyle w:val="2"/>
        <w:rPr>
          <w:rFonts w:hint="eastAsia"/>
        </w:rPr>
      </w:pPr>
    </w:p>
    <w:p w14:paraId="5049143C">
      <w:pPr>
        <w:pStyle w:val="2"/>
        <w:rPr>
          <w:rFonts w:hint="eastAsia"/>
        </w:rPr>
      </w:pPr>
      <w:r>
        <w:rPr>
          <w:rFonts w:hint="eastAsia"/>
        </w:rPr>
        <w:t>Kaushik U(1), Meena DS(2), Tomo S(3), Bohra GK(4), Kumar D(4), Kombade S(5).</w:t>
      </w:r>
    </w:p>
    <w:p w14:paraId="51F9D51C">
      <w:pPr>
        <w:pStyle w:val="2"/>
        <w:rPr>
          <w:rFonts w:hint="eastAsia"/>
        </w:rPr>
      </w:pPr>
    </w:p>
    <w:p w14:paraId="4130DD5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E312520">
      <w:pPr>
        <w:pStyle w:val="2"/>
        <w:rPr>
          <w:rFonts w:hint="eastAsia"/>
        </w:rPr>
      </w:pPr>
      <w:r>
        <w:rPr>
          <w:rFonts w:hint="eastAsia"/>
        </w:rPr>
        <w:t xml:space="preserve">(1)Department of Internal Medicine, All India Institute of Medical Sciences, </w:t>
      </w:r>
    </w:p>
    <w:p w14:paraId="0693620F">
      <w:pPr>
        <w:pStyle w:val="2"/>
        <w:rPr>
          <w:rFonts w:hint="eastAsia"/>
        </w:rPr>
      </w:pPr>
      <w:r>
        <w:rPr>
          <w:rFonts w:hint="eastAsia"/>
        </w:rPr>
        <w:t>Jodhpur, India.</w:t>
      </w:r>
    </w:p>
    <w:p w14:paraId="5E7C091D">
      <w:pPr>
        <w:pStyle w:val="2"/>
        <w:rPr>
          <w:rFonts w:hint="eastAsia"/>
        </w:rPr>
      </w:pPr>
      <w:r>
        <w:rPr>
          <w:rFonts w:hint="eastAsia"/>
        </w:rPr>
        <w:t xml:space="preserve">(2)Division of Infectious Diseases, Department of Internal Medicine, All India </w:t>
      </w:r>
    </w:p>
    <w:p w14:paraId="75E8275D">
      <w:pPr>
        <w:pStyle w:val="2"/>
        <w:rPr>
          <w:rFonts w:hint="eastAsia"/>
        </w:rPr>
      </w:pPr>
      <w:r>
        <w:rPr>
          <w:rFonts w:hint="eastAsia"/>
        </w:rPr>
        <w:t>Institute of Medical Sciences, Jodhpur, 342005, India. dsmims14@gmail.com.</w:t>
      </w:r>
    </w:p>
    <w:p w14:paraId="1325A94F">
      <w:pPr>
        <w:pStyle w:val="2"/>
        <w:rPr>
          <w:rFonts w:hint="eastAsia"/>
        </w:rPr>
      </w:pPr>
      <w:r>
        <w:rPr>
          <w:rFonts w:hint="eastAsia"/>
        </w:rPr>
        <w:t xml:space="preserve">(3)Department of Biochemistry, All India Institute of Medical Sciences, Jodhpur, </w:t>
      </w:r>
    </w:p>
    <w:p w14:paraId="74623C7D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295B89D4">
      <w:pPr>
        <w:pStyle w:val="2"/>
        <w:rPr>
          <w:rFonts w:hint="eastAsia"/>
        </w:rPr>
      </w:pPr>
      <w:r>
        <w:rPr>
          <w:rFonts w:hint="eastAsia"/>
        </w:rPr>
        <w:t xml:space="preserve">(4)Division of Infectious Diseases, Department of Internal Medicine, All India </w:t>
      </w:r>
    </w:p>
    <w:p w14:paraId="2FD214B5">
      <w:pPr>
        <w:pStyle w:val="2"/>
        <w:rPr>
          <w:rFonts w:hint="eastAsia"/>
        </w:rPr>
      </w:pPr>
      <w:r>
        <w:rPr>
          <w:rFonts w:hint="eastAsia"/>
        </w:rPr>
        <w:t>Institute of Medical Sciences, Jodhpur, 342005, India.</w:t>
      </w:r>
    </w:p>
    <w:p w14:paraId="7B443D4B">
      <w:pPr>
        <w:pStyle w:val="2"/>
        <w:rPr>
          <w:rFonts w:hint="eastAsia"/>
        </w:rPr>
      </w:pPr>
      <w:r>
        <w:rPr>
          <w:rFonts w:hint="eastAsia"/>
        </w:rPr>
        <w:t xml:space="preserve">(5)Department of Microbiology, All India Institute of Medical Sciences, Jodhpur, </w:t>
      </w:r>
    </w:p>
    <w:p w14:paraId="1252BB2E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453338E0">
      <w:pPr>
        <w:pStyle w:val="2"/>
        <w:rPr>
          <w:rFonts w:hint="eastAsia"/>
        </w:rPr>
      </w:pPr>
    </w:p>
    <w:p w14:paraId="1FA4942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Hepcidin is a key regulator of systemic iron metabolism. Hepcidin </w:t>
      </w:r>
    </w:p>
    <w:p w14:paraId="5AFE2B8D">
      <w:pPr>
        <w:pStyle w:val="2"/>
        <w:rPr>
          <w:rFonts w:hint="eastAsia"/>
        </w:rPr>
      </w:pPr>
      <w:r>
        <w:rPr>
          <w:rFonts w:hint="eastAsia"/>
        </w:rPr>
        <w:t xml:space="preserve">may reflect the inflammatory activity and disease burden in tuberculosis. </w:t>
      </w:r>
    </w:p>
    <w:p w14:paraId="21129C4D">
      <w:pPr>
        <w:pStyle w:val="2"/>
        <w:rPr>
          <w:rFonts w:hint="eastAsia"/>
        </w:rPr>
      </w:pPr>
      <w:r>
        <w:rPr>
          <w:rFonts w:hint="eastAsia"/>
        </w:rPr>
        <w:t xml:space="preserve">However, prospective evidence on the prognostic value of serum hepcidin and </w:t>
      </w:r>
    </w:p>
    <w:p w14:paraId="48874A06">
      <w:pPr>
        <w:pStyle w:val="2"/>
        <w:rPr>
          <w:rFonts w:hint="eastAsia"/>
        </w:rPr>
      </w:pPr>
      <w:r>
        <w:rPr>
          <w:rFonts w:hint="eastAsia"/>
        </w:rPr>
        <w:t xml:space="preserve">other host-biomarkers in tuberculosis is limited. We evaluated the association </w:t>
      </w:r>
    </w:p>
    <w:p w14:paraId="0CBAB1ED">
      <w:pPr>
        <w:pStyle w:val="2"/>
        <w:rPr>
          <w:rFonts w:hint="eastAsia"/>
        </w:rPr>
      </w:pPr>
      <w:r>
        <w:rPr>
          <w:rFonts w:hint="eastAsia"/>
        </w:rPr>
        <w:t>of hepcidin with disease severity and outcomes.</w:t>
      </w:r>
    </w:p>
    <w:p w14:paraId="7CCBDA77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This prospective cohort study enrolled consecutive adults (age ≥ 18 </w:t>
      </w:r>
    </w:p>
    <w:p w14:paraId="0FF217F6">
      <w:pPr>
        <w:pStyle w:val="2"/>
        <w:rPr>
          <w:rFonts w:hint="eastAsia"/>
        </w:rPr>
      </w:pPr>
      <w:r>
        <w:rPr>
          <w:rFonts w:hint="eastAsia"/>
        </w:rPr>
        <w:t xml:space="preserve">years) with newly diagnosed tuberculosis. Baseline serum hepcidin, adenosine </w:t>
      </w:r>
    </w:p>
    <w:p w14:paraId="1E64DD71">
      <w:pPr>
        <w:pStyle w:val="2"/>
        <w:rPr>
          <w:rFonts w:hint="eastAsia"/>
        </w:rPr>
      </w:pPr>
      <w:r>
        <w:rPr>
          <w:rFonts w:hint="eastAsia"/>
        </w:rPr>
        <w:t xml:space="preserve">deaminase (ADA), and creatine kinase-MB (CK-MB) levels were measured. Disease </w:t>
      </w:r>
    </w:p>
    <w:p w14:paraId="7A9C27BE">
      <w:pPr>
        <w:pStyle w:val="2"/>
        <w:rPr>
          <w:rFonts w:hint="eastAsia"/>
        </w:rPr>
      </w:pPr>
      <w:r>
        <w:rPr>
          <w:rFonts w:hint="eastAsia"/>
        </w:rPr>
        <w:t xml:space="preserve">severity was assessed using a predefined tuberculosis severity score. The </w:t>
      </w:r>
    </w:p>
    <w:p w14:paraId="4332D56C">
      <w:pPr>
        <w:pStyle w:val="2"/>
        <w:rPr>
          <w:rFonts w:hint="eastAsia"/>
        </w:rPr>
      </w:pPr>
      <w:r>
        <w:rPr>
          <w:rFonts w:hint="eastAsia"/>
        </w:rPr>
        <w:t xml:space="preserve">prognostic performance of biomarkers was evaluated using receiver operating </w:t>
      </w:r>
    </w:p>
    <w:p w14:paraId="30236616">
      <w:pPr>
        <w:pStyle w:val="2"/>
        <w:rPr>
          <w:rFonts w:hint="eastAsia"/>
        </w:rPr>
      </w:pPr>
      <w:r>
        <w:rPr>
          <w:rFonts w:hint="eastAsia"/>
        </w:rPr>
        <w:t>characteristic analysis and multivariable logistic regression.</w:t>
      </w:r>
    </w:p>
    <w:p w14:paraId="7298F2D1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Among 140 patients (median age, 48 years; 67.1% male), 25% had </w:t>
      </w:r>
    </w:p>
    <w:p w14:paraId="705ACF45">
      <w:pPr>
        <w:pStyle w:val="2"/>
        <w:rPr>
          <w:rFonts w:hint="eastAsia"/>
        </w:rPr>
      </w:pPr>
      <w:r>
        <w:rPr>
          <w:rFonts w:hint="eastAsia"/>
        </w:rPr>
        <w:t xml:space="preserve">pulmonary tuberculosis, 25% extrapulmonary tuberculosis, and 50% disseminated </w:t>
      </w:r>
    </w:p>
    <w:p w14:paraId="32BFAFC3">
      <w:pPr>
        <w:pStyle w:val="2"/>
        <w:rPr>
          <w:rFonts w:hint="eastAsia"/>
        </w:rPr>
      </w:pPr>
      <w:r>
        <w:rPr>
          <w:rFonts w:hint="eastAsia"/>
        </w:rPr>
        <w:t xml:space="preserve">disease; HIV co-infection was present in 16.4%. The 3-month all-cause mortality </w:t>
      </w:r>
    </w:p>
    <w:p w14:paraId="7388CE4A">
      <w:pPr>
        <w:pStyle w:val="2"/>
        <w:rPr>
          <w:rFonts w:hint="eastAsia"/>
        </w:rPr>
      </w:pPr>
      <w:r>
        <w:rPr>
          <w:rFonts w:hint="eastAsia"/>
        </w:rPr>
        <w:t xml:space="preserve">rate was 22.1%. Serum hepcidin levels were significantly higher in severe than </w:t>
      </w:r>
    </w:p>
    <w:p w14:paraId="7530004E">
      <w:pPr>
        <w:pStyle w:val="2"/>
        <w:rPr>
          <w:rFonts w:hint="eastAsia"/>
        </w:rPr>
      </w:pPr>
      <w:r>
        <w:rPr>
          <w:rFonts w:hint="eastAsia"/>
        </w:rPr>
        <w:t xml:space="preserve">non-severe tuberculosis (201.5 vs. 145.9 ng/mL; p = 0.017), but were not </w:t>
      </w:r>
    </w:p>
    <w:p w14:paraId="1DB50239">
      <w:pPr>
        <w:pStyle w:val="2"/>
        <w:rPr>
          <w:rFonts w:hint="eastAsia"/>
        </w:rPr>
      </w:pPr>
      <w:r>
        <w:rPr>
          <w:rFonts w:hint="eastAsia"/>
        </w:rPr>
        <w:t xml:space="preserve">associated with 3-month mortality. Conversely, CK-MB was significantly elevated </w:t>
      </w:r>
    </w:p>
    <w:p w14:paraId="1892837D">
      <w:pPr>
        <w:pStyle w:val="2"/>
        <w:rPr>
          <w:rFonts w:hint="eastAsia"/>
        </w:rPr>
      </w:pPr>
      <w:r>
        <w:rPr>
          <w:rFonts w:hint="eastAsia"/>
        </w:rPr>
        <w:t xml:space="preserve">among non-survivors (24.5 vs. 13.8 U/L; p &lt; 0.001). CK-MB showed good predictive </w:t>
      </w:r>
    </w:p>
    <w:p w14:paraId="588D20EC">
      <w:pPr>
        <w:pStyle w:val="2"/>
        <w:rPr>
          <w:rFonts w:hint="eastAsia"/>
        </w:rPr>
      </w:pPr>
      <w:r>
        <w:rPr>
          <w:rFonts w:hint="eastAsia"/>
        </w:rPr>
        <w:t xml:space="preserve">performance for mortality (AUC 0.795), while ADA demonstrated moderate </w:t>
      </w:r>
    </w:p>
    <w:p w14:paraId="612D4DFF">
      <w:pPr>
        <w:pStyle w:val="2"/>
        <w:rPr>
          <w:rFonts w:hint="eastAsia"/>
        </w:rPr>
      </w:pPr>
      <w:r>
        <w:rPr>
          <w:rFonts w:hint="eastAsia"/>
        </w:rPr>
        <w:t xml:space="preserve">discrimination (AUC 0.647). The ADA/CK-MB combination showed the highest </w:t>
      </w:r>
    </w:p>
    <w:p w14:paraId="0D87A0A5">
      <w:pPr>
        <w:pStyle w:val="2"/>
        <w:rPr>
          <w:rFonts w:hint="eastAsia"/>
        </w:rPr>
      </w:pPr>
      <w:r>
        <w:rPr>
          <w:rFonts w:hint="eastAsia"/>
        </w:rPr>
        <w:t xml:space="preserve">discriminative performance for mortality prediction (AUC 0.82). Triple-marker </w:t>
      </w:r>
    </w:p>
    <w:p w14:paraId="5730A55E">
      <w:pPr>
        <w:pStyle w:val="2"/>
        <w:rPr>
          <w:rFonts w:hint="eastAsia"/>
        </w:rPr>
      </w:pPr>
      <w:r>
        <w:rPr>
          <w:rFonts w:hint="eastAsia"/>
        </w:rPr>
        <w:t xml:space="preserve">panel (Hepcidin + ADA+CK-MB) provided the best discrimination for severe disease </w:t>
      </w:r>
    </w:p>
    <w:p w14:paraId="2C19BDB8">
      <w:pPr>
        <w:pStyle w:val="2"/>
        <w:rPr>
          <w:rFonts w:hint="eastAsia"/>
        </w:rPr>
      </w:pPr>
      <w:r>
        <w:rPr>
          <w:rFonts w:hint="eastAsia"/>
        </w:rPr>
        <w:t>(AUC 0.717).</w:t>
      </w:r>
    </w:p>
    <w:p w14:paraId="62872689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Serum hepcidin was associated with disease severity in tuberculosis </w:t>
      </w:r>
    </w:p>
    <w:p w14:paraId="3DAA7369">
      <w:pPr>
        <w:pStyle w:val="2"/>
        <w:rPr>
          <w:rFonts w:hint="eastAsia"/>
        </w:rPr>
      </w:pPr>
      <w:r>
        <w:rPr>
          <w:rFonts w:hint="eastAsia"/>
        </w:rPr>
        <w:t xml:space="preserve">but was not associated with 3-month mortality. Combined biomarker models showed </w:t>
      </w:r>
    </w:p>
    <w:p w14:paraId="52CB7EE2">
      <w:pPr>
        <w:pStyle w:val="2"/>
        <w:rPr>
          <w:rFonts w:hint="eastAsia"/>
        </w:rPr>
      </w:pPr>
      <w:r>
        <w:rPr>
          <w:rFonts w:hint="eastAsia"/>
        </w:rPr>
        <w:t xml:space="preserve">promising prognostic performance, warranting further validation in larger </w:t>
      </w:r>
    </w:p>
    <w:p w14:paraId="21847232">
      <w:pPr>
        <w:pStyle w:val="2"/>
        <w:rPr>
          <w:rFonts w:hint="eastAsia"/>
        </w:rPr>
      </w:pPr>
      <w:r>
        <w:rPr>
          <w:rFonts w:hint="eastAsia"/>
        </w:rPr>
        <w:t>multicentre studies.</w:t>
      </w:r>
    </w:p>
    <w:p w14:paraId="697B6EF3">
      <w:pPr>
        <w:pStyle w:val="2"/>
        <w:rPr>
          <w:rFonts w:hint="eastAsia"/>
        </w:rPr>
      </w:pPr>
    </w:p>
    <w:p w14:paraId="569C263F">
      <w:pPr>
        <w:pStyle w:val="2"/>
        <w:rPr>
          <w:rFonts w:hint="eastAsia"/>
        </w:rPr>
      </w:pPr>
      <w:r>
        <w:rPr>
          <w:rFonts w:hint="eastAsia"/>
        </w:rPr>
        <w:t>© 2026. Springer-Verlag GmbH Germany, part of Springer Nature.</w:t>
      </w:r>
    </w:p>
    <w:p w14:paraId="7F3AAEF1">
      <w:pPr>
        <w:pStyle w:val="2"/>
        <w:rPr>
          <w:rFonts w:hint="eastAsia"/>
        </w:rPr>
      </w:pPr>
    </w:p>
    <w:p w14:paraId="3FA9EC61">
      <w:pPr>
        <w:pStyle w:val="2"/>
        <w:rPr>
          <w:rFonts w:hint="eastAsia"/>
        </w:rPr>
      </w:pPr>
      <w:r>
        <w:rPr>
          <w:rFonts w:hint="eastAsia"/>
        </w:rPr>
        <w:t>DOI: 10.1007/s15010-026-03020-5</w:t>
      </w:r>
    </w:p>
    <w:p w14:paraId="2B0A93B8">
      <w:pPr>
        <w:pStyle w:val="2"/>
        <w:rPr>
          <w:rFonts w:hint="eastAsia"/>
        </w:rPr>
      </w:pPr>
      <w:r>
        <w:rPr>
          <w:rFonts w:hint="eastAsia"/>
        </w:rPr>
        <w:t>PMID: 42878786</w:t>
      </w:r>
    </w:p>
    <w:p w14:paraId="5C0206AB">
      <w:pPr>
        <w:pStyle w:val="2"/>
        <w:rPr>
          <w:rFonts w:hint="eastAsia"/>
        </w:rPr>
      </w:pPr>
    </w:p>
    <w:p w14:paraId="52607BF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17</w:t>
      </w:r>
      <w:r>
        <w:rPr>
          <w:rFonts w:hint="eastAsia"/>
          <w:b/>
          <w:bCs/>
          <w:color w:val="FF0000"/>
        </w:rPr>
        <w:t xml:space="preserve">. Microbiol Resour Announc. 2026 Oct 15:e0074926. doi: 10.1128/mra.00749-26. </w:t>
      </w:r>
    </w:p>
    <w:p w14:paraId="500A11D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355BCD20">
      <w:pPr>
        <w:pStyle w:val="2"/>
        <w:rPr>
          <w:rFonts w:hint="eastAsia"/>
        </w:rPr>
      </w:pPr>
    </w:p>
    <w:p w14:paraId="1DA8251E">
      <w:pPr>
        <w:pStyle w:val="2"/>
        <w:rPr>
          <w:rFonts w:hint="eastAsia"/>
        </w:rPr>
      </w:pPr>
      <w:r>
        <w:rPr>
          <w:rFonts w:hint="eastAsia"/>
        </w:rPr>
        <w:t xml:space="preserve">Complete genome sequence of Mycobacterium tuberculosis variant bovis strain </w:t>
      </w:r>
    </w:p>
    <w:p w14:paraId="3B2D32BF">
      <w:pPr>
        <w:pStyle w:val="2"/>
        <w:rPr>
          <w:rFonts w:hint="eastAsia"/>
        </w:rPr>
      </w:pPr>
      <w:r>
        <w:rPr>
          <w:rFonts w:hint="eastAsia"/>
        </w:rPr>
        <w:t>ushi10, a tuberculin production strain used in Japan.</w:t>
      </w:r>
    </w:p>
    <w:p w14:paraId="4DE4E477">
      <w:pPr>
        <w:pStyle w:val="2"/>
        <w:rPr>
          <w:rFonts w:hint="eastAsia"/>
        </w:rPr>
      </w:pPr>
    </w:p>
    <w:p w14:paraId="4436FFA8">
      <w:pPr>
        <w:pStyle w:val="2"/>
        <w:rPr>
          <w:rFonts w:hint="eastAsia"/>
        </w:rPr>
      </w:pPr>
      <w:r>
        <w:rPr>
          <w:rFonts w:hint="eastAsia"/>
        </w:rPr>
        <w:t xml:space="preserve">Mastubara K(#)(1), Mada T(#)(1), Sata K(1), Shiraiwa K(1), Kawaji S(1), </w:t>
      </w:r>
    </w:p>
    <w:p w14:paraId="2C1B8A49">
      <w:pPr>
        <w:pStyle w:val="2"/>
        <w:rPr>
          <w:rFonts w:hint="eastAsia"/>
        </w:rPr>
      </w:pPr>
      <w:r>
        <w:rPr>
          <w:rFonts w:hint="eastAsia"/>
        </w:rPr>
        <w:t>Takamatsu D(1), Nagata R(1).</w:t>
      </w:r>
    </w:p>
    <w:p w14:paraId="6CCDD96C">
      <w:pPr>
        <w:pStyle w:val="2"/>
        <w:rPr>
          <w:rFonts w:hint="eastAsia"/>
        </w:rPr>
      </w:pPr>
    </w:p>
    <w:p w14:paraId="24E29CA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97EA412">
      <w:pPr>
        <w:pStyle w:val="2"/>
        <w:rPr>
          <w:rFonts w:hint="eastAsia"/>
        </w:rPr>
      </w:pPr>
      <w:r>
        <w:rPr>
          <w:rFonts w:hint="eastAsia"/>
        </w:rPr>
        <w:t xml:space="preserve">(1)National Institute of Animal Health, National Agriculture and Food Research </w:t>
      </w:r>
    </w:p>
    <w:p w14:paraId="7AFA3ACC">
      <w:pPr>
        <w:pStyle w:val="2"/>
        <w:rPr>
          <w:rFonts w:hint="eastAsia"/>
        </w:rPr>
      </w:pPr>
      <w:r>
        <w:rPr>
          <w:rFonts w:hint="eastAsia"/>
        </w:rPr>
        <w:t>Organization, Tsukuba, Ibaraki, Japan.</w:t>
      </w:r>
    </w:p>
    <w:p w14:paraId="304DD0B4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6DAD1451">
      <w:pPr>
        <w:pStyle w:val="2"/>
        <w:rPr>
          <w:rFonts w:hint="eastAsia"/>
        </w:rPr>
      </w:pPr>
    </w:p>
    <w:p w14:paraId="3735692A">
      <w:pPr>
        <w:pStyle w:val="2"/>
        <w:rPr>
          <w:rFonts w:hint="eastAsia"/>
        </w:rPr>
      </w:pPr>
      <w:r>
        <w:rPr>
          <w:rFonts w:hint="eastAsia"/>
        </w:rPr>
        <w:t xml:space="preserve">Here, we report the complete genome sequence of Mycobacterium tuberculosis </w:t>
      </w:r>
    </w:p>
    <w:p w14:paraId="6D2B3486">
      <w:pPr>
        <w:pStyle w:val="2"/>
        <w:rPr>
          <w:rFonts w:hint="eastAsia"/>
        </w:rPr>
      </w:pPr>
      <w:r>
        <w:rPr>
          <w:rFonts w:hint="eastAsia"/>
        </w:rPr>
        <w:t xml:space="preserve">variant bovis strain ushi10, a production strain used to manufacture tuberculin </w:t>
      </w:r>
    </w:p>
    <w:p w14:paraId="4EAC26E9">
      <w:pPr>
        <w:pStyle w:val="2"/>
        <w:rPr>
          <w:rFonts w:hint="eastAsia"/>
        </w:rPr>
      </w:pPr>
      <w:r>
        <w:rPr>
          <w:rFonts w:hint="eastAsia"/>
        </w:rPr>
        <w:t xml:space="preserve">for bovine tuberculosis diagnosis in Japan. This genomic resource supports the </w:t>
      </w:r>
    </w:p>
    <w:p w14:paraId="6783F1E3">
      <w:pPr>
        <w:pStyle w:val="2"/>
        <w:rPr>
          <w:rFonts w:hint="eastAsia"/>
        </w:rPr>
      </w:pPr>
      <w:r>
        <w:rPr>
          <w:rFonts w:hint="eastAsia"/>
        </w:rPr>
        <w:t>consistent production and standardization of tuberculin.</w:t>
      </w:r>
    </w:p>
    <w:p w14:paraId="7CF3C1BE">
      <w:pPr>
        <w:pStyle w:val="2"/>
        <w:rPr>
          <w:rFonts w:hint="eastAsia"/>
        </w:rPr>
      </w:pPr>
    </w:p>
    <w:p w14:paraId="60F36F1B">
      <w:pPr>
        <w:pStyle w:val="2"/>
        <w:rPr>
          <w:rFonts w:hint="eastAsia"/>
        </w:rPr>
      </w:pPr>
      <w:r>
        <w:rPr>
          <w:rFonts w:hint="eastAsia"/>
        </w:rPr>
        <w:t>DOI: 10.1128/mra.00749-26</w:t>
      </w:r>
    </w:p>
    <w:p w14:paraId="71A59A7C">
      <w:pPr>
        <w:pStyle w:val="2"/>
        <w:rPr>
          <w:rFonts w:hint="eastAsia"/>
        </w:rPr>
      </w:pPr>
      <w:r>
        <w:rPr>
          <w:rFonts w:hint="eastAsia"/>
        </w:rPr>
        <w:t>PMID: 42878458</w:t>
      </w:r>
    </w:p>
    <w:p w14:paraId="23A2EB13">
      <w:pPr>
        <w:pStyle w:val="2"/>
        <w:rPr>
          <w:rFonts w:hint="eastAsia"/>
        </w:rPr>
      </w:pPr>
    </w:p>
    <w:p w14:paraId="1B3F3BA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18</w:t>
      </w:r>
      <w:r>
        <w:rPr>
          <w:rFonts w:hint="eastAsia"/>
          <w:b/>
          <w:bCs/>
          <w:color w:val="FF0000"/>
        </w:rPr>
        <w:t xml:space="preserve">. Clin Pharmacol Ther. 2026 Oct 15:10.1002/cpt.70479. doi: 10.1002/cpt.70479. </w:t>
      </w:r>
    </w:p>
    <w:p w14:paraId="532BD76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6FC8B708">
      <w:pPr>
        <w:pStyle w:val="2"/>
        <w:rPr>
          <w:rFonts w:hint="eastAsia"/>
        </w:rPr>
      </w:pPr>
    </w:p>
    <w:p w14:paraId="159711B7">
      <w:pPr>
        <w:pStyle w:val="2"/>
        <w:rPr>
          <w:rFonts w:hint="eastAsia"/>
        </w:rPr>
      </w:pPr>
      <w:r>
        <w:rPr>
          <w:rFonts w:hint="eastAsia"/>
        </w:rPr>
        <w:t xml:space="preserve">Pharmacokinetics of Rifapentine and Desacetyl Rifapentine in Maternal Plasma and </w:t>
      </w:r>
    </w:p>
    <w:p w14:paraId="31C6CF7F">
      <w:pPr>
        <w:pStyle w:val="2"/>
        <w:rPr>
          <w:rFonts w:hint="eastAsia"/>
        </w:rPr>
      </w:pPr>
      <w:r>
        <w:rPr>
          <w:rFonts w:hint="eastAsia"/>
        </w:rPr>
        <w:t xml:space="preserve">Breast Milk &amp; Infant Cord Blood and Plasma: A Model-Based Analysis of </w:t>
      </w:r>
    </w:p>
    <w:p w14:paraId="06F9EA90">
      <w:pPr>
        <w:pStyle w:val="2"/>
        <w:rPr>
          <w:rFonts w:hint="eastAsia"/>
        </w:rPr>
      </w:pPr>
      <w:r>
        <w:rPr>
          <w:rFonts w:hint="eastAsia"/>
        </w:rPr>
        <w:t>Mother-Infant Pairs for Tuberculosis Prevention.</w:t>
      </w:r>
    </w:p>
    <w:p w14:paraId="761201A6">
      <w:pPr>
        <w:pStyle w:val="2"/>
        <w:rPr>
          <w:rFonts w:hint="eastAsia"/>
        </w:rPr>
      </w:pPr>
    </w:p>
    <w:p w14:paraId="328EB3AA">
      <w:pPr>
        <w:pStyle w:val="2"/>
        <w:rPr>
          <w:rFonts w:hint="eastAsia"/>
        </w:rPr>
      </w:pPr>
      <w:r>
        <w:rPr>
          <w:rFonts w:hint="eastAsia"/>
        </w:rPr>
        <w:t xml:space="preserve">Jayachandran P(1), Mathad JS(2), Zhang N(1), Britto P(3), Wiesner L(4), </w:t>
      </w:r>
    </w:p>
    <w:p w14:paraId="6CDA5FE3">
      <w:pPr>
        <w:pStyle w:val="2"/>
        <w:rPr>
          <w:rFonts w:hint="eastAsia"/>
        </w:rPr>
      </w:pPr>
      <w:r>
        <w:rPr>
          <w:rFonts w:hint="eastAsia"/>
        </w:rPr>
        <w:t xml:space="preserve">Montepiedra G(3), Norman J(4), Townley E(5), Bradford S(6), Patil S(7), Popson </w:t>
      </w:r>
    </w:p>
    <w:p w14:paraId="545494AF">
      <w:pPr>
        <w:pStyle w:val="2"/>
        <w:rPr>
          <w:rFonts w:hint="eastAsia"/>
        </w:rPr>
      </w:pPr>
      <w:r>
        <w:rPr>
          <w:rFonts w:hint="eastAsia"/>
        </w:rPr>
        <w:t xml:space="preserve">S(8), Chipato T(9), Rouzier V(2)(10), Langat D(11), Chalermchockcharoentkit </w:t>
      </w:r>
    </w:p>
    <w:p w14:paraId="340C8466">
      <w:pPr>
        <w:pStyle w:val="2"/>
        <w:rPr>
          <w:rFonts w:hint="eastAsia"/>
        </w:rPr>
      </w:pPr>
      <w:r>
        <w:rPr>
          <w:rFonts w:hint="eastAsia"/>
        </w:rPr>
        <w:t>A(12), Gupta A(8)(13), Dooley KE(14), Savic R(1); IMPAACT 2001 Study Team.</w:t>
      </w:r>
    </w:p>
    <w:p w14:paraId="60FE2A4C">
      <w:pPr>
        <w:pStyle w:val="2"/>
        <w:rPr>
          <w:rFonts w:hint="eastAsia"/>
        </w:rPr>
      </w:pPr>
    </w:p>
    <w:p w14:paraId="183CBBA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FFEAD14">
      <w:pPr>
        <w:pStyle w:val="2"/>
        <w:rPr>
          <w:rFonts w:hint="eastAsia"/>
        </w:rPr>
      </w:pPr>
      <w:r>
        <w:rPr>
          <w:rFonts w:hint="eastAsia"/>
        </w:rPr>
        <w:t xml:space="preserve">(1)Department of Bioengineering and Therapeutic Sciences, University of </w:t>
      </w:r>
    </w:p>
    <w:p w14:paraId="3968C724">
      <w:pPr>
        <w:pStyle w:val="2"/>
        <w:rPr>
          <w:rFonts w:hint="eastAsia"/>
        </w:rPr>
      </w:pPr>
      <w:r>
        <w:rPr>
          <w:rFonts w:hint="eastAsia"/>
        </w:rPr>
        <w:t>California San Francisco, San Francisco, California, USA.</w:t>
      </w:r>
    </w:p>
    <w:p w14:paraId="1A54A2AA">
      <w:pPr>
        <w:pStyle w:val="2"/>
        <w:rPr>
          <w:rFonts w:hint="eastAsia"/>
        </w:rPr>
      </w:pPr>
      <w:r>
        <w:rPr>
          <w:rFonts w:hint="eastAsia"/>
        </w:rPr>
        <w:t xml:space="preserve">(2)Department of Medicine and Obstetrics and Gynecology, Center for Global </w:t>
      </w:r>
    </w:p>
    <w:p w14:paraId="54EA7C08">
      <w:pPr>
        <w:pStyle w:val="2"/>
        <w:rPr>
          <w:rFonts w:hint="eastAsia"/>
        </w:rPr>
      </w:pPr>
      <w:r>
        <w:rPr>
          <w:rFonts w:hint="eastAsia"/>
        </w:rPr>
        <w:t>Health, Weill Cornell Medicine, New York, New York, USA.</w:t>
      </w:r>
    </w:p>
    <w:p w14:paraId="4B63364F">
      <w:pPr>
        <w:pStyle w:val="2"/>
        <w:rPr>
          <w:rFonts w:hint="eastAsia"/>
        </w:rPr>
      </w:pPr>
      <w:r>
        <w:rPr>
          <w:rFonts w:hint="eastAsia"/>
        </w:rPr>
        <w:t>(3)Harvard T. H. Chan School of Public Health, Boston, Massachusetts, USA.</w:t>
      </w:r>
    </w:p>
    <w:p w14:paraId="0B4F38DD">
      <w:pPr>
        <w:pStyle w:val="2"/>
        <w:rPr>
          <w:rFonts w:hint="eastAsia"/>
        </w:rPr>
      </w:pPr>
      <w:r>
        <w:rPr>
          <w:rFonts w:hint="eastAsia"/>
        </w:rPr>
        <w:t xml:space="preserve">(4)Division of Clinical Pharmacology, Department of Medicine, University of Cape </w:t>
      </w:r>
    </w:p>
    <w:p w14:paraId="3441C911">
      <w:pPr>
        <w:pStyle w:val="2"/>
        <w:rPr>
          <w:rFonts w:hint="eastAsia"/>
        </w:rPr>
      </w:pPr>
      <w:r>
        <w:rPr>
          <w:rFonts w:hint="eastAsia"/>
        </w:rPr>
        <w:t>Town, Cape Town, South Africa.</w:t>
      </w:r>
    </w:p>
    <w:p w14:paraId="6CDBD3BF">
      <w:pPr>
        <w:pStyle w:val="2"/>
        <w:rPr>
          <w:rFonts w:hint="eastAsia"/>
        </w:rPr>
      </w:pPr>
      <w:r>
        <w:rPr>
          <w:rFonts w:hint="eastAsia"/>
        </w:rPr>
        <w:t xml:space="preserve">(5)Division of AIDS, National Institute of Allergy and Infectious Diseases, </w:t>
      </w:r>
    </w:p>
    <w:p w14:paraId="2680DB8C">
      <w:pPr>
        <w:pStyle w:val="2"/>
        <w:rPr>
          <w:rFonts w:hint="eastAsia"/>
        </w:rPr>
      </w:pPr>
      <w:r>
        <w:rPr>
          <w:rFonts w:hint="eastAsia"/>
        </w:rPr>
        <w:t>Rockville, Maryland, USA.</w:t>
      </w:r>
    </w:p>
    <w:p w14:paraId="0A5A34D0">
      <w:pPr>
        <w:pStyle w:val="2"/>
        <w:rPr>
          <w:rFonts w:hint="eastAsia"/>
        </w:rPr>
      </w:pPr>
      <w:r>
        <w:rPr>
          <w:rFonts w:hint="eastAsia"/>
        </w:rPr>
        <w:t>(6)FHI 360, Durham, North Carolina, USA.</w:t>
      </w:r>
    </w:p>
    <w:p w14:paraId="4C16AA22">
      <w:pPr>
        <w:pStyle w:val="2"/>
        <w:rPr>
          <w:rFonts w:hint="eastAsia"/>
        </w:rPr>
      </w:pPr>
      <w:r>
        <w:rPr>
          <w:rFonts w:hint="eastAsia"/>
        </w:rPr>
        <w:t>(7)BJ Medical College-Johns Hopkins CTU, Pune, India.</w:t>
      </w:r>
    </w:p>
    <w:p w14:paraId="06CE2A3A">
      <w:pPr>
        <w:pStyle w:val="2"/>
        <w:rPr>
          <w:rFonts w:hint="eastAsia"/>
        </w:rPr>
      </w:pPr>
      <w:r>
        <w:rPr>
          <w:rFonts w:hint="eastAsia"/>
        </w:rPr>
        <w:t xml:space="preserve">(8)Frontier Science and Technology Research Foundation, Inc, Amherst, New York, </w:t>
      </w:r>
    </w:p>
    <w:p w14:paraId="1340C94D">
      <w:pPr>
        <w:pStyle w:val="2"/>
        <w:rPr>
          <w:rFonts w:hint="eastAsia"/>
        </w:rPr>
      </w:pPr>
      <w:r>
        <w:rPr>
          <w:rFonts w:hint="eastAsia"/>
        </w:rPr>
        <w:t>USA.</w:t>
      </w:r>
    </w:p>
    <w:p w14:paraId="0683F248">
      <w:pPr>
        <w:pStyle w:val="2"/>
        <w:rPr>
          <w:rFonts w:hint="eastAsia"/>
        </w:rPr>
      </w:pPr>
      <w:r>
        <w:rPr>
          <w:rFonts w:hint="eastAsia"/>
        </w:rPr>
        <w:t xml:space="preserve">(9)University of Zimbabwe College of Health Sciences-Clinical Trials Research </w:t>
      </w:r>
    </w:p>
    <w:p w14:paraId="4164DE89">
      <w:pPr>
        <w:pStyle w:val="2"/>
        <w:rPr>
          <w:rFonts w:hint="eastAsia"/>
        </w:rPr>
      </w:pPr>
      <w:r>
        <w:rPr>
          <w:rFonts w:hint="eastAsia"/>
        </w:rPr>
        <w:t>Centre, Harare, Zimbabwe.</w:t>
      </w:r>
    </w:p>
    <w:p w14:paraId="2E3B762D">
      <w:pPr>
        <w:pStyle w:val="2"/>
        <w:rPr>
          <w:rFonts w:hint="eastAsia"/>
        </w:rPr>
      </w:pPr>
      <w:r>
        <w:rPr>
          <w:rFonts w:hint="eastAsia"/>
        </w:rPr>
        <w:t>(10)Les Centres GHESKIO Clinical Research Site, Port-au-Prince, Haiti.</w:t>
      </w:r>
    </w:p>
    <w:p w14:paraId="66911346">
      <w:pPr>
        <w:pStyle w:val="2"/>
        <w:rPr>
          <w:rFonts w:hint="eastAsia"/>
        </w:rPr>
      </w:pPr>
      <w:r>
        <w:rPr>
          <w:rFonts w:hint="eastAsia"/>
        </w:rPr>
        <w:t xml:space="preserve">(11)Kenya Medical Research Institute/Walter Reed Project Clinical Research </w:t>
      </w:r>
    </w:p>
    <w:p w14:paraId="5CB355EE">
      <w:pPr>
        <w:pStyle w:val="2"/>
        <w:rPr>
          <w:rFonts w:hint="eastAsia"/>
        </w:rPr>
      </w:pPr>
      <w:r>
        <w:rPr>
          <w:rFonts w:hint="eastAsia"/>
        </w:rPr>
        <w:t>Center, Kericho, Kenya.</w:t>
      </w:r>
    </w:p>
    <w:p w14:paraId="15183AD9">
      <w:pPr>
        <w:pStyle w:val="2"/>
        <w:rPr>
          <w:rFonts w:hint="eastAsia"/>
        </w:rPr>
      </w:pPr>
      <w:r>
        <w:rPr>
          <w:rFonts w:hint="eastAsia"/>
        </w:rPr>
        <w:t>(12)Siriraj Hospital, Mahidol University, Bangkok, Thailand.</w:t>
      </w:r>
    </w:p>
    <w:p w14:paraId="47624CDB">
      <w:pPr>
        <w:pStyle w:val="2"/>
        <w:rPr>
          <w:rFonts w:hint="eastAsia"/>
        </w:rPr>
      </w:pPr>
      <w:r>
        <w:rPr>
          <w:rFonts w:hint="eastAsia"/>
        </w:rPr>
        <w:t>(13)Johns Hopkins University School of Medicine, Baltimore, Maryland, USA.</w:t>
      </w:r>
    </w:p>
    <w:p w14:paraId="2E0B3C40">
      <w:pPr>
        <w:pStyle w:val="2"/>
        <w:rPr>
          <w:rFonts w:hint="eastAsia"/>
        </w:rPr>
      </w:pPr>
      <w:r>
        <w:rPr>
          <w:rFonts w:hint="eastAsia"/>
        </w:rPr>
        <w:t>(14)Vanderbilt University Medical Center, Nashville, Tennessee, USA.</w:t>
      </w:r>
    </w:p>
    <w:p w14:paraId="50DD44DA">
      <w:pPr>
        <w:pStyle w:val="2"/>
        <w:rPr>
          <w:rFonts w:hint="eastAsia"/>
        </w:rPr>
      </w:pPr>
    </w:p>
    <w:p w14:paraId="6055EE0E">
      <w:pPr>
        <w:pStyle w:val="2"/>
        <w:rPr>
          <w:rFonts w:hint="eastAsia"/>
        </w:rPr>
      </w:pPr>
      <w:r>
        <w:rPr>
          <w:rFonts w:hint="eastAsia"/>
        </w:rPr>
        <w:t xml:space="preserve">IMPAACT 2001 (NCT02651259) evaluated the safety and pharmacokinetics (PK) of </w:t>
      </w:r>
    </w:p>
    <w:p w14:paraId="39699EF5">
      <w:pPr>
        <w:pStyle w:val="2"/>
        <w:rPr>
          <w:rFonts w:hint="eastAsia"/>
        </w:rPr>
      </w:pPr>
      <w:r>
        <w:rPr>
          <w:rFonts w:hint="eastAsia"/>
        </w:rPr>
        <w:t xml:space="preserve">once-weekly isoniazid and rifapentine in pregnant and postpartum women for </w:t>
      </w:r>
    </w:p>
    <w:p w14:paraId="5FAEB328">
      <w:pPr>
        <w:pStyle w:val="2"/>
        <w:rPr>
          <w:rFonts w:hint="eastAsia"/>
        </w:rPr>
      </w:pPr>
      <w:r>
        <w:rPr>
          <w:rFonts w:hint="eastAsia"/>
        </w:rPr>
        <w:t xml:space="preserve">tuberculosis prevention. Rifapentine (RPT) and desacetyl rifapentine (desRPT) PK </w:t>
      </w:r>
    </w:p>
    <w:p w14:paraId="466C38E7">
      <w:pPr>
        <w:pStyle w:val="2"/>
        <w:rPr>
          <w:rFonts w:hint="eastAsia"/>
        </w:rPr>
      </w:pPr>
      <w:r>
        <w:rPr>
          <w:rFonts w:hint="eastAsia"/>
        </w:rPr>
        <w:t xml:space="preserve">data were collected in maternal plasma, breast milk, infant cord blood, and </w:t>
      </w:r>
    </w:p>
    <w:p w14:paraId="6A7834FC">
      <w:pPr>
        <w:pStyle w:val="2"/>
        <w:rPr>
          <w:rFonts w:hint="eastAsia"/>
        </w:rPr>
      </w:pPr>
      <w:r>
        <w:rPr>
          <w:rFonts w:hint="eastAsia"/>
        </w:rPr>
        <w:t xml:space="preserve">infant plasma. Longitudinal maternal plasma and breast milk RPT and desRPT </w:t>
      </w:r>
    </w:p>
    <w:p w14:paraId="151FD8DC">
      <w:pPr>
        <w:pStyle w:val="2"/>
        <w:rPr>
          <w:rFonts w:hint="eastAsia"/>
        </w:rPr>
      </w:pPr>
      <w:r>
        <w:rPr>
          <w:rFonts w:hint="eastAsia"/>
        </w:rPr>
        <w:t xml:space="preserve">concentrations were characterized using a multicompartment PK model with </w:t>
      </w:r>
    </w:p>
    <w:p w14:paraId="44D40DE5">
      <w:pPr>
        <w:pStyle w:val="2"/>
        <w:rPr>
          <w:rFonts w:hint="eastAsia"/>
        </w:rPr>
      </w:pPr>
      <w:r>
        <w:rPr>
          <w:rFonts w:hint="eastAsia"/>
        </w:rPr>
        <w:t xml:space="preserve">biophase effect compartments (NONMEM v7.4). Rate parameters describing drug </w:t>
      </w:r>
    </w:p>
    <w:p w14:paraId="024ED58F">
      <w:pPr>
        <w:pStyle w:val="2"/>
        <w:rPr>
          <w:rFonts w:hint="eastAsia"/>
        </w:rPr>
      </w:pPr>
      <w:r>
        <w:rPr>
          <w:rFonts w:hint="eastAsia"/>
        </w:rPr>
        <w:t xml:space="preserve">entry into breast milk from plasma and breast milk-to-plasma ratio parameters </w:t>
      </w:r>
    </w:p>
    <w:p w14:paraId="0701BC2D">
      <w:pPr>
        <w:pStyle w:val="2"/>
        <w:rPr>
          <w:rFonts w:hint="eastAsia"/>
        </w:rPr>
      </w:pPr>
      <w:r>
        <w:rPr>
          <w:rFonts w:hint="eastAsia"/>
        </w:rPr>
        <w:t xml:space="preserve">were estimated. For mother-infant pairs, maternal plasma PK was simulated for </w:t>
      </w:r>
    </w:p>
    <w:p w14:paraId="5DEB996B">
      <w:pPr>
        <w:pStyle w:val="2"/>
        <w:rPr>
          <w:rFonts w:hint="eastAsia"/>
        </w:rPr>
      </w:pPr>
      <w:r>
        <w:rPr>
          <w:rFonts w:hint="eastAsia"/>
        </w:rPr>
        <w:t xml:space="preserve">the last RPT dose pre-delivery (with HIV and partum status covariates), and </w:t>
      </w:r>
    </w:p>
    <w:p w14:paraId="5C221DF9">
      <w:pPr>
        <w:pStyle w:val="2"/>
        <w:rPr>
          <w:rFonts w:hint="eastAsia"/>
        </w:rPr>
      </w:pPr>
      <w:r>
        <w:rPr>
          <w:rFonts w:hint="eastAsia"/>
        </w:rPr>
        <w:t xml:space="preserve">concentration ratios (observed infant cord blood or plasma relative to simulated </w:t>
      </w:r>
    </w:p>
    <w:p w14:paraId="2A183CD9">
      <w:pPr>
        <w:pStyle w:val="2"/>
        <w:rPr>
          <w:rFonts w:hint="eastAsia"/>
        </w:rPr>
      </w:pPr>
      <w:r>
        <w:rPr>
          <w:rFonts w:hint="eastAsia"/>
        </w:rPr>
        <w:t xml:space="preserve">maternal plasma) were calculated at the infant PK sample collection time. For </w:t>
      </w:r>
    </w:p>
    <w:p w14:paraId="26603BE6">
      <w:pPr>
        <w:pStyle w:val="2"/>
        <w:rPr>
          <w:rFonts w:hint="eastAsia"/>
        </w:rPr>
      </w:pPr>
      <w:r>
        <w:rPr>
          <w:rFonts w:hint="eastAsia"/>
        </w:rPr>
        <w:t xml:space="preserve">RPT and desRPT, derived equilibration half-lives were 0.568 hr and 0.439 hr, and </w:t>
      </w:r>
    </w:p>
    <w:p w14:paraId="7AE86B24">
      <w:pPr>
        <w:pStyle w:val="2"/>
        <w:rPr>
          <w:rFonts w:hint="eastAsia"/>
        </w:rPr>
      </w:pPr>
      <w:r>
        <w:rPr>
          <w:rFonts w:hint="eastAsia"/>
        </w:rPr>
        <w:t xml:space="preserve">estimated concentration ratios of breast milk to maternal plasma were 0.0236 and </w:t>
      </w:r>
    </w:p>
    <w:p w14:paraId="006224F7">
      <w:pPr>
        <w:pStyle w:val="2"/>
        <w:rPr>
          <w:rFonts w:hint="eastAsia"/>
        </w:rPr>
      </w:pPr>
      <w:r>
        <w:rPr>
          <w:rFonts w:hint="eastAsia"/>
        </w:rPr>
        <w:t xml:space="preserve">0.0411, respectively, indicating rapid equilibration between maternal plasma and </w:t>
      </w:r>
    </w:p>
    <w:p w14:paraId="2CF6F896">
      <w:pPr>
        <w:pStyle w:val="2"/>
        <w:rPr>
          <w:rFonts w:hint="eastAsia"/>
        </w:rPr>
      </w:pPr>
      <w:r>
        <w:rPr>
          <w:rFonts w:hint="eastAsia"/>
        </w:rPr>
        <w:t xml:space="preserve">breast milk and a minimal extent of drug excretion into breast milk. Maximum </w:t>
      </w:r>
    </w:p>
    <w:p w14:paraId="751F7871">
      <w:pPr>
        <w:pStyle w:val="2"/>
        <w:rPr>
          <w:rFonts w:hint="eastAsia"/>
        </w:rPr>
      </w:pPr>
      <w:r>
        <w:rPr>
          <w:rFonts w:hint="eastAsia"/>
        </w:rPr>
        <w:t xml:space="preserve">relative infant dose was estimated at &lt;1%. Within 72 hours of maternal dosing, </w:t>
      </w:r>
    </w:p>
    <w:p w14:paraId="7EE890CB">
      <w:pPr>
        <w:pStyle w:val="2"/>
        <w:rPr>
          <w:rFonts w:hint="eastAsia"/>
        </w:rPr>
      </w:pPr>
      <w:r>
        <w:rPr>
          <w:rFonts w:hint="eastAsia"/>
        </w:rPr>
        <w:t xml:space="preserve">median concentration ratios of observed infant cord blood and plasma to </w:t>
      </w:r>
    </w:p>
    <w:p w14:paraId="12E8F4B1">
      <w:pPr>
        <w:pStyle w:val="2"/>
        <w:rPr>
          <w:rFonts w:hint="eastAsia"/>
        </w:rPr>
      </w:pPr>
      <w:r>
        <w:rPr>
          <w:rFonts w:hint="eastAsia"/>
        </w:rPr>
        <w:t xml:space="preserve">predicted maternal plasma were approximately 0.280 and 0.612 for RPT and 0.493 </w:t>
      </w:r>
    </w:p>
    <w:p w14:paraId="2BE35734">
      <w:pPr>
        <w:pStyle w:val="2"/>
        <w:rPr>
          <w:rFonts w:hint="eastAsia"/>
        </w:rPr>
      </w:pPr>
      <w:r>
        <w:rPr>
          <w:rFonts w:hint="eastAsia"/>
        </w:rPr>
        <w:t xml:space="preserve">and 1.83 for desRPT, respectively. RPT crosses the placenta and is measurable in </w:t>
      </w:r>
    </w:p>
    <w:p w14:paraId="201A4557">
      <w:pPr>
        <w:pStyle w:val="2"/>
        <w:rPr>
          <w:rFonts w:hint="eastAsia"/>
        </w:rPr>
      </w:pPr>
      <w:r>
        <w:rPr>
          <w:rFonts w:hint="eastAsia"/>
        </w:rPr>
        <w:t xml:space="preserve">infant plasma at concentrations unlikely to be clinically significant. Breast </w:t>
      </w:r>
    </w:p>
    <w:p w14:paraId="0243E33F">
      <w:pPr>
        <w:pStyle w:val="2"/>
        <w:rPr>
          <w:rFonts w:hint="eastAsia"/>
        </w:rPr>
      </w:pPr>
      <w:r>
        <w:rPr>
          <w:rFonts w:hint="eastAsia"/>
        </w:rPr>
        <w:t xml:space="preserve">milk concentrations are very low, supporting safe use of RPT in breastfeeding </w:t>
      </w:r>
    </w:p>
    <w:p w14:paraId="5B15FDE9">
      <w:pPr>
        <w:pStyle w:val="2"/>
        <w:rPr>
          <w:rFonts w:hint="eastAsia"/>
        </w:rPr>
      </w:pPr>
      <w:r>
        <w:rPr>
          <w:rFonts w:hint="eastAsia"/>
        </w:rPr>
        <w:t>women.</w:t>
      </w:r>
    </w:p>
    <w:p w14:paraId="006C936C">
      <w:pPr>
        <w:pStyle w:val="2"/>
        <w:rPr>
          <w:rFonts w:hint="eastAsia"/>
        </w:rPr>
      </w:pPr>
    </w:p>
    <w:p w14:paraId="2369A4F4">
      <w:pPr>
        <w:pStyle w:val="2"/>
        <w:rPr>
          <w:rFonts w:hint="eastAsia"/>
        </w:rPr>
      </w:pPr>
      <w:r>
        <w:rPr>
          <w:rFonts w:hint="eastAsia"/>
        </w:rPr>
        <w:t xml:space="preserve">© 2026 The Author(s). Clinical Pharmacology &amp; Therapeutics published by Wiley </w:t>
      </w:r>
    </w:p>
    <w:p w14:paraId="5ACBCE17">
      <w:pPr>
        <w:pStyle w:val="2"/>
        <w:rPr>
          <w:rFonts w:hint="eastAsia"/>
        </w:rPr>
      </w:pPr>
      <w:r>
        <w:rPr>
          <w:rFonts w:hint="eastAsia"/>
        </w:rPr>
        <w:t xml:space="preserve">Periodicals LLC on behalf of American Society for Clinical Pharmacology and </w:t>
      </w:r>
    </w:p>
    <w:p w14:paraId="6A7D2FCA">
      <w:pPr>
        <w:pStyle w:val="2"/>
        <w:rPr>
          <w:rFonts w:hint="eastAsia"/>
        </w:rPr>
      </w:pPr>
      <w:r>
        <w:rPr>
          <w:rFonts w:hint="eastAsia"/>
        </w:rPr>
        <w:t>Therapeutics.</w:t>
      </w:r>
    </w:p>
    <w:p w14:paraId="25B2C044">
      <w:pPr>
        <w:pStyle w:val="2"/>
        <w:rPr>
          <w:rFonts w:hint="eastAsia"/>
        </w:rPr>
      </w:pPr>
    </w:p>
    <w:p w14:paraId="64663362">
      <w:pPr>
        <w:pStyle w:val="2"/>
        <w:rPr>
          <w:rFonts w:hint="eastAsia"/>
        </w:rPr>
      </w:pPr>
      <w:r>
        <w:rPr>
          <w:rFonts w:hint="eastAsia"/>
        </w:rPr>
        <w:t>DOI: 10.1002/cpt.70479</w:t>
      </w:r>
    </w:p>
    <w:p w14:paraId="6F6751BC">
      <w:pPr>
        <w:pStyle w:val="2"/>
        <w:rPr>
          <w:rFonts w:hint="eastAsia"/>
        </w:rPr>
      </w:pPr>
      <w:r>
        <w:rPr>
          <w:rFonts w:hint="eastAsia"/>
        </w:rPr>
        <w:t>PMCID: PMC13670884</w:t>
      </w:r>
    </w:p>
    <w:p w14:paraId="1B54D9DF">
      <w:pPr>
        <w:pStyle w:val="2"/>
        <w:rPr>
          <w:rFonts w:hint="eastAsia"/>
        </w:rPr>
      </w:pPr>
      <w:r>
        <w:rPr>
          <w:rFonts w:hint="eastAsia"/>
        </w:rPr>
        <w:t>PMID: 42878247</w:t>
      </w:r>
    </w:p>
    <w:p w14:paraId="46241579">
      <w:pPr>
        <w:pStyle w:val="2"/>
        <w:rPr>
          <w:rFonts w:hint="eastAsia"/>
        </w:rPr>
      </w:pPr>
    </w:p>
    <w:p w14:paraId="4960D65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19</w:t>
      </w:r>
      <w:r>
        <w:rPr>
          <w:rFonts w:hint="eastAsia"/>
          <w:b/>
          <w:bCs/>
          <w:color w:val="FF0000"/>
        </w:rPr>
        <w:t>. Int Health. 2026 Oct 15:ihag096. doi: 10.1093/inthealth/ihag096. Online ahead of print.</w:t>
      </w:r>
    </w:p>
    <w:p w14:paraId="654CDB23">
      <w:pPr>
        <w:pStyle w:val="2"/>
        <w:rPr>
          <w:rFonts w:hint="eastAsia"/>
        </w:rPr>
      </w:pPr>
    </w:p>
    <w:p w14:paraId="637EF138">
      <w:pPr>
        <w:pStyle w:val="2"/>
        <w:rPr>
          <w:rFonts w:hint="eastAsia"/>
        </w:rPr>
      </w:pPr>
      <w:r>
        <w:rPr>
          <w:rFonts w:hint="eastAsia"/>
        </w:rPr>
        <w:t xml:space="preserve">A sex-disaggregated analysis of age-standardized tuberculosis prevalence in </w:t>
      </w:r>
    </w:p>
    <w:p w14:paraId="607FAAC9">
      <w:pPr>
        <w:pStyle w:val="2"/>
        <w:rPr>
          <w:rFonts w:hint="eastAsia"/>
        </w:rPr>
      </w:pPr>
      <w:r>
        <w:rPr>
          <w:rFonts w:hint="eastAsia"/>
        </w:rPr>
        <w:t xml:space="preserve">Sierra Leone (2000-2019) using World Health Organization Health Equity </w:t>
      </w:r>
    </w:p>
    <w:p w14:paraId="35A317A9">
      <w:pPr>
        <w:pStyle w:val="2"/>
        <w:rPr>
          <w:rFonts w:hint="eastAsia"/>
        </w:rPr>
      </w:pPr>
      <w:r>
        <w:rPr>
          <w:rFonts w:hint="eastAsia"/>
        </w:rPr>
        <w:t>Assessment Toolkit data.</w:t>
      </w:r>
    </w:p>
    <w:p w14:paraId="3DE490F3">
      <w:pPr>
        <w:pStyle w:val="2"/>
        <w:rPr>
          <w:rFonts w:hint="eastAsia"/>
        </w:rPr>
      </w:pPr>
    </w:p>
    <w:p w14:paraId="12A71BFD">
      <w:pPr>
        <w:pStyle w:val="2"/>
        <w:rPr>
          <w:rFonts w:hint="eastAsia"/>
        </w:rPr>
      </w:pPr>
      <w:r>
        <w:rPr>
          <w:rFonts w:hint="eastAsia"/>
        </w:rPr>
        <w:t>Osborne A(1), Fofanah BD(2), Sesay U(3)(4).</w:t>
      </w:r>
    </w:p>
    <w:p w14:paraId="3661D06F">
      <w:pPr>
        <w:pStyle w:val="2"/>
        <w:rPr>
          <w:rFonts w:hint="eastAsia"/>
        </w:rPr>
      </w:pPr>
    </w:p>
    <w:p w14:paraId="1CCD8951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D12BDE9">
      <w:pPr>
        <w:pStyle w:val="2"/>
        <w:rPr>
          <w:rFonts w:hint="eastAsia"/>
        </w:rPr>
      </w:pPr>
      <w:r>
        <w:rPr>
          <w:rFonts w:hint="eastAsia"/>
        </w:rPr>
        <w:t>(1)Institute for Development, Western Area, Freetown, Sierra Leone.</w:t>
      </w:r>
    </w:p>
    <w:p w14:paraId="178D864A">
      <w:pPr>
        <w:pStyle w:val="2"/>
        <w:rPr>
          <w:rFonts w:hint="eastAsia"/>
        </w:rPr>
      </w:pPr>
      <w:r>
        <w:rPr>
          <w:rFonts w:hint="eastAsia"/>
        </w:rPr>
        <w:t xml:space="preserve">(2)World Health Organization Country Office, 21A-B Riverside Drive, Of </w:t>
      </w:r>
    </w:p>
    <w:p w14:paraId="78198D09">
      <w:pPr>
        <w:pStyle w:val="2"/>
        <w:rPr>
          <w:rFonts w:hint="eastAsia"/>
        </w:rPr>
      </w:pPr>
      <w:r>
        <w:rPr>
          <w:rFonts w:hint="eastAsia"/>
        </w:rPr>
        <w:t>Kingharman Road, Freetown, Sierra Leone.</w:t>
      </w:r>
    </w:p>
    <w:p w14:paraId="4B516BB7">
      <w:pPr>
        <w:pStyle w:val="2"/>
        <w:rPr>
          <w:rFonts w:hint="eastAsia"/>
        </w:rPr>
      </w:pPr>
      <w:r>
        <w:rPr>
          <w:rFonts w:hint="eastAsia"/>
        </w:rPr>
        <w:t xml:space="preserve">(3)Sierra Leone Field Epidemiology Training Program, National Public Health </w:t>
      </w:r>
    </w:p>
    <w:p w14:paraId="7B2044E6">
      <w:pPr>
        <w:pStyle w:val="2"/>
        <w:rPr>
          <w:rFonts w:hint="eastAsia"/>
        </w:rPr>
      </w:pPr>
      <w:r>
        <w:rPr>
          <w:rFonts w:hint="eastAsia"/>
        </w:rPr>
        <w:t>Agency, Freetown, Sierra Leone.</w:t>
      </w:r>
    </w:p>
    <w:p w14:paraId="026EED06">
      <w:pPr>
        <w:pStyle w:val="2"/>
        <w:rPr>
          <w:rFonts w:hint="eastAsia"/>
        </w:rPr>
      </w:pPr>
      <w:r>
        <w:rPr>
          <w:rFonts w:hint="eastAsia"/>
        </w:rPr>
        <w:t>(4)African Field Epidemiology Network, Wilkinson Road, Freetown, Sierra Leone.</w:t>
      </w:r>
    </w:p>
    <w:p w14:paraId="65F3B8D1">
      <w:pPr>
        <w:pStyle w:val="2"/>
        <w:rPr>
          <w:rFonts w:hint="eastAsia"/>
        </w:rPr>
      </w:pPr>
    </w:p>
    <w:p w14:paraId="2AB45654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 (TB) remains a major public health challenge in Sierra </w:t>
      </w:r>
    </w:p>
    <w:p w14:paraId="69FAB0C7">
      <w:pPr>
        <w:pStyle w:val="2"/>
        <w:rPr>
          <w:rFonts w:hint="eastAsia"/>
        </w:rPr>
      </w:pPr>
      <w:r>
        <w:rPr>
          <w:rFonts w:hint="eastAsia"/>
        </w:rPr>
        <w:t xml:space="preserve">Leone, contributing to high morbidity and mortality. Understanding trends in its </w:t>
      </w:r>
    </w:p>
    <w:p w14:paraId="5AA381F1">
      <w:pPr>
        <w:pStyle w:val="2"/>
        <w:rPr>
          <w:rFonts w:hint="eastAsia"/>
        </w:rPr>
      </w:pPr>
      <w:r>
        <w:rPr>
          <w:rFonts w:hint="eastAsia"/>
        </w:rPr>
        <w:t xml:space="preserve">prevalence and identifying sex-based disparities are crucial for designing </w:t>
      </w:r>
    </w:p>
    <w:p w14:paraId="5F46CE22">
      <w:pPr>
        <w:pStyle w:val="2"/>
        <w:rPr>
          <w:rFonts w:hint="eastAsia"/>
        </w:rPr>
      </w:pPr>
      <w:r>
        <w:rPr>
          <w:rFonts w:hint="eastAsia"/>
        </w:rPr>
        <w:t xml:space="preserve">targeted, evidence-based interventions. This study explored the trends in the </w:t>
      </w:r>
    </w:p>
    <w:p w14:paraId="09729FC4">
      <w:pPr>
        <w:pStyle w:val="2"/>
        <w:rPr>
          <w:rFonts w:hint="eastAsia"/>
        </w:rPr>
      </w:pPr>
      <w:r>
        <w:rPr>
          <w:rFonts w:hint="eastAsia"/>
        </w:rPr>
        <w:t xml:space="preserve">age-standardized prevalence of TB in Sierra Leone from 2000 to 2019, with a </w:t>
      </w:r>
    </w:p>
    <w:p w14:paraId="6A717FAA">
      <w:pPr>
        <w:pStyle w:val="2"/>
        <w:rPr>
          <w:rFonts w:hint="eastAsia"/>
        </w:rPr>
      </w:pPr>
      <w:r>
        <w:rPr>
          <w:rFonts w:hint="eastAsia"/>
        </w:rPr>
        <w:t>focus on sex-based inequalities.</w:t>
      </w:r>
    </w:p>
    <w:p w14:paraId="575E7D7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A cross-sectional analysis was conducted using age-standardized </w:t>
      </w:r>
    </w:p>
    <w:p w14:paraId="1D13515D">
      <w:pPr>
        <w:pStyle w:val="2"/>
        <w:rPr>
          <w:rFonts w:hint="eastAsia"/>
        </w:rPr>
      </w:pPr>
      <w:r>
        <w:rPr>
          <w:rFonts w:hint="eastAsia"/>
        </w:rPr>
        <w:t xml:space="preserve">prevalence data (per 100 000 population) from the World Health Organization's </w:t>
      </w:r>
    </w:p>
    <w:p w14:paraId="1B13916D">
      <w:pPr>
        <w:pStyle w:val="2"/>
        <w:rPr>
          <w:rFonts w:hint="eastAsia"/>
        </w:rPr>
      </w:pPr>
      <w:r>
        <w:rPr>
          <w:rFonts w:hint="eastAsia"/>
        </w:rPr>
        <w:t xml:space="preserve">Health Equity Assessment Toolkit (HEAT). Data were analysed at five time points </w:t>
      </w:r>
    </w:p>
    <w:p w14:paraId="461DFA16">
      <w:pPr>
        <w:pStyle w:val="2"/>
        <w:rPr>
          <w:rFonts w:hint="eastAsia"/>
        </w:rPr>
      </w:pPr>
      <w:r>
        <w:rPr>
          <w:rFonts w:hint="eastAsia"/>
        </w:rPr>
        <w:t xml:space="preserve">(2000, 2005, 2010, 2015 and 2019). Inequality measures, including difference </w:t>
      </w:r>
    </w:p>
    <w:p w14:paraId="5AD7FF60">
      <w:pPr>
        <w:pStyle w:val="2"/>
        <w:rPr>
          <w:rFonts w:hint="eastAsia"/>
        </w:rPr>
      </w:pPr>
      <w:r>
        <w:rPr>
          <w:rFonts w:hint="eastAsia"/>
        </w:rPr>
        <w:t xml:space="preserve">(D), ratio (R), population attributable fraction (PAF) and population </w:t>
      </w:r>
    </w:p>
    <w:p w14:paraId="6687D359">
      <w:pPr>
        <w:pStyle w:val="2"/>
        <w:rPr>
          <w:rFonts w:hint="eastAsia"/>
        </w:rPr>
      </w:pPr>
      <w:r>
        <w:rPr>
          <w:rFonts w:hint="eastAsia"/>
        </w:rPr>
        <w:t xml:space="preserve">attributable risk (PAR) were calculated to assess absolute and relative </w:t>
      </w:r>
    </w:p>
    <w:p w14:paraId="478BBCB0">
      <w:pPr>
        <w:pStyle w:val="2"/>
        <w:rPr>
          <w:rFonts w:hint="eastAsia"/>
        </w:rPr>
      </w:pPr>
      <w:r>
        <w:rPr>
          <w:rFonts w:hint="eastAsia"/>
        </w:rPr>
        <w:t xml:space="preserve">disparities between males and females. Confidence intervals (CIs) were reported </w:t>
      </w:r>
    </w:p>
    <w:p w14:paraId="1F522934">
      <w:pPr>
        <w:pStyle w:val="2"/>
        <w:rPr>
          <w:rFonts w:hint="eastAsia"/>
        </w:rPr>
      </w:pPr>
      <w:r>
        <w:rPr>
          <w:rFonts w:hint="eastAsia"/>
        </w:rPr>
        <w:t>for all estimates to ensure the precision of findings.</w:t>
      </w:r>
    </w:p>
    <w:p w14:paraId="75AA6E54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The age-standardized prevalence of TB in Sierra Leone declined from 38 </w:t>
      </w:r>
    </w:p>
    <w:p w14:paraId="6FEFFB21">
      <w:pPr>
        <w:pStyle w:val="2"/>
        <w:rPr>
          <w:rFonts w:hint="eastAsia"/>
        </w:rPr>
      </w:pPr>
      <w:r>
        <w:rPr>
          <w:rFonts w:hint="eastAsia"/>
        </w:rPr>
        <w:t xml:space="preserve">741.6 per 100 000 population in 2000 to 23 797.1 in 2019, a relative reduction </w:t>
      </w:r>
    </w:p>
    <w:p w14:paraId="1780E64A">
      <w:pPr>
        <w:pStyle w:val="2"/>
        <w:rPr>
          <w:rFonts w:hint="eastAsia"/>
        </w:rPr>
      </w:pPr>
      <w:r>
        <w:rPr>
          <w:rFonts w:hint="eastAsia"/>
        </w:rPr>
        <w:t xml:space="preserve">of 38.6%. However, sex-disaggregated analysis revealed disparities, with males </w:t>
      </w:r>
    </w:p>
    <w:p w14:paraId="5502986C">
      <w:pPr>
        <w:pStyle w:val="2"/>
        <w:rPr>
          <w:rFonts w:hint="eastAsia"/>
        </w:rPr>
      </w:pPr>
      <w:r>
        <w:rPr>
          <w:rFonts w:hint="eastAsia"/>
        </w:rPr>
        <w:t xml:space="preserve">experiencing higher prevalence rates than females. In 2019, the prevalence for </w:t>
      </w:r>
    </w:p>
    <w:p w14:paraId="37389E43">
      <w:pPr>
        <w:pStyle w:val="2"/>
        <w:rPr>
          <w:rFonts w:hint="eastAsia"/>
        </w:rPr>
      </w:pPr>
      <w:r>
        <w:rPr>
          <w:rFonts w:hint="eastAsia"/>
        </w:rPr>
        <w:t xml:space="preserve">males was 24 968.0 per 100 000 population (95% CI 22 051.1 to 28 307.9) compared </w:t>
      </w:r>
    </w:p>
    <w:p w14:paraId="3E34867C">
      <w:pPr>
        <w:pStyle w:val="2"/>
        <w:rPr>
          <w:rFonts w:hint="eastAsia"/>
        </w:rPr>
      </w:pPr>
      <w:r>
        <w:rPr>
          <w:rFonts w:hint="eastAsia"/>
        </w:rPr>
        <w:t xml:space="preserve">with 22 651.8 for females (95% CI 20 053.2 to 25 784.3). The absolute difference </w:t>
      </w:r>
    </w:p>
    <w:p w14:paraId="7D29630E">
      <w:pPr>
        <w:pStyle w:val="2"/>
        <w:rPr>
          <w:rFonts w:hint="eastAsia"/>
        </w:rPr>
      </w:pPr>
      <w:r>
        <w:rPr>
          <w:rFonts w:hint="eastAsia"/>
        </w:rPr>
        <w:t xml:space="preserve">(D) widened in magnitude over time, from 1130.7 in 2000 to 2316.2 in 2019 </w:t>
      </w:r>
    </w:p>
    <w:p w14:paraId="12C2972B">
      <w:pPr>
        <w:pStyle w:val="2"/>
        <w:rPr>
          <w:rFonts w:hint="eastAsia"/>
        </w:rPr>
      </w:pPr>
      <w:r>
        <w:rPr>
          <w:rFonts w:hint="eastAsia"/>
        </w:rPr>
        <w:t xml:space="preserve">(reported as negative values because female prevalence was lower). The </w:t>
      </w:r>
    </w:p>
    <w:p w14:paraId="645BB06C">
      <w:pPr>
        <w:pStyle w:val="2"/>
        <w:rPr>
          <w:rFonts w:hint="eastAsia"/>
        </w:rPr>
      </w:pPr>
      <w:r>
        <w:rPr>
          <w:rFonts w:hint="eastAsia"/>
        </w:rPr>
        <w:t xml:space="preserve">inequality ratio (R) remained close to 1.0 throughout the study period, </w:t>
      </w:r>
    </w:p>
    <w:p w14:paraId="71739019">
      <w:pPr>
        <w:pStyle w:val="2"/>
        <w:rPr>
          <w:rFonts w:hint="eastAsia"/>
        </w:rPr>
      </w:pPr>
      <w:r>
        <w:rPr>
          <w:rFonts w:hint="eastAsia"/>
        </w:rPr>
        <w:t xml:space="preserve">indicating modest relative disparities. The PAF increased from 1.5% in 2000 to </w:t>
      </w:r>
    </w:p>
    <w:p w14:paraId="551C5C6E">
      <w:pPr>
        <w:pStyle w:val="2"/>
        <w:rPr>
          <w:rFonts w:hint="eastAsia"/>
        </w:rPr>
      </w:pPr>
      <w:r>
        <w:rPr>
          <w:rFonts w:hint="eastAsia"/>
        </w:rPr>
        <w:t xml:space="preserve">4.8% in 2019, and the PAR increased from 564.1 to 1145.3 per 100 000 population, </w:t>
      </w:r>
    </w:p>
    <w:p w14:paraId="62782F05">
      <w:pPr>
        <w:pStyle w:val="2"/>
        <w:rPr>
          <w:rFonts w:hint="eastAsia"/>
        </w:rPr>
      </w:pPr>
      <w:r>
        <w:rPr>
          <w:rFonts w:hint="eastAsia"/>
        </w:rPr>
        <w:t xml:space="preserve">indicating a small but growing share of the overall TB burden attributable to </w:t>
      </w:r>
    </w:p>
    <w:p w14:paraId="22CAF6D2">
      <w:pPr>
        <w:pStyle w:val="2"/>
        <w:rPr>
          <w:rFonts w:hint="eastAsia"/>
        </w:rPr>
      </w:pPr>
      <w:r>
        <w:rPr>
          <w:rFonts w:hint="eastAsia"/>
        </w:rPr>
        <w:t>the higher prevalence among males.</w:t>
      </w:r>
    </w:p>
    <w:p w14:paraId="7780D127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Despite a marked decline in the overall prevalence of TB in Sierra </w:t>
      </w:r>
    </w:p>
    <w:p w14:paraId="507034DD">
      <w:pPr>
        <w:pStyle w:val="2"/>
        <w:rPr>
          <w:rFonts w:hint="eastAsia"/>
        </w:rPr>
      </w:pPr>
      <w:r>
        <w:rPr>
          <w:rFonts w:hint="eastAsia"/>
        </w:rPr>
        <w:t xml:space="preserve">Leone from 2000 to 2019, males consistently faced a higher burden compared with </w:t>
      </w:r>
    </w:p>
    <w:p w14:paraId="29AB8105">
      <w:pPr>
        <w:pStyle w:val="2"/>
        <w:rPr>
          <w:rFonts w:hint="eastAsia"/>
        </w:rPr>
      </w:pPr>
      <w:r>
        <w:rPr>
          <w:rFonts w:hint="eastAsia"/>
        </w:rPr>
        <w:t xml:space="preserve">females. These findings underscore the need for targeted strategies to address </w:t>
      </w:r>
    </w:p>
    <w:p w14:paraId="63535708">
      <w:pPr>
        <w:pStyle w:val="2"/>
        <w:rPr>
          <w:rFonts w:hint="eastAsia"/>
        </w:rPr>
      </w:pPr>
      <w:r>
        <w:rPr>
          <w:rFonts w:hint="eastAsia"/>
        </w:rPr>
        <w:t xml:space="preserve">the sex-based disparities. Strengthening health systems, promoting equitable </w:t>
      </w:r>
    </w:p>
    <w:p w14:paraId="2EBA2BBF">
      <w:pPr>
        <w:pStyle w:val="2"/>
        <w:rPr>
          <w:rFonts w:hint="eastAsia"/>
        </w:rPr>
      </w:pPr>
      <w:r>
        <w:rPr>
          <w:rFonts w:hint="eastAsia"/>
        </w:rPr>
        <w:t xml:space="preserve">access to care, and implementing tailored prevention programs are critical to </w:t>
      </w:r>
    </w:p>
    <w:p w14:paraId="38FD52F3">
      <w:pPr>
        <w:pStyle w:val="2"/>
        <w:rPr>
          <w:rFonts w:hint="eastAsia"/>
        </w:rPr>
      </w:pPr>
      <w:r>
        <w:rPr>
          <w:rFonts w:hint="eastAsia"/>
        </w:rPr>
        <w:t>reducing the overall burden of TB and achieving health equity in Sierra Leone.</w:t>
      </w:r>
    </w:p>
    <w:p w14:paraId="76F06F6B">
      <w:pPr>
        <w:pStyle w:val="2"/>
        <w:rPr>
          <w:rFonts w:hint="eastAsia"/>
        </w:rPr>
      </w:pPr>
    </w:p>
    <w:p w14:paraId="1A5FFC48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Royal </w:t>
      </w:r>
    </w:p>
    <w:p w14:paraId="67B006A5">
      <w:pPr>
        <w:pStyle w:val="2"/>
        <w:rPr>
          <w:rFonts w:hint="eastAsia"/>
        </w:rPr>
      </w:pPr>
      <w:r>
        <w:rPr>
          <w:rFonts w:hint="eastAsia"/>
        </w:rPr>
        <w:t>Society of Tropical Medicine and Hygiene.</w:t>
      </w:r>
    </w:p>
    <w:p w14:paraId="754A8E2F">
      <w:pPr>
        <w:pStyle w:val="2"/>
        <w:rPr>
          <w:rFonts w:hint="eastAsia"/>
        </w:rPr>
      </w:pPr>
    </w:p>
    <w:p w14:paraId="494CB8F1">
      <w:pPr>
        <w:pStyle w:val="2"/>
        <w:rPr>
          <w:rFonts w:hint="eastAsia"/>
        </w:rPr>
      </w:pPr>
      <w:r>
        <w:rPr>
          <w:rFonts w:hint="eastAsia"/>
        </w:rPr>
        <w:t>DOI: 10.1093/inthealth/ihag096</w:t>
      </w:r>
    </w:p>
    <w:p w14:paraId="41859337">
      <w:pPr>
        <w:pStyle w:val="2"/>
        <w:rPr>
          <w:rFonts w:hint="eastAsia"/>
        </w:rPr>
      </w:pPr>
      <w:r>
        <w:rPr>
          <w:rFonts w:hint="eastAsia"/>
        </w:rPr>
        <w:t>PMID: 42877963</w:t>
      </w:r>
    </w:p>
    <w:p w14:paraId="50482991">
      <w:pPr>
        <w:pStyle w:val="2"/>
        <w:rPr>
          <w:rFonts w:hint="eastAsia"/>
        </w:rPr>
      </w:pPr>
    </w:p>
    <w:p w14:paraId="4032039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20</w:t>
      </w:r>
      <w:r>
        <w:rPr>
          <w:rFonts w:hint="eastAsia"/>
          <w:b/>
          <w:bCs/>
          <w:color w:val="FF0000"/>
        </w:rPr>
        <w:t>. Rev Recent Clin Trials. 2026 Oct 12. doi: 10.2174/0115748871502522261008104215. Online ahead of print.</w:t>
      </w:r>
    </w:p>
    <w:p w14:paraId="510EF83A">
      <w:pPr>
        <w:pStyle w:val="2"/>
        <w:rPr>
          <w:rFonts w:hint="eastAsia"/>
        </w:rPr>
      </w:pPr>
    </w:p>
    <w:p w14:paraId="0E3A2EBE">
      <w:pPr>
        <w:pStyle w:val="2"/>
        <w:rPr>
          <w:rFonts w:hint="eastAsia"/>
        </w:rPr>
      </w:pPr>
      <w:r>
        <w:rPr>
          <w:rFonts w:hint="eastAsia"/>
        </w:rPr>
        <w:t xml:space="preserve">Genital Tuberculosis (GTB): Insights into Diagnosis, Treatment, Clinical Trials </w:t>
      </w:r>
    </w:p>
    <w:p w14:paraId="49F4E718">
      <w:pPr>
        <w:pStyle w:val="2"/>
        <w:rPr>
          <w:rFonts w:hint="eastAsia"/>
        </w:rPr>
      </w:pPr>
      <w:r>
        <w:rPr>
          <w:rFonts w:hint="eastAsia"/>
        </w:rPr>
        <w:t>and Patents-A Comprehensive Review.</w:t>
      </w:r>
    </w:p>
    <w:p w14:paraId="4373BE9D">
      <w:pPr>
        <w:pStyle w:val="2"/>
        <w:rPr>
          <w:rFonts w:hint="eastAsia"/>
        </w:rPr>
      </w:pPr>
    </w:p>
    <w:p w14:paraId="2D8A73D6">
      <w:pPr>
        <w:pStyle w:val="2"/>
        <w:rPr>
          <w:rFonts w:hint="eastAsia"/>
        </w:rPr>
      </w:pPr>
      <w:r>
        <w:rPr>
          <w:rFonts w:hint="eastAsia"/>
        </w:rPr>
        <w:t xml:space="preserve">Singh A(1), Dutta P(2), Muztaba M(3), Sahoo S(4), Bhutada PG(5), Manju(6), </w:t>
      </w:r>
    </w:p>
    <w:p w14:paraId="39724E7A">
      <w:pPr>
        <w:pStyle w:val="2"/>
        <w:rPr>
          <w:rFonts w:hint="eastAsia"/>
        </w:rPr>
      </w:pPr>
      <w:r>
        <w:rPr>
          <w:rFonts w:hint="eastAsia"/>
        </w:rPr>
        <w:t>Thasni KPS(7), Ghosh B(8), Pal R(8).</w:t>
      </w:r>
    </w:p>
    <w:p w14:paraId="602B4119">
      <w:pPr>
        <w:pStyle w:val="2"/>
        <w:rPr>
          <w:rFonts w:hint="eastAsia"/>
        </w:rPr>
      </w:pPr>
    </w:p>
    <w:p w14:paraId="4E1D3A9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566B7DE">
      <w:pPr>
        <w:pStyle w:val="2"/>
        <w:rPr>
          <w:rFonts w:hint="eastAsia"/>
        </w:rPr>
      </w:pPr>
      <w:r>
        <w:rPr>
          <w:rFonts w:hint="eastAsia"/>
        </w:rPr>
        <w:t xml:space="preserve">(1)Department of Pharmacy, SBS Group of Educational Institutions, Malwan, </w:t>
      </w:r>
    </w:p>
    <w:p w14:paraId="2C87A904">
      <w:pPr>
        <w:pStyle w:val="2"/>
        <w:rPr>
          <w:rFonts w:hint="eastAsia"/>
        </w:rPr>
      </w:pPr>
      <w:r>
        <w:rPr>
          <w:rFonts w:hint="eastAsia"/>
        </w:rPr>
        <w:t>Fatehpur, 212601, India.</w:t>
      </w:r>
    </w:p>
    <w:p w14:paraId="0D3EC48B">
      <w:pPr>
        <w:pStyle w:val="2"/>
        <w:rPr>
          <w:rFonts w:hint="eastAsia"/>
        </w:rPr>
      </w:pPr>
      <w:r>
        <w:rPr>
          <w:rFonts w:hint="eastAsia"/>
        </w:rPr>
        <w:t xml:space="preserve">(2)Department of Pharmacy, Usha Martin University, Angara Ranchi, Jharkhand, </w:t>
      </w:r>
    </w:p>
    <w:p w14:paraId="029E9D7F">
      <w:pPr>
        <w:pStyle w:val="2"/>
        <w:rPr>
          <w:rFonts w:hint="eastAsia"/>
        </w:rPr>
      </w:pPr>
      <w:r>
        <w:rPr>
          <w:rFonts w:hint="eastAsia"/>
        </w:rPr>
        <w:t>835103, India.</w:t>
      </w:r>
    </w:p>
    <w:p w14:paraId="777E039A">
      <w:pPr>
        <w:pStyle w:val="2"/>
        <w:rPr>
          <w:rFonts w:hint="eastAsia"/>
        </w:rPr>
      </w:pPr>
      <w:r>
        <w:rPr>
          <w:rFonts w:hint="eastAsia"/>
        </w:rPr>
        <w:t xml:space="preserve">(3)Department of Pharmacology, Praduman Singh SPS Pharmacy College, Phutahiya, </w:t>
      </w:r>
    </w:p>
    <w:p w14:paraId="07247CD4">
      <w:pPr>
        <w:pStyle w:val="2"/>
        <w:rPr>
          <w:rFonts w:hint="eastAsia"/>
        </w:rPr>
      </w:pPr>
      <w:r>
        <w:rPr>
          <w:rFonts w:hint="eastAsia"/>
        </w:rPr>
        <w:t>Sansarpur Basti, Uttar Pradesh, 272001, India.</w:t>
      </w:r>
    </w:p>
    <w:p w14:paraId="7D975ED0">
      <w:pPr>
        <w:pStyle w:val="2"/>
        <w:rPr>
          <w:rFonts w:hint="eastAsia"/>
        </w:rPr>
      </w:pPr>
      <w:r>
        <w:rPr>
          <w:rFonts w:hint="eastAsia"/>
        </w:rPr>
        <w:t xml:space="preserve">(4)Department of Pharmaceutical Chemistry, School of Pharmacy, DRIEMS </w:t>
      </w:r>
    </w:p>
    <w:p w14:paraId="5ED4C8B4">
      <w:pPr>
        <w:pStyle w:val="2"/>
        <w:rPr>
          <w:rFonts w:hint="eastAsia"/>
        </w:rPr>
      </w:pPr>
      <w:r>
        <w:rPr>
          <w:rFonts w:hint="eastAsia"/>
        </w:rPr>
        <w:t>University, Tangi, Cuttack, Odisha, 754022, India.</w:t>
      </w:r>
    </w:p>
    <w:p w14:paraId="1F21E693">
      <w:pPr>
        <w:pStyle w:val="2"/>
        <w:rPr>
          <w:rFonts w:hint="eastAsia"/>
        </w:rPr>
      </w:pPr>
      <w:r>
        <w:rPr>
          <w:rFonts w:hint="eastAsia"/>
        </w:rPr>
        <w:t xml:space="preserve">(5)Department of Pharmaceutics, The Oxford College of Pharmacy, Bangalore, </w:t>
      </w:r>
    </w:p>
    <w:p w14:paraId="26E9FB28">
      <w:pPr>
        <w:pStyle w:val="2"/>
        <w:rPr>
          <w:rFonts w:hint="eastAsia"/>
        </w:rPr>
      </w:pPr>
      <w:r>
        <w:rPr>
          <w:rFonts w:hint="eastAsia"/>
        </w:rPr>
        <w:t>560068, India.</w:t>
      </w:r>
    </w:p>
    <w:p w14:paraId="60A710E5">
      <w:pPr>
        <w:pStyle w:val="2"/>
        <w:rPr>
          <w:rFonts w:hint="eastAsia"/>
        </w:rPr>
      </w:pPr>
      <w:r>
        <w:rPr>
          <w:rFonts w:hint="eastAsia"/>
        </w:rPr>
        <w:t xml:space="preserve">(6)Department of Pharmacy, Invertis University, Bareilly, Uttar Pradesh, 243123, </w:t>
      </w:r>
    </w:p>
    <w:p w14:paraId="0000D447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66FE2411">
      <w:pPr>
        <w:pStyle w:val="2"/>
        <w:rPr>
          <w:rFonts w:hint="eastAsia"/>
        </w:rPr>
      </w:pPr>
      <w:r>
        <w:rPr>
          <w:rFonts w:hint="eastAsia"/>
        </w:rPr>
        <w:t xml:space="preserve">(7)Jamia Salafiya Pharmacy College, Salafi Gramam, Pulikkal, 673637, Malappuram, </w:t>
      </w:r>
    </w:p>
    <w:p w14:paraId="2A652DC8">
      <w:pPr>
        <w:pStyle w:val="2"/>
        <w:rPr>
          <w:rFonts w:hint="eastAsia"/>
        </w:rPr>
      </w:pPr>
      <w:r>
        <w:rPr>
          <w:rFonts w:hint="eastAsia"/>
        </w:rPr>
        <w:t>Kerala (Affiliated to Kerala University of Health and Sciences), India.</w:t>
      </w:r>
    </w:p>
    <w:p w14:paraId="65B073B8">
      <w:pPr>
        <w:pStyle w:val="2"/>
        <w:rPr>
          <w:rFonts w:hint="eastAsia"/>
        </w:rPr>
      </w:pPr>
      <w:r>
        <w:rPr>
          <w:rFonts w:hint="eastAsia"/>
        </w:rPr>
        <w:t xml:space="preserve">(8)Department of Pharmaceutics, Chitkara College of Pharmacy, Chitkara </w:t>
      </w:r>
    </w:p>
    <w:p w14:paraId="4DDBC705">
      <w:pPr>
        <w:pStyle w:val="2"/>
        <w:rPr>
          <w:rFonts w:hint="eastAsia"/>
        </w:rPr>
      </w:pPr>
      <w:r>
        <w:rPr>
          <w:rFonts w:hint="eastAsia"/>
        </w:rPr>
        <w:t>University, Rajpura, 140401, Punjab, India.</w:t>
      </w:r>
    </w:p>
    <w:p w14:paraId="3735EC4D">
      <w:pPr>
        <w:pStyle w:val="2"/>
        <w:rPr>
          <w:rFonts w:hint="eastAsia"/>
        </w:rPr>
      </w:pPr>
    </w:p>
    <w:p w14:paraId="09F2B5AF">
      <w:pPr>
        <w:pStyle w:val="2"/>
        <w:rPr>
          <w:rFonts w:hint="eastAsia"/>
        </w:rPr>
      </w:pPr>
      <w:r>
        <w:rPr>
          <w:rFonts w:hint="eastAsia"/>
        </w:rPr>
        <w:t xml:space="preserve">Genital Tuberculosis (GTB) represents a frequently unrecognized type of </w:t>
      </w:r>
    </w:p>
    <w:p w14:paraId="2493DBA2">
      <w:pPr>
        <w:pStyle w:val="2"/>
        <w:rPr>
          <w:rFonts w:hint="eastAsia"/>
        </w:rPr>
      </w:pPr>
      <w:r>
        <w:rPr>
          <w:rFonts w:hint="eastAsia"/>
        </w:rPr>
        <w:t xml:space="preserve">extrapulmonary Tuberculosis (TB) that affects the female reproductive system. </w:t>
      </w:r>
    </w:p>
    <w:p w14:paraId="3B69D677">
      <w:pPr>
        <w:pStyle w:val="2"/>
        <w:rPr>
          <w:rFonts w:hint="eastAsia"/>
        </w:rPr>
      </w:pPr>
      <w:r>
        <w:rPr>
          <w:rFonts w:hint="eastAsia"/>
        </w:rPr>
        <w:t xml:space="preserve">The condition results in infertility, menstrual cycle disturbances, and pelvic </w:t>
      </w:r>
    </w:p>
    <w:p w14:paraId="4162A267">
      <w:pPr>
        <w:pStyle w:val="2"/>
        <w:rPr>
          <w:rFonts w:hint="eastAsia"/>
        </w:rPr>
      </w:pPr>
      <w:r>
        <w:rPr>
          <w:rFonts w:hint="eastAsia"/>
        </w:rPr>
        <w:t xml:space="preserve">pain. The condition is difficult to detect at an early stage because its mild </w:t>
      </w:r>
    </w:p>
    <w:p w14:paraId="586E2FD7">
      <w:pPr>
        <w:pStyle w:val="2"/>
        <w:rPr>
          <w:rFonts w:hint="eastAsia"/>
        </w:rPr>
      </w:pPr>
      <w:r>
        <w:rPr>
          <w:rFonts w:hint="eastAsia"/>
        </w:rPr>
        <w:t xml:space="preserve">symptoms can manifest in different body parts. Therefore, medical professionals </w:t>
      </w:r>
    </w:p>
    <w:p w14:paraId="1C87C3FC">
      <w:pPr>
        <w:pStyle w:val="2"/>
        <w:rPr>
          <w:rFonts w:hint="eastAsia"/>
        </w:rPr>
      </w:pPr>
      <w:r>
        <w:rPr>
          <w:rFonts w:hint="eastAsia"/>
        </w:rPr>
        <w:t xml:space="preserve">require better methods for diagnosing and treating patients. This review aims to </w:t>
      </w:r>
    </w:p>
    <w:p w14:paraId="67785F33">
      <w:pPr>
        <w:pStyle w:val="2"/>
        <w:rPr>
          <w:rFonts w:hint="eastAsia"/>
        </w:rPr>
      </w:pPr>
      <w:r>
        <w:rPr>
          <w:rFonts w:hint="eastAsia"/>
        </w:rPr>
        <w:t xml:space="preserve">provide a comprehensive overview of the epidemiology, pathogenesis, clinical </w:t>
      </w:r>
    </w:p>
    <w:p w14:paraId="1878A3AB">
      <w:pPr>
        <w:pStyle w:val="2"/>
        <w:rPr>
          <w:rFonts w:hint="eastAsia"/>
        </w:rPr>
      </w:pPr>
      <w:r>
        <w:rPr>
          <w:rFonts w:hint="eastAsia"/>
        </w:rPr>
        <w:t xml:space="preserve">manifestations, diagnostic approaches, therapeutic strategies, and current </w:t>
      </w:r>
    </w:p>
    <w:p w14:paraId="03DF9853">
      <w:pPr>
        <w:pStyle w:val="2"/>
        <w:rPr>
          <w:rFonts w:hint="eastAsia"/>
        </w:rPr>
      </w:pPr>
      <w:r>
        <w:rPr>
          <w:rFonts w:hint="eastAsia"/>
        </w:rPr>
        <w:t xml:space="preserve">advancements in the management of GTB. The study presents information on New </w:t>
      </w:r>
    </w:p>
    <w:p w14:paraId="64ABE0C6">
      <w:pPr>
        <w:pStyle w:val="2"/>
        <w:rPr>
          <w:rFonts w:hint="eastAsia"/>
        </w:rPr>
      </w:pPr>
      <w:r>
        <w:rPr>
          <w:rFonts w:hint="eastAsia"/>
        </w:rPr>
        <w:t xml:space="preserve">Drug Delivery systems (NDDs), current clinical trials, and new patents to guide </w:t>
      </w:r>
    </w:p>
    <w:p w14:paraId="48E1BDA5">
      <w:pPr>
        <w:pStyle w:val="2"/>
        <w:rPr>
          <w:rFonts w:hint="eastAsia"/>
        </w:rPr>
      </w:pPr>
      <w:r>
        <w:rPr>
          <w:rFonts w:hint="eastAsia"/>
        </w:rPr>
        <w:t xml:space="preserve">future research. A literature-based narrative review was conducted, focusing on </w:t>
      </w:r>
    </w:p>
    <w:p w14:paraId="07A5C811">
      <w:pPr>
        <w:pStyle w:val="2"/>
        <w:rPr>
          <w:rFonts w:hint="eastAsia"/>
        </w:rPr>
      </w:pPr>
      <w:r>
        <w:rPr>
          <w:rFonts w:hint="eastAsia"/>
        </w:rPr>
        <w:t xml:space="preserve">peer-reviewed articles, clinical studies, patents, and recent advances in </w:t>
      </w:r>
    </w:p>
    <w:p w14:paraId="1DA98A56">
      <w:pPr>
        <w:pStyle w:val="2"/>
        <w:rPr>
          <w:rFonts w:hint="eastAsia"/>
        </w:rPr>
      </w:pPr>
      <w:r>
        <w:rPr>
          <w:rFonts w:hint="eastAsia"/>
        </w:rPr>
        <w:t xml:space="preserve">diagnostics and therapeutics of GTB. The study focused on three main areas: </w:t>
      </w:r>
    </w:p>
    <w:p w14:paraId="3AAB695B">
      <w:pPr>
        <w:pStyle w:val="2"/>
        <w:rPr>
          <w:rFonts w:hint="eastAsia"/>
        </w:rPr>
      </w:pPr>
      <w:r>
        <w:rPr>
          <w:rFonts w:hint="eastAsia"/>
        </w:rPr>
        <w:t xml:space="preserve">anatomical site-specific manifestations; laboratory instruments and drug </w:t>
      </w:r>
    </w:p>
    <w:p w14:paraId="6174127F">
      <w:pPr>
        <w:pStyle w:val="2"/>
        <w:rPr>
          <w:rFonts w:hint="eastAsia"/>
        </w:rPr>
      </w:pPr>
      <w:r>
        <w:rPr>
          <w:rFonts w:hint="eastAsia"/>
        </w:rPr>
        <w:t xml:space="preserve">medications. The fallopian tubes are the most commonly affected site (90-100%), </w:t>
      </w:r>
    </w:p>
    <w:p w14:paraId="212D160E">
      <w:pPr>
        <w:pStyle w:val="2"/>
        <w:rPr>
          <w:rFonts w:hint="eastAsia"/>
        </w:rPr>
      </w:pPr>
      <w:r>
        <w:rPr>
          <w:rFonts w:hint="eastAsia"/>
        </w:rPr>
        <w:t xml:space="preserve">followed by the endometrium (50-60%), ovaries (20-30%), cervix (5-10%), while </w:t>
      </w:r>
    </w:p>
    <w:p w14:paraId="237A6A77">
      <w:pPr>
        <w:pStyle w:val="2"/>
        <w:rPr>
          <w:rFonts w:hint="eastAsia"/>
        </w:rPr>
      </w:pPr>
      <w:r>
        <w:rPr>
          <w:rFonts w:hint="eastAsia"/>
        </w:rPr>
        <w:t xml:space="preserve">involvement of the vagina and vulva is rare (&lt;1%). The diagnosis of GTB becomes </w:t>
      </w:r>
    </w:p>
    <w:p w14:paraId="5252BAE0">
      <w:pPr>
        <w:pStyle w:val="2"/>
        <w:rPr>
          <w:rFonts w:hint="eastAsia"/>
        </w:rPr>
      </w:pPr>
      <w:r>
        <w:rPr>
          <w:rFonts w:hint="eastAsia"/>
        </w:rPr>
        <w:t xml:space="preserve">problematic because both its visible and hidden symptoms start to appear. The </w:t>
      </w:r>
    </w:p>
    <w:p w14:paraId="5F847411">
      <w:pPr>
        <w:pStyle w:val="2"/>
        <w:rPr>
          <w:rFonts w:hint="eastAsia"/>
        </w:rPr>
      </w:pPr>
      <w:r>
        <w:rPr>
          <w:rFonts w:hint="eastAsia"/>
        </w:rPr>
        <w:t xml:space="preserve">development of effective detection methods depends on both traditional </w:t>
      </w:r>
    </w:p>
    <w:p w14:paraId="5CF2AADC">
      <w:pPr>
        <w:pStyle w:val="2"/>
        <w:rPr>
          <w:rFonts w:hint="eastAsia"/>
        </w:rPr>
      </w:pPr>
      <w:r>
        <w:rPr>
          <w:rFonts w:hint="eastAsia"/>
        </w:rPr>
        <w:t xml:space="preserve">diagnostic methods and modern molecular methods, which include specialized </w:t>
      </w:r>
    </w:p>
    <w:p w14:paraId="00E332CD">
      <w:pPr>
        <w:pStyle w:val="2"/>
        <w:rPr>
          <w:rFonts w:hint="eastAsia"/>
        </w:rPr>
      </w:pPr>
      <w:r>
        <w:rPr>
          <w:rFonts w:hint="eastAsia"/>
        </w:rPr>
        <w:t xml:space="preserve">laboratory equipment, imaging techniques, and histopathology. Current clinical </w:t>
      </w:r>
    </w:p>
    <w:p w14:paraId="044CEC37">
      <w:pPr>
        <w:pStyle w:val="2"/>
        <w:rPr>
          <w:rFonts w:hint="eastAsia"/>
        </w:rPr>
      </w:pPr>
      <w:r>
        <w:rPr>
          <w:rFonts w:hint="eastAsia"/>
        </w:rPr>
        <w:t xml:space="preserve">trials and new patent approvals demonstrate the development of new methods for </w:t>
      </w:r>
    </w:p>
    <w:p w14:paraId="15B84AFC">
      <w:pPr>
        <w:pStyle w:val="2"/>
        <w:rPr>
          <w:rFonts w:hint="eastAsia"/>
        </w:rPr>
      </w:pPr>
      <w:r>
        <w:rPr>
          <w:rFonts w:hint="eastAsia"/>
        </w:rPr>
        <w:t xml:space="preserve">diagnosing and treating GTB, including improved therapeutic approaches and drug </w:t>
      </w:r>
    </w:p>
    <w:p w14:paraId="3BAEDC4C">
      <w:pPr>
        <w:pStyle w:val="2"/>
        <w:rPr>
          <w:rFonts w:hint="eastAsia"/>
        </w:rPr>
      </w:pPr>
      <w:r>
        <w:rPr>
          <w:rFonts w:hint="eastAsia"/>
        </w:rPr>
        <w:t xml:space="preserve">delivery systems. GTB presents both diagnostic and treatment difficulties </w:t>
      </w:r>
    </w:p>
    <w:p w14:paraId="0ECC6B06">
      <w:pPr>
        <w:pStyle w:val="2"/>
        <w:rPr>
          <w:rFonts w:hint="eastAsia"/>
        </w:rPr>
      </w:pPr>
      <w:r>
        <w:rPr>
          <w:rFonts w:hint="eastAsia"/>
        </w:rPr>
        <w:t xml:space="preserve">because patients show different symptoms that can remain hidden. The combination </w:t>
      </w:r>
    </w:p>
    <w:p w14:paraId="019EF3C6">
      <w:pPr>
        <w:pStyle w:val="2"/>
        <w:rPr>
          <w:rFonts w:hint="eastAsia"/>
        </w:rPr>
      </w:pPr>
      <w:r>
        <w:rPr>
          <w:rFonts w:hint="eastAsia"/>
        </w:rPr>
        <w:t xml:space="preserve">of methods for diagnosing and treating GTB, through improved therapeutic </w:t>
      </w:r>
    </w:p>
    <w:p w14:paraId="158B2A7D">
      <w:pPr>
        <w:pStyle w:val="2"/>
        <w:rPr>
          <w:rFonts w:hint="eastAsia"/>
        </w:rPr>
      </w:pPr>
      <w:r>
        <w:rPr>
          <w:rFonts w:hint="eastAsia"/>
        </w:rPr>
        <w:t xml:space="preserve">approaches and drug-delivery systems, will enhance detection, treatment </w:t>
      </w:r>
    </w:p>
    <w:p w14:paraId="367AF52E">
      <w:pPr>
        <w:pStyle w:val="2"/>
        <w:rPr>
          <w:rFonts w:hint="eastAsia"/>
        </w:rPr>
      </w:pPr>
      <w:r>
        <w:rPr>
          <w:rFonts w:hint="eastAsia"/>
        </w:rPr>
        <w:t xml:space="preserve">outcomes, and the ability to maintain fertility. The research should investigate </w:t>
      </w:r>
    </w:p>
    <w:p w14:paraId="5A3AAE63">
      <w:pPr>
        <w:pStyle w:val="2"/>
        <w:rPr>
          <w:rFonts w:hint="eastAsia"/>
        </w:rPr>
      </w:pPr>
      <w:r>
        <w:rPr>
          <w:rFonts w:hint="eastAsia"/>
        </w:rPr>
        <w:t xml:space="preserve">personalized medicine approaches, molecular diagnostic technologies, and new </w:t>
      </w:r>
    </w:p>
    <w:p w14:paraId="0C4170E6">
      <w:pPr>
        <w:pStyle w:val="2"/>
        <w:rPr>
          <w:rFonts w:hint="eastAsia"/>
        </w:rPr>
      </w:pPr>
      <w:r>
        <w:rPr>
          <w:rFonts w:hint="eastAsia"/>
        </w:rPr>
        <w:t xml:space="preserve">therapeutic delivery systems to address the existing clinical needs in GTB </w:t>
      </w:r>
    </w:p>
    <w:p w14:paraId="0B478995">
      <w:pPr>
        <w:pStyle w:val="2"/>
        <w:rPr>
          <w:rFonts w:hint="eastAsia"/>
        </w:rPr>
      </w:pPr>
      <w:r>
        <w:rPr>
          <w:rFonts w:hint="eastAsia"/>
        </w:rPr>
        <w:t>treatment.</w:t>
      </w:r>
    </w:p>
    <w:p w14:paraId="06F4F813">
      <w:pPr>
        <w:pStyle w:val="2"/>
        <w:rPr>
          <w:rFonts w:hint="eastAsia"/>
        </w:rPr>
      </w:pPr>
    </w:p>
    <w:p w14:paraId="43B01FBC">
      <w:pPr>
        <w:pStyle w:val="2"/>
        <w:rPr>
          <w:rFonts w:hint="eastAsia"/>
        </w:rPr>
      </w:pPr>
      <w:r>
        <w:rPr>
          <w:rFonts w:hint="eastAsia"/>
        </w:rPr>
        <w:t xml:space="preserve">Copyright© Bentham Science Publishers; For any queries, please email at </w:t>
      </w:r>
    </w:p>
    <w:p w14:paraId="1E9068C6">
      <w:pPr>
        <w:pStyle w:val="2"/>
        <w:rPr>
          <w:rFonts w:hint="eastAsia"/>
        </w:rPr>
      </w:pPr>
      <w:r>
        <w:rPr>
          <w:rFonts w:hint="eastAsia"/>
        </w:rPr>
        <w:t>epub@benthamscience.net.</w:t>
      </w:r>
    </w:p>
    <w:p w14:paraId="5B23DABE">
      <w:pPr>
        <w:pStyle w:val="2"/>
        <w:rPr>
          <w:rFonts w:hint="eastAsia"/>
        </w:rPr>
      </w:pPr>
    </w:p>
    <w:p w14:paraId="3171CEEF">
      <w:pPr>
        <w:pStyle w:val="2"/>
        <w:rPr>
          <w:rFonts w:hint="eastAsia"/>
        </w:rPr>
      </w:pPr>
      <w:r>
        <w:rPr>
          <w:rFonts w:hint="eastAsia"/>
        </w:rPr>
        <w:t>DOI: 10.2174/0115748871502522261008104215</w:t>
      </w:r>
    </w:p>
    <w:p w14:paraId="256054B2">
      <w:pPr>
        <w:pStyle w:val="2"/>
        <w:rPr>
          <w:rFonts w:hint="eastAsia"/>
        </w:rPr>
      </w:pPr>
      <w:r>
        <w:rPr>
          <w:rFonts w:hint="eastAsia"/>
        </w:rPr>
        <w:t>PMID: 42875985</w:t>
      </w:r>
    </w:p>
    <w:p w14:paraId="7F0CDB85">
      <w:pPr>
        <w:pStyle w:val="2"/>
        <w:rPr>
          <w:rFonts w:hint="eastAsia"/>
        </w:rPr>
      </w:pPr>
    </w:p>
    <w:p w14:paraId="6B98545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21</w:t>
      </w:r>
      <w:r>
        <w:rPr>
          <w:rFonts w:hint="eastAsia"/>
          <w:b/>
          <w:bCs/>
          <w:color w:val="FF0000"/>
        </w:rPr>
        <w:t>. BMJ Case Rep. 2026 Oct 14;19(10):e275262. doi: 10.1136/bcr-2026-275262.</w:t>
      </w:r>
    </w:p>
    <w:p w14:paraId="356BB30D">
      <w:pPr>
        <w:pStyle w:val="2"/>
        <w:rPr>
          <w:rFonts w:hint="eastAsia"/>
        </w:rPr>
      </w:pPr>
    </w:p>
    <w:p w14:paraId="45DB8A33">
      <w:pPr>
        <w:pStyle w:val="2"/>
        <w:rPr>
          <w:rFonts w:hint="eastAsia"/>
        </w:rPr>
      </w:pPr>
      <w:r>
        <w:rPr>
          <w:rFonts w:hint="eastAsia"/>
        </w:rPr>
        <w:t xml:space="preserve">Duodenal tuberculosis presenting as gastric outlet obstruction: a series of </w:t>
      </w:r>
    </w:p>
    <w:p w14:paraId="5D14B9D9">
      <w:pPr>
        <w:pStyle w:val="2"/>
        <w:rPr>
          <w:rFonts w:hint="eastAsia"/>
        </w:rPr>
      </w:pPr>
      <w:r>
        <w:rPr>
          <w:rFonts w:hint="eastAsia"/>
        </w:rPr>
        <w:t>three young patients.</w:t>
      </w:r>
    </w:p>
    <w:p w14:paraId="56EA5E92">
      <w:pPr>
        <w:pStyle w:val="2"/>
        <w:rPr>
          <w:rFonts w:hint="eastAsia"/>
        </w:rPr>
      </w:pPr>
    </w:p>
    <w:p w14:paraId="7A5A2C52">
      <w:pPr>
        <w:pStyle w:val="2"/>
        <w:rPr>
          <w:rFonts w:hint="eastAsia"/>
        </w:rPr>
      </w:pPr>
      <w:r>
        <w:rPr>
          <w:rFonts w:hint="eastAsia"/>
        </w:rPr>
        <w:t>Faridi SH(1), Aadil M(2), Godavarthi A(1), Siddiqui B(3), Rehman S(3).</w:t>
      </w:r>
    </w:p>
    <w:p w14:paraId="51C2ADA7">
      <w:pPr>
        <w:pStyle w:val="2"/>
        <w:rPr>
          <w:rFonts w:hint="eastAsia"/>
        </w:rPr>
      </w:pPr>
    </w:p>
    <w:p w14:paraId="07381A2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A9EF7BF">
      <w:pPr>
        <w:pStyle w:val="2"/>
        <w:rPr>
          <w:rFonts w:hint="eastAsia"/>
        </w:rPr>
      </w:pPr>
      <w:r>
        <w:rPr>
          <w:rFonts w:hint="eastAsia"/>
        </w:rPr>
        <w:t xml:space="preserve">(1)Surgery, Jawaharlal Nehru Medical College, Aligarh Muslim University, </w:t>
      </w:r>
    </w:p>
    <w:p w14:paraId="756A1DEE">
      <w:pPr>
        <w:pStyle w:val="2"/>
        <w:rPr>
          <w:rFonts w:hint="eastAsia"/>
        </w:rPr>
      </w:pPr>
      <w:r>
        <w:rPr>
          <w:rFonts w:hint="eastAsia"/>
        </w:rPr>
        <w:t>Aligarh, Uttar Pradesh, India.</w:t>
      </w:r>
    </w:p>
    <w:p w14:paraId="5F8898E9">
      <w:pPr>
        <w:pStyle w:val="2"/>
        <w:rPr>
          <w:rFonts w:hint="eastAsia"/>
        </w:rPr>
      </w:pPr>
      <w:r>
        <w:rPr>
          <w:rFonts w:hint="eastAsia"/>
        </w:rPr>
        <w:t xml:space="preserve">(2)Surgery, Jawaharlal Nehru Medical College, Aligarh Muslim University, </w:t>
      </w:r>
    </w:p>
    <w:p w14:paraId="5952012E">
      <w:pPr>
        <w:pStyle w:val="2"/>
        <w:rPr>
          <w:rFonts w:hint="eastAsia"/>
        </w:rPr>
      </w:pPr>
      <w:r>
        <w:rPr>
          <w:rFonts w:hint="eastAsia"/>
        </w:rPr>
        <w:t>Aligarh, Uttar Pradesh, India aadilhmd9@gmail.com.</w:t>
      </w:r>
    </w:p>
    <w:p w14:paraId="7788DCFE">
      <w:pPr>
        <w:pStyle w:val="2"/>
        <w:rPr>
          <w:rFonts w:hint="eastAsia"/>
        </w:rPr>
      </w:pPr>
      <w:r>
        <w:rPr>
          <w:rFonts w:hint="eastAsia"/>
        </w:rPr>
        <w:t xml:space="preserve">(3)Pathology, Jawaharlal Nehru Medical College, Aligarh Muslim University, </w:t>
      </w:r>
    </w:p>
    <w:p w14:paraId="47FFF765">
      <w:pPr>
        <w:pStyle w:val="2"/>
        <w:rPr>
          <w:rFonts w:hint="eastAsia"/>
        </w:rPr>
      </w:pPr>
      <w:r>
        <w:rPr>
          <w:rFonts w:hint="eastAsia"/>
        </w:rPr>
        <w:t>Aligarh, Uttar Pradesh, India.</w:t>
      </w:r>
    </w:p>
    <w:p w14:paraId="02C56639">
      <w:pPr>
        <w:pStyle w:val="2"/>
        <w:rPr>
          <w:rFonts w:hint="eastAsia"/>
        </w:rPr>
      </w:pPr>
    </w:p>
    <w:p w14:paraId="377D54AF">
      <w:pPr>
        <w:pStyle w:val="2"/>
        <w:rPr>
          <w:rFonts w:hint="eastAsia"/>
        </w:rPr>
      </w:pPr>
      <w:r>
        <w:rPr>
          <w:rFonts w:hint="eastAsia"/>
        </w:rPr>
        <w:t>DOI: 10.1136/bcr-2026-275262</w:t>
      </w:r>
    </w:p>
    <w:p w14:paraId="31A2257F">
      <w:pPr>
        <w:pStyle w:val="2"/>
        <w:rPr>
          <w:rFonts w:hint="eastAsia"/>
        </w:rPr>
      </w:pPr>
      <w:r>
        <w:rPr>
          <w:rFonts w:hint="eastAsia"/>
        </w:rPr>
        <w:t>PMID: 42875102</w:t>
      </w:r>
    </w:p>
    <w:p w14:paraId="420A1E0E">
      <w:pPr>
        <w:pStyle w:val="2"/>
        <w:rPr>
          <w:rFonts w:hint="eastAsia"/>
        </w:rPr>
      </w:pPr>
    </w:p>
    <w:p w14:paraId="4EAA813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22</w:t>
      </w:r>
      <w:r>
        <w:rPr>
          <w:rFonts w:hint="eastAsia"/>
          <w:b/>
          <w:bCs/>
          <w:color w:val="FF0000"/>
        </w:rPr>
        <w:t xml:space="preserve">. PLoS One. 2026 Oct 14;21(10):e0359171. doi: 10.1371/journal.pone.0359171. </w:t>
      </w:r>
    </w:p>
    <w:p w14:paraId="5130259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690FFB2C">
      <w:pPr>
        <w:pStyle w:val="2"/>
        <w:rPr>
          <w:rFonts w:hint="eastAsia"/>
        </w:rPr>
      </w:pPr>
    </w:p>
    <w:p w14:paraId="5BEB34FE">
      <w:pPr>
        <w:pStyle w:val="2"/>
        <w:rPr>
          <w:rFonts w:hint="eastAsia"/>
        </w:rPr>
      </w:pPr>
      <w:r>
        <w:rPr>
          <w:rFonts w:hint="eastAsia"/>
        </w:rPr>
        <w:t xml:space="preserve">Factors influencing tuberculosis preventive treatment implementation in India: A </w:t>
      </w:r>
    </w:p>
    <w:p w14:paraId="6FFF2123">
      <w:pPr>
        <w:pStyle w:val="2"/>
        <w:rPr>
          <w:rFonts w:hint="eastAsia"/>
        </w:rPr>
      </w:pPr>
      <w:r>
        <w:rPr>
          <w:rFonts w:hint="eastAsia"/>
        </w:rPr>
        <w:t>hybrid inductive-abductive thematic analysis using implementation framework.</w:t>
      </w:r>
    </w:p>
    <w:p w14:paraId="3678F3E7">
      <w:pPr>
        <w:pStyle w:val="2"/>
        <w:rPr>
          <w:rFonts w:hint="eastAsia"/>
        </w:rPr>
      </w:pPr>
    </w:p>
    <w:p w14:paraId="24DA9099">
      <w:pPr>
        <w:pStyle w:val="2"/>
        <w:rPr>
          <w:rFonts w:hint="eastAsia"/>
        </w:rPr>
      </w:pPr>
      <w:r>
        <w:rPr>
          <w:rFonts w:hint="eastAsia"/>
        </w:rPr>
        <w:t xml:space="preserve">Doke PP(1), Chutke AP(2)(3), Gothankar JS(1), Patil SV(1), Bargaje MD(4), </w:t>
      </w:r>
    </w:p>
    <w:p w14:paraId="324090DF">
      <w:pPr>
        <w:pStyle w:val="2"/>
        <w:rPr>
          <w:rFonts w:hint="eastAsia"/>
        </w:rPr>
      </w:pPr>
      <w:r>
        <w:rPr>
          <w:rFonts w:hint="eastAsia"/>
        </w:rPr>
        <w:t>Mitragotri B(2), Pakhale D(2).</w:t>
      </w:r>
    </w:p>
    <w:p w14:paraId="6B6D344B">
      <w:pPr>
        <w:pStyle w:val="2"/>
        <w:rPr>
          <w:rFonts w:hint="eastAsia"/>
        </w:rPr>
      </w:pPr>
    </w:p>
    <w:p w14:paraId="07489E5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D1CC205">
      <w:pPr>
        <w:pStyle w:val="2"/>
        <w:rPr>
          <w:rFonts w:hint="eastAsia"/>
        </w:rPr>
      </w:pPr>
      <w:r>
        <w:rPr>
          <w:rFonts w:hint="eastAsia"/>
        </w:rPr>
        <w:t xml:space="preserve">(1)Community Medicine, Bharati Vidyapeeth Deemed University, Pune, Maharashtra, </w:t>
      </w:r>
    </w:p>
    <w:p w14:paraId="48F8AC71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54A7ED74">
      <w:pPr>
        <w:pStyle w:val="2"/>
        <w:rPr>
          <w:rFonts w:hint="eastAsia"/>
        </w:rPr>
      </w:pPr>
      <w:r>
        <w:rPr>
          <w:rFonts w:hint="eastAsia"/>
        </w:rPr>
        <w:t xml:space="preserve">(2)Central Research and Publication Unit, Bharati Vidyapeeth Deemed University, </w:t>
      </w:r>
    </w:p>
    <w:p w14:paraId="2C10FBB2">
      <w:pPr>
        <w:pStyle w:val="2"/>
        <w:rPr>
          <w:rFonts w:hint="eastAsia"/>
        </w:rPr>
      </w:pPr>
      <w:r>
        <w:rPr>
          <w:rFonts w:hint="eastAsia"/>
        </w:rPr>
        <w:t>Medical College Hospital, Pune, Maharashtra, India.</w:t>
      </w:r>
    </w:p>
    <w:p w14:paraId="61A46654">
      <w:pPr>
        <w:pStyle w:val="2"/>
        <w:rPr>
          <w:rFonts w:hint="eastAsia"/>
        </w:rPr>
      </w:pPr>
      <w:r>
        <w:rPr>
          <w:rFonts w:hint="eastAsia"/>
        </w:rPr>
        <w:t xml:space="preserve">(3)Department of Research and Biostatistics, Bharati Vidyapeeth Deemed </w:t>
      </w:r>
    </w:p>
    <w:p w14:paraId="680ADFA3">
      <w:pPr>
        <w:pStyle w:val="2"/>
        <w:rPr>
          <w:rFonts w:hint="eastAsia"/>
        </w:rPr>
      </w:pPr>
      <w:r>
        <w:rPr>
          <w:rFonts w:hint="eastAsia"/>
        </w:rPr>
        <w:t>University, Homeopathic Medical College, Pune, Maharashtra, India.</w:t>
      </w:r>
    </w:p>
    <w:p w14:paraId="729F69FD">
      <w:pPr>
        <w:pStyle w:val="2"/>
        <w:rPr>
          <w:rFonts w:hint="eastAsia"/>
        </w:rPr>
      </w:pPr>
      <w:r>
        <w:rPr>
          <w:rFonts w:hint="eastAsia"/>
        </w:rPr>
        <w:t xml:space="preserve">(4)Respiratory Medicine, Bharati Vidyapeeth Deemed University, Pune, </w:t>
      </w:r>
    </w:p>
    <w:p w14:paraId="6A2B09BD">
      <w:pPr>
        <w:pStyle w:val="2"/>
        <w:rPr>
          <w:rFonts w:hint="eastAsia"/>
        </w:rPr>
      </w:pPr>
      <w:r>
        <w:rPr>
          <w:rFonts w:hint="eastAsia"/>
        </w:rPr>
        <w:t>Maharashtra, India.</w:t>
      </w:r>
    </w:p>
    <w:p w14:paraId="5F2A0D36">
      <w:pPr>
        <w:pStyle w:val="2"/>
        <w:rPr>
          <w:rFonts w:hint="eastAsia"/>
        </w:rPr>
      </w:pPr>
    </w:p>
    <w:p w14:paraId="115CC607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India has committed to achieving 'Eliminate Tuberculosis (TB)' by </w:t>
      </w:r>
    </w:p>
    <w:p w14:paraId="3892B1A6">
      <w:pPr>
        <w:pStyle w:val="2"/>
        <w:rPr>
          <w:rFonts w:hint="eastAsia"/>
        </w:rPr>
      </w:pPr>
      <w:r>
        <w:rPr>
          <w:rFonts w:hint="eastAsia"/>
        </w:rPr>
        <w:t xml:space="preserve">2025. The Government of India issued guidelines regarding the crucial strategy </w:t>
      </w:r>
    </w:p>
    <w:p w14:paraId="73C1A7BC">
      <w:pPr>
        <w:pStyle w:val="2"/>
        <w:rPr>
          <w:rFonts w:hint="eastAsia"/>
        </w:rPr>
      </w:pPr>
      <w:r>
        <w:rPr>
          <w:rFonts w:hint="eastAsia"/>
        </w:rPr>
        <w:t>of Tuberculosis Preventive Treatment in July 2021.</w:t>
      </w:r>
    </w:p>
    <w:p w14:paraId="6F3F585D">
      <w:pPr>
        <w:pStyle w:val="2"/>
        <w:rPr>
          <w:rFonts w:hint="eastAsia"/>
        </w:rPr>
      </w:pPr>
      <w:r>
        <w:rPr>
          <w:rFonts w:hint="eastAsia"/>
          <w:b/>
          <w:bCs/>
        </w:rPr>
        <w:t>OBJECTIVES:</w:t>
      </w:r>
      <w:r>
        <w:rPr>
          <w:rFonts w:hint="eastAsia"/>
        </w:rPr>
        <w:t xml:space="preserve"> To identify factors influencing tuberculosis preventive treatment </w:t>
      </w:r>
    </w:p>
    <w:p w14:paraId="7C37F4D5">
      <w:pPr>
        <w:pStyle w:val="2"/>
        <w:rPr>
          <w:rFonts w:hint="eastAsia"/>
        </w:rPr>
      </w:pPr>
      <w:r>
        <w:rPr>
          <w:rFonts w:hint="eastAsia"/>
        </w:rPr>
        <w:t>program implementation and acceptance of tuberculosis preventive treatment.</w:t>
      </w:r>
    </w:p>
    <w:p w14:paraId="68C3625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We conducted the study in the Pune district from April to August 2024. </w:t>
      </w:r>
    </w:p>
    <w:p w14:paraId="53787C1F">
      <w:pPr>
        <w:pStyle w:val="2"/>
        <w:rPr>
          <w:rFonts w:hint="eastAsia"/>
        </w:rPr>
      </w:pPr>
      <w:r>
        <w:rPr>
          <w:rFonts w:hint="eastAsia"/>
        </w:rPr>
        <w:t xml:space="preserve">It was a qualitative study using Focus Group Discussions (FGD) with Medical </w:t>
      </w:r>
    </w:p>
    <w:p w14:paraId="123651B5">
      <w:pPr>
        <w:pStyle w:val="2"/>
        <w:rPr>
          <w:rFonts w:hint="eastAsia"/>
        </w:rPr>
      </w:pPr>
      <w:r>
        <w:rPr>
          <w:rFonts w:hint="eastAsia"/>
        </w:rPr>
        <w:t xml:space="preserve">Officers (MO) and adult contacts of the index case, and In-depth Interviews </w:t>
      </w:r>
    </w:p>
    <w:p w14:paraId="3F0F1796">
      <w:pPr>
        <w:pStyle w:val="2"/>
        <w:rPr>
          <w:rFonts w:hint="eastAsia"/>
        </w:rPr>
      </w:pPr>
      <w:r>
        <w:rPr>
          <w:rFonts w:hint="eastAsia"/>
        </w:rPr>
        <w:t xml:space="preserve">(IDI) with senior health officers. We conducted eight FGDs with MOs and six with </w:t>
      </w:r>
    </w:p>
    <w:p w14:paraId="0E20BC50">
      <w:pPr>
        <w:pStyle w:val="2"/>
        <w:rPr>
          <w:rFonts w:hint="eastAsia"/>
        </w:rPr>
      </w:pPr>
      <w:r>
        <w:rPr>
          <w:rFonts w:hint="eastAsia"/>
        </w:rPr>
        <w:t xml:space="preserve">adult contacts, and conducted in-depth interviews with senior health officers. </w:t>
      </w:r>
    </w:p>
    <w:p w14:paraId="06DBF589">
      <w:pPr>
        <w:pStyle w:val="2"/>
        <w:rPr>
          <w:rFonts w:hint="eastAsia"/>
        </w:rPr>
      </w:pPr>
      <w:r>
        <w:rPr>
          <w:rFonts w:hint="eastAsia"/>
        </w:rPr>
        <w:t>Data were transcribed, translated, and analyzed using MAXQDA.</w:t>
      </w:r>
    </w:p>
    <w:p w14:paraId="6B54DEEF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Eighty-six health/medical officers and 43 adult contacts participated </w:t>
      </w:r>
    </w:p>
    <w:p w14:paraId="367AF121">
      <w:pPr>
        <w:pStyle w:val="2"/>
        <w:rPr>
          <w:rFonts w:hint="eastAsia"/>
        </w:rPr>
      </w:pPr>
      <w:r>
        <w:rPr>
          <w:rFonts w:hint="eastAsia"/>
        </w:rPr>
        <w:t xml:space="preserve">in FGD and IDI. Some health officers have received training in tuberculosis but </w:t>
      </w:r>
    </w:p>
    <w:p w14:paraId="035CAF90">
      <w:pPr>
        <w:pStyle w:val="2"/>
        <w:rPr>
          <w:rFonts w:hint="eastAsia"/>
        </w:rPr>
      </w:pPr>
      <w:r>
        <w:rPr>
          <w:rFonts w:hint="eastAsia"/>
        </w:rPr>
        <w:t xml:space="preserve">not in preventive treatment. Knowledge about tuberculosis preventive treatment </w:t>
      </w:r>
    </w:p>
    <w:p w14:paraId="69B004BE">
      <w:pPr>
        <w:pStyle w:val="2"/>
        <w:rPr>
          <w:rFonts w:hint="eastAsia"/>
        </w:rPr>
      </w:pPr>
      <w:r>
        <w:rPr>
          <w:rFonts w:hint="eastAsia"/>
        </w:rPr>
        <w:t xml:space="preserve">and duration was minimal. Medical officers minimally briefed contacts. Stigma </w:t>
      </w:r>
    </w:p>
    <w:p w14:paraId="7365E1A1">
      <w:pPr>
        <w:pStyle w:val="2"/>
        <w:rPr>
          <w:rFonts w:hint="eastAsia"/>
        </w:rPr>
      </w:pPr>
      <w:r>
        <w:rPr>
          <w:rFonts w:hint="eastAsia"/>
        </w:rPr>
        <w:t xml:space="preserve">mainly from contacts perspectives, migration from health personnels perspectives </w:t>
      </w:r>
    </w:p>
    <w:p w14:paraId="3FE2A145">
      <w:pPr>
        <w:pStyle w:val="2"/>
        <w:rPr>
          <w:rFonts w:hint="eastAsia"/>
        </w:rPr>
      </w:pPr>
      <w:r>
        <w:rPr>
          <w:rFonts w:hint="eastAsia"/>
        </w:rPr>
        <w:t xml:space="preserve">and lack of awareness from both the groups emerged as important factors </w:t>
      </w:r>
    </w:p>
    <w:p w14:paraId="5B0E3AD3">
      <w:pPr>
        <w:pStyle w:val="2"/>
        <w:rPr>
          <w:rFonts w:hint="eastAsia"/>
        </w:rPr>
      </w:pPr>
      <w:r>
        <w:rPr>
          <w:rFonts w:hint="eastAsia"/>
        </w:rPr>
        <w:t xml:space="preserve">influencing screening and treatment of adult contacts. Very few underwent blood/ </w:t>
      </w:r>
    </w:p>
    <w:p w14:paraId="3D8A9EA3">
      <w:pPr>
        <w:pStyle w:val="2"/>
        <w:rPr>
          <w:rFonts w:hint="eastAsia"/>
        </w:rPr>
      </w:pPr>
      <w:r>
        <w:rPr>
          <w:rFonts w:hint="eastAsia"/>
        </w:rPr>
        <w:t xml:space="preserve">X-ray/ sputum testing, and fewer received treatment for varied durations. </w:t>
      </w:r>
    </w:p>
    <w:p w14:paraId="0A2007B6">
      <w:pPr>
        <w:pStyle w:val="2"/>
        <w:rPr>
          <w:rFonts w:hint="eastAsia"/>
        </w:rPr>
      </w:pPr>
      <w:r>
        <w:rPr>
          <w:rFonts w:hint="eastAsia"/>
        </w:rPr>
        <w:t xml:space="preserve">Medical officers knew only the isoniazid regimen, and interferon-gamma release </w:t>
      </w:r>
    </w:p>
    <w:p w14:paraId="7E6E10C8">
      <w:pPr>
        <w:pStyle w:val="2"/>
        <w:rPr>
          <w:rFonts w:hint="eastAsia"/>
        </w:rPr>
      </w:pPr>
      <w:r>
        <w:rPr>
          <w:rFonts w:hint="eastAsia"/>
        </w:rPr>
        <w:t xml:space="preserve">assay testing was either unknown or unavailable. There is a shortage of trained </w:t>
      </w:r>
    </w:p>
    <w:p w14:paraId="5FDB6F31">
      <w:pPr>
        <w:pStyle w:val="2"/>
        <w:rPr>
          <w:rFonts w:hint="eastAsia"/>
        </w:rPr>
      </w:pPr>
      <w:r>
        <w:rPr>
          <w:rFonts w:hint="eastAsia"/>
        </w:rPr>
        <w:t xml:space="preserve">human resources. The supply of diagnostic kits and medicines was disrupted. </w:t>
      </w:r>
    </w:p>
    <w:p w14:paraId="36104593">
      <w:pPr>
        <w:pStyle w:val="2"/>
        <w:rPr>
          <w:rFonts w:hint="eastAsia"/>
        </w:rPr>
      </w:pPr>
      <w:r>
        <w:rPr>
          <w:rFonts w:hint="eastAsia"/>
        </w:rPr>
        <w:t xml:space="preserve">Health personnel and contacts recommended non-pharmacological measures such as </w:t>
      </w:r>
    </w:p>
    <w:p w14:paraId="7EA5B38E">
      <w:pPr>
        <w:pStyle w:val="2"/>
        <w:rPr>
          <w:rFonts w:hint="eastAsia"/>
        </w:rPr>
      </w:pPr>
      <w:r>
        <w:rPr>
          <w:rFonts w:hint="eastAsia"/>
        </w:rPr>
        <w:t xml:space="preserve">mask use, cleanliness, and good nutrition. All officers perceived that </w:t>
      </w:r>
    </w:p>
    <w:p w14:paraId="32FD7EF8">
      <w:pPr>
        <w:pStyle w:val="2"/>
        <w:rPr>
          <w:rFonts w:hint="eastAsia"/>
        </w:rPr>
      </w:pPr>
      <w:r>
        <w:rPr>
          <w:rFonts w:hint="eastAsia"/>
        </w:rPr>
        <w:t xml:space="preserve">elimination may linger until 2030. Training, counselling, community awareness, </w:t>
      </w:r>
    </w:p>
    <w:p w14:paraId="54996183">
      <w:pPr>
        <w:pStyle w:val="2"/>
        <w:rPr>
          <w:rFonts w:hint="eastAsia"/>
        </w:rPr>
      </w:pPr>
      <w:r>
        <w:rPr>
          <w:rFonts w:hint="eastAsia"/>
        </w:rPr>
        <w:t>and multi-sectoral collaboration were strategies suggested by health officers.</w:t>
      </w:r>
    </w:p>
    <w:p w14:paraId="04F20339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Health personnel capacity building, strengthening infrastructure </w:t>
      </w:r>
    </w:p>
    <w:p w14:paraId="39FB1A7F">
      <w:pPr>
        <w:pStyle w:val="2"/>
        <w:rPr>
          <w:rFonts w:hint="eastAsia"/>
        </w:rPr>
      </w:pPr>
      <w:r>
        <w:rPr>
          <w:rFonts w:hint="eastAsia"/>
        </w:rPr>
        <w:t xml:space="preserve">and logistics, multiple strategies to mitigate stigma, and multi-sectoral </w:t>
      </w:r>
    </w:p>
    <w:p w14:paraId="6507FD11">
      <w:pPr>
        <w:pStyle w:val="2"/>
        <w:rPr>
          <w:rFonts w:hint="eastAsia"/>
        </w:rPr>
      </w:pPr>
      <w:r>
        <w:rPr>
          <w:rFonts w:hint="eastAsia"/>
        </w:rPr>
        <w:t xml:space="preserve">collaboration are needed to satisfactory implementation of TB preventive </w:t>
      </w:r>
    </w:p>
    <w:p w14:paraId="7B016366">
      <w:pPr>
        <w:pStyle w:val="2"/>
        <w:rPr>
          <w:rFonts w:hint="eastAsia"/>
        </w:rPr>
      </w:pPr>
      <w:r>
        <w:rPr>
          <w:rFonts w:hint="eastAsia"/>
        </w:rPr>
        <w:t>treatment.</w:t>
      </w:r>
    </w:p>
    <w:p w14:paraId="4E0EC2D7">
      <w:pPr>
        <w:pStyle w:val="2"/>
        <w:rPr>
          <w:rFonts w:hint="eastAsia"/>
        </w:rPr>
      </w:pPr>
    </w:p>
    <w:p w14:paraId="343B505A">
      <w:pPr>
        <w:pStyle w:val="2"/>
        <w:rPr>
          <w:rFonts w:hint="eastAsia"/>
        </w:rPr>
      </w:pPr>
      <w:r>
        <w:rPr>
          <w:rFonts w:hint="eastAsia"/>
        </w:rPr>
        <w:t xml:space="preserve">Copyright: © 2026 Doke et al. This is an open access article distributed under </w:t>
      </w:r>
    </w:p>
    <w:p w14:paraId="71AE2C70">
      <w:pPr>
        <w:pStyle w:val="2"/>
        <w:rPr>
          <w:rFonts w:hint="eastAsia"/>
        </w:rPr>
      </w:pPr>
      <w:r>
        <w:rPr>
          <w:rFonts w:hint="eastAsia"/>
        </w:rPr>
        <w:t xml:space="preserve">the terms of the Creative Commons Attribution License, which permits </w:t>
      </w:r>
    </w:p>
    <w:p w14:paraId="6114681A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6A704269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10631FE5">
      <w:pPr>
        <w:pStyle w:val="2"/>
        <w:rPr>
          <w:rFonts w:hint="eastAsia"/>
        </w:rPr>
      </w:pPr>
    </w:p>
    <w:p w14:paraId="7A96141C">
      <w:pPr>
        <w:pStyle w:val="2"/>
        <w:rPr>
          <w:rFonts w:hint="eastAsia"/>
        </w:rPr>
      </w:pPr>
      <w:r>
        <w:rPr>
          <w:rFonts w:hint="eastAsia"/>
        </w:rPr>
        <w:t>DOI: 10.1371/journal.pone.0359171</w:t>
      </w:r>
    </w:p>
    <w:p w14:paraId="33F005DD">
      <w:pPr>
        <w:pStyle w:val="2"/>
        <w:rPr>
          <w:rFonts w:hint="eastAsia"/>
        </w:rPr>
      </w:pPr>
      <w:r>
        <w:rPr>
          <w:rFonts w:hint="eastAsia"/>
        </w:rPr>
        <w:t>PMCID: PMC13667825</w:t>
      </w:r>
    </w:p>
    <w:p w14:paraId="6FDC5AB7">
      <w:pPr>
        <w:pStyle w:val="2"/>
        <w:rPr>
          <w:rFonts w:hint="eastAsia"/>
        </w:rPr>
      </w:pPr>
      <w:r>
        <w:rPr>
          <w:rFonts w:hint="eastAsia"/>
        </w:rPr>
        <w:t>PMID: 42873807 [Indexed for MEDLINE]</w:t>
      </w:r>
    </w:p>
    <w:p w14:paraId="1B158C45">
      <w:pPr>
        <w:pStyle w:val="2"/>
        <w:rPr>
          <w:rFonts w:hint="eastAsia"/>
        </w:rPr>
      </w:pPr>
    </w:p>
    <w:p w14:paraId="260DE89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23</w:t>
      </w:r>
      <w:r>
        <w:rPr>
          <w:rFonts w:hint="eastAsia"/>
          <w:b/>
          <w:bCs/>
          <w:color w:val="FF0000"/>
        </w:rPr>
        <w:t xml:space="preserve">. PLoS One. 2026 Oct 14;21(10):e0354405. doi: 10.1371/journal.pone.0354405. </w:t>
      </w:r>
    </w:p>
    <w:p w14:paraId="5AF2408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7435ACCC">
      <w:pPr>
        <w:pStyle w:val="2"/>
        <w:rPr>
          <w:rFonts w:hint="eastAsia"/>
        </w:rPr>
      </w:pPr>
    </w:p>
    <w:p w14:paraId="086B6F8D">
      <w:pPr>
        <w:pStyle w:val="2"/>
        <w:rPr>
          <w:rFonts w:hint="eastAsia"/>
        </w:rPr>
      </w:pPr>
      <w:r>
        <w:rPr>
          <w:rFonts w:hint="eastAsia"/>
        </w:rPr>
        <w:t xml:space="preserve">Subnational spatial co-distribution of tuberculosis and diabetes mellitus across </w:t>
      </w:r>
    </w:p>
    <w:p w14:paraId="7117C0D7">
      <w:pPr>
        <w:pStyle w:val="2"/>
        <w:rPr>
          <w:rFonts w:hint="eastAsia"/>
        </w:rPr>
      </w:pPr>
      <w:r>
        <w:rPr>
          <w:rFonts w:hint="eastAsia"/>
        </w:rPr>
        <w:t xml:space="preserve">Ghana's 16 regions following administrative reorganisation: An ecological </w:t>
      </w:r>
    </w:p>
    <w:p w14:paraId="4142BCED">
      <w:pPr>
        <w:pStyle w:val="2"/>
        <w:rPr>
          <w:rFonts w:hint="eastAsia"/>
        </w:rPr>
      </w:pPr>
      <w:r>
        <w:rPr>
          <w:rFonts w:hint="eastAsia"/>
        </w:rPr>
        <w:t>analysis.</w:t>
      </w:r>
    </w:p>
    <w:p w14:paraId="3F6E50D7">
      <w:pPr>
        <w:pStyle w:val="2"/>
        <w:rPr>
          <w:rFonts w:hint="eastAsia"/>
        </w:rPr>
      </w:pPr>
    </w:p>
    <w:p w14:paraId="423EF89D">
      <w:pPr>
        <w:pStyle w:val="2"/>
        <w:rPr>
          <w:rFonts w:hint="eastAsia"/>
        </w:rPr>
      </w:pPr>
      <w:r>
        <w:rPr>
          <w:rFonts w:hint="eastAsia"/>
        </w:rPr>
        <w:t>Adda RB(1), Bawa SS(2).</w:t>
      </w:r>
    </w:p>
    <w:p w14:paraId="1903E8AD">
      <w:pPr>
        <w:pStyle w:val="2"/>
        <w:rPr>
          <w:rFonts w:hint="eastAsia"/>
        </w:rPr>
      </w:pPr>
    </w:p>
    <w:p w14:paraId="3E9574E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4275D27">
      <w:pPr>
        <w:pStyle w:val="2"/>
        <w:rPr>
          <w:rFonts w:hint="eastAsia"/>
        </w:rPr>
      </w:pPr>
      <w:r>
        <w:rPr>
          <w:rFonts w:hint="eastAsia"/>
        </w:rPr>
        <w:t xml:space="preserve">(1)Department of Epidemiology and Biostatistics, School of Public Health, </w:t>
      </w:r>
    </w:p>
    <w:p w14:paraId="67637222">
      <w:pPr>
        <w:pStyle w:val="2"/>
        <w:rPr>
          <w:rFonts w:hint="eastAsia"/>
        </w:rPr>
      </w:pPr>
      <w:r>
        <w:rPr>
          <w:rFonts w:hint="eastAsia"/>
        </w:rPr>
        <w:t>University of Technology and Applied Sciences, Navrongo, Ghana.</w:t>
      </w:r>
    </w:p>
    <w:p w14:paraId="6AF1BB90">
      <w:pPr>
        <w:pStyle w:val="2"/>
        <w:rPr>
          <w:rFonts w:hint="eastAsia"/>
        </w:rPr>
      </w:pPr>
      <w:r>
        <w:rPr>
          <w:rFonts w:hint="eastAsia"/>
        </w:rPr>
        <w:t>(2)Navrongo Health Research Centre, Navrongo, Ghana.</w:t>
      </w:r>
    </w:p>
    <w:p w14:paraId="7E0A0031">
      <w:pPr>
        <w:pStyle w:val="2"/>
        <w:rPr>
          <w:rFonts w:hint="eastAsia"/>
        </w:rPr>
      </w:pPr>
    </w:p>
    <w:p w14:paraId="5241D99B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National administrative boundary reorganisations, increasingly </w:t>
      </w:r>
    </w:p>
    <w:p w14:paraId="1E96DDC2">
      <w:pPr>
        <w:pStyle w:val="2"/>
        <w:rPr>
          <w:rFonts w:hint="eastAsia"/>
        </w:rPr>
      </w:pPr>
      <w:r>
        <w:rPr>
          <w:rFonts w:hint="eastAsia"/>
        </w:rPr>
        <w:t xml:space="preserve">common across sub-Saharan Africa, create discontinuities in surveillance data </w:t>
      </w:r>
    </w:p>
    <w:p w14:paraId="31391E65">
      <w:pPr>
        <w:pStyle w:val="2"/>
        <w:rPr>
          <w:rFonts w:hint="eastAsia"/>
        </w:rPr>
      </w:pPr>
      <w:r>
        <w:rPr>
          <w:rFonts w:hint="eastAsia"/>
        </w:rPr>
        <w:t xml:space="preserve">alignment that complicate subnational burden estimation for infectious and </w:t>
      </w:r>
    </w:p>
    <w:p w14:paraId="0A2341CF">
      <w:pPr>
        <w:pStyle w:val="2"/>
        <w:rPr>
          <w:rFonts w:hint="eastAsia"/>
        </w:rPr>
      </w:pPr>
      <w:r>
        <w:rPr>
          <w:rFonts w:hint="eastAsia"/>
        </w:rPr>
        <w:t xml:space="preserve">non-communicable diseases alike. Ghana's expansion from 10 to 16 administrative </w:t>
      </w:r>
    </w:p>
    <w:p w14:paraId="1335C836">
      <w:pPr>
        <w:pStyle w:val="2"/>
        <w:rPr>
          <w:rFonts w:hint="eastAsia"/>
        </w:rPr>
      </w:pPr>
      <w:r>
        <w:rPr>
          <w:rFonts w:hint="eastAsia"/>
        </w:rPr>
        <w:t xml:space="preserve">regions in 2019 provides a tractable case for demonstrating how publicly </w:t>
      </w:r>
    </w:p>
    <w:p w14:paraId="59D34576">
      <w:pPr>
        <w:pStyle w:val="2"/>
        <w:rPr>
          <w:rFonts w:hint="eastAsia"/>
        </w:rPr>
      </w:pPr>
      <w:r>
        <w:rPr>
          <w:rFonts w:hint="eastAsia"/>
        </w:rPr>
        <w:t xml:space="preserve">available surveillance and survey data can be used to characterise subnational </w:t>
      </w:r>
    </w:p>
    <w:p w14:paraId="097C985B">
      <w:pPr>
        <w:pStyle w:val="2"/>
        <w:rPr>
          <w:rFonts w:hint="eastAsia"/>
        </w:rPr>
      </w:pPr>
      <w:r>
        <w:rPr>
          <w:rFonts w:hint="eastAsia"/>
        </w:rPr>
        <w:t xml:space="preserve">co-distribution of tuberculosis and diabetes mellitus (DM) under a revised </w:t>
      </w:r>
    </w:p>
    <w:p w14:paraId="6D795B6F">
      <w:pPr>
        <w:pStyle w:val="2"/>
        <w:rPr>
          <w:rFonts w:hint="eastAsia"/>
        </w:rPr>
      </w:pPr>
      <w:r>
        <w:rPr>
          <w:rFonts w:hint="eastAsia"/>
        </w:rPr>
        <w:t xml:space="preserve">boundary structure. DM is an established risk factor for active TB, yet </w:t>
      </w:r>
    </w:p>
    <w:p w14:paraId="2C7B036F">
      <w:pPr>
        <w:pStyle w:val="2"/>
        <w:rPr>
          <w:rFonts w:hint="eastAsia"/>
        </w:rPr>
      </w:pPr>
      <w:r>
        <w:rPr>
          <w:rFonts w:hint="eastAsia"/>
        </w:rPr>
        <w:t xml:space="preserve">population-level evidence on their geographic co-distribution at the subnational </w:t>
      </w:r>
    </w:p>
    <w:p w14:paraId="67CADE49">
      <w:pPr>
        <w:pStyle w:val="2"/>
        <w:rPr>
          <w:rFonts w:hint="eastAsia"/>
        </w:rPr>
      </w:pPr>
      <w:r>
        <w:rPr>
          <w:rFonts w:hint="eastAsia"/>
        </w:rPr>
        <w:t xml:space="preserve">level in West Africa remains scarce, and no prior study has characterised this </w:t>
      </w:r>
    </w:p>
    <w:p w14:paraId="6194EA70">
      <w:pPr>
        <w:pStyle w:val="2"/>
        <w:rPr>
          <w:rFonts w:hint="eastAsia"/>
        </w:rPr>
      </w:pPr>
      <w:r>
        <w:rPr>
          <w:rFonts w:hint="eastAsia"/>
        </w:rPr>
        <w:t xml:space="preserve">co-distribution at the subnational level across Ghana's current 16-region </w:t>
      </w:r>
    </w:p>
    <w:p w14:paraId="5ADE0B2E">
      <w:pPr>
        <w:pStyle w:val="2"/>
        <w:rPr>
          <w:rFonts w:hint="eastAsia"/>
        </w:rPr>
      </w:pPr>
      <w:r>
        <w:rPr>
          <w:rFonts w:hint="eastAsia"/>
        </w:rPr>
        <w:t xml:space="preserve">structure-a gap this study addresses directly by leveraging the post-2019 </w:t>
      </w:r>
    </w:p>
    <w:p w14:paraId="06FEA274">
      <w:pPr>
        <w:pStyle w:val="2"/>
        <w:rPr>
          <w:rFonts w:hint="eastAsia"/>
        </w:rPr>
      </w:pPr>
      <w:r>
        <w:rPr>
          <w:rFonts w:hint="eastAsia"/>
        </w:rPr>
        <w:t xml:space="preserve">administrative framework to generate region-specific evidence for programme </w:t>
      </w:r>
    </w:p>
    <w:p w14:paraId="065841F3">
      <w:pPr>
        <w:pStyle w:val="2"/>
        <w:rPr>
          <w:rFonts w:hint="eastAsia"/>
        </w:rPr>
      </w:pPr>
      <w:r>
        <w:rPr>
          <w:rFonts w:hint="eastAsia"/>
        </w:rPr>
        <w:t>planning.</w:t>
      </w:r>
    </w:p>
    <w:p w14:paraId="577492EE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conducted a cross-sectional ecological analysis using 16 </w:t>
      </w:r>
    </w:p>
    <w:p w14:paraId="53E2C502">
      <w:pPr>
        <w:pStyle w:val="2"/>
        <w:rPr>
          <w:rFonts w:hint="eastAsia"/>
        </w:rPr>
      </w:pPr>
      <w:r>
        <w:rPr>
          <w:rFonts w:hint="eastAsia"/>
        </w:rPr>
        <w:t xml:space="preserve">administrative regions in Ghana as the unit of analysis. TB case notification </w:t>
      </w:r>
    </w:p>
    <w:p w14:paraId="55B82351">
      <w:pPr>
        <w:pStyle w:val="2"/>
        <w:rPr>
          <w:rFonts w:hint="eastAsia"/>
        </w:rPr>
      </w:pPr>
      <w:r>
        <w:rPr>
          <w:rFonts w:hint="eastAsia"/>
        </w:rPr>
        <w:t xml:space="preserve">rates (per 100,000 population, 2022) were obtained from the Ghana Health </w:t>
      </w:r>
    </w:p>
    <w:p w14:paraId="6F7911A2">
      <w:pPr>
        <w:pStyle w:val="2"/>
        <w:rPr>
          <w:rFonts w:hint="eastAsia"/>
        </w:rPr>
      </w:pPr>
      <w:r>
        <w:rPr>
          <w:rFonts w:hint="eastAsia"/>
        </w:rPr>
        <w:t xml:space="preserve">Service's DHIMS2, with the Ministry of Health 2022 Holistic Assessment and WHO </w:t>
      </w:r>
    </w:p>
    <w:p w14:paraId="0D255CCF">
      <w:pPr>
        <w:pStyle w:val="2"/>
        <w:rPr>
          <w:rFonts w:hint="eastAsia"/>
        </w:rPr>
      </w:pPr>
      <w:r>
        <w:rPr>
          <w:rFonts w:hint="eastAsia"/>
        </w:rPr>
        <w:t xml:space="preserve">Global Tuberculosis Report 2025 used as independent consistency checks. Regional </w:t>
      </w:r>
    </w:p>
    <w:p w14:paraId="1F1416F4">
      <w:pPr>
        <w:pStyle w:val="2"/>
        <w:rPr>
          <w:rFonts w:hint="eastAsia"/>
        </w:rPr>
      </w:pPr>
      <w:r>
        <w:rPr>
          <w:rFonts w:hint="eastAsia"/>
        </w:rPr>
        <w:t xml:space="preserve">DM prevalence estimates were drawn from the Ghana STEPS 2017 survey and </w:t>
      </w:r>
    </w:p>
    <w:p w14:paraId="06B35E20">
      <w:pPr>
        <w:pStyle w:val="2"/>
        <w:rPr>
          <w:rFonts w:hint="eastAsia"/>
        </w:rPr>
      </w:pPr>
      <w:r>
        <w:rPr>
          <w:rFonts w:hint="eastAsia"/>
        </w:rPr>
        <w:t xml:space="preserve">published scoping literature. Sociodemographic covariates included urbanisation, </w:t>
      </w:r>
    </w:p>
    <w:p w14:paraId="5E992733">
      <w:pPr>
        <w:pStyle w:val="2"/>
        <w:rPr>
          <w:rFonts w:hint="eastAsia"/>
        </w:rPr>
      </w:pPr>
      <w:r>
        <w:rPr>
          <w:rFonts w:hint="eastAsia"/>
        </w:rPr>
        <w:t xml:space="preserve">a DHS-derived wealth index, mean body mass index, and smoking prevalence. </w:t>
      </w:r>
    </w:p>
    <w:p w14:paraId="6B270282">
      <w:pPr>
        <w:pStyle w:val="2"/>
        <w:rPr>
          <w:rFonts w:hint="eastAsia"/>
        </w:rPr>
      </w:pPr>
      <w:r>
        <w:rPr>
          <w:rFonts w:hint="eastAsia"/>
        </w:rPr>
        <w:t xml:space="preserve">Spatial autocorrelation was assessed using Moran's I with queen contiguity </w:t>
      </w:r>
    </w:p>
    <w:p w14:paraId="212F19DB">
      <w:pPr>
        <w:pStyle w:val="2"/>
        <w:rPr>
          <w:rFonts w:hint="eastAsia"/>
        </w:rPr>
      </w:pPr>
      <w:r>
        <w:rPr>
          <w:rFonts w:hint="eastAsia"/>
        </w:rPr>
        <w:t xml:space="preserve">weights. Bivariate associations were estimated using Spearman and Pearson </w:t>
      </w:r>
    </w:p>
    <w:p w14:paraId="31869C4E">
      <w:pPr>
        <w:pStyle w:val="2"/>
        <w:rPr>
          <w:rFonts w:hint="eastAsia"/>
        </w:rPr>
      </w:pPr>
      <w:r>
        <w:rPr>
          <w:rFonts w:hint="eastAsia"/>
        </w:rPr>
        <w:t xml:space="preserve">correlations. Negative binomial regression with log-population offset examined </w:t>
      </w:r>
    </w:p>
    <w:p w14:paraId="46F511D6">
      <w:pPr>
        <w:pStyle w:val="2"/>
        <w:rPr>
          <w:rFonts w:hint="eastAsia"/>
        </w:rPr>
      </w:pPr>
      <w:r>
        <w:rPr>
          <w:rFonts w:hint="eastAsia"/>
        </w:rPr>
        <w:t xml:space="preserve">the adjusted association between DM prevalence and TB notification rates. A </w:t>
      </w:r>
    </w:p>
    <w:p w14:paraId="4B221F96">
      <w:pPr>
        <w:pStyle w:val="2"/>
        <w:rPr>
          <w:rFonts w:hint="eastAsia"/>
        </w:rPr>
      </w:pPr>
      <w:r>
        <w:rPr>
          <w:rFonts w:hint="eastAsia"/>
        </w:rPr>
        <w:t xml:space="preserve">sensitivity analysis excluded the three regions created by the 2019 </w:t>
      </w:r>
    </w:p>
    <w:p w14:paraId="67C69B98">
      <w:pPr>
        <w:pStyle w:val="2"/>
        <w:rPr>
          <w:rFonts w:hint="eastAsia"/>
        </w:rPr>
      </w:pPr>
      <w:r>
        <w:rPr>
          <w:rFonts w:hint="eastAsia"/>
        </w:rPr>
        <w:t>reorganisation.</w:t>
      </w:r>
    </w:p>
    <w:p w14:paraId="49ABFEC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TB notification rates ranged from 18.9 to 58.3 per 100,000 (mean 32.0, </w:t>
      </w:r>
    </w:p>
    <w:p w14:paraId="5A286723">
      <w:pPr>
        <w:pStyle w:val="2"/>
        <w:rPr>
          <w:rFonts w:hint="eastAsia"/>
        </w:rPr>
      </w:pPr>
      <w:r>
        <w:rPr>
          <w:rFonts w:hint="eastAsia"/>
        </w:rPr>
        <w:t xml:space="preserve">SD 10.1) and DM prevalence from 1.8% to 6.3% (mean 3.5%, SD 1.3). DM prevalence </w:t>
      </w:r>
    </w:p>
    <w:p w14:paraId="600F05B4">
      <w:pPr>
        <w:pStyle w:val="2"/>
        <w:rPr>
          <w:rFonts w:hint="eastAsia"/>
        </w:rPr>
      </w:pPr>
      <w:r>
        <w:rPr>
          <w:rFonts w:hint="eastAsia"/>
        </w:rPr>
        <w:t xml:space="preserve">showed moderate positive spatial autocorrelation (Moran's I = 0.40, p = 0.004); </w:t>
      </w:r>
    </w:p>
    <w:p w14:paraId="1AD641F1">
      <w:pPr>
        <w:pStyle w:val="2"/>
        <w:rPr>
          <w:rFonts w:hint="eastAsia"/>
        </w:rPr>
      </w:pPr>
      <w:r>
        <w:rPr>
          <w:rFonts w:hint="eastAsia"/>
        </w:rPr>
        <w:t xml:space="preserve">TB notification rates did not (Moran's I = -0.16, p = 0.272). Bivariate </w:t>
      </w:r>
    </w:p>
    <w:p w14:paraId="7B258A22">
      <w:pPr>
        <w:pStyle w:val="2"/>
        <w:rPr>
          <w:rFonts w:hint="eastAsia"/>
        </w:rPr>
      </w:pPr>
      <w:r>
        <w:rPr>
          <w:rFonts w:hint="eastAsia"/>
        </w:rPr>
        <w:t xml:space="preserve">correlation between the two outcomes was moderately positive (Spearman </w:t>
      </w:r>
    </w:p>
    <w:p w14:paraId="793EADD1">
      <w:pPr>
        <w:pStyle w:val="2"/>
        <w:rPr>
          <w:rFonts w:hint="eastAsia"/>
        </w:rPr>
      </w:pPr>
      <w:r>
        <w:rPr>
          <w:rFonts w:hint="eastAsia"/>
        </w:rPr>
        <w:t xml:space="preserve">rho = 0.638, p = 0.008; Pearson r = 0.762, p = 0.0006). In adjusted negative </w:t>
      </w:r>
    </w:p>
    <w:p w14:paraId="6FEC57FF">
      <w:pPr>
        <w:pStyle w:val="2"/>
        <w:rPr>
          <w:rFonts w:hint="eastAsia"/>
        </w:rPr>
      </w:pPr>
      <w:r>
        <w:rPr>
          <w:rFonts w:hint="eastAsia"/>
        </w:rPr>
        <w:t xml:space="preserve">binomial regression, DM prevalence showed a positive but statistically imprecise </w:t>
      </w:r>
    </w:p>
    <w:p w14:paraId="41561CB6">
      <w:pPr>
        <w:pStyle w:val="2"/>
        <w:rPr>
          <w:rFonts w:hint="eastAsia"/>
        </w:rPr>
      </w:pPr>
      <w:r>
        <w:rPr>
          <w:rFonts w:hint="eastAsia"/>
        </w:rPr>
        <w:t xml:space="preserve">point estimate (IRR = 3.62; 95% CI: 0.47 to 27.9; p = 0.217), consistent with </w:t>
      </w:r>
    </w:p>
    <w:p w14:paraId="2126080C">
      <w:pPr>
        <w:pStyle w:val="2"/>
        <w:rPr>
          <w:rFonts w:hint="eastAsia"/>
        </w:rPr>
      </w:pPr>
      <w:r>
        <w:rPr>
          <w:rFonts w:hint="eastAsia"/>
        </w:rPr>
        <w:t>limited power at n = 16 ecological units.</w:t>
      </w:r>
    </w:p>
    <w:p w14:paraId="6F2BF7A4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DM prevalence shows moderate positive spatial autocorrelation </w:t>
      </w:r>
    </w:p>
    <w:p w14:paraId="55E1DC43">
      <w:pPr>
        <w:pStyle w:val="2"/>
        <w:rPr>
          <w:rFonts w:hint="eastAsia"/>
        </w:rPr>
      </w:pPr>
      <w:r>
        <w:rPr>
          <w:rFonts w:hint="eastAsia"/>
        </w:rPr>
        <w:t xml:space="preserve">across Ghana's 16 regions, concentrated in the southern urban belt, and is </w:t>
      </w:r>
    </w:p>
    <w:p w14:paraId="26418F2A">
      <w:pPr>
        <w:pStyle w:val="2"/>
        <w:rPr>
          <w:rFonts w:hint="eastAsia"/>
        </w:rPr>
      </w:pPr>
      <w:r>
        <w:rPr>
          <w:rFonts w:hint="eastAsia"/>
        </w:rPr>
        <w:t xml:space="preserve">moderately correlated with TB notification rates at the regional level; TB </w:t>
      </w:r>
    </w:p>
    <w:p w14:paraId="17DC6E48">
      <w:pPr>
        <w:pStyle w:val="2"/>
        <w:rPr>
          <w:rFonts w:hint="eastAsia"/>
        </w:rPr>
      </w:pPr>
      <w:r>
        <w:rPr>
          <w:rFonts w:hint="eastAsia"/>
        </w:rPr>
        <w:t xml:space="preserve">notification rates themselves did not show significant spatial clustering when </w:t>
      </w:r>
    </w:p>
    <w:p w14:paraId="67AB3DC2">
      <w:pPr>
        <w:pStyle w:val="2"/>
        <w:rPr>
          <w:rFonts w:hint="eastAsia"/>
        </w:rPr>
      </w:pPr>
      <w:r>
        <w:rPr>
          <w:rFonts w:hint="eastAsia"/>
        </w:rPr>
        <w:t xml:space="preserve">tested with real-boundary contiguity weights, elevated TB notification alongside </w:t>
      </w:r>
    </w:p>
    <w:p w14:paraId="7EF62C9A">
      <w:pPr>
        <w:pStyle w:val="2"/>
        <w:rPr>
          <w:rFonts w:hint="eastAsia"/>
        </w:rPr>
      </w:pPr>
      <w:r>
        <w:rPr>
          <w:rFonts w:hint="eastAsia"/>
        </w:rPr>
        <w:t xml:space="preserve">low DM prevalence, suggests that drivers other than DM dominate in that zone and </w:t>
      </w:r>
    </w:p>
    <w:p w14:paraId="0F93550F">
      <w:pPr>
        <w:pStyle w:val="2"/>
        <w:rPr>
          <w:rFonts w:hint="eastAsia"/>
        </w:rPr>
      </w:pPr>
      <w:r>
        <w:rPr>
          <w:rFonts w:hint="eastAsia"/>
        </w:rPr>
        <w:t xml:space="preserve">that uniform national TB-DM programme approaches may be suboptimal. These </w:t>
      </w:r>
    </w:p>
    <w:p w14:paraId="647D1C56">
      <w:pPr>
        <w:pStyle w:val="2"/>
        <w:rPr>
          <w:rFonts w:hint="eastAsia"/>
        </w:rPr>
      </w:pPr>
      <w:r>
        <w:rPr>
          <w:rFonts w:hint="eastAsia"/>
        </w:rPr>
        <w:t xml:space="preserve">methods and findings provide a reproducible template for subnational TB-DM </w:t>
      </w:r>
    </w:p>
    <w:p w14:paraId="418B510B">
      <w:pPr>
        <w:pStyle w:val="2"/>
        <w:rPr>
          <w:rFonts w:hint="eastAsia"/>
        </w:rPr>
      </w:pPr>
      <w:r>
        <w:rPr>
          <w:rFonts w:hint="eastAsia"/>
        </w:rPr>
        <w:t xml:space="preserve">surveillance in other post-reorganisation African programme contexts. </w:t>
      </w:r>
    </w:p>
    <w:p w14:paraId="2F5FE616">
      <w:pPr>
        <w:pStyle w:val="2"/>
        <w:rPr>
          <w:rFonts w:hint="eastAsia"/>
        </w:rPr>
      </w:pPr>
      <w:r>
        <w:rPr>
          <w:rFonts w:hint="eastAsia"/>
        </w:rPr>
        <w:t>Individual-level causal inference is not possible from this ecological design.</w:t>
      </w:r>
    </w:p>
    <w:p w14:paraId="15D03693">
      <w:pPr>
        <w:pStyle w:val="2"/>
        <w:rPr>
          <w:rFonts w:hint="eastAsia"/>
        </w:rPr>
      </w:pPr>
    </w:p>
    <w:p w14:paraId="66AAAEB2">
      <w:pPr>
        <w:pStyle w:val="2"/>
        <w:rPr>
          <w:rFonts w:hint="eastAsia"/>
        </w:rPr>
      </w:pPr>
      <w:r>
        <w:rPr>
          <w:rFonts w:hint="eastAsia"/>
        </w:rPr>
        <w:t xml:space="preserve">Copyright: © 2026 Adda, Bawa. This is an open access article distributed under </w:t>
      </w:r>
    </w:p>
    <w:p w14:paraId="74AC6910">
      <w:pPr>
        <w:pStyle w:val="2"/>
        <w:rPr>
          <w:rFonts w:hint="eastAsia"/>
        </w:rPr>
      </w:pPr>
      <w:r>
        <w:rPr>
          <w:rFonts w:hint="eastAsia"/>
        </w:rPr>
        <w:t xml:space="preserve">the terms of the Creative Commons Attribution License, which permits </w:t>
      </w:r>
    </w:p>
    <w:p w14:paraId="0B216DBE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0A22538C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0424EB9F">
      <w:pPr>
        <w:pStyle w:val="2"/>
        <w:rPr>
          <w:rFonts w:hint="eastAsia"/>
        </w:rPr>
      </w:pPr>
    </w:p>
    <w:p w14:paraId="0805F7DE">
      <w:pPr>
        <w:pStyle w:val="2"/>
        <w:rPr>
          <w:rFonts w:hint="eastAsia"/>
        </w:rPr>
      </w:pPr>
      <w:r>
        <w:rPr>
          <w:rFonts w:hint="eastAsia"/>
        </w:rPr>
        <w:t>DOI: 10.1371/journal.pone.0354405</w:t>
      </w:r>
    </w:p>
    <w:p w14:paraId="216DB22C">
      <w:pPr>
        <w:pStyle w:val="2"/>
        <w:rPr>
          <w:rFonts w:hint="eastAsia"/>
        </w:rPr>
      </w:pPr>
      <w:r>
        <w:rPr>
          <w:rFonts w:hint="eastAsia"/>
        </w:rPr>
        <w:t>PMCID: PMC13667792</w:t>
      </w:r>
    </w:p>
    <w:p w14:paraId="107F1E1C">
      <w:pPr>
        <w:pStyle w:val="2"/>
        <w:rPr>
          <w:rFonts w:hint="eastAsia"/>
        </w:rPr>
      </w:pPr>
      <w:r>
        <w:rPr>
          <w:rFonts w:hint="eastAsia"/>
        </w:rPr>
        <w:t>PMID: 42873775 [Indexed for MEDLINE]</w:t>
      </w:r>
    </w:p>
    <w:p w14:paraId="7D961592">
      <w:pPr>
        <w:pStyle w:val="2"/>
        <w:rPr>
          <w:rFonts w:hint="eastAsia"/>
        </w:rPr>
      </w:pPr>
    </w:p>
    <w:p w14:paraId="536BF89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24</w:t>
      </w:r>
      <w:r>
        <w:rPr>
          <w:rFonts w:hint="eastAsia"/>
          <w:b/>
          <w:bCs/>
          <w:color w:val="FF0000"/>
        </w:rPr>
        <w:t>. Microbiol Spectr. 2026 Oct 14:e0229526. doi: 10.1128/spectrum.02295-26. Online ahead of print.</w:t>
      </w:r>
    </w:p>
    <w:p w14:paraId="1DFCDDEF">
      <w:pPr>
        <w:pStyle w:val="2"/>
        <w:rPr>
          <w:rFonts w:hint="eastAsia"/>
        </w:rPr>
      </w:pPr>
    </w:p>
    <w:p w14:paraId="2EF85B08">
      <w:pPr>
        <w:pStyle w:val="2"/>
        <w:rPr>
          <w:rFonts w:hint="eastAsia"/>
        </w:rPr>
      </w:pPr>
      <w:r>
        <w:rPr>
          <w:rFonts w:hint="eastAsia"/>
        </w:rPr>
        <w:t xml:space="preserve">Comparison of QuantiFERON-TB Gold Plus results using ELISA and automated CLIA </w:t>
      </w:r>
    </w:p>
    <w:p w14:paraId="0F3E8AED">
      <w:pPr>
        <w:pStyle w:val="2"/>
        <w:rPr>
          <w:rFonts w:hint="eastAsia"/>
        </w:rPr>
      </w:pPr>
      <w:r>
        <w:rPr>
          <w:rFonts w:hint="eastAsia"/>
        </w:rPr>
        <w:t>detection: a 39,000-sample real-world study.</w:t>
      </w:r>
    </w:p>
    <w:p w14:paraId="30B65FCB">
      <w:pPr>
        <w:pStyle w:val="2"/>
        <w:rPr>
          <w:rFonts w:hint="eastAsia"/>
        </w:rPr>
      </w:pPr>
    </w:p>
    <w:p w14:paraId="082ABB0C">
      <w:pPr>
        <w:pStyle w:val="2"/>
        <w:rPr>
          <w:rFonts w:hint="eastAsia"/>
        </w:rPr>
      </w:pPr>
      <w:r>
        <w:rPr>
          <w:rFonts w:hint="eastAsia"/>
        </w:rPr>
        <w:t xml:space="preserve">Sorella F(1)(2), Ferraro V(1)(2), Caiazza P(2), Ciccarelli M(1), Germinario </w:t>
      </w:r>
    </w:p>
    <w:p w14:paraId="372B796D">
      <w:pPr>
        <w:pStyle w:val="2"/>
        <w:rPr>
          <w:rFonts w:hint="eastAsia"/>
        </w:rPr>
      </w:pPr>
      <w:r>
        <w:rPr>
          <w:rFonts w:hint="eastAsia"/>
        </w:rPr>
        <w:t>G(2), Cantiani A(1)(2), Lombardi G(2), Bisognin F(1), Dal Monte P(1)(2).</w:t>
      </w:r>
    </w:p>
    <w:p w14:paraId="24D077AD">
      <w:pPr>
        <w:pStyle w:val="2"/>
        <w:rPr>
          <w:rFonts w:hint="eastAsia"/>
        </w:rPr>
      </w:pPr>
    </w:p>
    <w:p w14:paraId="68E719E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2B08346">
      <w:pPr>
        <w:pStyle w:val="2"/>
        <w:rPr>
          <w:rFonts w:hint="eastAsia"/>
        </w:rPr>
      </w:pPr>
      <w:r>
        <w:rPr>
          <w:rFonts w:hint="eastAsia"/>
        </w:rPr>
        <w:t xml:space="preserve">(1)Department of Medical Science and Surgery, Alma Mater Studiorum - University </w:t>
      </w:r>
    </w:p>
    <w:p w14:paraId="7F2FCF87">
      <w:pPr>
        <w:pStyle w:val="2"/>
        <w:rPr>
          <w:rFonts w:hint="eastAsia"/>
        </w:rPr>
      </w:pPr>
      <w:r>
        <w:rPr>
          <w:rFonts w:hint="eastAsia"/>
        </w:rPr>
        <w:t>of Bologna, Bologna, Italy.</w:t>
      </w:r>
    </w:p>
    <w:p w14:paraId="51EE2C29">
      <w:pPr>
        <w:pStyle w:val="2"/>
        <w:rPr>
          <w:rFonts w:hint="eastAsia"/>
        </w:rPr>
      </w:pPr>
      <w:r>
        <w:rPr>
          <w:rFonts w:hint="eastAsia"/>
        </w:rPr>
        <w:t xml:space="preserve">(2)Microbiology Unit, IRCCS Azienda Ospedaliero-Universitaria di Bologna, </w:t>
      </w:r>
    </w:p>
    <w:p w14:paraId="082796E8">
      <w:pPr>
        <w:pStyle w:val="2"/>
        <w:rPr>
          <w:rFonts w:hint="eastAsia"/>
        </w:rPr>
      </w:pPr>
      <w:r>
        <w:rPr>
          <w:rFonts w:hint="eastAsia"/>
        </w:rPr>
        <w:t>Bologna, Italy.</w:t>
      </w:r>
    </w:p>
    <w:p w14:paraId="32A8BC0C">
      <w:pPr>
        <w:pStyle w:val="2"/>
        <w:rPr>
          <w:rFonts w:hint="eastAsia"/>
        </w:rPr>
      </w:pPr>
    </w:p>
    <w:p w14:paraId="04E2821B">
      <w:pPr>
        <w:pStyle w:val="2"/>
        <w:rPr>
          <w:rFonts w:hint="eastAsia"/>
        </w:rPr>
      </w:pPr>
      <w:r>
        <w:rPr>
          <w:rFonts w:hint="eastAsia"/>
        </w:rPr>
        <w:t xml:space="preserve">QuantiFERON-TB Gold Plus (QFT-Plus) is a widely used interferon-γ release assay </w:t>
      </w:r>
    </w:p>
    <w:p w14:paraId="346E5E49">
      <w:pPr>
        <w:pStyle w:val="2"/>
        <w:rPr>
          <w:rFonts w:hint="eastAsia"/>
        </w:rPr>
      </w:pPr>
      <w:r>
        <w:rPr>
          <w:rFonts w:hint="eastAsia"/>
        </w:rPr>
        <w:t xml:space="preserve">(IGRA) for the diagnosis of Mycobacterium tuberculosis infection. Recent </w:t>
      </w:r>
    </w:p>
    <w:p w14:paraId="19687E1D">
      <w:pPr>
        <w:pStyle w:val="2"/>
        <w:rPr>
          <w:rFonts w:hint="eastAsia"/>
        </w:rPr>
      </w:pPr>
      <w:r>
        <w:rPr>
          <w:rFonts w:hint="eastAsia"/>
        </w:rPr>
        <w:t xml:space="preserve">advances introduced fully automated chemiluminescence immunoassay (CLIA) </w:t>
      </w:r>
    </w:p>
    <w:p w14:paraId="2648A13B">
      <w:pPr>
        <w:pStyle w:val="2"/>
        <w:rPr>
          <w:rFonts w:hint="eastAsia"/>
        </w:rPr>
      </w:pPr>
      <w:r>
        <w:rPr>
          <w:rFonts w:hint="eastAsia"/>
        </w:rPr>
        <w:t xml:space="preserve">platforms as alternatives to conventional enzyme-linked immunosorbent assay </w:t>
      </w:r>
    </w:p>
    <w:p w14:paraId="175E6A53">
      <w:pPr>
        <w:pStyle w:val="2"/>
        <w:rPr>
          <w:rFonts w:hint="eastAsia"/>
        </w:rPr>
      </w:pPr>
      <w:r>
        <w:rPr>
          <w:rFonts w:hint="eastAsia"/>
        </w:rPr>
        <w:t xml:space="preserve">(ELISA), potentially improving analytical performance and laboratory workflow. </w:t>
      </w:r>
    </w:p>
    <w:p w14:paraId="2BD3D936">
      <w:pPr>
        <w:pStyle w:val="2"/>
        <w:rPr>
          <w:rFonts w:hint="eastAsia"/>
        </w:rPr>
      </w:pPr>
      <w:r>
        <w:rPr>
          <w:rFonts w:hint="eastAsia"/>
        </w:rPr>
        <w:t xml:space="preserve">This study compared ELISA- and CLIA-based QFT-Plus assays using both lyophilized </w:t>
      </w:r>
    </w:p>
    <w:p w14:paraId="513D28C7">
      <w:pPr>
        <w:pStyle w:val="2"/>
        <w:rPr>
          <w:rFonts w:hint="eastAsia"/>
        </w:rPr>
      </w:pPr>
      <w:r>
        <w:rPr>
          <w:rFonts w:hint="eastAsia"/>
        </w:rPr>
        <w:t xml:space="preserve">and liquid conjugate formulations in routine clinical practice. This </w:t>
      </w:r>
    </w:p>
    <w:p w14:paraId="4B02B2C0">
      <w:pPr>
        <w:pStyle w:val="2"/>
        <w:rPr>
          <w:rFonts w:hint="eastAsia"/>
        </w:rPr>
      </w:pPr>
      <w:r>
        <w:rPr>
          <w:rFonts w:hint="eastAsia"/>
        </w:rPr>
        <w:t xml:space="preserve">retrospective study included 39,604 QFT-Plus assays performed during three </w:t>
      </w:r>
    </w:p>
    <w:p w14:paraId="79C12893">
      <w:pPr>
        <w:pStyle w:val="2"/>
        <w:rPr>
          <w:rFonts w:hint="eastAsia"/>
        </w:rPr>
      </w:pPr>
      <w:r>
        <w:rPr>
          <w:rFonts w:hint="eastAsia"/>
        </w:rPr>
        <w:t xml:space="preserve">distinct 1-year periods: 2019 (ELISA), 2023 (CLIA with lyophilized conjugate), </w:t>
      </w:r>
    </w:p>
    <w:p w14:paraId="6B1CA6C2">
      <w:pPr>
        <w:pStyle w:val="2"/>
        <w:rPr>
          <w:rFonts w:hint="eastAsia"/>
        </w:rPr>
      </w:pPr>
      <w:r>
        <w:rPr>
          <w:rFonts w:hint="eastAsia"/>
        </w:rPr>
        <w:t xml:space="preserve">and 2024 (CLIA with liquid conjugate). Test results were classified as positive, </w:t>
      </w:r>
    </w:p>
    <w:p w14:paraId="5AE59E7C">
      <w:pPr>
        <w:pStyle w:val="2"/>
        <w:rPr>
          <w:rFonts w:hint="eastAsia"/>
        </w:rPr>
      </w:pPr>
      <w:r>
        <w:rPr>
          <w:rFonts w:hint="eastAsia"/>
        </w:rPr>
        <w:t xml:space="preserve">negative, or indeterminate. Indeterminate results were further categorized as </w:t>
      </w:r>
    </w:p>
    <w:p w14:paraId="407135DC">
      <w:pPr>
        <w:pStyle w:val="2"/>
        <w:rPr>
          <w:rFonts w:hint="eastAsia"/>
        </w:rPr>
      </w:pPr>
      <w:r>
        <w:rPr>
          <w:rFonts w:hint="eastAsia"/>
        </w:rPr>
        <w:t xml:space="preserve">due to low mitogen response (LMR) or high Nil value (HNV). Indeterminate results </w:t>
      </w:r>
    </w:p>
    <w:p w14:paraId="7A5B753F">
      <w:pPr>
        <w:pStyle w:val="2"/>
        <w:rPr>
          <w:rFonts w:hint="eastAsia"/>
        </w:rPr>
      </w:pPr>
      <w:r>
        <w:rPr>
          <w:rFonts w:hint="eastAsia"/>
        </w:rPr>
        <w:t xml:space="preserve">significantly decreased from 6.5% (777/11,885) with ELISA to 3.1% (394/12,690) </w:t>
      </w:r>
    </w:p>
    <w:p w14:paraId="32C3549E">
      <w:pPr>
        <w:pStyle w:val="2"/>
        <w:rPr>
          <w:rFonts w:hint="eastAsia"/>
        </w:rPr>
      </w:pPr>
      <w:r>
        <w:rPr>
          <w:rFonts w:hint="eastAsia"/>
        </w:rPr>
        <w:t xml:space="preserve">with CLIA test using lyophilized conjugate and 3.1% (470/15,029) of CLIA tests </w:t>
      </w:r>
    </w:p>
    <w:p w14:paraId="4FE3EC8D">
      <w:pPr>
        <w:pStyle w:val="2"/>
        <w:rPr>
          <w:rFonts w:hint="eastAsia"/>
        </w:rPr>
      </w:pPr>
      <w:r>
        <w:rPr>
          <w:rFonts w:hint="eastAsia"/>
        </w:rPr>
        <w:t xml:space="preserve">using the liquid conjugate (P &lt; 0.0001). Positive results accounted for 10.6 </w:t>
      </w:r>
    </w:p>
    <w:p w14:paraId="2F0D2C8A">
      <w:pPr>
        <w:pStyle w:val="2"/>
        <w:rPr>
          <w:rFonts w:hint="eastAsia"/>
        </w:rPr>
      </w:pPr>
      <w:r>
        <w:rPr>
          <w:rFonts w:hint="eastAsia"/>
        </w:rPr>
        <w:t xml:space="preserve">(1,254/11,885), 10.3 (1,312/12,690), and 9.0% (1,355/15,029) of tests, </w:t>
      </w:r>
    </w:p>
    <w:p w14:paraId="3093F986">
      <w:pPr>
        <w:pStyle w:val="2"/>
        <w:rPr>
          <w:rFonts w:hint="eastAsia"/>
        </w:rPr>
      </w:pPr>
      <w:r>
        <w:rPr>
          <w:rFonts w:hint="eastAsia"/>
        </w:rPr>
        <w:t xml:space="preserve">respectively. Among indeterminate results, LMR accounted for 97.3% (756/777) </w:t>
      </w:r>
    </w:p>
    <w:p w14:paraId="2023F918">
      <w:pPr>
        <w:pStyle w:val="2"/>
        <w:rPr>
          <w:rFonts w:hint="eastAsia"/>
        </w:rPr>
      </w:pPr>
      <w:r>
        <w:rPr>
          <w:rFonts w:hint="eastAsia"/>
        </w:rPr>
        <w:t xml:space="preserve">with ELISA, whereas HNV accounted for 27.4 (108/394) and 16.8% (79/470) with the </w:t>
      </w:r>
    </w:p>
    <w:p w14:paraId="58DB16E2">
      <w:pPr>
        <w:pStyle w:val="2"/>
        <w:rPr>
          <w:rFonts w:hint="eastAsia"/>
        </w:rPr>
      </w:pPr>
      <w:r>
        <w:rPr>
          <w:rFonts w:hint="eastAsia"/>
        </w:rPr>
        <w:t xml:space="preserve">lyophilized- and liquid-conjugate CLIA methods, respectively. Agreement between </w:t>
      </w:r>
    </w:p>
    <w:p w14:paraId="4751C515">
      <w:pPr>
        <w:pStyle w:val="2"/>
        <w:rPr>
          <w:rFonts w:hint="eastAsia"/>
        </w:rPr>
      </w:pPr>
      <w:r>
        <w:rPr>
          <w:rFonts w:hint="eastAsia"/>
        </w:rPr>
        <w:t xml:space="preserve">TB1 and TB2 responses was consistently high across all methods (98.5-98.8%; κ = </w:t>
      </w:r>
    </w:p>
    <w:p w14:paraId="0F537457">
      <w:pPr>
        <w:pStyle w:val="2"/>
        <w:rPr>
          <w:rFonts w:hint="eastAsia"/>
        </w:rPr>
      </w:pPr>
      <w:r>
        <w:rPr>
          <w:rFonts w:hint="eastAsia"/>
        </w:rPr>
        <w:t xml:space="preserve">0.92). CLIA-based QFT-Plus assays were significantly associated with a lower </w:t>
      </w:r>
    </w:p>
    <w:p w14:paraId="78078FDD">
      <w:pPr>
        <w:pStyle w:val="2"/>
        <w:rPr>
          <w:rFonts w:hint="eastAsia"/>
        </w:rPr>
      </w:pPr>
      <w:r>
        <w:rPr>
          <w:rFonts w:hint="eastAsia"/>
        </w:rPr>
        <w:t xml:space="preserve">proportion of indeterminate results while maintaining an excellent TB1/TB2 </w:t>
      </w:r>
    </w:p>
    <w:p w14:paraId="286975CB">
      <w:pPr>
        <w:pStyle w:val="2"/>
        <w:rPr>
          <w:rFonts w:hint="eastAsia"/>
        </w:rPr>
      </w:pPr>
      <w:r>
        <w:rPr>
          <w:rFonts w:hint="eastAsia"/>
        </w:rPr>
        <w:t xml:space="preserve">concordance compared with ELISA. These findings support fully automated CLIA </w:t>
      </w:r>
    </w:p>
    <w:p w14:paraId="34516CAA">
      <w:pPr>
        <w:pStyle w:val="2"/>
        <w:rPr>
          <w:rFonts w:hint="eastAsia"/>
        </w:rPr>
      </w:pPr>
      <w:r>
        <w:rPr>
          <w:rFonts w:hint="eastAsia"/>
        </w:rPr>
        <w:t xml:space="preserve">platforms as a robust and efficient alternative to conventional ELISA for </w:t>
      </w:r>
    </w:p>
    <w:p w14:paraId="76A239E3">
      <w:pPr>
        <w:pStyle w:val="2"/>
        <w:rPr>
          <w:rFonts w:hint="eastAsia"/>
        </w:rPr>
      </w:pPr>
      <w:r>
        <w:rPr>
          <w:rFonts w:hint="eastAsia"/>
        </w:rPr>
        <w:t>high-throughput tuberculosis screening and routine clinical diagnostics.</w:t>
      </w:r>
    </w:p>
    <w:p w14:paraId="1B0AD91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IMPORTANCE: </w:t>
      </w:r>
      <w:r>
        <w:rPr>
          <w:rFonts w:hint="eastAsia"/>
        </w:rPr>
        <w:t xml:space="preserve">This study provides a large real-world evaluation of QuantiFERON-TB </w:t>
      </w:r>
    </w:p>
    <w:p w14:paraId="68D779DE">
      <w:pPr>
        <w:pStyle w:val="2"/>
        <w:rPr>
          <w:rFonts w:hint="eastAsia"/>
        </w:rPr>
      </w:pPr>
      <w:r>
        <w:rPr>
          <w:rFonts w:hint="eastAsia"/>
        </w:rPr>
        <w:t xml:space="preserve">Gold Plus testing across different analytical platforms, including more than </w:t>
      </w:r>
    </w:p>
    <w:p w14:paraId="4E191600">
      <w:pPr>
        <w:pStyle w:val="2"/>
        <w:rPr>
          <w:rFonts w:hint="eastAsia"/>
        </w:rPr>
      </w:pPr>
      <w:r>
        <w:rPr>
          <w:rFonts w:hint="eastAsia"/>
        </w:rPr>
        <w:t xml:space="preserve">39,000 tests performed in routine clinical practice. The transition from </w:t>
      </w:r>
    </w:p>
    <w:p w14:paraId="6CA7535A">
      <w:pPr>
        <w:pStyle w:val="2"/>
        <w:rPr>
          <w:rFonts w:hint="eastAsia"/>
        </w:rPr>
      </w:pPr>
      <w:r>
        <w:rPr>
          <w:rFonts w:hint="eastAsia"/>
        </w:rPr>
        <w:t xml:space="preserve">conventional enzyme-linked immunosorbent assay (ELISA) to automated </w:t>
      </w:r>
    </w:p>
    <w:p w14:paraId="5F19B315">
      <w:pPr>
        <w:pStyle w:val="2"/>
        <w:rPr>
          <w:rFonts w:hint="eastAsia"/>
        </w:rPr>
      </w:pPr>
      <w:r>
        <w:rPr>
          <w:rFonts w:hint="eastAsia"/>
        </w:rPr>
        <w:t xml:space="preserve">chemiluminescence immunoassay (CLIA) was associated with an approximately 50% </w:t>
      </w:r>
    </w:p>
    <w:p w14:paraId="52D8E461">
      <w:pPr>
        <w:pStyle w:val="2"/>
        <w:rPr>
          <w:rFonts w:hint="eastAsia"/>
        </w:rPr>
      </w:pPr>
      <w:r>
        <w:rPr>
          <w:rFonts w:hint="eastAsia"/>
        </w:rPr>
        <w:t xml:space="preserve">decrease in indeterminate results from 6.5 to 3.1%, with similarly low rates </w:t>
      </w:r>
    </w:p>
    <w:p w14:paraId="17AB8861">
      <w:pPr>
        <w:pStyle w:val="2"/>
        <w:rPr>
          <w:rFonts w:hint="eastAsia"/>
        </w:rPr>
      </w:pPr>
      <w:r>
        <w:rPr>
          <w:rFonts w:hint="eastAsia"/>
        </w:rPr>
        <w:t xml:space="preserve">observed using both lyophilized and liquid conjugate formulations. Beyond </w:t>
      </w:r>
    </w:p>
    <w:p w14:paraId="7602B649">
      <w:pPr>
        <w:pStyle w:val="2"/>
        <w:rPr>
          <w:rFonts w:hint="eastAsia"/>
        </w:rPr>
      </w:pPr>
      <w:r>
        <w:rPr>
          <w:rFonts w:hint="eastAsia"/>
        </w:rPr>
        <w:t xml:space="preserve">documenting this substantial reduction, our study reveals a marked difference in </w:t>
      </w:r>
    </w:p>
    <w:p w14:paraId="324C69AB">
      <w:pPr>
        <w:pStyle w:val="2"/>
        <w:rPr>
          <w:rFonts w:hint="eastAsia"/>
        </w:rPr>
      </w:pPr>
      <w:r>
        <w:rPr>
          <w:rFonts w:hint="eastAsia"/>
        </w:rPr>
        <w:t xml:space="preserve">the causes of indeterminate results: low mitogen response predominated with </w:t>
      </w:r>
    </w:p>
    <w:p w14:paraId="4B6BD64C">
      <w:pPr>
        <w:pStyle w:val="2"/>
        <w:rPr>
          <w:rFonts w:hint="eastAsia"/>
        </w:rPr>
      </w:pPr>
      <w:r>
        <w:rPr>
          <w:rFonts w:hint="eastAsia"/>
        </w:rPr>
        <w:t xml:space="preserve">ELISA, whereas high Nil values accounted for a larger proportion of </w:t>
      </w:r>
    </w:p>
    <w:p w14:paraId="353A0E97">
      <w:pPr>
        <w:pStyle w:val="2"/>
        <w:rPr>
          <w:rFonts w:hint="eastAsia"/>
        </w:rPr>
      </w:pPr>
      <w:r>
        <w:rPr>
          <w:rFonts w:hint="eastAsia"/>
        </w:rPr>
        <w:t xml:space="preserve">indeterminate results with CLIA. These findings, interpreted together with our </w:t>
      </w:r>
    </w:p>
    <w:p w14:paraId="6B7C769D">
      <w:pPr>
        <w:pStyle w:val="2"/>
        <w:rPr>
          <w:rFonts w:hint="eastAsia"/>
        </w:rPr>
      </w:pPr>
      <w:r>
        <w:rPr>
          <w:rFonts w:hint="eastAsia"/>
        </w:rPr>
        <w:t xml:space="preserve">previous paired-sample comparison, indicate that differences in quantitative </w:t>
      </w:r>
    </w:p>
    <w:p w14:paraId="4C7CB07B">
      <w:pPr>
        <w:pStyle w:val="2"/>
        <w:rPr>
          <w:rFonts w:hint="eastAsia"/>
        </w:rPr>
      </w:pPr>
      <w:r>
        <w:rPr>
          <w:rFonts w:hint="eastAsia"/>
        </w:rPr>
        <w:t xml:space="preserve">IFN-γ measurement across platforms may affect how samples are classified against </w:t>
      </w:r>
    </w:p>
    <w:p w14:paraId="41B36C1A">
      <w:pPr>
        <w:pStyle w:val="2"/>
        <w:rPr>
          <w:rFonts w:hint="eastAsia"/>
        </w:rPr>
      </w:pPr>
      <w:r>
        <w:rPr>
          <w:rFonts w:hint="eastAsia"/>
        </w:rPr>
        <w:t>fixed decision thresholds.</w:t>
      </w:r>
    </w:p>
    <w:p w14:paraId="0F768CBF">
      <w:pPr>
        <w:pStyle w:val="2"/>
        <w:rPr>
          <w:rFonts w:hint="eastAsia"/>
        </w:rPr>
      </w:pPr>
    </w:p>
    <w:p w14:paraId="1D896CA9">
      <w:pPr>
        <w:pStyle w:val="2"/>
        <w:rPr>
          <w:rFonts w:hint="eastAsia"/>
        </w:rPr>
      </w:pPr>
      <w:r>
        <w:rPr>
          <w:rFonts w:hint="eastAsia"/>
        </w:rPr>
        <w:t>DOI: 10.1128/spectrum.02295-26</w:t>
      </w:r>
    </w:p>
    <w:p w14:paraId="252E9747">
      <w:pPr>
        <w:pStyle w:val="2"/>
        <w:rPr>
          <w:rFonts w:hint="eastAsia"/>
        </w:rPr>
      </w:pPr>
      <w:r>
        <w:rPr>
          <w:rFonts w:hint="eastAsia"/>
        </w:rPr>
        <w:t>PMID: 42872803</w:t>
      </w:r>
    </w:p>
    <w:p w14:paraId="7B03CBEE">
      <w:pPr>
        <w:pStyle w:val="2"/>
        <w:rPr>
          <w:rFonts w:hint="eastAsia"/>
        </w:rPr>
      </w:pPr>
    </w:p>
    <w:p w14:paraId="18E55A8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25</w:t>
      </w:r>
      <w:r>
        <w:rPr>
          <w:rFonts w:hint="eastAsia"/>
          <w:b/>
          <w:bCs/>
          <w:color w:val="FF0000"/>
        </w:rPr>
        <w:t>. JMIR Public Health Surveill. 2026 Oct 13. doi: 10.2196/103278. Online ahead of print.</w:t>
      </w:r>
    </w:p>
    <w:p w14:paraId="15156D35">
      <w:pPr>
        <w:pStyle w:val="2"/>
        <w:rPr>
          <w:rFonts w:hint="eastAsia"/>
        </w:rPr>
      </w:pPr>
    </w:p>
    <w:p w14:paraId="4F6D9B16">
      <w:pPr>
        <w:pStyle w:val="2"/>
        <w:rPr>
          <w:rFonts w:hint="eastAsia"/>
        </w:rPr>
      </w:pPr>
      <w:r>
        <w:rPr>
          <w:rFonts w:hint="eastAsia"/>
        </w:rPr>
        <w:t xml:space="preserve">BCG vaccination and first hospitalization in children younger than 5 years: a </w:t>
      </w:r>
    </w:p>
    <w:p w14:paraId="65333BA8">
      <w:pPr>
        <w:pStyle w:val="2"/>
        <w:rPr>
          <w:rFonts w:hint="eastAsia"/>
        </w:rPr>
      </w:pPr>
      <w:r>
        <w:rPr>
          <w:rFonts w:hint="eastAsia"/>
        </w:rPr>
        <w:t>nationwide cohort study in Portugal.</w:t>
      </w:r>
    </w:p>
    <w:p w14:paraId="43277FAD">
      <w:pPr>
        <w:pStyle w:val="2"/>
        <w:rPr>
          <w:rFonts w:hint="eastAsia"/>
        </w:rPr>
      </w:pPr>
    </w:p>
    <w:p w14:paraId="326D73B9">
      <w:pPr>
        <w:pStyle w:val="2"/>
        <w:rPr>
          <w:rFonts w:hint="eastAsia"/>
        </w:rPr>
      </w:pPr>
      <w:r>
        <w:rPr>
          <w:rFonts w:hint="eastAsia"/>
        </w:rPr>
        <w:t>Pacheco M(1), Aguiar P(1), Ferrinho P(2), Fronteira I(3).</w:t>
      </w:r>
    </w:p>
    <w:p w14:paraId="13AD695A">
      <w:pPr>
        <w:pStyle w:val="2"/>
        <w:rPr>
          <w:rFonts w:hint="eastAsia"/>
        </w:rPr>
      </w:pPr>
    </w:p>
    <w:p w14:paraId="12DD5B7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39CEEE5">
      <w:pPr>
        <w:pStyle w:val="2"/>
        <w:rPr>
          <w:rFonts w:hint="eastAsia"/>
        </w:rPr>
      </w:pPr>
      <w:r>
        <w:rPr>
          <w:rFonts w:hint="eastAsia"/>
        </w:rPr>
        <w:t xml:space="preserve">(1)Public Health Research Centre, Comprehensive Health Research Center, CHRC, </w:t>
      </w:r>
    </w:p>
    <w:p w14:paraId="7765E878">
      <w:pPr>
        <w:pStyle w:val="2"/>
        <w:rPr>
          <w:rFonts w:hint="eastAsia"/>
        </w:rPr>
      </w:pPr>
      <w:r>
        <w:rPr>
          <w:rFonts w:hint="eastAsia"/>
        </w:rPr>
        <w:t xml:space="preserve">REAL, CCAL, NOVA National School of Public Health, Universidade NOVA de Lisboa, </w:t>
      </w:r>
    </w:p>
    <w:p w14:paraId="4994E8E5">
      <w:pPr>
        <w:pStyle w:val="2"/>
        <w:rPr>
          <w:rFonts w:hint="eastAsia"/>
        </w:rPr>
      </w:pPr>
      <w:r>
        <w:rPr>
          <w:rFonts w:hint="eastAsia"/>
        </w:rPr>
        <w:t>Av Padre Cruz, Lisbon, PT.</w:t>
      </w:r>
    </w:p>
    <w:p w14:paraId="12B3A8F9">
      <w:pPr>
        <w:pStyle w:val="2"/>
        <w:rPr>
          <w:rFonts w:hint="eastAsia"/>
        </w:rPr>
      </w:pPr>
      <w:r>
        <w:rPr>
          <w:rFonts w:hint="eastAsia"/>
        </w:rPr>
        <w:t xml:space="preserve">(2)Global Health and Tropical Medicine, GHTM, LA-REAL, Instituto de Higiene e </w:t>
      </w:r>
    </w:p>
    <w:p w14:paraId="4BFD05E5">
      <w:pPr>
        <w:pStyle w:val="2"/>
        <w:rPr>
          <w:rFonts w:hint="eastAsia"/>
        </w:rPr>
      </w:pPr>
      <w:r>
        <w:rPr>
          <w:rFonts w:hint="eastAsia"/>
        </w:rPr>
        <w:t>Medicina Tropical, IHMT, Universidade NOVA de Lisboa, Lisbon, Lisbon, PT.</w:t>
      </w:r>
    </w:p>
    <w:p w14:paraId="798EFE9A">
      <w:pPr>
        <w:pStyle w:val="2"/>
        <w:rPr>
          <w:rFonts w:hint="eastAsia"/>
        </w:rPr>
      </w:pPr>
      <w:r>
        <w:rPr>
          <w:rFonts w:hint="eastAsia"/>
        </w:rPr>
        <w:t xml:space="preserve">(3)Public Health Research Centre, Comprehensive Health Research Center, CHRC, </w:t>
      </w:r>
    </w:p>
    <w:p w14:paraId="2AB9B5F4">
      <w:pPr>
        <w:pStyle w:val="2"/>
        <w:rPr>
          <w:rFonts w:hint="eastAsia"/>
        </w:rPr>
      </w:pPr>
      <w:r>
        <w:rPr>
          <w:rFonts w:hint="eastAsia"/>
        </w:rPr>
        <w:t xml:space="preserve">REAL, CCAL, NOVA National School of Public Health, NOVA University Lisbon, </w:t>
      </w:r>
    </w:p>
    <w:p w14:paraId="41D29CDB">
      <w:pPr>
        <w:pStyle w:val="2"/>
        <w:rPr>
          <w:rFonts w:hint="eastAsia"/>
        </w:rPr>
      </w:pPr>
      <w:r>
        <w:rPr>
          <w:rFonts w:hint="eastAsia"/>
        </w:rPr>
        <w:t>Lisbon, PT.</w:t>
      </w:r>
    </w:p>
    <w:p w14:paraId="2BD83BD2">
      <w:pPr>
        <w:pStyle w:val="2"/>
        <w:rPr>
          <w:rFonts w:hint="eastAsia"/>
        </w:rPr>
      </w:pPr>
    </w:p>
    <w:p w14:paraId="5169B6F3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The BCG, used to prevent tuberculosis, has been associated with </w:t>
      </w:r>
    </w:p>
    <w:p w14:paraId="04CC0A4D">
      <w:pPr>
        <w:pStyle w:val="2"/>
        <w:rPr>
          <w:rFonts w:hint="eastAsia"/>
        </w:rPr>
      </w:pPr>
      <w:r>
        <w:rPr>
          <w:rFonts w:hint="eastAsia"/>
        </w:rPr>
        <w:t xml:space="preserve">beneficial non-specific effects (NSEs), including reduced childhood morbidity </w:t>
      </w:r>
    </w:p>
    <w:p w14:paraId="6E03AF56">
      <w:pPr>
        <w:pStyle w:val="2"/>
        <w:rPr>
          <w:rFonts w:hint="eastAsia"/>
        </w:rPr>
      </w:pPr>
      <w:r>
        <w:rPr>
          <w:rFonts w:hint="eastAsia"/>
        </w:rPr>
        <w:t xml:space="preserve">and mortality. In Portugal, universal neonatal BCG vaccination was discontinued </w:t>
      </w:r>
    </w:p>
    <w:p w14:paraId="7DE59D97">
      <w:pPr>
        <w:pStyle w:val="2"/>
        <w:rPr>
          <w:rFonts w:hint="eastAsia"/>
        </w:rPr>
      </w:pPr>
      <w:r>
        <w:rPr>
          <w:rFonts w:hint="eastAsia"/>
        </w:rPr>
        <w:t xml:space="preserve">in 2016 and replaced by a selective, risk-based strategy. This policy transition </w:t>
      </w:r>
    </w:p>
    <w:p w14:paraId="6CF27CA6">
      <w:pPr>
        <w:pStyle w:val="2"/>
        <w:rPr>
          <w:rFonts w:hint="eastAsia"/>
        </w:rPr>
      </w:pPr>
      <w:r>
        <w:rPr>
          <w:rFonts w:hint="eastAsia"/>
        </w:rPr>
        <w:t xml:space="preserve">resulted in substantial variation in BCG vaccination status and provides an </w:t>
      </w:r>
    </w:p>
    <w:p w14:paraId="15EA8967">
      <w:pPr>
        <w:pStyle w:val="2"/>
        <w:rPr>
          <w:rFonts w:hint="eastAsia"/>
        </w:rPr>
      </w:pPr>
      <w:r>
        <w:rPr>
          <w:rFonts w:hint="eastAsia"/>
        </w:rPr>
        <w:t xml:space="preserve">opportunity to examine the association between BCG vaccination and </w:t>
      </w:r>
    </w:p>
    <w:p w14:paraId="07691941">
      <w:pPr>
        <w:pStyle w:val="2"/>
        <w:rPr>
          <w:rFonts w:hint="eastAsia"/>
        </w:rPr>
      </w:pPr>
      <w:r>
        <w:rPr>
          <w:rFonts w:hint="eastAsia"/>
        </w:rPr>
        <w:t>hospitalization in children.</w:t>
      </w:r>
    </w:p>
    <w:p w14:paraId="61799A07">
      <w:pPr>
        <w:pStyle w:val="2"/>
        <w:rPr>
          <w:rFonts w:hint="eastAsia"/>
        </w:rPr>
      </w:pPr>
      <w:r>
        <w:rPr>
          <w:rFonts w:hint="eastAsia"/>
          <w:b/>
          <w:bCs/>
        </w:rPr>
        <w:t>OBJECTIVE:</w:t>
      </w:r>
      <w:r>
        <w:rPr>
          <w:rFonts w:hint="eastAsia"/>
        </w:rPr>
        <w:t xml:space="preserve"> The primary objective was to estimate the association between BCG </w:t>
      </w:r>
    </w:p>
    <w:p w14:paraId="23B90CE6">
      <w:pPr>
        <w:pStyle w:val="2"/>
        <w:rPr>
          <w:rFonts w:hint="eastAsia"/>
        </w:rPr>
      </w:pPr>
      <w:r>
        <w:rPr>
          <w:rFonts w:hint="eastAsia"/>
        </w:rPr>
        <w:t xml:space="preserve">vaccination and the risk of first hospitalization, with secondary analyses </w:t>
      </w:r>
    </w:p>
    <w:p w14:paraId="6709E6CC">
      <w:pPr>
        <w:pStyle w:val="2"/>
        <w:rPr>
          <w:rFonts w:hint="eastAsia"/>
        </w:rPr>
      </w:pPr>
      <w:r>
        <w:rPr>
          <w:rFonts w:hint="eastAsia"/>
        </w:rPr>
        <w:t>examining cause-specific hospitalizations.</w:t>
      </w:r>
    </w:p>
    <w:p w14:paraId="4F96E269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We conducted a nationwide retrospective cohort study including all </w:t>
      </w:r>
    </w:p>
    <w:p w14:paraId="462AEA7E">
      <w:pPr>
        <w:pStyle w:val="2"/>
        <w:rPr>
          <w:rFonts w:hint="eastAsia"/>
        </w:rPr>
      </w:pPr>
      <w:r>
        <w:rPr>
          <w:rFonts w:hint="eastAsia"/>
        </w:rPr>
        <w:t xml:space="preserve">children younger than 5 years born in mainland Portugal between July 1, 2010 and </w:t>
      </w:r>
    </w:p>
    <w:p w14:paraId="743F22B9">
      <w:pPr>
        <w:pStyle w:val="2"/>
        <w:rPr>
          <w:rFonts w:hint="eastAsia"/>
        </w:rPr>
      </w:pPr>
      <w:r>
        <w:rPr>
          <w:rFonts w:hint="eastAsia"/>
        </w:rPr>
        <w:t xml:space="preserve">June 30, 2021. Data were obtained from linked national health registries. </w:t>
      </w:r>
    </w:p>
    <w:p w14:paraId="7FD411C9">
      <w:pPr>
        <w:pStyle w:val="2"/>
        <w:rPr>
          <w:rFonts w:hint="eastAsia"/>
        </w:rPr>
      </w:pPr>
      <w:r>
        <w:rPr>
          <w:rFonts w:hint="eastAsia"/>
        </w:rPr>
        <w:t xml:space="preserve">Follow-up began at day seven of life and continued until first hospitalization, </w:t>
      </w:r>
    </w:p>
    <w:p w14:paraId="329E683B">
      <w:pPr>
        <w:pStyle w:val="2"/>
        <w:rPr>
          <w:rFonts w:hint="eastAsia"/>
        </w:rPr>
      </w:pPr>
      <w:r>
        <w:rPr>
          <w:rFonts w:hint="eastAsia"/>
        </w:rPr>
        <w:t xml:space="preserve">age 5 years, or end of study. BCG vaccination was categorized according to age </w:t>
      </w:r>
    </w:p>
    <w:p w14:paraId="3CCA1844">
      <w:pPr>
        <w:pStyle w:val="2"/>
        <w:rPr>
          <w:rFonts w:hint="eastAsia"/>
        </w:rPr>
      </w:pPr>
      <w:r>
        <w:rPr>
          <w:rFonts w:hint="eastAsia"/>
        </w:rPr>
        <w:t xml:space="preserve">at vaccination (unvaccinated, 7-90 days, 3-12 months, and 1-5 years) and Cox </w:t>
      </w:r>
    </w:p>
    <w:p w14:paraId="34EE628D">
      <w:pPr>
        <w:pStyle w:val="2"/>
        <w:rPr>
          <w:rFonts w:hint="eastAsia"/>
        </w:rPr>
      </w:pPr>
      <w:r>
        <w:rPr>
          <w:rFonts w:hint="eastAsia"/>
        </w:rPr>
        <w:t xml:space="preserve">proportional hazards models were used to estimate hazard ratios for first </w:t>
      </w:r>
    </w:p>
    <w:p w14:paraId="3A08CC88">
      <w:pPr>
        <w:pStyle w:val="2"/>
        <w:rPr>
          <w:rFonts w:hint="eastAsia"/>
        </w:rPr>
      </w:pPr>
      <w:r>
        <w:rPr>
          <w:rFonts w:hint="eastAsia"/>
        </w:rPr>
        <w:t xml:space="preserve">hospitalization. Kaplan-Meier curves were used to describe cumulative incidence. </w:t>
      </w:r>
    </w:p>
    <w:p w14:paraId="6E410530">
      <w:pPr>
        <w:pStyle w:val="2"/>
        <w:rPr>
          <w:rFonts w:hint="eastAsia"/>
        </w:rPr>
      </w:pPr>
      <w:r>
        <w:rPr>
          <w:rFonts w:hint="eastAsia"/>
        </w:rPr>
        <w:t xml:space="preserve">Models were adjusted for sex, birth year, birth season, comorbidities, and child </w:t>
      </w:r>
    </w:p>
    <w:p w14:paraId="5FEFBCB8">
      <w:pPr>
        <w:pStyle w:val="2"/>
        <w:rPr>
          <w:rFonts w:hint="eastAsia"/>
        </w:rPr>
      </w:pPr>
      <w:r>
        <w:rPr>
          <w:rFonts w:hint="eastAsia"/>
        </w:rPr>
        <w:t xml:space="preserve">health surveillance visits. Cause-specific analyses and hospitalization duration </w:t>
      </w:r>
    </w:p>
    <w:p w14:paraId="241EA0B2">
      <w:pPr>
        <w:pStyle w:val="2"/>
        <w:rPr>
          <w:rFonts w:hint="eastAsia"/>
        </w:rPr>
      </w:pPr>
      <w:r>
        <w:rPr>
          <w:rFonts w:hint="eastAsia"/>
        </w:rPr>
        <w:t xml:space="preserve">(≥3 days) were also examined. Sensitivity analyses addressed calendar-period </w:t>
      </w:r>
    </w:p>
    <w:p w14:paraId="1FDC9E93">
      <w:pPr>
        <w:pStyle w:val="2"/>
        <w:rPr>
          <w:rFonts w:hint="eastAsia"/>
        </w:rPr>
      </w:pPr>
      <w:r>
        <w:rPr>
          <w:rFonts w:hint="eastAsia"/>
        </w:rPr>
        <w:t xml:space="preserve">effects, geographic adjustment, and adjustment for child health surveillance </w:t>
      </w:r>
    </w:p>
    <w:p w14:paraId="5051AABF">
      <w:pPr>
        <w:pStyle w:val="2"/>
        <w:rPr>
          <w:rFonts w:hint="eastAsia"/>
        </w:rPr>
      </w:pPr>
      <w:r>
        <w:rPr>
          <w:rFonts w:hint="eastAsia"/>
        </w:rPr>
        <w:t>visits.</w:t>
      </w:r>
    </w:p>
    <w:p w14:paraId="500B98C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Among 544,794 children, 66.5% received BCG vaccination. Over 1,781,194 </w:t>
      </w:r>
    </w:p>
    <w:p w14:paraId="6A6F9456">
      <w:pPr>
        <w:pStyle w:val="2"/>
        <w:rPr>
          <w:rFonts w:hint="eastAsia"/>
        </w:rPr>
      </w:pPr>
      <w:r>
        <w:rPr>
          <w:rFonts w:hint="eastAsia"/>
        </w:rPr>
        <w:t xml:space="preserve">child-years of follow-up, 169,286 first hospitalizations were recorded. After </w:t>
      </w:r>
    </w:p>
    <w:p w14:paraId="6A8F97C5">
      <w:pPr>
        <w:pStyle w:val="2"/>
        <w:rPr>
          <w:rFonts w:hint="eastAsia"/>
        </w:rPr>
      </w:pPr>
      <w:r>
        <w:rPr>
          <w:rFonts w:hint="eastAsia"/>
        </w:rPr>
        <w:t xml:space="preserve">adjustment, associations between BCG vaccination and first hospitalization </w:t>
      </w:r>
    </w:p>
    <w:p w14:paraId="10E06986">
      <w:pPr>
        <w:pStyle w:val="2"/>
        <w:rPr>
          <w:rFonts w:hint="eastAsia"/>
        </w:rPr>
      </w:pPr>
      <w:r>
        <w:rPr>
          <w:rFonts w:hint="eastAsia"/>
        </w:rPr>
        <w:t xml:space="preserve">varied according to age at vaccination. Compared with unvaccinated children, </w:t>
      </w:r>
    </w:p>
    <w:p w14:paraId="4FB5125B">
      <w:pPr>
        <w:pStyle w:val="2"/>
        <w:rPr>
          <w:rFonts w:hint="eastAsia"/>
        </w:rPr>
      </w:pPr>
      <w:r>
        <w:rPr>
          <w:rFonts w:hint="eastAsia"/>
        </w:rPr>
        <w:t xml:space="preserve">adjusted hazard ratios for first hospitalization were 0.15 (95% CI: 0.14-0.16) </w:t>
      </w:r>
    </w:p>
    <w:p w14:paraId="6AC30D43">
      <w:pPr>
        <w:pStyle w:val="2"/>
        <w:rPr>
          <w:rFonts w:hint="eastAsia"/>
        </w:rPr>
      </w:pPr>
      <w:r>
        <w:rPr>
          <w:rFonts w:hint="eastAsia"/>
        </w:rPr>
        <w:t xml:space="preserve">for vaccination between 7-90 days, 0.16 (95% CI: 0.15-0.16) for vaccination </w:t>
      </w:r>
    </w:p>
    <w:p w14:paraId="75B29D71">
      <w:pPr>
        <w:pStyle w:val="2"/>
        <w:rPr>
          <w:rFonts w:hint="eastAsia"/>
        </w:rPr>
      </w:pPr>
      <w:r>
        <w:rPr>
          <w:rFonts w:hint="eastAsia"/>
        </w:rPr>
        <w:t xml:space="preserve">between 3-12 months, and 0.42 (95% CI: 0.41-0.43) for vaccination between 1-5 </w:t>
      </w:r>
    </w:p>
    <w:p w14:paraId="745C8DEE">
      <w:pPr>
        <w:pStyle w:val="2"/>
        <w:rPr>
          <w:rFonts w:hint="eastAsia"/>
        </w:rPr>
      </w:pPr>
      <w:r>
        <w:rPr>
          <w:rFonts w:hint="eastAsia"/>
        </w:rPr>
        <w:t xml:space="preserve">years. Similar associations were observed for respiratory, other medical, and </w:t>
      </w:r>
    </w:p>
    <w:p w14:paraId="66988A80">
      <w:pPr>
        <w:pStyle w:val="2"/>
        <w:rPr>
          <w:rFonts w:hint="eastAsia"/>
        </w:rPr>
      </w:pPr>
      <w:r>
        <w:rPr>
          <w:rFonts w:hint="eastAsia"/>
        </w:rPr>
        <w:t xml:space="preserve">neurological hospitalizations. For respiratory hospitalizations, adjusted hazard </w:t>
      </w:r>
    </w:p>
    <w:p w14:paraId="672197C5">
      <w:pPr>
        <w:pStyle w:val="2"/>
        <w:rPr>
          <w:rFonts w:hint="eastAsia"/>
        </w:rPr>
      </w:pPr>
      <w:r>
        <w:rPr>
          <w:rFonts w:hint="eastAsia"/>
        </w:rPr>
        <w:t xml:space="preserve">ratios were 0.56 (95% CI: 0.51-0.61), 0.57 (95% CI: 0.55-0.59), and 0.81 (95% </w:t>
      </w:r>
    </w:p>
    <w:p w14:paraId="1C976911">
      <w:pPr>
        <w:pStyle w:val="2"/>
        <w:rPr>
          <w:rFonts w:hint="eastAsia"/>
        </w:rPr>
      </w:pPr>
      <w:r>
        <w:rPr>
          <w:rFonts w:hint="eastAsia"/>
        </w:rPr>
        <w:t xml:space="preserve">CI: 0.78-0.83) for vaccination at 7-90 days, 3-12 months, and 1-5 years, </w:t>
      </w:r>
    </w:p>
    <w:p w14:paraId="1FCFEB2E">
      <w:pPr>
        <w:pStyle w:val="2"/>
        <w:rPr>
          <w:rFonts w:hint="eastAsia"/>
        </w:rPr>
      </w:pPr>
      <w:r>
        <w:rPr>
          <w:rFonts w:hint="eastAsia"/>
        </w:rPr>
        <w:t xml:space="preserve">respectively. Most hospitalizations were short, with stays lasting ≥3 days </w:t>
      </w:r>
    </w:p>
    <w:p w14:paraId="6985A6B7">
      <w:pPr>
        <w:pStyle w:val="2"/>
        <w:rPr>
          <w:rFonts w:hint="eastAsia"/>
        </w:rPr>
      </w:pPr>
      <w:r>
        <w:rPr>
          <w:rFonts w:hint="eastAsia"/>
        </w:rPr>
        <w:t xml:space="preserve">occurring slightly less frequently among BCG-vaccinated than unvaccinated </w:t>
      </w:r>
    </w:p>
    <w:p w14:paraId="49E7D2AF">
      <w:pPr>
        <w:pStyle w:val="2"/>
        <w:rPr>
          <w:rFonts w:hint="eastAsia"/>
        </w:rPr>
      </w:pPr>
      <w:r>
        <w:rPr>
          <w:rFonts w:hint="eastAsia"/>
        </w:rPr>
        <w:t>children (7.1% vs 8.0%).</w:t>
      </w:r>
    </w:p>
    <w:p w14:paraId="197CB294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BCG vaccination was associated with a lower hazard of first </w:t>
      </w:r>
    </w:p>
    <w:p w14:paraId="7E731B97">
      <w:pPr>
        <w:pStyle w:val="2"/>
        <w:rPr>
          <w:rFonts w:hint="eastAsia"/>
        </w:rPr>
      </w:pPr>
      <w:r>
        <w:rPr>
          <w:rFonts w:hint="eastAsia"/>
        </w:rPr>
        <w:t xml:space="preserve">hospitalization in this setting, particularly among children vaccinated during </w:t>
      </w:r>
    </w:p>
    <w:p w14:paraId="2C4333E6">
      <w:pPr>
        <w:pStyle w:val="2"/>
        <w:rPr>
          <w:rFonts w:hint="eastAsia"/>
        </w:rPr>
      </w:pPr>
      <w:r>
        <w:rPr>
          <w:rFonts w:hint="eastAsia"/>
        </w:rPr>
        <w:t xml:space="preserve">early infancy. However, given the observational design and the selective </w:t>
      </w:r>
    </w:p>
    <w:p w14:paraId="2FE42844">
      <w:pPr>
        <w:pStyle w:val="2"/>
        <w:rPr>
          <w:rFonts w:hint="eastAsia"/>
        </w:rPr>
      </w:pPr>
      <w:r>
        <w:rPr>
          <w:rFonts w:hint="eastAsia"/>
        </w:rPr>
        <w:t xml:space="preserve">vaccination strategy implemented after 2016, these associations should not be </w:t>
      </w:r>
    </w:p>
    <w:p w14:paraId="40151918">
      <w:pPr>
        <w:pStyle w:val="2"/>
        <w:rPr>
          <w:rFonts w:hint="eastAsia"/>
        </w:rPr>
      </w:pPr>
      <w:r>
        <w:rPr>
          <w:rFonts w:hint="eastAsia"/>
        </w:rPr>
        <w:t xml:space="preserve">interpreted as evidence of a causal protective effect. The variation in effect </w:t>
      </w:r>
    </w:p>
    <w:p w14:paraId="1C337487">
      <w:pPr>
        <w:pStyle w:val="2"/>
        <w:rPr>
          <w:rFonts w:hint="eastAsia"/>
        </w:rPr>
      </w:pPr>
      <w:r>
        <w:rPr>
          <w:rFonts w:hint="eastAsia"/>
        </w:rPr>
        <w:t xml:space="preserve">estimates according to age at vaccination and hospitalization outcome highlights </w:t>
      </w:r>
    </w:p>
    <w:p w14:paraId="207986D0">
      <w:pPr>
        <w:pStyle w:val="2"/>
        <w:rPr>
          <w:rFonts w:hint="eastAsia"/>
        </w:rPr>
      </w:pPr>
      <w:r>
        <w:rPr>
          <w:rFonts w:hint="eastAsia"/>
        </w:rPr>
        <w:t xml:space="preserve">the potential influence of contextual factors, healthcare utilization, and </w:t>
      </w:r>
    </w:p>
    <w:p w14:paraId="4C656943">
      <w:pPr>
        <w:pStyle w:val="2"/>
        <w:rPr>
          <w:rFonts w:hint="eastAsia"/>
        </w:rPr>
      </w:pPr>
      <w:r>
        <w:rPr>
          <w:rFonts w:hint="eastAsia"/>
        </w:rPr>
        <w:t>residual confounding.</w:t>
      </w:r>
    </w:p>
    <w:p w14:paraId="2227DDDA">
      <w:pPr>
        <w:pStyle w:val="2"/>
        <w:rPr>
          <w:rFonts w:hint="eastAsia"/>
        </w:rPr>
      </w:pPr>
    </w:p>
    <w:p w14:paraId="785D6EBF">
      <w:pPr>
        <w:pStyle w:val="2"/>
        <w:rPr>
          <w:rFonts w:hint="eastAsia"/>
        </w:rPr>
      </w:pPr>
      <w:r>
        <w:rPr>
          <w:rFonts w:hint="eastAsia"/>
        </w:rPr>
        <w:t>DOI: 10.2196/103278</w:t>
      </w:r>
    </w:p>
    <w:p w14:paraId="77A54E0D">
      <w:pPr>
        <w:pStyle w:val="2"/>
        <w:rPr>
          <w:rFonts w:hint="eastAsia"/>
        </w:rPr>
      </w:pPr>
      <w:r>
        <w:rPr>
          <w:rFonts w:hint="eastAsia"/>
        </w:rPr>
        <w:t>PMID: 42872403</w:t>
      </w:r>
    </w:p>
    <w:p w14:paraId="23C25E10">
      <w:pPr>
        <w:pStyle w:val="2"/>
        <w:rPr>
          <w:rFonts w:hint="eastAsia"/>
        </w:rPr>
      </w:pPr>
    </w:p>
    <w:p w14:paraId="65E1AA3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26</w:t>
      </w:r>
      <w:r>
        <w:rPr>
          <w:rFonts w:hint="eastAsia"/>
          <w:b/>
          <w:bCs/>
          <w:color w:val="FF0000"/>
        </w:rPr>
        <w:t xml:space="preserve">. Open Forum Infect Dis. 2026 Oct 13;13(10):ofag595. doi: 10.1093/ofid/ofag595. </w:t>
      </w:r>
    </w:p>
    <w:p w14:paraId="63687CD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4F056CE3">
      <w:pPr>
        <w:pStyle w:val="2"/>
        <w:rPr>
          <w:rFonts w:hint="eastAsia"/>
        </w:rPr>
      </w:pPr>
    </w:p>
    <w:p w14:paraId="597EB7F3">
      <w:pPr>
        <w:pStyle w:val="2"/>
        <w:rPr>
          <w:rFonts w:hint="eastAsia"/>
        </w:rPr>
      </w:pPr>
      <w:r>
        <w:rPr>
          <w:rFonts w:hint="eastAsia"/>
        </w:rPr>
        <w:t xml:space="preserve">High Initiation but Suboptimal Completion of Tuberculosis-Preventive Treatment </w:t>
      </w:r>
    </w:p>
    <w:p w14:paraId="6CA52DE0">
      <w:pPr>
        <w:pStyle w:val="2"/>
        <w:rPr>
          <w:rFonts w:hint="eastAsia"/>
        </w:rPr>
      </w:pPr>
      <w:r>
        <w:rPr>
          <w:rFonts w:hint="eastAsia"/>
        </w:rPr>
        <w:t xml:space="preserve">Among People Living With HIV on Antiretroviral Therapy, Persistent Tuberculosis </w:t>
      </w:r>
    </w:p>
    <w:p w14:paraId="22788372">
      <w:pPr>
        <w:pStyle w:val="2"/>
        <w:rPr>
          <w:rFonts w:hint="eastAsia"/>
        </w:rPr>
      </w:pPr>
      <w:r>
        <w:rPr>
          <w:rFonts w:hint="eastAsia"/>
        </w:rPr>
        <w:t xml:space="preserve">Incidence, and Programmatic Implications: Findings From a 2-Year Multicountry </w:t>
      </w:r>
    </w:p>
    <w:p w14:paraId="3CBAD618">
      <w:pPr>
        <w:pStyle w:val="2"/>
        <w:rPr>
          <w:rFonts w:hint="eastAsia"/>
        </w:rPr>
      </w:pPr>
      <w:r>
        <w:rPr>
          <w:rFonts w:hint="eastAsia"/>
        </w:rPr>
        <w:t>Cohort Study.</w:t>
      </w:r>
    </w:p>
    <w:p w14:paraId="072ACD9D">
      <w:pPr>
        <w:pStyle w:val="2"/>
        <w:rPr>
          <w:rFonts w:hint="eastAsia"/>
        </w:rPr>
      </w:pPr>
    </w:p>
    <w:p w14:paraId="5DF6B1F4">
      <w:pPr>
        <w:pStyle w:val="2"/>
        <w:rPr>
          <w:rFonts w:hint="eastAsia"/>
        </w:rPr>
      </w:pPr>
      <w:r>
        <w:rPr>
          <w:rFonts w:hint="eastAsia"/>
        </w:rPr>
        <w:t xml:space="preserve">Chimoyi L(1), Ginindza S(1), Nonyane BAS(2), Mulder C(3), Bedru A(4), Kawaza </w:t>
      </w:r>
    </w:p>
    <w:p w14:paraId="30FA5F61">
      <w:pPr>
        <w:pStyle w:val="2"/>
        <w:rPr>
          <w:rFonts w:hint="eastAsia"/>
        </w:rPr>
      </w:pPr>
      <w:r>
        <w:rPr>
          <w:rFonts w:hint="eastAsia"/>
        </w:rPr>
        <w:t xml:space="preserve">N(5), Golub JE(2), Shearer K(2), Kennar A(2), Mvusi L(6), Vilakazi-Nhlapo K(6), </w:t>
      </w:r>
    </w:p>
    <w:p w14:paraId="095491ED">
      <w:pPr>
        <w:pStyle w:val="2"/>
        <w:rPr>
          <w:rFonts w:hint="eastAsia"/>
        </w:rPr>
      </w:pPr>
      <w:r>
        <w:rPr>
          <w:rFonts w:hint="eastAsia"/>
        </w:rPr>
        <w:t xml:space="preserve">Apollo T(7), Ncube M(7), Gwanzura C(7), Bisa G(8), Gadissa D(4), Mabuto T(1), </w:t>
      </w:r>
    </w:p>
    <w:p w14:paraId="5BECF93E">
      <w:pPr>
        <w:pStyle w:val="2"/>
        <w:rPr>
          <w:rFonts w:hint="eastAsia"/>
        </w:rPr>
      </w:pPr>
      <w:r>
        <w:rPr>
          <w:rFonts w:hint="eastAsia"/>
        </w:rPr>
        <w:t xml:space="preserve">Tsope L(1), Rabothata I(1), Ntombela N(1), Sithole K(5), Sisay S(4), Makgabo </w:t>
      </w:r>
    </w:p>
    <w:p w14:paraId="2703FFC9">
      <w:pPr>
        <w:pStyle w:val="2"/>
        <w:rPr>
          <w:rFonts w:hint="eastAsia"/>
        </w:rPr>
      </w:pPr>
      <w:r>
        <w:rPr>
          <w:rFonts w:hint="eastAsia"/>
        </w:rPr>
        <w:t xml:space="preserve">M(1), Chaisson RE(2), Churchyard G(1)(9)(10), Hoffmann CJ(1)(2), Chihota </w:t>
      </w:r>
    </w:p>
    <w:p w14:paraId="75089726">
      <w:pPr>
        <w:pStyle w:val="2"/>
        <w:rPr>
          <w:rFonts w:hint="eastAsia"/>
        </w:rPr>
      </w:pPr>
      <w:r>
        <w:rPr>
          <w:rFonts w:hint="eastAsia"/>
        </w:rPr>
        <w:t>V(1)(9)(10).</w:t>
      </w:r>
    </w:p>
    <w:p w14:paraId="29882087">
      <w:pPr>
        <w:pStyle w:val="2"/>
        <w:rPr>
          <w:rFonts w:hint="eastAsia"/>
        </w:rPr>
      </w:pPr>
    </w:p>
    <w:p w14:paraId="2771E63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69FD4AA">
      <w:pPr>
        <w:pStyle w:val="2"/>
        <w:rPr>
          <w:rFonts w:hint="eastAsia"/>
        </w:rPr>
      </w:pPr>
      <w:r>
        <w:rPr>
          <w:rFonts w:hint="eastAsia"/>
        </w:rPr>
        <w:t>(1)Implementation Research Division, The Aurum Institute, Isando, South Africa.</w:t>
      </w:r>
    </w:p>
    <w:p w14:paraId="237DAA8C">
      <w:pPr>
        <w:pStyle w:val="2"/>
        <w:rPr>
          <w:rFonts w:hint="eastAsia"/>
        </w:rPr>
      </w:pPr>
      <w:r>
        <w:rPr>
          <w:rFonts w:hint="eastAsia"/>
        </w:rPr>
        <w:t xml:space="preserve">(2)Center for Tuberculosis Research, Johns Hopkins University, Baltimore, </w:t>
      </w:r>
    </w:p>
    <w:p w14:paraId="09A05F48">
      <w:pPr>
        <w:pStyle w:val="2"/>
        <w:rPr>
          <w:rFonts w:hint="eastAsia"/>
        </w:rPr>
      </w:pPr>
      <w:r>
        <w:rPr>
          <w:rFonts w:hint="eastAsia"/>
        </w:rPr>
        <w:t>Maryland, USA.</w:t>
      </w:r>
    </w:p>
    <w:p w14:paraId="6035BA96">
      <w:pPr>
        <w:pStyle w:val="2"/>
        <w:rPr>
          <w:rFonts w:hint="eastAsia"/>
        </w:rPr>
      </w:pPr>
      <w:r>
        <w:rPr>
          <w:rFonts w:hint="eastAsia"/>
        </w:rPr>
        <w:t xml:space="preserve">(3)Department of TB Elimination and Health System Innovations, KNCV Tuberculosis </w:t>
      </w:r>
    </w:p>
    <w:p w14:paraId="11A25CAD">
      <w:pPr>
        <w:pStyle w:val="2"/>
        <w:rPr>
          <w:rFonts w:hint="eastAsia"/>
        </w:rPr>
      </w:pPr>
      <w:r>
        <w:rPr>
          <w:rFonts w:hint="eastAsia"/>
        </w:rPr>
        <w:t>Plus, The Hague, the Netherlands.</w:t>
      </w:r>
    </w:p>
    <w:p w14:paraId="067E037C">
      <w:pPr>
        <w:pStyle w:val="2"/>
        <w:rPr>
          <w:rFonts w:hint="eastAsia"/>
        </w:rPr>
      </w:pPr>
      <w:r>
        <w:rPr>
          <w:rFonts w:hint="eastAsia"/>
        </w:rPr>
        <w:t>(4)KNCV Tuberculosis Plus, Addis Ababa, Ethiopia.</w:t>
      </w:r>
    </w:p>
    <w:p w14:paraId="77EBCE4A">
      <w:pPr>
        <w:pStyle w:val="2"/>
        <w:rPr>
          <w:rFonts w:hint="eastAsia"/>
        </w:rPr>
      </w:pPr>
      <w:r>
        <w:rPr>
          <w:rFonts w:hint="eastAsia"/>
        </w:rPr>
        <w:t>(5)TB/HIV Department, Clinton Health Access Initiative, Harare, Zimbabwe.</w:t>
      </w:r>
    </w:p>
    <w:p w14:paraId="7A039A55">
      <w:pPr>
        <w:pStyle w:val="2"/>
        <w:rPr>
          <w:rFonts w:hint="eastAsia"/>
        </w:rPr>
      </w:pPr>
      <w:r>
        <w:rPr>
          <w:rFonts w:hint="eastAsia"/>
        </w:rPr>
        <w:t>(6)TB Cluster, National Department of Health, Pretoria, South Africa.</w:t>
      </w:r>
    </w:p>
    <w:p w14:paraId="069A004A">
      <w:pPr>
        <w:pStyle w:val="2"/>
        <w:rPr>
          <w:rFonts w:hint="eastAsia"/>
        </w:rPr>
      </w:pPr>
      <w:r>
        <w:rPr>
          <w:rFonts w:hint="eastAsia"/>
        </w:rPr>
        <w:t xml:space="preserve">(7)National TB and Leprosy Program, Ministry of Health and Child Care, Harare, </w:t>
      </w:r>
    </w:p>
    <w:p w14:paraId="3DD7CE4C">
      <w:pPr>
        <w:pStyle w:val="2"/>
        <w:rPr>
          <w:rFonts w:hint="eastAsia"/>
        </w:rPr>
      </w:pPr>
      <w:r>
        <w:rPr>
          <w:rFonts w:hint="eastAsia"/>
        </w:rPr>
        <w:t>Zimbabwe.</w:t>
      </w:r>
    </w:p>
    <w:p w14:paraId="4BFA2AB4">
      <w:pPr>
        <w:pStyle w:val="2"/>
        <w:rPr>
          <w:rFonts w:hint="eastAsia"/>
        </w:rPr>
      </w:pPr>
      <w:r>
        <w:rPr>
          <w:rFonts w:hint="eastAsia"/>
        </w:rPr>
        <w:t>(8)Addis Ababa Health Bureau, Addis Ababa, Ethiopia.</w:t>
      </w:r>
    </w:p>
    <w:p w14:paraId="09D7A218">
      <w:pPr>
        <w:pStyle w:val="2"/>
        <w:rPr>
          <w:rFonts w:hint="eastAsia"/>
        </w:rPr>
      </w:pPr>
      <w:r>
        <w:rPr>
          <w:rFonts w:hint="eastAsia"/>
        </w:rPr>
        <w:t xml:space="preserve">(9)School of Public Health, University of the Witwatersrand, Johannesburg, South </w:t>
      </w:r>
    </w:p>
    <w:p w14:paraId="7E1FC456">
      <w:pPr>
        <w:pStyle w:val="2"/>
        <w:rPr>
          <w:rFonts w:hint="eastAsia"/>
        </w:rPr>
      </w:pPr>
      <w:r>
        <w:rPr>
          <w:rFonts w:hint="eastAsia"/>
        </w:rPr>
        <w:t>Africa.</w:t>
      </w:r>
    </w:p>
    <w:p w14:paraId="2D7EBFCB">
      <w:pPr>
        <w:pStyle w:val="2"/>
        <w:rPr>
          <w:rFonts w:hint="eastAsia"/>
        </w:rPr>
      </w:pPr>
      <w:r>
        <w:rPr>
          <w:rFonts w:hint="eastAsia"/>
        </w:rPr>
        <w:t xml:space="preserve">(10)Department of Medicine, Division of Infectious Diseases, Vanderbilt </w:t>
      </w:r>
    </w:p>
    <w:p w14:paraId="78238E37">
      <w:pPr>
        <w:pStyle w:val="2"/>
        <w:rPr>
          <w:rFonts w:hint="eastAsia"/>
        </w:rPr>
      </w:pPr>
      <w:r>
        <w:rPr>
          <w:rFonts w:hint="eastAsia"/>
        </w:rPr>
        <w:t>University, Nashville, Tennessee, USA.</w:t>
      </w:r>
    </w:p>
    <w:p w14:paraId="25C8313B">
      <w:pPr>
        <w:pStyle w:val="2"/>
        <w:rPr>
          <w:rFonts w:hint="eastAsia"/>
        </w:rPr>
      </w:pPr>
    </w:p>
    <w:p w14:paraId="2AC2F65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Tuberculosis-preventive treatment (TPT) is recommended for those at </w:t>
      </w:r>
    </w:p>
    <w:p w14:paraId="4880C17E">
      <w:pPr>
        <w:pStyle w:val="2"/>
        <w:rPr>
          <w:rFonts w:hint="eastAsia"/>
        </w:rPr>
      </w:pPr>
      <w:r>
        <w:rPr>
          <w:rFonts w:hint="eastAsia"/>
        </w:rPr>
        <w:t xml:space="preserve">risk of tuberculosis, but despite encouraging trial data, evidence of its </w:t>
      </w:r>
    </w:p>
    <w:p w14:paraId="5EC1999F">
      <w:pPr>
        <w:pStyle w:val="2"/>
        <w:rPr>
          <w:rFonts w:hint="eastAsia"/>
        </w:rPr>
      </w:pPr>
      <w:r>
        <w:rPr>
          <w:rFonts w:hint="eastAsia"/>
        </w:rPr>
        <w:t xml:space="preserve">effectiveness from routine settings with diverse TPT regimens is limited. We </w:t>
      </w:r>
    </w:p>
    <w:p w14:paraId="3FB6F28A">
      <w:pPr>
        <w:pStyle w:val="2"/>
        <w:rPr>
          <w:rFonts w:hint="eastAsia"/>
        </w:rPr>
      </w:pPr>
      <w:r>
        <w:rPr>
          <w:rFonts w:hint="eastAsia"/>
        </w:rPr>
        <w:t xml:space="preserve">describe routine TPT implementation outcomes in people living with human </w:t>
      </w:r>
    </w:p>
    <w:p w14:paraId="374E4A34">
      <w:pPr>
        <w:pStyle w:val="2"/>
        <w:rPr>
          <w:rFonts w:hint="eastAsia"/>
        </w:rPr>
      </w:pPr>
      <w:r>
        <w:rPr>
          <w:rFonts w:hint="eastAsia"/>
        </w:rPr>
        <w:t xml:space="preserve">immunodeficiency virus (HIV; PLWH) to identify bottlenecks and opportunities for </w:t>
      </w:r>
    </w:p>
    <w:p w14:paraId="45CDB9F9">
      <w:pPr>
        <w:pStyle w:val="2"/>
        <w:rPr>
          <w:rFonts w:hint="eastAsia"/>
        </w:rPr>
      </w:pPr>
      <w:r>
        <w:rPr>
          <w:rFonts w:hint="eastAsia"/>
        </w:rPr>
        <w:t>improvement along the cascade of care.</w:t>
      </w:r>
    </w:p>
    <w:p w14:paraId="6177F6D9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From 2021-2023, we conducted a 24-month prospective cohort study of </w:t>
      </w:r>
    </w:p>
    <w:p w14:paraId="0CE5100A">
      <w:pPr>
        <w:pStyle w:val="2"/>
        <w:rPr>
          <w:rFonts w:hint="eastAsia"/>
        </w:rPr>
      </w:pPr>
      <w:r>
        <w:rPr>
          <w:rFonts w:hint="eastAsia"/>
        </w:rPr>
        <w:t xml:space="preserve">PLWH facilities in Ethiopia, South Africa and Zimbabwe. Sociodemographic and </w:t>
      </w:r>
    </w:p>
    <w:p w14:paraId="7BE94ED5">
      <w:pPr>
        <w:pStyle w:val="2"/>
        <w:rPr>
          <w:rFonts w:hint="eastAsia"/>
        </w:rPr>
      </w:pPr>
      <w:r>
        <w:rPr>
          <w:rFonts w:hint="eastAsia"/>
        </w:rPr>
        <w:t xml:space="preserve">clinical data were collected at enrollment. During follow-up, we collected TPT </w:t>
      </w:r>
    </w:p>
    <w:p w14:paraId="6F8B7A8C">
      <w:pPr>
        <w:pStyle w:val="2"/>
        <w:rPr>
          <w:rFonts w:hint="eastAsia"/>
        </w:rPr>
      </w:pPr>
      <w:r>
        <w:rPr>
          <w:rFonts w:hint="eastAsia"/>
        </w:rPr>
        <w:t xml:space="preserve">initiation, TPT-related adverse effects, and completion data. A subgroup was </w:t>
      </w:r>
    </w:p>
    <w:p w14:paraId="7AA50B26">
      <w:pPr>
        <w:pStyle w:val="2"/>
        <w:rPr>
          <w:rFonts w:hint="eastAsia"/>
        </w:rPr>
      </w:pPr>
      <w:r>
        <w:rPr>
          <w:rFonts w:hint="eastAsia"/>
        </w:rPr>
        <w:t xml:space="preserve">allocated digital boxes as a proxy measure for assessing treatment completion. </w:t>
      </w:r>
    </w:p>
    <w:p w14:paraId="4BEE44D1">
      <w:pPr>
        <w:pStyle w:val="2"/>
        <w:rPr>
          <w:rFonts w:hint="eastAsia"/>
        </w:rPr>
      </w:pPr>
      <w:r>
        <w:rPr>
          <w:rFonts w:hint="eastAsia"/>
        </w:rPr>
        <w:t xml:space="preserve">Tuberculosis diagnoses were confirmed from clinic records or symptom agnostic </w:t>
      </w:r>
    </w:p>
    <w:p w14:paraId="5FF1D16E">
      <w:pPr>
        <w:pStyle w:val="2"/>
        <w:rPr>
          <w:rFonts w:hint="eastAsia"/>
        </w:rPr>
      </w:pPr>
      <w:r>
        <w:rPr>
          <w:rFonts w:hint="eastAsia"/>
        </w:rPr>
        <w:t xml:space="preserve">sputum testing using Xpert MTB/RIF assay and mycobacteria growth indicator tube </w:t>
      </w:r>
    </w:p>
    <w:p w14:paraId="25DA7C8F">
      <w:pPr>
        <w:pStyle w:val="2"/>
        <w:rPr>
          <w:rFonts w:hint="eastAsia"/>
        </w:rPr>
      </w:pPr>
      <w:r>
        <w:rPr>
          <w:rFonts w:hint="eastAsia"/>
        </w:rPr>
        <w:t>(MGIT) culture at 12- and 24 months after enrollment.</w:t>
      </w:r>
    </w:p>
    <w:p w14:paraId="7AAC90B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We enrolled 2095 participants, mostly female (n = 1489 [71.1%]), with a </w:t>
      </w:r>
    </w:p>
    <w:p w14:paraId="10E8C0D2">
      <w:pPr>
        <w:pStyle w:val="2"/>
        <w:rPr>
          <w:rFonts w:hint="eastAsia"/>
        </w:rPr>
      </w:pPr>
      <w:r>
        <w:rPr>
          <w:rFonts w:hint="eastAsia"/>
        </w:rPr>
        <w:t xml:space="preserve">median age of 42 years (interquartile range, 35-50 years). Approximately 60% (n </w:t>
      </w:r>
    </w:p>
    <w:p w14:paraId="13FC2939">
      <w:pPr>
        <w:pStyle w:val="2"/>
        <w:rPr>
          <w:rFonts w:hint="eastAsia"/>
        </w:rPr>
      </w:pPr>
      <w:r>
        <w:rPr>
          <w:rFonts w:hint="eastAsia"/>
        </w:rPr>
        <w:t xml:space="preserve">= 1312) were considered eligible for TPT, and 1110 (84.6%) initiated TPT within </w:t>
      </w:r>
    </w:p>
    <w:p w14:paraId="661CCA4F">
      <w:pPr>
        <w:pStyle w:val="2"/>
        <w:rPr>
          <w:rFonts w:hint="eastAsia"/>
        </w:rPr>
      </w:pPr>
      <w:r>
        <w:rPr>
          <w:rFonts w:hint="eastAsia"/>
        </w:rPr>
        <w:t xml:space="preserve">60 days of antiretroviral therapy initiation or refill during follow-up </w:t>
      </w:r>
    </w:p>
    <w:p w14:paraId="7A21280B">
      <w:pPr>
        <w:pStyle w:val="2"/>
        <w:rPr>
          <w:rFonts w:hint="eastAsia"/>
        </w:rPr>
      </w:pPr>
      <w:r>
        <w:rPr>
          <w:rFonts w:hint="eastAsia"/>
        </w:rPr>
        <w:t xml:space="preserve">(rifapentine and isoniazid [3HP] in 625 and 6 or 12 months of isoniazid [6H/12H] </w:t>
      </w:r>
    </w:p>
    <w:p w14:paraId="2F36AE44">
      <w:pPr>
        <w:pStyle w:val="2"/>
        <w:rPr>
          <w:rFonts w:hint="eastAsia"/>
        </w:rPr>
      </w:pPr>
      <w:r>
        <w:rPr>
          <w:rFonts w:hint="eastAsia"/>
        </w:rPr>
        <w:t xml:space="preserve">in 487). TPT was completed in 55.4% (406 of 733). Mild symptoms compatible with </w:t>
      </w:r>
    </w:p>
    <w:p w14:paraId="7CA85EB9">
      <w:pPr>
        <w:pStyle w:val="2"/>
        <w:rPr>
          <w:rFonts w:hint="eastAsia"/>
        </w:rPr>
      </w:pPr>
      <w:r>
        <w:rPr>
          <w:rFonts w:hint="eastAsia"/>
        </w:rPr>
        <w:t xml:space="preserve">TPT adverse effects were commonly reported in 3HP versus 6H/12H (190 [31.0%] vs </w:t>
      </w:r>
    </w:p>
    <w:p w14:paraId="634EE8A5">
      <w:pPr>
        <w:pStyle w:val="2"/>
        <w:rPr>
          <w:rFonts w:hint="eastAsia"/>
        </w:rPr>
      </w:pPr>
      <w:r>
        <w:rPr>
          <w:rFonts w:hint="eastAsia"/>
        </w:rPr>
        <w:t xml:space="preserve">51 [11.0%], respectively; P &lt; .001]. The tuberculosis incidence rate was </w:t>
      </w:r>
    </w:p>
    <w:p w14:paraId="4F782A61">
      <w:pPr>
        <w:pStyle w:val="2"/>
        <w:rPr>
          <w:rFonts w:hint="eastAsia"/>
        </w:rPr>
      </w:pPr>
      <w:r>
        <w:rPr>
          <w:rFonts w:hint="eastAsia"/>
        </w:rPr>
        <w:t xml:space="preserve">1.27/100 person-years (95% confidence interval, .95-1.69) during study follow-up </w:t>
      </w:r>
    </w:p>
    <w:p w14:paraId="1F005000">
      <w:pPr>
        <w:pStyle w:val="2"/>
        <w:rPr>
          <w:rFonts w:hint="eastAsia"/>
        </w:rPr>
      </w:pPr>
      <w:r>
        <w:rPr>
          <w:rFonts w:hint="eastAsia"/>
        </w:rPr>
        <w:t xml:space="preserve">in a mostly long-term antiretroviral therapy population and was lower for PLWH </w:t>
      </w:r>
    </w:p>
    <w:p w14:paraId="51372035">
      <w:pPr>
        <w:pStyle w:val="2"/>
        <w:rPr>
          <w:rFonts w:hint="eastAsia"/>
        </w:rPr>
      </w:pPr>
      <w:r>
        <w:rPr>
          <w:rFonts w:hint="eastAsia"/>
        </w:rPr>
        <w:t>who completed TPT (adjusted incidence rate ratio, 0.39 [.20-.78]; P = .01).</w:t>
      </w:r>
    </w:p>
    <w:p w14:paraId="6EE756C9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There were losses along the cascade, particularly at completion. In </w:t>
      </w:r>
    </w:p>
    <w:p w14:paraId="7B8097B4">
      <w:pPr>
        <w:pStyle w:val="2"/>
        <w:rPr>
          <w:rFonts w:hint="eastAsia"/>
        </w:rPr>
      </w:pPr>
      <w:r>
        <w:rPr>
          <w:rFonts w:hint="eastAsia"/>
        </w:rPr>
        <w:t xml:space="preserve">programmatic settings, we observed more potential mild symptoms from 3HP </w:t>
      </w:r>
    </w:p>
    <w:p w14:paraId="6A2904C7">
      <w:pPr>
        <w:pStyle w:val="2"/>
        <w:rPr>
          <w:rFonts w:hint="eastAsia"/>
        </w:rPr>
      </w:pPr>
      <w:r>
        <w:rPr>
          <w:rFonts w:hint="eastAsia"/>
        </w:rPr>
        <w:t>compared to 6H/12H use. Interventions to support TPT completion are needed.</w:t>
      </w:r>
    </w:p>
    <w:p w14:paraId="1F37428A">
      <w:pPr>
        <w:pStyle w:val="2"/>
        <w:rPr>
          <w:rFonts w:hint="eastAsia"/>
        </w:rPr>
      </w:pPr>
    </w:p>
    <w:p w14:paraId="5B1E4055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</w:t>
      </w:r>
    </w:p>
    <w:p w14:paraId="031AF9FD">
      <w:pPr>
        <w:pStyle w:val="2"/>
        <w:rPr>
          <w:rFonts w:hint="eastAsia"/>
        </w:rPr>
      </w:pPr>
      <w:r>
        <w:rPr>
          <w:rFonts w:hint="eastAsia"/>
        </w:rPr>
        <w:t>Infectious Diseases Society of America.</w:t>
      </w:r>
    </w:p>
    <w:p w14:paraId="7FE4EFB3">
      <w:pPr>
        <w:pStyle w:val="2"/>
        <w:rPr>
          <w:rFonts w:hint="eastAsia"/>
        </w:rPr>
      </w:pPr>
    </w:p>
    <w:p w14:paraId="07F8B4CD">
      <w:pPr>
        <w:pStyle w:val="2"/>
        <w:rPr>
          <w:rFonts w:hint="eastAsia"/>
        </w:rPr>
      </w:pPr>
      <w:r>
        <w:rPr>
          <w:rFonts w:hint="eastAsia"/>
        </w:rPr>
        <w:t>DOI: 10.1093/ofid/ofag595</w:t>
      </w:r>
    </w:p>
    <w:p w14:paraId="63C676D0">
      <w:pPr>
        <w:pStyle w:val="2"/>
        <w:rPr>
          <w:rFonts w:hint="eastAsia"/>
        </w:rPr>
      </w:pPr>
      <w:r>
        <w:rPr>
          <w:rFonts w:hint="eastAsia"/>
        </w:rPr>
        <w:t>PMCID: PMC13660676</w:t>
      </w:r>
    </w:p>
    <w:p w14:paraId="0E4057E3">
      <w:pPr>
        <w:pStyle w:val="2"/>
        <w:rPr>
          <w:rFonts w:hint="eastAsia"/>
        </w:rPr>
      </w:pPr>
      <w:r>
        <w:rPr>
          <w:rFonts w:hint="eastAsia"/>
        </w:rPr>
        <w:t>PMID: 42872138</w:t>
      </w:r>
    </w:p>
    <w:p w14:paraId="7CCC0D72">
      <w:pPr>
        <w:pStyle w:val="2"/>
        <w:rPr>
          <w:rFonts w:hint="eastAsia"/>
        </w:rPr>
      </w:pPr>
    </w:p>
    <w:p w14:paraId="43E75EE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27</w:t>
      </w:r>
      <w:r>
        <w:rPr>
          <w:rFonts w:hint="eastAsia"/>
          <w:b/>
          <w:bCs/>
          <w:color w:val="FF0000"/>
        </w:rPr>
        <w:t xml:space="preserve">. Case Rep Neurol Med. 2026 Oct 12;2026:9275005. doi: 10.1155/crnm/9275005. </w:t>
      </w:r>
    </w:p>
    <w:p w14:paraId="53DE87B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29256F32">
      <w:pPr>
        <w:pStyle w:val="2"/>
        <w:rPr>
          <w:rFonts w:hint="eastAsia"/>
        </w:rPr>
      </w:pPr>
    </w:p>
    <w:p w14:paraId="541AA54B">
      <w:pPr>
        <w:pStyle w:val="2"/>
        <w:rPr>
          <w:rFonts w:hint="eastAsia"/>
        </w:rPr>
      </w:pPr>
      <w:r>
        <w:rPr>
          <w:rFonts w:hint="eastAsia"/>
        </w:rPr>
        <w:t xml:space="preserve">Cerebral Manifestation of Miliary Tuberculosis Mimicking a Parasitic CNS </w:t>
      </w:r>
    </w:p>
    <w:p w14:paraId="35C2FD36">
      <w:pPr>
        <w:pStyle w:val="2"/>
        <w:rPr>
          <w:rFonts w:hint="eastAsia"/>
        </w:rPr>
      </w:pPr>
      <w:r>
        <w:rPr>
          <w:rFonts w:hint="eastAsia"/>
        </w:rPr>
        <w:t>Infection.</w:t>
      </w:r>
    </w:p>
    <w:p w14:paraId="6934A691">
      <w:pPr>
        <w:pStyle w:val="2"/>
        <w:rPr>
          <w:rFonts w:hint="eastAsia"/>
        </w:rPr>
      </w:pPr>
    </w:p>
    <w:p w14:paraId="229EEDF5">
      <w:pPr>
        <w:pStyle w:val="2"/>
        <w:rPr>
          <w:rFonts w:hint="eastAsia"/>
        </w:rPr>
      </w:pPr>
      <w:r>
        <w:rPr>
          <w:rFonts w:hint="eastAsia"/>
        </w:rPr>
        <w:t xml:space="preserve">Martens D(1)(2), Merzou F(1)(2), Schroeter N(1)(2), Garner M(3), Reith W(3), </w:t>
      </w:r>
    </w:p>
    <w:p w14:paraId="6F85A061">
      <w:pPr>
        <w:pStyle w:val="2"/>
        <w:rPr>
          <w:rFonts w:hint="eastAsia"/>
        </w:rPr>
      </w:pPr>
      <w:r>
        <w:rPr>
          <w:rFonts w:hint="eastAsia"/>
        </w:rPr>
        <w:t>Groppa S(1)(2), Winter Y(1)(2)(4).</w:t>
      </w:r>
    </w:p>
    <w:p w14:paraId="3642ADD7">
      <w:pPr>
        <w:pStyle w:val="2"/>
        <w:rPr>
          <w:rFonts w:hint="eastAsia"/>
        </w:rPr>
      </w:pPr>
    </w:p>
    <w:p w14:paraId="5918C6D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B279B16">
      <w:pPr>
        <w:pStyle w:val="2"/>
        <w:rPr>
          <w:rFonts w:hint="eastAsia"/>
        </w:rPr>
      </w:pPr>
      <w:r>
        <w:rPr>
          <w:rFonts w:hint="eastAsia"/>
        </w:rPr>
        <w:t>(1)Department of Neurology Saarland University Homburg Germany uni-saarland.de.</w:t>
      </w:r>
    </w:p>
    <w:p w14:paraId="5F3E7F90">
      <w:pPr>
        <w:pStyle w:val="2"/>
        <w:rPr>
          <w:rFonts w:hint="eastAsia"/>
        </w:rPr>
      </w:pPr>
      <w:r>
        <w:rPr>
          <w:rFonts w:hint="eastAsia"/>
        </w:rPr>
        <w:t xml:space="preserve">(2)Department of Neurology Saarland University Medical Center Homburg Germany </w:t>
      </w:r>
    </w:p>
    <w:p w14:paraId="42633C55">
      <w:pPr>
        <w:pStyle w:val="2"/>
        <w:rPr>
          <w:rFonts w:hint="eastAsia"/>
        </w:rPr>
      </w:pPr>
      <w:r>
        <w:rPr>
          <w:rFonts w:hint="eastAsia"/>
        </w:rPr>
        <w:t>uniklinikum-saarland.de.</w:t>
      </w:r>
    </w:p>
    <w:p w14:paraId="452C0514">
      <w:pPr>
        <w:pStyle w:val="2"/>
        <w:rPr>
          <w:rFonts w:hint="eastAsia"/>
        </w:rPr>
      </w:pPr>
      <w:r>
        <w:rPr>
          <w:rFonts w:hint="eastAsia"/>
        </w:rPr>
        <w:t xml:space="preserve">(3)Department of Neuroradiology Saarland University Medical Center Homburg </w:t>
      </w:r>
    </w:p>
    <w:p w14:paraId="3FCC8572">
      <w:pPr>
        <w:pStyle w:val="2"/>
        <w:rPr>
          <w:rFonts w:hint="eastAsia"/>
        </w:rPr>
      </w:pPr>
      <w:r>
        <w:rPr>
          <w:rFonts w:hint="eastAsia"/>
        </w:rPr>
        <w:t>Germany uniklinikum-saarland.de.</w:t>
      </w:r>
    </w:p>
    <w:p w14:paraId="735BC694">
      <w:pPr>
        <w:pStyle w:val="2"/>
        <w:rPr>
          <w:rFonts w:hint="eastAsia"/>
        </w:rPr>
      </w:pPr>
      <w:r>
        <w:rPr>
          <w:rFonts w:hint="eastAsia"/>
        </w:rPr>
        <w:t xml:space="preserve">(4)Department of Neurology Philipps-University Marburg Marburg Germany </w:t>
      </w:r>
    </w:p>
    <w:p w14:paraId="17A53F97">
      <w:pPr>
        <w:pStyle w:val="2"/>
        <w:rPr>
          <w:rFonts w:hint="eastAsia"/>
        </w:rPr>
      </w:pPr>
      <w:r>
        <w:rPr>
          <w:rFonts w:hint="eastAsia"/>
        </w:rPr>
        <w:t>uni-marburg.de.</w:t>
      </w:r>
    </w:p>
    <w:p w14:paraId="53CF2D46">
      <w:pPr>
        <w:pStyle w:val="2"/>
        <w:rPr>
          <w:rFonts w:hint="eastAsia"/>
        </w:rPr>
      </w:pPr>
    </w:p>
    <w:p w14:paraId="5AC3F8BC">
      <w:pPr>
        <w:pStyle w:val="2"/>
        <w:rPr>
          <w:rFonts w:hint="eastAsia"/>
        </w:rPr>
      </w:pPr>
      <w:r>
        <w:rPr>
          <w:rFonts w:hint="eastAsia"/>
        </w:rPr>
        <w:t xml:space="preserve">The neuroradiological findings of central nervous system (CNS) manifestations of </w:t>
      </w:r>
    </w:p>
    <w:p w14:paraId="4EB01B96">
      <w:pPr>
        <w:pStyle w:val="2"/>
        <w:rPr>
          <w:rFonts w:hint="eastAsia"/>
        </w:rPr>
      </w:pPr>
      <w:r>
        <w:rPr>
          <w:rFonts w:hint="eastAsia"/>
        </w:rPr>
        <w:t xml:space="preserve">miliary tuberculosis can be misinterpreted as parasitic infections due to their </w:t>
      </w:r>
    </w:p>
    <w:p w14:paraId="7E702AB2">
      <w:pPr>
        <w:pStyle w:val="2"/>
        <w:rPr>
          <w:rFonts w:hint="eastAsia"/>
        </w:rPr>
      </w:pPr>
      <w:r>
        <w:rPr>
          <w:rFonts w:hint="eastAsia"/>
        </w:rPr>
        <w:t xml:space="preserve">low prevalence in the European population. We present the case of a 30-year-old </w:t>
      </w:r>
    </w:p>
    <w:p w14:paraId="6CBC10C5">
      <w:pPr>
        <w:pStyle w:val="2"/>
        <w:rPr>
          <w:rFonts w:hint="eastAsia"/>
        </w:rPr>
      </w:pPr>
      <w:r>
        <w:rPr>
          <w:rFonts w:hint="eastAsia"/>
        </w:rPr>
        <w:t xml:space="preserve">woman in whom CNS tuberculosis was initially misdiagnosed as a parasitic </w:t>
      </w:r>
    </w:p>
    <w:p w14:paraId="1FD0B909">
      <w:pPr>
        <w:pStyle w:val="2"/>
        <w:rPr>
          <w:rFonts w:hint="eastAsia"/>
        </w:rPr>
      </w:pPr>
      <w:r>
        <w:rPr>
          <w:rFonts w:hint="eastAsia"/>
        </w:rPr>
        <w:t xml:space="preserve">infection due to the absence of pulmonary symptoms. She immigrated to Germany </w:t>
      </w:r>
    </w:p>
    <w:p w14:paraId="3BCBF9C5">
      <w:pPr>
        <w:pStyle w:val="2"/>
        <w:rPr>
          <w:rFonts w:hint="eastAsia"/>
        </w:rPr>
      </w:pPr>
      <w:r>
        <w:rPr>
          <w:rFonts w:hint="eastAsia"/>
        </w:rPr>
        <w:t xml:space="preserve">from Madagascar and had lived in Europe for 14 months by the time she presented </w:t>
      </w:r>
    </w:p>
    <w:p w14:paraId="1D97A493">
      <w:pPr>
        <w:pStyle w:val="2"/>
        <w:rPr>
          <w:rFonts w:hint="eastAsia"/>
        </w:rPr>
      </w:pPr>
      <w:r>
        <w:rPr>
          <w:rFonts w:hint="eastAsia"/>
        </w:rPr>
        <w:t xml:space="preserve">to our department with an incidental MRI finding suggestive of a manifestation </w:t>
      </w:r>
    </w:p>
    <w:p w14:paraId="3D2B6F22">
      <w:pPr>
        <w:pStyle w:val="2"/>
        <w:rPr>
          <w:rFonts w:hint="eastAsia"/>
        </w:rPr>
      </w:pPr>
      <w:r>
        <w:rPr>
          <w:rFonts w:hint="eastAsia"/>
        </w:rPr>
        <w:t xml:space="preserve">of toxoplasmosis. The T1-weighted axial brain MRI scan revealed multifocal, </w:t>
      </w:r>
    </w:p>
    <w:p w14:paraId="78543962">
      <w:pPr>
        <w:pStyle w:val="2"/>
        <w:rPr>
          <w:rFonts w:hint="eastAsia"/>
        </w:rPr>
      </w:pPr>
      <w:r>
        <w:rPr>
          <w:rFonts w:hint="eastAsia"/>
        </w:rPr>
        <w:t xml:space="preserve">rim-enhancing lesions that were suggestive of parasitic infection. Following a </w:t>
      </w:r>
    </w:p>
    <w:p w14:paraId="29C142E0">
      <w:pPr>
        <w:pStyle w:val="2"/>
        <w:rPr>
          <w:rFonts w:hint="eastAsia"/>
        </w:rPr>
      </w:pPr>
      <w:r>
        <w:rPr>
          <w:rFonts w:hint="eastAsia"/>
        </w:rPr>
        <w:t xml:space="preserve">chest CT scan that revealed miliary tuberculosis, the diagnosis was revised to </w:t>
      </w:r>
    </w:p>
    <w:p w14:paraId="76FD9EEB">
      <w:pPr>
        <w:pStyle w:val="2"/>
        <w:rPr>
          <w:rFonts w:hint="eastAsia"/>
        </w:rPr>
      </w:pPr>
      <w:r>
        <w:rPr>
          <w:rFonts w:hint="eastAsia"/>
        </w:rPr>
        <w:t xml:space="preserve">neurotuberculosis. This was confirmed by a polymerase chain reaction (PCR) that </w:t>
      </w:r>
    </w:p>
    <w:p w14:paraId="773C866C">
      <w:pPr>
        <w:pStyle w:val="2"/>
        <w:rPr>
          <w:rFonts w:hint="eastAsia"/>
        </w:rPr>
      </w:pPr>
      <w:r>
        <w:rPr>
          <w:rFonts w:hint="eastAsia"/>
        </w:rPr>
        <w:t xml:space="preserve">detected the Mycobacterium tuberculosis complex in the sputum sample. The </w:t>
      </w:r>
    </w:p>
    <w:p w14:paraId="75D5A8C0">
      <w:pPr>
        <w:pStyle w:val="2"/>
        <w:rPr>
          <w:rFonts w:hint="eastAsia"/>
        </w:rPr>
      </w:pPr>
      <w:r>
        <w:rPr>
          <w:rFonts w:hint="eastAsia"/>
        </w:rPr>
        <w:t xml:space="preserve">patient achieved remission following 12 months of antituberculosis therapy. In </w:t>
      </w:r>
    </w:p>
    <w:p w14:paraId="2BB807BC">
      <w:pPr>
        <w:pStyle w:val="2"/>
        <w:rPr>
          <w:rFonts w:hint="eastAsia"/>
        </w:rPr>
      </w:pPr>
      <w:r>
        <w:rPr>
          <w:rFonts w:hint="eastAsia"/>
        </w:rPr>
        <w:t xml:space="preserve">conclusion, neurotuberculosis should be considered in the differential diagnosis </w:t>
      </w:r>
    </w:p>
    <w:p w14:paraId="6D49F02A">
      <w:pPr>
        <w:pStyle w:val="2"/>
        <w:rPr>
          <w:rFonts w:hint="eastAsia"/>
        </w:rPr>
      </w:pPr>
      <w:r>
        <w:rPr>
          <w:rFonts w:hint="eastAsia"/>
        </w:rPr>
        <w:t xml:space="preserve">of infections presenting with multifocal CNS manifestations on neuroimaging </w:t>
      </w:r>
    </w:p>
    <w:p w14:paraId="7DEFCF99">
      <w:pPr>
        <w:pStyle w:val="2"/>
        <w:rPr>
          <w:rFonts w:hint="eastAsia"/>
        </w:rPr>
      </w:pPr>
      <w:r>
        <w:rPr>
          <w:rFonts w:hint="eastAsia"/>
        </w:rPr>
        <w:t>scans in European patients, particularly those with a migration background.</w:t>
      </w:r>
    </w:p>
    <w:p w14:paraId="52AF6006">
      <w:pPr>
        <w:pStyle w:val="2"/>
        <w:rPr>
          <w:rFonts w:hint="eastAsia"/>
        </w:rPr>
      </w:pPr>
    </w:p>
    <w:p w14:paraId="10753564">
      <w:pPr>
        <w:pStyle w:val="2"/>
        <w:rPr>
          <w:rFonts w:hint="eastAsia"/>
        </w:rPr>
      </w:pPr>
      <w:r>
        <w:rPr>
          <w:rFonts w:hint="eastAsia"/>
        </w:rPr>
        <w:t xml:space="preserve">Copyright © 2026 Daniel Martens et al. Case Reports in Neurological Medicine </w:t>
      </w:r>
    </w:p>
    <w:p w14:paraId="2943579B">
      <w:pPr>
        <w:pStyle w:val="2"/>
        <w:rPr>
          <w:rFonts w:hint="eastAsia"/>
        </w:rPr>
      </w:pPr>
      <w:r>
        <w:rPr>
          <w:rFonts w:hint="eastAsia"/>
        </w:rPr>
        <w:t>published by John Wiley &amp; Sons Ltd.</w:t>
      </w:r>
    </w:p>
    <w:p w14:paraId="2DAEE608">
      <w:pPr>
        <w:pStyle w:val="2"/>
        <w:rPr>
          <w:rFonts w:hint="eastAsia"/>
        </w:rPr>
      </w:pPr>
    </w:p>
    <w:p w14:paraId="57F580E3">
      <w:pPr>
        <w:pStyle w:val="2"/>
        <w:rPr>
          <w:rFonts w:hint="eastAsia"/>
        </w:rPr>
      </w:pPr>
      <w:r>
        <w:rPr>
          <w:rFonts w:hint="eastAsia"/>
        </w:rPr>
        <w:t>DOI: 10.1155/crnm/9275005</w:t>
      </w:r>
    </w:p>
    <w:p w14:paraId="7DF87963">
      <w:pPr>
        <w:pStyle w:val="2"/>
        <w:rPr>
          <w:rFonts w:hint="eastAsia"/>
        </w:rPr>
      </w:pPr>
      <w:r>
        <w:rPr>
          <w:rFonts w:hint="eastAsia"/>
        </w:rPr>
        <w:t>PMCID: PMC13659059</w:t>
      </w:r>
    </w:p>
    <w:p w14:paraId="68647543">
      <w:pPr>
        <w:pStyle w:val="2"/>
        <w:rPr>
          <w:rFonts w:hint="eastAsia"/>
        </w:rPr>
      </w:pPr>
      <w:r>
        <w:rPr>
          <w:rFonts w:hint="eastAsia"/>
        </w:rPr>
        <w:t>PMID: 42871258</w:t>
      </w:r>
    </w:p>
    <w:p w14:paraId="194D6E18">
      <w:pPr>
        <w:pStyle w:val="2"/>
        <w:rPr>
          <w:rFonts w:hint="eastAsia"/>
        </w:rPr>
      </w:pPr>
    </w:p>
    <w:p w14:paraId="797935B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28</w:t>
      </w:r>
      <w:r>
        <w:rPr>
          <w:rFonts w:hint="eastAsia"/>
          <w:b/>
          <w:bCs/>
          <w:color w:val="FF0000"/>
        </w:rPr>
        <w:t>. Infect Dis Poverty. 2026 Oct 13;15(1):109. doi: 10.1186/s40249-026-01503-z.</w:t>
      </w:r>
    </w:p>
    <w:p w14:paraId="1A7865FD">
      <w:pPr>
        <w:pStyle w:val="2"/>
        <w:rPr>
          <w:rFonts w:hint="eastAsia"/>
        </w:rPr>
      </w:pPr>
    </w:p>
    <w:p w14:paraId="368D3B12">
      <w:pPr>
        <w:pStyle w:val="2"/>
        <w:rPr>
          <w:rFonts w:hint="eastAsia"/>
        </w:rPr>
      </w:pPr>
      <w:r>
        <w:rPr>
          <w:rFonts w:hint="eastAsia"/>
        </w:rPr>
        <w:t xml:space="preserve">Drug-resistant tuberculosis in Nepal: the sixth national prevalence </w:t>
      </w:r>
    </w:p>
    <w:p w14:paraId="4648C352">
      <w:pPr>
        <w:pStyle w:val="2"/>
        <w:rPr>
          <w:rFonts w:hint="eastAsia"/>
        </w:rPr>
      </w:pPr>
      <w:r>
        <w:rPr>
          <w:rFonts w:hint="eastAsia"/>
        </w:rPr>
        <w:t>drug-resistant survey, 2024.</w:t>
      </w:r>
    </w:p>
    <w:p w14:paraId="4C26864A">
      <w:pPr>
        <w:pStyle w:val="2"/>
        <w:rPr>
          <w:rFonts w:hint="eastAsia"/>
        </w:rPr>
      </w:pPr>
    </w:p>
    <w:p w14:paraId="391FDA4C">
      <w:pPr>
        <w:pStyle w:val="2"/>
        <w:rPr>
          <w:rFonts w:hint="eastAsia"/>
        </w:rPr>
      </w:pPr>
      <w:r>
        <w:rPr>
          <w:rFonts w:hint="eastAsia"/>
        </w:rPr>
        <w:t xml:space="preserve">Shah NP(1), Poudel B(2), Shrestha P(2), Shahi PV(3), Joshi LR(4), Ghimire P(2), </w:t>
      </w:r>
    </w:p>
    <w:p w14:paraId="23BD5F67">
      <w:pPr>
        <w:pStyle w:val="2"/>
        <w:rPr>
          <w:rFonts w:hint="eastAsia"/>
        </w:rPr>
      </w:pPr>
      <w:r>
        <w:rPr>
          <w:rFonts w:hint="eastAsia"/>
        </w:rPr>
        <w:t xml:space="preserve">Bhattarai RB(4), Hada M(2), Pun T(2), Rajbhandari RM(5), Acharya S(4), Maharjan </w:t>
      </w:r>
    </w:p>
    <w:p w14:paraId="2A923849">
      <w:pPr>
        <w:pStyle w:val="2"/>
        <w:rPr>
          <w:rFonts w:hint="eastAsia"/>
        </w:rPr>
      </w:pPr>
      <w:r>
        <w:rPr>
          <w:rFonts w:hint="eastAsia"/>
        </w:rPr>
        <w:t>B(4), Gautam R(3), Thapa B(3), Bennani K(3), Rawal BB(2).</w:t>
      </w:r>
    </w:p>
    <w:p w14:paraId="506DC7F3">
      <w:pPr>
        <w:pStyle w:val="2"/>
        <w:rPr>
          <w:rFonts w:hint="eastAsia"/>
        </w:rPr>
      </w:pPr>
    </w:p>
    <w:p w14:paraId="3E6973F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313F210">
      <w:pPr>
        <w:pStyle w:val="2"/>
        <w:rPr>
          <w:rFonts w:hint="eastAsia"/>
        </w:rPr>
      </w:pPr>
      <w:r>
        <w:rPr>
          <w:rFonts w:hint="eastAsia"/>
        </w:rPr>
        <w:t xml:space="preserve">(1)National Tuberculosis Control Center, Thimi, Bhaktapur, Nepal. </w:t>
      </w:r>
    </w:p>
    <w:p w14:paraId="530DD276">
      <w:pPr>
        <w:pStyle w:val="2"/>
        <w:rPr>
          <w:rFonts w:hint="eastAsia"/>
        </w:rPr>
      </w:pPr>
      <w:r>
        <w:rPr>
          <w:rFonts w:hint="eastAsia"/>
        </w:rPr>
        <w:t>shahnaveen@hotmail.com.</w:t>
      </w:r>
    </w:p>
    <w:p w14:paraId="300A8EE6">
      <w:pPr>
        <w:pStyle w:val="2"/>
        <w:rPr>
          <w:rFonts w:hint="eastAsia"/>
        </w:rPr>
      </w:pPr>
      <w:r>
        <w:rPr>
          <w:rFonts w:hint="eastAsia"/>
        </w:rPr>
        <w:t>(2)National Tuberculosis Control Center, Thimi, Bhaktapur, Nepal.</w:t>
      </w:r>
    </w:p>
    <w:p w14:paraId="5C21BFF5">
      <w:pPr>
        <w:pStyle w:val="2"/>
        <w:rPr>
          <w:rFonts w:hint="eastAsia"/>
        </w:rPr>
      </w:pPr>
      <w:r>
        <w:rPr>
          <w:rFonts w:hint="eastAsia"/>
        </w:rPr>
        <w:t>(3)World Health Organization (WHO), Kathmandu, Nepal.</w:t>
      </w:r>
    </w:p>
    <w:p w14:paraId="7A390E40">
      <w:pPr>
        <w:pStyle w:val="2"/>
        <w:rPr>
          <w:rFonts w:hint="eastAsia"/>
        </w:rPr>
      </w:pPr>
      <w:r>
        <w:rPr>
          <w:rFonts w:hint="eastAsia"/>
        </w:rPr>
        <w:t>(4)Save the Children, Kathmandu, Nepal.</w:t>
      </w:r>
    </w:p>
    <w:p w14:paraId="1B2E7C4B">
      <w:pPr>
        <w:pStyle w:val="2"/>
        <w:rPr>
          <w:rFonts w:hint="eastAsia"/>
        </w:rPr>
      </w:pPr>
      <w:r>
        <w:rPr>
          <w:rFonts w:hint="eastAsia"/>
        </w:rPr>
        <w:t>(5)Centre for Molecular Dynamics Nepal, Kathmandu, Nepal.</w:t>
      </w:r>
    </w:p>
    <w:p w14:paraId="15914566">
      <w:pPr>
        <w:pStyle w:val="2"/>
        <w:rPr>
          <w:rFonts w:hint="eastAsia"/>
        </w:rPr>
      </w:pPr>
    </w:p>
    <w:p w14:paraId="5FD412E4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 (TB) remains a major public health challenge in Nepal, </w:t>
      </w:r>
    </w:p>
    <w:p w14:paraId="78BEAB2C">
      <w:pPr>
        <w:pStyle w:val="2"/>
        <w:rPr>
          <w:rFonts w:hint="eastAsia"/>
        </w:rPr>
      </w:pPr>
      <w:r>
        <w:rPr>
          <w:rFonts w:hint="eastAsia"/>
        </w:rPr>
        <w:t xml:space="preserve">characterized by increasing drug-resistant TB (DR-TB) and constrained </w:t>
      </w:r>
    </w:p>
    <w:p w14:paraId="7347F5F2">
      <w:pPr>
        <w:pStyle w:val="2"/>
        <w:rPr>
          <w:rFonts w:hint="eastAsia"/>
        </w:rPr>
      </w:pPr>
      <w:r>
        <w:rPr>
          <w:rFonts w:hint="eastAsia"/>
        </w:rPr>
        <w:t xml:space="preserve">surveillance capacity. The sixth national DR-TB prevalence survey was therefore </w:t>
      </w:r>
    </w:p>
    <w:p w14:paraId="0CCD615B">
      <w:pPr>
        <w:pStyle w:val="2"/>
        <w:rPr>
          <w:rFonts w:hint="eastAsia"/>
        </w:rPr>
      </w:pPr>
      <w:r>
        <w:rPr>
          <w:rFonts w:hint="eastAsia"/>
        </w:rPr>
        <w:t xml:space="preserve">implemented to address this gap. This study aimed to estimate the national </w:t>
      </w:r>
    </w:p>
    <w:p w14:paraId="1C288059">
      <w:pPr>
        <w:pStyle w:val="2"/>
        <w:rPr>
          <w:rFonts w:hint="eastAsia"/>
        </w:rPr>
      </w:pPr>
      <w:r>
        <w:rPr>
          <w:rFonts w:hint="eastAsia"/>
        </w:rPr>
        <w:t xml:space="preserve">prevalence of DR-TB and identify risk factors among new and previously treated </w:t>
      </w:r>
    </w:p>
    <w:p w14:paraId="0D00C00D">
      <w:pPr>
        <w:pStyle w:val="2"/>
        <w:rPr>
          <w:rFonts w:hint="eastAsia"/>
        </w:rPr>
      </w:pPr>
      <w:r>
        <w:rPr>
          <w:rFonts w:hint="eastAsia"/>
        </w:rPr>
        <w:t>pulmonary TB patients.</w:t>
      </w:r>
    </w:p>
    <w:p w14:paraId="08F3B7F2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 national cross-sectional survey was conducted from December 2022 to </w:t>
      </w:r>
    </w:p>
    <w:p w14:paraId="3DAEBBAF">
      <w:pPr>
        <w:pStyle w:val="2"/>
        <w:rPr>
          <w:rFonts w:hint="eastAsia"/>
        </w:rPr>
      </w:pPr>
      <w:r>
        <w:rPr>
          <w:rFonts w:hint="eastAsia"/>
        </w:rPr>
        <w:t xml:space="preserve">January 2024, enrolling bacteriologically confirmed pulmonary TB patients using </w:t>
      </w:r>
    </w:p>
    <w:p w14:paraId="0293358F">
      <w:pPr>
        <w:pStyle w:val="2"/>
        <w:rPr>
          <w:rFonts w:hint="eastAsia"/>
        </w:rPr>
      </w:pPr>
      <w:r>
        <w:rPr>
          <w:rFonts w:hint="eastAsia"/>
        </w:rPr>
        <w:t xml:space="preserve">stratified cluster sampling at 49 diagnostic centers. Phenotypic and genotypic </w:t>
      </w:r>
    </w:p>
    <w:p w14:paraId="6B9EEF1D">
      <w:pPr>
        <w:pStyle w:val="2"/>
        <w:rPr>
          <w:rFonts w:hint="eastAsia"/>
        </w:rPr>
      </w:pPr>
      <w:r>
        <w:rPr>
          <w:rFonts w:hint="eastAsia"/>
        </w:rPr>
        <w:t xml:space="preserve">drug sensitivity testing was performed on 1768 Mycobacterium </w:t>
      </w:r>
    </w:p>
    <w:p w14:paraId="77FF27F7">
      <w:pPr>
        <w:pStyle w:val="2"/>
        <w:rPr>
          <w:rFonts w:hint="eastAsia"/>
        </w:rPr>
      </w:pPr>
      <w:r>
        <w:rPr>
          <w:rFonts w:hint="eastAsia"/>
        </w:rPr>
        <w:t xml:space="preserve">tuberculosis-confirmed samples. Logistic regression analysis estimated DR-TB </w:t>
      </w:r>
    </w:p>
    <w:p w14:paraId="58A72D22">
      <w:pPr>
        <w:pStyle w:val="2"/>
        <w:rPr>
          <w:rFonts w:hint="eastAsia"/>
        </w:rPr>
      </w:pPr>
      <w:r>
        <w:rPr>
          <w:rFonts w:hint="eastAsia"/>
        </w:rPr>
        <w:t>prevalence and its associated risk factors.</w:t>
      </w:r>
    </w:p>
    <w:p w14:paraId="0912B35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Rifampicin resistance was identified in 2.2% [95% confidence interval </w:t>
      </w:r>
    </w:p>
    <w:p w14:paraId="7376162E">
      <w:pPr>
        <w:pStyle w:val="2"/>
        <w:rPr>
          <w:rFonts w:hint="eastAsia"/>
        </w:rPr>
      </w:pPr>
      <w:r>
        <w:rPr>
          <w:rFonts w:hint="eastAsia"/>
        </w:rPr>
        <w:t xml:space="preserve">(CI) 1.4-3.6] of new TB patients and 10.1% (95% CI 5.1-19) of previously treated </w:t>
      </w:r>
    </w:p>
    <w:p w14:paraId="1062B399">
      <w:pPr>
        <w:pStyle w:val="2"/>
        <w:rPr>
          <w:rFonts w:hint="eastAsia"/>
        </w:rPr>
      </w:pPr>
      <w:r>
        <w:rPr>
          <w:rFonts w:hint="eastAsia"/>
        </w:rPr>
        <w:t xml:space="preserve">patients. In total, 9.4% exhibited resistance to at least one first-line drug, </w:t>
      </w:r>
    </w:p>
    <w:p w14:paraId="4AA23B9F">
      <w:pPr>
        <w:pStyle w:val="2"/>
        <w:rPr>
          <w:rFonts w:hint="eastAsia"/>
        </w:rPr>
      </w:pPr>
      <w:r>
        <w:rPr>
          <w:rFonts w:hint="eastAsia"/>
        </w:rPr>
        <w:t xml:space="preserve">with isoniazid exhibiting the highest resistance rate. Within the </w:t>
      </w:r>
    </w:p>
    <w:p w14:paraId="363E66F4">
      <w:pPr>
        <w:pStyle w:val="2"/>
        <w:rPr>
          <w:rFonts w:hint="eastAsia"/>
        </w:rPr>
      </w:pPr>
      <w:r>
        <w:rPr>
          <w:rFonts w:hint="eastAsia"/>
        </w:rPr>
        <w:t xml:space="preserve">rifampicin-resistant TB (RR-TB) group, resistance to moxifloxacin was more </w:t>
      </w:r>
    </w:p>
    <w:p w14:paraId="115ABED4">
      <w:pPr>
        <w:pStyle w:val="2"/>
        <w:rPr>
          <w:rFonts w:hint="eastAsia"/>
        </w:rPr>
      </w:pPr>
      <w:r>
        <w:rPr>
          <w:rFonts w:hint="eastAsia"/>
        </w:rPr>
        <w:t xml:space="preserve">prevalent among newly diagnosed patients than previously treated patients at </w:t>
      </w:r>
    </w:p>
    <w:p w14:paraId="195CA949">
      <w:pPr>
        <w:pStyle w:val="2"/>
        <w:rPr>
          <w:rFonts w:hint="eastAsia"/>
        </w:rPr>
      </w:pPr>
      <w:r>
        <w:rPr>
          <w:rFonts w:hint="eastAsia"/>
        </w:rPr>
        <w:t xml:space="preserve">both critical concentrations (55.3% vs. 33.3% at 0.25 µg/ml; 34.2% vs. 11.1% at </w:t>
      </w:r>
    </w:p>
    <w:p w14:paraId="2FEF57B1">
      <w:pPr>
        <w:pStyle w:val="2"/>
        <w:rPr>
          <w:rFonts w:hint="eastAsia"/>
        </w:rPr>
      </w:pPr>
      <w:r>
        <w:rPr>
          <w:rFonts w:hint="eastAsia"/>
        </w:rPr>
        <w:t xml:space="preserve">1 µg/ml). Previous TB treatment emerged as the strongest predictor of rifampicin </w:t>
      </w:r>
    </w:p>
    <w:p w14:paraId="3E13B17F">
      <w:pPr>
        <w:pStyle w:val="2"/>
        <w:rPr>
          <w:rFonts w:hint="eastAsia"/>
        </w:rPr>
      </w:pPr>
      <w:r>
        <w:rPr>
          <w:rFonts w:hint="eastAsia"/>
        </w:rPr>
        <w:t>resistance [adjusted odds ratio (aOR) = 4.1, 95% CI 2.6-6.4].</w:t>
      </w:r>
    </w:p>
    <w:p w14:paraId="2C1A2A61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The prevalence of RR/multidrug-resistant (MDR)-TB in Nepal remains </w:t>
      </w:r>
    </w:p>
    <w:p w14:paraId="4C2E9516">
      <w:pPr>
        <w:pStyle w:val="2"/>
        <w:rPr>
          <w:rFonts w:hint="eastAsia"/>
        </w:rPr>
      </w:pPr>
      <w:r>
        <w:rPr>
          <w:rFonts w:hint="eastAsia"/>
        </w:rPr>
        <w:t xml:space="preserve">stable compared with previous surveys. However, a high rate of fluoroquinolone </w:t>
      </w:r>
    </w:p>
    <w:p w14:paraId="503F45AF">
      <w:pPr>
        <w:pStyle w:val="2"/>
        <w:rPr>
          <w:rFonts w:hint="eastAsia"/>
        </w:rPr>
      </w:pPr>
      <w:r>
        <w:rPr>
          <w:rFonts w:hint="eastAsia"/>
        </w:rPr>
        <w:t xml:space="preserve">resistance among new patients underscores the urgent need for improved </w:t>
      </w:r>
    </w:p>
    <w:p w14:paraId="298751EC">
      <w:pPr>
        <w:pStyle w:val="2"/>
        <w:rPr>
          <w:rFonts w:hint="eastAsia"/>
        </w:rPr>
      </w:pPr>
      <w:r>
        <w:rPr>
          <w:rFonts w:hint="eastAsia"/>
        </w:rPr>
        <w:t xml:space="preserve">antibiotic stewardship and expanded drug-susceptibility testing services. These </w:t>
      </w:r>
    </w:p>
    <w:p w14:paraId="342D882E">
      <w:pPr>
        <w:pStyle w:val="2"/>
        <w:rPr>
          <w:rFonts w:hint="eastAsia"/>
        </w:rPr>
      </w:pPr>
      <w:r>
        <w:rPr>
          <w:rFonts w:hint="eastAsia"/>
        </w:rPr>
        <w:t>findings provide essential evidence to guide national TB control strategies.</w:t>
      </w:r>
    </w:p>
    <w:p w14:paraId="1285AD78">
      <w:pPr>
        <w:pStyle w:val="2"/>
        <w:rPr>
          <w:rFonts w:hint="eastAsia"/>
        </w:rPr>
      </w:pPr>
    </w:p>
    <w:p w14:paraId="5297C659">
      <w:pPr>
        <w:pStyle w:val="2"/>
        <w:rPr>
          <w:rFonts w:hint="eastAsia"/>
        </w:rPr>
      </w:pPr>
      <w:r>
        <w:rPr>
          <w:rFonts w:hint="eastAsia"/>
        </w:rPr>
        <w:t>© 2026. The Author(s).</w:t>
      </w:r>
    </w:p>
    <w:p w14:paraId="1791E0E5">
      <w:pPr>
        <w:pStyle w:val="2"/>
        <w:rPr>
          <w:rFonts w:hint="eastAsia"/>
        </w:rPr>
      </w:pPr>
    </w:p>
    <w:p w14:paraId="3C927808">
      <w:pPr>
        <w:pStyle w:val="2"/>
        <w:rPr>
          <w:rFonts w:hint="eastAsia"/>
        </w:rPr>
      </w:pPr>
      <w:r>
        <w:rPr>
          <w:rFonts w:hint="eastAsia"/>
        </w:rPr>
        <w:t>DOI: 10.1186/s40249-026-01503-z</w:t>
      </w:r>
    </w:p>
    <w:p w14:paraId="10CAA530">
      <w:pPr>
        <w:pStyle w:val="2"/>
        <w:rPr>
          <w:rFonts w:hint="eastAsia"/>
        </w:rPr>
      </w:pPr>
      <w:r>
        <w:rPr>
          <w:rFonts w:hint="eastAsia"/>
        </w:rPr>
        <w:t>PMCID: PMC13660163</w:t>
      </w:r>
    </w:p>
    <w:p w14:paraId="0716EF2E">
      <w:pPr>
        <w:pStyle w:val="2"/>
        <w:rPr>
          <w:rFonts w:hint="eastAsia"/>
        </w:rPr>
      </w:pPr>
      <w:r>
        <w:rPr>
          <w:rFonts w:hint="eastAsia"/>
        </w:rPr>
        <w:t>PMID: 42870299 [Indexed for MEDLINE]</w:t>
      </w:r>
    </w:p>
    <w:p w14:paraId="7A4670C6">
      <w:pPr>
        <w:pStyle w:val="2"/>
        <w:rPr>
          <w:rFonts w:hint="eastAsia"/>
        </w:rPr>
      </w:pPr>
    </w:p>
    <w:p w14:paraId="09F1444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29</w:t>
      </w:r>
      <w:r>
        <w:rPr>
          <w:rFonts w:hint="eastAsia"/>
          <w:b/>
          <w:bCs/>
          <w:color w:val="FF0000"/>
        </w:rPr>
        <w:t>. Eur J Pharmacol. 2026 Oct 13:179389. doi: 10.1016/j.ejphar.2026.179389. Online ahead of print.</w:t>
      </w:r>
    </w:p>
    <w:p w14:paraId="662B5BD3">
      <w:pPr>
        <w:pStyle w:val="2"/>
        <w:rPr>
          <w:rFonts w:hint="eastAsia"/>
        </w:rPr>
      </w:pPr>
    </w:p>
    <w:p w14:paraId="3B28B0E4">
      <w:pPr>
        <w:pStyle w:val="2"/>
        <w:rPr>
          <w:rFonts w:hint="eastAsia"/>
        </w:rPr>
      </w:pPr>
      <w:r>
        <w:rPr>
          <w:rFonts w:hint="eastAsia"/>
        </w:rPr>
        <w:t xml:space="preserve">Epigenetic insights into anti-tuberculosis drug-induced liver injury: A </w:t>
      </w:r>
    </w:p>
    <w:p w14:paraId="6EEA27B5">
      <w:pPr>
        <w:pStyle w:val="2"/>
        <w:rPr>
          <w:rFonts w:hint="eastAsia"/>
        </w:rPr>
      </w:pPr>
      <w:r>
        <w:rPr>
          <w:rFonts w:hint="eastAsia"/>
        </w:rPr>
        <w:t>systematic review of DNA methylation as a potential biomarker.</w:t>
      </w:r>
    </w:p>
    <w:p w14:paraId="21FCD189">
      <w:pPr>
        <w:pStyle w:val="2"/>
        <w:rPr>
          <w:rFonts w:hint="eastAsia"/>
        </w:rPr>
      </w:pPr>
    </w:p>
    <w:p w14:paraId="395A0C26">
      <w:pPr>
        <w:pStyle w:val="2"/>
        <w:rPr>
          <w:rFonts w:hint="eastAsia"/>
        </w:rPr>
      </w:pPr>
      <w:r>
        <w:rPr>
          <w:rFonts w:hint="eastAsia"/>
        </w:rPr>
        <w:t xml:space="preserve">Nguyen HD(1), Chanhom N(2), Jittikoon J(2), Chaikledkaew U(3), Udomsinprasert </w:t>
      </w:r>
    </w:p>
    <w:p w14:paraId="62B2A266">
      <w:pPr>
        <w:pStyle w:val="2"/>
        <w:rPr>
          <w:rFonts w:hint="eastAsia"/>
        </w:rPr>
      </w:pPr>
      <w:r>
        <w:rPr>
          <w:rFonts w:hint="eastAsia"/>
        </w:rPr>
        <w:t>W(4).</w:t>
      </w:r>
    </w:p>
    <w:p w14:paraId="33E357F6">
      <w:pPr>
        <w:pStyle w:val="2"/>
        <w:rPr>
          <w:rFonts w:hint="eastAsia"/>
        </w:rPr>
      </w:pPr>
    </w:p>
    <w:p w14:paraId="4BBA0BD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9644D7E">
      <w:pPr>
        <w:pStyle w:val="2"/>
        <w:rPr>
          <w:rFonts w:hint="eastAsia"/>
        </w:rPr>
      </w:pPr>
      <w:r>
        <w:rPr>
          <w:rFonts w:hint="eastAsia"/>
        </w:rPr>
        <w:t xml:space="preserve">(1)Master of Science Program in Biopharmaceutical Sciences, Department of </w:t>
      </w:r>
    </w:p>
    <w:p w14:paraId="501D35E8">
      <w:pPr>
        <w:pStyle w:val="2"/>
        <w:rPr>
          <w:rFonts w:hint="eastAsia"/>
        </w:rPr>
      </w:pPr>
      <w:r>
        <w:rPr>
          <w:rFonts w:hint="eastAsia"/>
        </w:rPr>
        <w:t>Biochemistry, Faculty of Pharmacy, Mahidol University, Bangkok 10400, Thailand.</w:t>
      </w:r>
    </w:p>
    <w:p w14:paraId="77D984CE">
      <w:pPr>
        <w:pStyle w:val="2"/>
        <w:rPr>
          <w:rFonts w:hint="eastAsia"/>
        </w:rPr>
      </w:pPr>
      <w:r>
        <w:rPr>
          <w:rFonts w:hint="eastAsia"/>
        </w:rPr>
        <w:t xml:space="preserve">(2)Department of Biochemistry, Faculty of Pharmacy, Mahidol University, Bangkok </w:t>
      </w:r>
    </w:p>
    <w:p w14:paraId="12831BF9">
      <w:pPr>
        <w:pStyle w:val="2"/>
        <w:rPr>
          <w:rFonts w:hint="eastAsia"/>
        </w:rPr>
      </w:pPr>
      <w:r>
        <w:rPr>
          <w:rFonts w:hint="eastAsia"/>
        </w:rPr>
        <w:t xml:space="preserve">10400, Thailand; Biomarker and Epigenetic Science for Targeted Therapeutics </w:t>
      </w:r>
    </w:p>
    <w:p w14:paraId="055F9191">
      <w:pPr>
        <w:pStyle w:val="2"/>
        <w:rPr>
          <w:rFonts w:hint="eastAsia"/>
        </w:rPr>
      </w:pPr>
      <w:r>
        <w:rPr>
          <w:rFonts w:hint="eastAsia"/>
        </w:rPr>
        <w:t xml:space="preserve">(BEST) Research Center, Faculty of Pharmacy, Mahidol University, Bangkok 10400, </w:t>
      </w:r>
    </w:p>
    <w:p w14:paraId="3006904D">
      <w:pPr>
        <w:pStyle w:val="2"/>
        <w:rPr>
          <w:rFonts w:hint="eastAsia"/>
        </w:rPr>
      </w:pPr>
      <w:r>
        <w:rPr>
          <w:rFonts w:hint="eastAsia"/>
        </w:rPr>
        <w:t>Thailand.</w:t>
      </w:r>
    </w:p>
    <w:p w14:paraId="4AE4FED0">
      <w:pPr>
        <w:pStyle w:val="2"/>
        <w:rPr>
          <w:rFonts w:hint="eastAsia"/>
        </w:rPr>
      </w:pPr>
      <w:r>
        <w:rPr>
          <w:rFonts w:hint="eastAsia"/>
        </w:rPr>
        <w:t xml:space="preserve">(3)Social and Administrative Pharmacy Division, Department of Pharmacy, Faculty </w:t>
      </w:r>
    </w:p>
    <w:p w14:paraId="0309018C">
      <w:pPr>
        <w:pStyle w:val="2"/>
        <w:rPr>
          <w:rFonts w:hint="eastAsia"/>
        </w:rPr>
      </w:pPr>
      <w:r>
        <w:rPr>
          <w:rFonts w:hint="eastAsia"/>
        </w:rPr>
        <w:t xml:space="preserve">of Pharmacy, Mahidol University, Bangkok 10400, Thailand; Mahidol University </w:t>
      </w:r>
    </w:p>
    <w:p w14:paraId="3E26304D">
      <w:pPr>
        <w:pStyle w:val="2"/>
        <w:rPr>
          <w:rFonts w:hint="eastAsia"/>
        </w:rPr>
      </w:pPr>
      <w:r>
        <w:rPr>
          <w:rFonts w:hint="eastAsia"/>
        </w:rPr>
        <w:t xml:space="preserve">Health Technology Assessment (MUHTA) Graduate Program, Mahidol University, </w:t>
      </w:r>
    </w:p>
    <w:p w14:paraId="207A8CE2">
      <w:pPr>
        <w:pStyle w:val="2"/>
        <w:rPr>
          <w:rFonts w:hint="eastAsia"/>
        </w:rPr>
      </w:pPr>
      <w:r>
        <w:rPr>
          <w:rFonts w:hint="eastAsia"/>
        </w:rPr>
        <w:t>Bangkok 10400, Thailand.</w:t>
      </w:r>
    </w:p>
    <w:p w14:paraId="48582F33">
      <w:pPr>
        <w:pStyle w:val="2"/>
        <w:rPr>
          <w:rFonts w:hint="eastAsia"/>
        </w:rPr>
      </w:pPr>
      <w:r>
        <w:rPr>
          <w:rFonts w:hint="eastAsia"/>
        </w:rPr>
        <w:t xml:space="preserve">(4)Department of Biochemistry, Faculty of Pharmacy, Mahidol University, Bangkok </w:t>
      </w:r>
    </w:p>
    <w:p w14:paraId="5DCED44C">
      <w:pPr>
        <w:pStyle w:val="2"/>
        <w:rPr>
          <w:rFonts w:hint="eastAsia"/>
        </w:rPr>
      </w:pPr>
      <w:r>
        <w:rPr>
          <w:rFonts w:hint="eastAsia"/>
        </w:rPr>
        <w:t xml:space="preserve">10400, Thailand; Biomarker and Epigenetic Science for Targeted Therapeutics </w:t>
      </w:r>
    </w:p>
    <w:p w14:paraId="005E1D54">
      <w:pPr>
        <w:pStyle w:val="2"/>
        <w:rPr>
          <w:rFonts w:hint="eastAsia"/>
        </w:rPr>
      </w:pPr>
      <w:r>
        <w:rPr>
          <w:rFonts w:hint="eastAsia"/>
        </w:rPr>
        <w:t xml:space="preserve">(BEST) Research Center, Faculty of Pharmacy, Mahidol University, Bangkok 10400, </w:t>
      </w:r>
    </w:p>
    <w:p w14:paraId="5D82155A">
      <w:pPr>
        <w:pStyle w:val="2"/>
        <w:rPr>
          <w:rFonts w:hint="eastAsia"/>
        </w:rPr>
      </w:pPr>
      <w:r>
        <w:rPr>
          <w:rFonts w:hint="eastAsia"/>
        </w:rPr>
        <w:t>Thailand. Electronic address: wanvisa.udo@mahidol.ac.th.</w:t>
      </w:r>
    </w:p>
    <w:p w14:paraId="620EC70F">
      <w:pPr>
        <w:pStyle w:val="2"/>
        <w:rPr>
          <w:rFonts w:hint="eastAsia"/>
        </w:rPr>
      </w:pPr>
    </w:p>
    <w:p w14:paraId="1D987B7C">
      <w:pPr>
        <w:pStyle w:val="2"/>
        <w:rPr>
          <w:rFonts w:hint="eastAsia"/>
        </w:rPr>
      </w:pPr>
      <w:r>
        <w:rPr>
          <w:rFonts w:hint="eastAsia"/>
        </w:rPr>
        <w:t xml:space="preserve">Drug-induced liver injury (DILI) remains a major clinical challenge that may </w:t>
      </w:r>
    </w:p>
    <w:p w14:paraId="7F14CBCE">
      <w:pPr>
        <w:pStyle w:val="2"/>
        <w:rPr>
          <w:rFonts w:hint="eastAsia"/>
        </w:rPr>
      </w:pPr>
      <w:r>
        <w:rPr>
          <w:rFonts w:hint="eastAsia"/>
        </w:rPr>
        <w:t xml:space="preserve">cause acute liver failure, chronic liver disease, and treatment discontinuation. </w:t>
      </w:r>
    </w:p>
    <w:p w14:paraId="3ED819D0">
      <w:pPr>
        <w:pStyle w:val="2"/>
        <w:rPr>
          <w:rFonts w:hint="eastAsia"/>
        </w:rPr>
      </w:pPr>
      <w:r>
        <w:rPr>
          <w:rFonts w:hint="eastAsia"/>
        </w:rPr>
        <w:t xml:space="preserve">DNA methylation, a key epigenetic mechanism regulating gene expression, has </w:t>
      </w:r>
    </w:p>
    <w:p w14:paraId="6F976E18">
      <w:pPr>
        <w:pStyle w:val="2"/>
        <w:rPr>
          <w:rFonts w:hint="eastAsia"/>
        </w:rPr>
      </w:pPr>
      <w:r>
        <w:rPr>
          <w:rFonts w:hint="eastAsia"/>
        </w:rPr>
        <w:t xml:space="preserve">emerged as a potential biomarker of DILI susceptibility; however, clinical </w:t>
      </w:r>
    </w:p>
    <w:p w14:paraId="2BB38C23">
      <w:pPr>
        <w:pStyle w:val="2"/>
        <w:rPr>
          <w:rFonts w:hint="eastAsia"/>
        </w:rPr>
      </w:pPr>
      <w:r>
        <w:rPr>
          <w:rFonts w:hint="eastAsia"/>
        </w:rPr>
        <w:t xml:space="preserve">evidence is largely confined to anti-tuberculosis drug-induced liver injury </w:t>
      </w:r>
    </w:p>
    <w:p w14:paraId="0431B598">
      <w:pPr>
        <w:pStyle w:val="2"/>
        <w:rPr>
          <w:rFonts w:hint="eastAsia"/>
        </w:rPr>
      </w:pPr>
      <w:r>
        <w:rPr>
          <w:rFonts w:hint="eastAsia"/>
        </w:rPr>
        <w:t xml:space="preserve">(ATDILI). This systematic review evaluated associations between DNA methylation </w:t>
      </w:r>
    </w:p>
    <w:p w14:paraId="57BE81B0">
      <w:pPr>
        <w:pStyle w:val="2"/>
        <w:rPr>
          <w:rFonts w:hint="eastAsia"/>
        </w:rPr>
      </w:pPr>
      <w:r>
        <w:rPr>
          <w:rFonts w:hint="eastAsia"/>
        </w:rPr>
        <w:t xml:space="preserve">patterns and DILI risk, with emphasis on ATDILI. Searches of PubMed, Scopus, and </w:t>
      </w:r>
    </w:p>
    <w:p w14:paraId="08C3D44B">
      <w:pPr>
        <w:pStyle w:val="2"/>
        <w:rPr>
          <w:rFonts w:hint="eastAsia"/>
        </w:rPr>
      </w:pPr>
      <w:r>
        <w:rPr>
          <w:rFonts w:hint="eastAsia"/>
        </w:rPr>
        <w:t xml:space="preserve">Embase identified eight eligible case-control studies published between 2014 and </w:t>
      </w:r>
    </w:p>
    <w:p w14:paraId="18195BB2">
      <w:pPr>
        <w:pStyle w:val="2"/>
        <w:rPr>
          <w:rFonts w:hint="eastAsia"/>
        </w:rPr>
      </w:pPr>
      <w:r>
        <w:rPr>
          <w:rFonts w:hint="eastAsia"/>
        </w:rPr>
        <w:t xml:space="preserve">2024. ATDILI-associated hypermethylation was reported in N-acetyltransferase-2 </w:t>
      </w:r>
    </w:p>
    <w:p w14:paraId="280171C6">
      <w:pPr>
        <w:pStyle w:val="2"/>
        <w:rPr>
          <w:rFonts w:hint="eastAsia"/>
        </w:rPr>
      </w:pPr>
      <w:r>
        <w:rPr>
          <w:rFonts w:hint="eastAsia"/>
        </w:rPr>
        <w:t xml:space="preserve">(NAT2), cytochrome P450 family-2 subfamily E member-1 (CYP2E1), cytochrome P450 </w:t>
      </w:r>
    </w:p>
    <w:p w14:paraId="2285362C">
      <w:pPr>
        <w:pStyle w:val="2"/>
        <w:rPr>
          <w:rFonts w:hint="eastAsia"/>
        </w:rPr>
      </w:pPr>
      <w:r>
        <w:rPr>
          <w:rFonts w:hint="eastAsia"/>
        </w:rPr>
        <w:t xml:space="preserve">family-2 subfamily D member-6 (CYP2D6), cytochrome P450 family-1 subfamily A </w:t>
      </w:r>
    </w:p>
    <w:p w14:paraId="48425E17">
      <w:pPr>
        <w:pStyle w:val="2"/>
        <w:rPr>
          <w:rFonts w:hint="eastAsia"/>
        </w:rPr>
      </w:pPr>
      <w:r>
        <w:rPr>
          <w:rFonts w:hint="eastAsia"/>
        </w:rPr>
        <w:t xml:space="preserve">member-1 (CYP1A1), glutathione S-transferase pi-1 (GSTP1), hypoxia-inducible </w:t>
      </w:r>
    </w:p>
    <w:p w14:paraId="106A69E2">
      <w:pPr>
        <w:pStyle w:val="2"/>
        <w:rPr>
          <w:rFonts w:hint="eastAsia"/>
        </w:rPr>
      </w:pPr>
      <w:r>
        <w:rPr>
          <w:rFonts w:hint="eastAsia"/>
        </w:rPr>
        <w:t xml:space="preserve">factor-1 alpha (HIF1α), and 5-aminolevulinate synthase-1 (ALAS1). Global </w:t>
      </w:r>
    </w:p>
    <w:p w14:paraId="6C38CF38">
      <w:pPr>
        <w:pStyle w:val="2"/>
        <w:rPr>
          <w:rFonts w:hint="eastAsia"/>
        </w:rPr>
      </w:pPr>
      <w:r>
        <w:rPr>
          <w:rFonts w:hint="eastAsia"/>
        </w:rPr>
        <w:t xml:space="preserve">hypomethylation of repetitive elements, including LINE-1, SINE, and ALU, was </w:t>
      </w:r>
    </w:p>
    <w:p w14:paraId="1E39658B">
      <w:pPr>
        <w:pStyle w:val="2"/>
        <w:rPr>
          <w:rFonts w:hint="eastAsia"/>
        </w:rPr>
      </w:pPr>
      <w:r>
        <w:rPr>
          <w:rFonts w:hint="eastAsia"/>
        </w:rPr>
        <w:t xml:space="preserve">also associated with increased ATDILI risk. Genome-wide analyses identified </w:t>
      </w:r>
    </w:p>
    <w:p w14:paraId="7A9377DB">
      <w:pPr>
        <w:pStyle w:val="2"/>
        <w:rPr>
          <w:rFonts w:hint="eastAsia"/>
        </w:rPr>
      </w:pPr>
      <w:r>
        <w:rPr>
          <w:rFonts w:hint="eastAsia"/>
        </w:rPr>
        <w:t xml:space="preserve">potential markers in tetratricopeptide repeat, ankyrin repeat, and coiled-coil </w:t>
      </w:r>
    </w:p>
    <w:p w14:paraId="6B59FE69">
      <w:pPr>
        <w:pStyle w:val="2"/>
        <w:rPr>
          <w:rFonts w:hint="eastAsia"/>
        </w:rPr>
      </w:pPr>
      <w:r>
        <w:rPr>
          <w:rFonts w:hint="eastAsia"/>
        </w:rPr>
        <w:t xml:space="preserve">containing-1 (TANC1), solute carrier family-8 member A-2 (SLC8A2), </w:t>
      </w:r>
    </w:p>
    <w:p w14:paraId="2DA3F726">
      <w:pPr>
        <w:pStyle w:val="2"/>
        <w:rPr>
          <w:rFonts w:hint="eastAsia"/>
        </w:rPr>
      </w:pPr>
      <w:r>
        <w:rPr>
          <w:rFonts w:hint="eastAsia"/>
        </w:rPr>
        <w:t xml:space="preserve">proline-serine-threonine phosphatase-interacting protein-2 (PSTPIP2), and </w:t>
      </w:r>
    </w:p>
    <w:p w14:paraId="1D2B5D40">
      <w:pPr>
        <w:pStyle w:val="2"/>
        <w:rPr>
          <w:rFonts w:hint="eastAsia"/>
        </w:rPr>
      </w:pPr>
      <w:r>
        <w:rPr>
          <w:rFonts w:hint="eastAsia"/>
        </w:rPr>
        <w:t xml:space="preserve">adenylate kinase-2 (AK2). These findings support DNA methylation as a potential </w:t>
      </w:r>
    </w:p>
    <w:p w14:paraId="78AFC4B7">
      <w:pPr>
        <w:pStyle w:val="2"/>
        <w:rPr>
          <w:rFonts w:hint="eastAsia"/>
        </w:rPr>
      </w:pPr>
      <w:r>
        <w:rPr>
          <w:rFonts w:hint="eastAsia"/>
        </w:rPr>
        <w:t xml:space="preserve">biomarker of ATDILI susceptibility and personalized risk assessment. However, </w:t>
      </w:r>
    </w:p>
    <w:p w14:paraId="10837B4E">
      <w:pPr>
        <w:pStyle w:val="2"/>
        <w:rPr>
          <w:rFonts w:hint="eastAsia"/>
        </w:rPr>
      </w:pPr>
      <w:r>
        <w:rPr>
          <w:rFonts w:hint="eastAsia"/>
        </w:rPr>
        <w:t xml:space="preserve">because all evidence derives from case-control studies, causal and temporal </w:t>
      </w:r>
    </w:p>
    <w:p w14:paraId="4B130262">
      <w:pPr>
        <w:pStyle w:val="2"/>
        <w:rPr>
          <w:rFonts w:hint="eastAsia"/>
        </w:rPr>
      </w:pPr>
      <w:r>
        <w:rPr>
          <w:rFonts w:hint="eastAsia"/>
        </w:rPr>
        <w:t xml:space="preserve">relationships remain uncertain. Prospective longitudinal studies, epigenome-wide </w:t>
      </w:r>
    </w:p>
    <w:p w14:paraId="212A21FD">
      <w:pPr>
        <w:pStyle w:val="2"/>
        <w:rPr>
          <w:rFonts w:hint="eastAsia"/>
        </w:rPr>
      </w:pPr>
      <w:r>
        <w:rPr>
          <w:rFonts w:hint="eastAsia"/>
        </w:rPr>
        <w:t xml:space="preserve">analyses, multi-omics integration, mechanistic validation, and large-scale </w:t>
      </w:r>
    </w:p>
    <w:p w14:paraId="5B6539F6">
      <w:pPr>
        <w:pStyle w:val="2"/>
        <w:rPr>
          <w:rFonts w:hint="eastAsia"/>
        </w:rPr>
      </w:pPr>
      <w:r>
        <w:rPr>
          <w:rFonts w:hint="eastAsia"/>
        </w:rPr>
        <w:t xml:space="preserve">replication are needed to confirm these associations and establish their </w:t>
      </w:r>
    </w:p>
    <w:p w14:paraId="38720F4A">
      <w:pPr>
        <w:pStyle w:val="2"/>
        <w:rPr>
          <w:rFonts w:hint="eastAsia"/>
        </w:rPr>
      </w:pPr>
      <w:r>
        <w:rPr>
          <w:rFonts w:hint="eastAsia"/>
        </w:rPr>
        <w:t>predictive and clinical utility.</w:t>
      </w:r>
    </w:p>
    <w:p w14:paraId="77F5B8FC">
      <w:pPr>
        <w:pStyle w:val="2"/>
        <w:rPr>
          <w:rFonts w:hint="eastAsia"/>
        </w:rPr>
      </w:pPr>
    </w:p>
    <w:p w14:paraId="14051933">
      <w:pPr>
        <w:pStyle w:val="2"/>
        <w:rPr>
          <w:rFonts w:hint="eastAsia"/>
        </w:rPr>
      </w:pPr>
      <w:r>
        <w:rPr>
          <w:rFonts w:hint="eastAsia"/>
        </w:rPr>
        <w:t>Copyright © 2026. Published by Elsevier B.V.</w:t>
      </w:r>
    </w:p>
    <w:p w14:paraId="2C66EC9A">
      <w:pPr>
        <w:pStyle w:val="2"/>
        <w:rPr>
          <w:rFonts w:hint="eastAsia"/>
        </w:rPr>
      </w:pPr>
    </w:p>
    <w:p w14:paraId="5BD4D06E">
      <w:pPr>
        <w:pStyle w:val="2"/>
        <w:rPr>
          <w:rFonts w:hint="eastAsia"/>
        </w:rPr>
      </w:pPr>
      <w:r>
        <w:rPr>
          <w:rFonts w:hint="eastAsia"/>
        </w:rPr>
        <w:t>DOI: 10.1016/j.ejphar.2026.179389</w:t>
      </w:r>
    </w:p>
    <w:p w14:paraId="482FB759">
      <w:pPr>
        <w:pStyle w:val="2"/>
        <w:rPr>
          <w:rFonts w:hint="eastAsia"/>
        </w:rPr>
      </w:pPr>
      <w:r>
        <w:rPr>
          <w:rFonts w:hint="eastAsia"/>
        </w:rPr>
        <w:t>PMID: 42869166</w:t>
      </w:r>
    </w:p>
    <w:p w14:paraId="6CBC3FE4">
      <w:pPr>
        <w:pStyle w:val="2"/>
        <w:rPr>
          <w:rFonts w:hint="eastAsia"/>
        </w:rPr>
      </w:pPr>
    </w:p>
    <w:p w14:paraId="6E6811E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30</w:t>
      </w:r>
      <w:r>
        <w:rPr>
          <w:rFonts w:hint="eastAsia"/>
          <w:b/>
          <w:bCs/>
          <w:color w:val="FF0000"/>
        </w:rPr>
        <w:t xml:space="preserve">. Am J Trop Med Hyg. 2026 Oct 13:tpmd260337. doi: 10.4269/ajtmh.26-0337. Online </w:t>
      </w:r>
    </w:p>
    <w:p w14:paraId="713019D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4DDFE1D3">
      <w:pPr>
        <w:pStyle w:val="2"/>
        <w:rPr>
          <w:rFonts w:hint="eastAsia"/>
        </w:rPr>
      </w:pPr>
    </w:p>
    <w:p w14:paraId="3A233BB0">
      <w:pPr>
        <w:pStyle w:val="2"/>
        <w:rPr>
          <w:rFonts w:hint="eastAsia"/>
        </w:rPr>
      </w:pPr>
      <w:r>
        <w:rPr>
          <w:rFonts w:hint="eastAsia"/>
        </w:rPr>
        <w:t xml:space="preserve">Computed Tomographic Features Associated with Pulmonary Melioidosis versus </w:t>
      </w:r>
    </w:p>
    <w:p w14:paraId="12ECE3EC">
      <w:pPr>
        <w:pStyle w:val="2"/>
        <w:rPr>
          <w:rFonts w:hint="eastAsia"/>
        </w:rPr>
      </w:pPr>
      <w:r>
        <w:rPr>
          <w:rFonts w:hint="eastAsia"/>
        </w:rPr>
        <w:t xml:space="preserve">Pulmonary Tuberculosis in Diabetic Patients: A Retrospective Comparative Cohort </w:t>
      </w:r>
    </w:p>
    <w:p w14:paraId="5BA80B85">
      <w:pPr>
        <w:pStyle w:val="2"/>
        <w:rPr>
          <w:rFonts w:hint="eastAsia"/>
        </w:rPr>
      </w:pPr>
      <w:r>
        <w:rPr>
          <w:rFonts w:hint="eastAsia"/>
        </w:rPr>
        <w:t>Study.</w:t>
      </w:r>
    </w:p>
    <w:p w14:paraId="2419DBB5">
      <w:pPr>
        <w:pStyle w:val="2"/>
        <w:rPr>
          <w:rFonts w:hint="eastAsia"/>
        </w:rPr>
      </w:pPr>
    </w:p>
    <w:p w14:paraId="335A5465">
      <w:pPr>
        <w:pStyle w:val="2"/>
        <w:rPr>
          <w:rFonts w:hint="eastAsia"/>
        </w:rPr>
      </w:pPr>
      <w:r>
        <w:rPr>
          <w:rFonts w:hint="eastAsia"/>
        </w:rPr>
        <w:t xml:space="preserve">Gupta N(1)(2)(3), Mukhopadhyay C(4), Kumar TP(1), Salian K(1), P S P(5), Malla </w:t>
      </w:r>
    </w:p>
    <w:p w14:paraId="2C09E2FE">
      <w:pPr>
        <w:pStyle w:val="2"/>
        <w:rPr>
          <w:rFonts w:hint="eastAsia"/>
        </w:rPr>
      </w:pPr>
      <w:r>
        <w:rPr>
          <w:rFonts w:hint="eastAsia"/>
        </w:rPr>
        <w:t>S(6), Magazine R(7), Van Den Broucke S(2), Vlieghe E(2)(3)(8), Bottieau E(2).</w:t>
      </w:r>
    </w:p>
    <w:p w14:paraId="08BA6839">
      <w:pPr>
        <w:pStyle w:val="2"/>
        <w:rPr>
          <w:rFonts w:hint="eastAsia"/>
        </w:rPr>
      </w:pPr>
    </w:p>
    <w:p w14:paraId="4DA5FBE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2B19D84">
      <w:pPr>
        <w:pStyle w:val="2"/>
        <w:rPr>
          <w:rFonts w:hint="eastAsia"/>
        </w:rPr>
      </w:pPr>
      <w:r>
        <w:rPr>
          <w:rFonts w:hint="eastAsia"/>
        </w:rPr>
        <w:t xml:space="preserve">(1)Department of Infectious Diseases, Kasturba Medical College, Manipal Academy </w:t>
      </w:r>
    </w:p>
    <w:p w14:paraId="272358EE">
      <w:pPr>
        <w:pStyle w:val="2"/>
        <w:rPr>
          <w:rFonts w:hint="eastAsia"/>
        </w:rPr>
      </w:pPr>
      <w:r>
        <w:rPr>
          <w:rFonts w:hint="eastAsia"/>
        </w:rPr>
        <w:t>of Higher Education, Manipal, India.</w:t>
      </w:r>
    </w:p>
    <w:p w14:paraId="274F97EC">
      <w:pPr>
        <w:pStyle w:val="2"/>
        <w:rPr>
          <w:rFonts w:hint="eastAsia"/>
        </w:rPr>
      </w:pPr>
      <w:r>
        <w:rPr>
          <w:rFonts w:hint="eastAsia"/>
        </w:rPr>
        <w:t xml:space="preserve">(2)Department of Clinical Sciences, Institute of Tropical Medicine, Antwerp, </w:t>
      </w:r>
    </w:p>
    <w:p w14:paraId="597BAA78">
      <w:pPr>
        <w:pStyle w:val="2"/>
        <w:rPr>
          <w:rFonts w:hint="eastAsia"/>
        </w:rPr>
      </w:pPr>
      <w:r>
        <w:rPr>
          <w:rFonts w:hint="eastAsia"/>
        </w:rPr>
        <w:t>Belgium.</w:t>
      </w:r>
    </w:p>
    <w:p w14:paraId="2B53A738">
      <w:pPr>
        <w:pStyle w:val="2"/>
        <w:rPr>
          <w:rFonts w:hint="eastAsia"/>
        </w:rPr>
      </w:pPr>
      <w:r>
        <w:rPr>
          <w:rFonts w:hint="eastAsia"/>
        </w:rPr>
        <w:t>(3)University of Antwerp, Antwerp, Belgium.</w:t>
      </w:r>
    </w:p>
    <w:p w14:paraId="4CAC60A5">
      <w:pPr>
        <w:pStyle w:val="2"/>
        <w:rPr>
          <w:rFonts w:hint="eastAsia"/>
        </w:rPr>
      </w:pPr>
      <w:r>
        <w:rPr>
          <w:rFonts w:hint="eastAsia"/>
        </w:rPr>
        <w:t xml:space="preserve">(4)Department of Microbiology, Kasturba Medical College, Manipal Academy of </w:t>
      </w:r>
    </w:p>
    <w:p w14:paraId="0DF94CA7">
      <w:pPr>
        <w:pStyle w:val="2"/>
        <w:rPr>
          <w:rFonts w:hint="eastAsia"/>
        </w:rPr>
      </w:pPr>
      <w:r>
        <w:rPr>
          <w:rFonts w:hint="eastAsia"/>
        </w:rPr>
        <w:t>Higher Education, Manipal, India.</w:t>
      </w:r>
    </w:p>
    <w:p w14:paraId="49F6A31F">
      <w:pPr>
        <w:pStyle w:val="2"/>
        <w:rPr>
          <w:rFonts w:hint="eastAsia"/>
        </w:rPr>
      </w:pPr>
      <w:r>
        <w:rPr>
          <w:rFonts w:hint="eastAsia"/>
        </w:rPr>
        <w:t xml:space="preserve">(5)Department of Radiodiagnosis and Imaging, Kasturba Medical College, Manipal </w:t>
      </w:r>
    </w:p>
    <w:p w14:paraId="2D5D1147">
      <w:pPr>
        <w:pStyle w:val="2"/>
        <w:rPr>
          <w:rFonts w:hint="eastAsia"/>
        </w:rPr>
      </w:pPr>
      <w:r>
        <w:rPr>
          <w:rFonts w:hint="eastAsia"/>
        </w:rPr>
        <w:t>Academy of Higher Education, Manipal, India.</w:t>
      </w:r>
    </w:p>
    <w:p w14:paraId="2CAF869D">
      <w:pPr>
        <w:pStyle w:val="2"/>
        <w:rPr>
          <w:rFonts w:hint="eastAsia"/>
        </w:rPr>
      </w:pPr>
      <w:r>
        <w:rPr>
          <w:rFonts w:hint="eastAsia"/>
        </w:rPr>
        <w:t xml:space="preserve">(6)Department of Radiodiagnosis, Amrita Institute of Medical Sciences, </w:t>
      </w:r>
    </w:p>
    <w:p w14:paraId="5EE0023A">
      <w:pPr>
        <w:pStyle w:val="2"/>
        <w:rPr>
          <w:rFonts w:hint="eastAsia"/>
        </w:rPr>
      </w:pPr>
      <w:r>
        <w:rPr>
          <w:rFonts w:hint="eastAsia"/>
        </w:rPr>
        <w:t>Faridabad, India.</w:t>
      </w:r>
    </w:p>
    <w:p w14:paraId="0680BA7F">
      <w:pPr>
        <w:pStyle w:val="2"/>
        <w:rPr>
          <w:rFonts w:hint="eastAsia"/>
        </w:rPr>
      </w:pPr>
      <w:r>
        <w:rPr>
          <w:rFonts w:hint="eastAsia"/>
        </w:rPr>
        <w:t xml:space="preserve">(7)Department of Respiratory Medicine, Kasturba Medical College, Manipal Academy </w:t>
      </w:r>
    </w:p>
    <w:p w14:paraId="4CCF038E">
      <w:pPr>
        <w:pStyle w:val="2"/>
        <w:rPr>
          <w:rFonts w:hint="eastAsia"/>
        </w:rPr>
      </w:pPr>
      <w:r>
        <w:rPr>
          <w:rFonts w:hint="eastAsia"/>
        </w:rPr>
        <w:t>of Higher Education, Manipal, India.</w:t>
      </w:r>
    </w:p>
    <w:p w14:paraId="76DB02C7">
      <w:pPr>
        <w:pStyle w:val="2"/>
        <w:rPr>
          <w:rFonts w:hint="eastAsia"/>
        </w:rPr>
      </w:pPr>
      <w:r>
        <w:rPr>
          <w:rFonts w:hint="eastAsia"/>
        </w:rPr>
        <w:t>(8)University Hospital Antwerp, Antwerp, Belgium.</w:t>
      </w:r>
    </w:p>
    <w:p w14:paraId="60CB893C">
      <w:pPr>
        <w:pStyle w:val="2"/>
        <w:rPr>
          <w:rFonts w:hint="eastAsia"/>
        </w:rPr>
      </w:pPr>
    </w:p>
    <w:p w14:paraId="24268B52">
      <w:pPr>
        <w:pStyle w:val="2"/>
        <w:rPr>
          <w:rFonts w:hint="eastAsia"/>
        </w:rPr>
      </w:pPr>
      <w:r>
        <w:rPr>
          <w:rFonts w:hint="eastAsia"/>
        </w:rPr>
        <w:t xml:space="preserve">Pulmonary melioidosis is frequently mistaken for pulmonary tuberculosis because </w:t>
      </w:r>
    </w:p>
    <w:p w14:paraId="70EF25AF">
      <w:pPr>
        <w:pStyle w:val="2"/>
        <w:rPr>
          <w:rFonts w:hint="eastAsia"/>
        </w:rPr>
      </w:pPr>
      <w:r>
        <w:rPr>
          <w:rFonts w:hint="eastAsia"/>
        </w:rPr>
        <w:t xml:space="preserve">of overlapping clinical and radiological features, often delaying appropriate </w:t>
      </w:r>
    </w:p>
    <w:p w14:paraId="3BA6C208">
      <w:pPr>
        <w:pStyle w:val="2"/>
        <w:rPr>
          <w:rFonts w:hint="eastAsia"/>
        </w:rPr>
      </w:pPr>
      <w:r>
        <w:rPr>
          <w:rFonts w:hint="eastAsia"/>
        </w:rPr>
        <w:t xml:space="preserve">treatment. We conducted a retrospective comparative cohort study at a tertiary </w:t>
      </w:r>
    </w:p>
    <w:p w14:paraId="0AC546BF">
      <w:pPr>
        <w:pStyle w:val="2"/>
        <w:rPr>
          <w:rFonts w:hint="eastAsia"/>
        </w:rPr>
      </w:pPr>
      <w:r>
        <w:rPr>
          <w:rFonts w:hint="eastAsia"/>
        </w:rPr>
        <w:t xml:space="preserve">care center in southern India between January 2018 and August 2025 to compare </w:t>
      </w:r>
    </w:p>
    <w:p w14:paraId="7C52B20E">
      <w:pPr>
        <w:pStyle w:val="2"/>
        <w:rPr>
          <w:rFonts w:hint="eastAsia"/>
        </w:rPr>
      </w:pPr>
      <w:r>
        <w:rPr>
          <w:rFonts w:hint="eastAsia"/>
        </w:rPr>
        <w:t xml:space="preserve">chest computed tomography (CT) features of microbiologically confirmed </w:t>
      </w:r>
    </w:p>
    <w:p w14:paraId="6141078C">
      <w:pPr>
        <w:pStyle w:val="2"/>
        <w:rPr>
          <w:rFonts w:hint="eastAsia"/>
        </w:rPr>
      </w:pPr>
      <w:r>
        <w:rPr>
          <w:rFonts w:hint="eastAsia"/>
        </w:rPr>
        <w:t xml:space="preserve">melioidosis and tuberculosis in diabetic adults who underwent CT within 30 days </w:t>
      </w:r>
    </w:p>
    <w:p w14:paraId="374A4B82">
      <w:pPr>
        <w:pStyle w:val="2"/>
        <w:rPr>
          <w:rFonts w:hint="eastAsia"/>
        </w:rPr>
      </w:pPr>
      <w:r>
        <w:rPr>
          <w:rFonts w:hint="eastAsia"/>
        </w:rPr>
        <w:t xml:space="preserve">of symptom onset. A total of 151 patients were included: 46 with melioidosis and </w:t>
      </w:r>
    </w:p>
    <w:p w14:paraId="7CE5C065">
      <w:pPr>
        <w:pStyle w:val="2"/>
        <w:rPr>
          <w:rFonts w:hint="eastAsia"/>
        </w:rPr>
      </w:pPr>
      <w:r>
        <w:rPr>
          <w:rFonts w:hint="eastAsia"/>
        </w:rPr>
        <w:t xml:space="preserve">105 with tuberculosis. Cavitation (n = 81/105 [77.1%] versus n = 20/46 [43.5%], </w:t>
      </w:r>
    </w:p>
    <w:p w14:paraId="1CAB76C7">
      <w:pPr>
        <w:pStyle w:val="2"/>
        <w:rPr>
          <w:rFonts w:hint="eastAsia"/>
        </w:rPr>
      </w:pPr>
      <w:r>
        <w:rPr>
          <w:rFonts w:hint="eastAsia"/>
        </w:rPr>
        <w:t xml:space="preserve">P &lt;0.001) and hydropneumothorax (n = 11/105 [10.5%] versus n = 0/46 [0%], P = </w:t>
      </w:r>
    </w:p>
    <w:p w14:paraId="513EDFFF">
      <w:pPr>
        <w:pStyle w:val="2"/>
        <w:rPr>
          <w:rFonts w:hint="eastAsia"/>
        </w:rPr>
      </w:pPr>
      <w:r>
        <w:rPr>
          <w:rFonts w:hint="eastAsia"/>
        </w:rPr>
        <w:t xml:space="preserve">0.019) were more common in tuberculosis. In contrast, when compared with </w:t>
      </w:r>
    </w:p>
    <w:p w14:paraId="2A9BB37A">
      <w:pPr>
        <w:pStyle w:val="2"/>
        <w:rPr>
          <w:rFonts w:hint="eastAsia"/>
        </w:rPr>
      </w:pPr>
      <w:r>
        <w:rPr>
          <w:rFonts w:hint="eastAsia"/>
        </w:rPr>
        <w:t xml:space="preserve">tuberculosis, melioidosis was associated with more frequent bilateral lung </w:t>
      </w:r>
    </w:p>
    <w:p w14:paraId="791FA167">
      <w:pPr>
        <w:pStyle w:val="2"/>
        <w:rPr>
          <w:rFonts w:hint="eastAsia"/>
        </w:rPr>
      </w:pPr>
      <w:r>
        <w:rPr>
          <w:rFonts w:hint="eastAsia"/>
        </w:rPr>
        <w:t xml:space="preserve">involvement (n = 37/105 [35.2%] versus n = 26/46 [56.5%], P = 0.015), pleural </w:t>
      </w:r>
    </w:p>
    <w:p w14:paraId="358FF99C">
      <w:pPr>
        <w:pStyle w:val="2"/>
        <w:rPr>
          <w:rFonts w:hint="eastAsia"/>
        </w:rPr>
      </w:pPr>
      <w:r>
        <w:rPr>
          <w:rFonts w:hint="eastAsia"/>
        </w:rPr>
        <w:t xml:space="preserve">effusion (n = 28/105 [26.7%] versus n = 23/46 [50.0%], P = 0.005), and hilar </w:t>
      </w:r>
    </w:p>
    <w:p w14:paraId="6451FE52">
      <w:pPr>
        <w:pStyle w:val="2"/>
        <w:rPr>
          <w:rFonts w:hint="eastAsia"/>
        </w:rPr>
      </w:pPr>
      <w:r>
        <w:rPr>
          <w:rFonts w:hint="eastAsia"/>
        </w:rPr>
        <w:t xml:space="preserve">lymphadenopathy (n = 6/105 [5.7%] versus n = 8/46 [17.4%], P = 0.032). Despite </w:t>
      </w:r>
    </w:p>
    <w:p w14:paraId="5E68AC16">
      <w:pPr>
        <w:pStyle w:val="2"/>
        <w:rPr>
          <w:rFonts w:hint="eastAsia"/>
        </w:rPr>
      </w:pPr>
      <w:r>
        <w:rPr>
          <w:rFonts w:hint="eastAsia"/>
        </w:rPr>
        <w:t xml:space="preserve">these differences, there was substantial overlap in CT findings, with upper-lobe </w:t>
      </w:r>
    </w:p>
    <w:p w14:paraId="6C2BEDF8">
      <w:pPr>
        <w:pStyle w:val="2"/>
        <w:rPr>
          <w:rFonts w:hint="eastAsia"/>
        </w:rPr>
      </w:pPr>
      <w:r>
        <w:rPr>
          <w:rFonts w:hint="eastAsia"/>
        </w:rPr>
        <w:t xml:space="preserve">predominance, centrilobular nodules, and mediastinal lymphadenopathy seen in </w:t>
      </w:r>
    </w:p>
    <w:p w14:paraId="36511099">
      <w:pPr>
        <w:pStyle w:val="2"/>
        <w:rPr>
          <w:rFonts w:hint="eastAsia"/>
        </w:rPr>
      </w:pPr>
      <w:r>
        <w:rPr>
          <w:rFonts w:hint="eastAsia"/>
        </w:rPr>
        <w:t xml:space="preserve">both groups. In multivariable analysis, cavitation was associated with </w:t>
      </w:r>
    </w:p>
    <w:p w14:paraId="51636D56">
      <w:pPr>
        <w:pStyle w:val="2"/>
        <w:rPr>
          <w:rFonts w:hint="eastAsia"/>
        </w:rPr>
      </w:pPr>
      <w:r>
        <w:rPr>
          <w:rFonts w:hint="eastAsia"/>
        </w:rPr>
        <w:t xml:space="preserve">significantly lower odds of melioidosis than tuberculosis (adjusted odds ratio: </w:t>
      </w:r>
    </w:p>
    <w:p w14:paraId="075543F5">
      <w:pPr>
        <w:pStyle w:val="2"/>
        <w:rPr>
          <w:rFonts w:hint="eastAsia"/>
        </w:rPr>
      </w:pPr>
      <w:r>
        <w:rPr>
          <w:rFonts w:hint="eastAsia"/>
        </w:rPr>
        <w:t xml:space="preserve">0.25, 95% CI: 0.12-0.54, P &lt;0.001). Pulmonary melioidosis and pulmonary </w:t>
      </w:r>
    </w:p>
    <w:p w14:paraId="3C2C2CA5">
      <w:pPr>
        <w:pStyle w:val="2"/>
        <w:rPr>
          <w:rFonts w:hint="eastAsia"/>
        </w:rPr>
      </w:pPr>
      <w:r>
        <w:rPr>
          <w:rFonts w:hint="eastAsia"/>
        </w:rPr>
        <w:t xml:space="preserve">tuberculosis, therefore, show substantial overlap on chest CT in diabetic </w:t>
      </w:r>
    </w:p>
    <w:p w14:paraId="02F35777">
      <w:pPr>
        <w:pStyle w:val="2"/>
        <w:rPr>
          <w:rFonts w:hint="eastAsia"/>
        </w:rPr>
      </w:pPr>
      <w:r>
        <w:rPr>
          <w:rFonts w:hint="eastAsia"/>
        </w:rPr>
        <w:t xml:space="preserve">patients, and imaging should be interpreted as an adjunct to targeted </w:t>
      </w:r>
    </w:p>
    <w:p w14:paraId="6E7E32F6">
      <w:pPr>
        <w:pStyle w:val="2"/>
        <w:rPr>
          <w:rFonts w:hint="eastAsia"/>
        </w:rPr>
      </w:pPr>
      <w:r>
        <w:rPr>
          <w:rFonts w:hint="eastAsia"/>
        </w:rPr>
        <w:t>microbiological diagnosis rather than a substitute for it.</w:t>
      </w:r>
    </w:p>
    <w:p w14:paraId="0BDAA9E6">
      <w:pPr>
        <w:pStyle w:val="2"/>
        <w:rPr>
          <w:rFonts w:hint="eastAsia"/>
        </w:rPr>
      </w:pPr>
    </w:p>
    <w:p w14:paraId="35F2DAA7">
      <w:pPr>
        <w:pStyle w:val="2"/>
        <w:rPr>
          <w:rFonts w:hint="eastAsia"/>
        </w:rPr>
      </w:pPr>
      <w:r>
        <w:rPr>
          <w:rFonts w:hint="eastAsia"/>
        </w:rPr>
        <w:t>DOI: 10.4269/ajtmh.26-0337</w:t>
      </w:r>
    </w:p>
    <w:p w14:paraId="09C2341A">
      <w:pPr>
        <w:pStyle w:val="2"/>
        <w:rPr>
          <w:rFonts w:hint="eastAsia"/>
        </w:rPr>
      </w:pPr>
      <w:r>
        <w:rPr>
          <w:rFonts w:hint="eastAsia"/>
        </w:rPr>
        <w:t>PMCID: PMC13675693</w:t>
      </w:r>
    </w:p>
    <w:p w14:paraId="160CEABC">
      <w:pPr>
        <w:pStyle w:val="2"/>
        <w:rPr>
          <w:rFonts w:hint="eastAsia"/>
        </w:rPr>
      </w:pPr>
      <w:r>
        <w:rPr>
          <w:rFonts w:hint="eastAsia"/>
        </w:rPr>
        <w:t>PMID: 42869005</w:t>
      </w:r>
    </w:p>
    <w:p w14:paraId="6D2D2999">
      <w:pPr>
        <w:pStyle w:val="2"/>
        <w:rPr>
          <w:rFonts w:hint="eastAsia"/>
        </w:rPr>
      </w:pPr>
    </w:p>
    <w:p w14:paraId="28B6EE4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31</w:t>
      </w:r>
      <w:r>
        <w:rPr>
          <w:rFonts w:hint="eastAsia"/>
          <w:b/>
          <w:bCs/>
          <w:color w:val="FF0000"/>
        </w:rPr>
        <w:t xml:space="preserve">. Am J Trop Med Hyg. 2026 Oct 13:tpmd260194. doi: 10.4269/ajtmh.26-0194. Online </w:t>
      </w:r>
    </w:p>
    <w:p w14:paraId="01EAD48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7F5EE70F">
      <w:pPr>
        <w:pStyle w:val="2"/>
        <w:rPr>
          <w:rFonts w:hint="eastAsia"/>
        </w:rPr>
      </w:pPr>
    </w:p>
    <w:p w14:paraId="29A0AE65">
      <w:pPr>
        <w:pStyle w:val="2"/>
        <w:rPr>
          <w:rFonts w:hint="eastAsia"/>
        </w:rPr>
      </w:pPr>
      <w:r>
        <w:rPr>
          <w:rFonts w:hint="eastAsia"/>
        </w:rPr>
        <w:t xml:space="preserve">Outcomes in Patients with Tuberculous Meningitis: A Prospective Cohort Study in </w:t>
      </w:r>
    </w:p>
    <w:p w14:paraId="7F5A37A3">
      <w:pPr>
        <w:pStyle w:val="2"/>
        <w:rPr>
          <w:rFonts w:hint="eastAsia"/>
        </w:rPr>
      </w:pPr>
      <w:r>
        <w:rPr>
          <w:rFonts w:hint="eastAsia"/>
        </w:rPr>
        <w:t>North India.</w:t>
      </w:r>
    </w:p>
    <w:p w14:paraId="0CF43E26">
      <w:pPr>
        <w:pStyle w:val="2"/>
        <w:rPr>
          <w:rFonts w:hint="eastAsia"/>
        </w:rPr>
      </w:pPr>
    </w:p>
    <w:p w14:paraId="34AB4BA8">
      <w:pPr>
        <w:pStyle w:val="2"/>
        <w:rPr>
          <w:rFonts w:hint="eastAsia"/>
        </w:rPr>
      </w:pPr>
      <w:r>
        <w:rPr>
          <w:rFonts w:hint="eastAsia"/>
        </w:rPr>
        <w:t xml:space="preserve">Vibha D(1), Kushwaha S(2), Chandan SK(3), Nath M(1), Rafi W(1), Singh RK(1), </w:t>
      </w:r>
    </w:p>
    <w:p w14:paraId="09D70EF3">
      <w:pPr>
        <w:pStyle w:val="2"/>
        <w:rPr>
          <w:rFonts w:hint="eastAsia"/>
        </w:rPr>
      </w:pPr>
      <w:r>
        <w:rPr>
          <w:rFonts w:hint="eastAsia"/>
        </w:rPr>
        <w:t xml:space="preserve">Pandit AK(1), Ramanujam B(1), Radhakrishnan DM(1), Das A(1), Elavarasi A(1), </w:t>
      </w:r>
    </w:p>
    <w:p w14:paraId="44C2E381">
      <w:pPr>
        <w:pStyle w:val="2"/>
        <w:rPr>
          <w:rFonts w:hint="eastAsia"/>
        </w:rPr>
      </w:pPr>
      <w:r>
        <w:rPr>
          <w:rFonts w:hint="eastAsia"/>
        </w:rPr>
        <w:t>Dwivedi SN(1), Srivastava AK(1), Tripathi M(1), Prasad K(1).</w:t>
      </w:r>
    </w:p>
    <w:p w14:paraId="68178948">
      <w:pPr>
        <w:pStyle w:val="2"/>
        <w:rPr>
          <w:rFonts w:hint="eastAsia"/>
        </w:rPr>
      </w:pPr>
    </w:p>
    <w:p w14:paraId="423A2382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AAD42E7">
      <w:pPr>
        <w:pStyle w:val="2"/>
        <w:rPr>
          <w:rFonts w:hint="eastAsia"/>
        </w:rPr>
      </w:pPr>
      <w:r>
        <w:rPr>
          <w:rFonts w:hint="eastAsia"/>
        </w:rPr>
        <w:t>(1)All India Institute of Medical Sciences, New Delhi, India.</w:t>
      </w:r>
    </w:p>
    <w:p w14:paraId="28409160">
      <w:pPr>
        <w:pStyle w:val="2"/>
        <w:rPr>
          <w:rFonts w:hint="eastAsia"/>
        </w:rPr>
      </w:pPr>
      <w:r>
        <w:rPr>
          <w:rFonts w:hint="eastAsia"/>
        </w:rPr>
        <w:t>(2)Institute of Human Behavior and Allied Sciences, New Delhi, India.</w:t>
      </w:r>
    </w:p>
    <w:p w14:paraId="04DDEEBB">
      <w:pPr>
        <w:pStyle w:val="2"/>
        <w:rPr>
          <w:rFonts w:hint="eastAsia"/>
        </w:rPr>
      </w:pPr>
      <w:r>
        <w:rPr>
          <w:rFonts w:hint="eastAsia"/>
        </w:rPr>
        <w:t>(3)Vardhman Mahavir Medical College, New Delhi, India.</w:t>
      </w:r>
    </w:p>
    <w:p w14:paraId="7A9D9F83">
      <w:pPr>
        <w:pStyle w:val="2"/>
        <w:rPr>
          <w:rFonts w:hint="eastAsia"/>
        </w:rPr>
      </w:pPr>
    </w:p>
    <w:p w14:paraId="46F23343">
      <w:pPr>
        <w:pStyle w:val="2"/>
        <w:rPr>
          <w:rFonts w:hint="eastAsia"/>
        </w:rPr>
      </w:pPr>
      <w:r>
        <w:rPr>
          <w:rFonts w:hint="eastAsia"/>
        </w:rPr>
        <w:t xml:space="preserve">Tuberculous meningitis (TBM) is the most severe form of extrapulmonary </w:t>
      </w:r>
    </w:p>
    <w:p w14:paraId="7E536228">
      <w:pPr>
        <w:pStyle w:val="2"/>
        <w:rPr>
          <w:rFonts w:hint="eastAsia"/>
        </w:rPr>
      </w:pPr>
      <w:r>
        <w:rPr>
          <w:rFonts w:hint="eastAsia"/>
        </w:rPr>
        <w:t xml:space="preserve">tuberculosis, carrying the highest mortality among all forms. This multicentric </w:t>
      </w:r>
    </w:p>
    <w:p w14:paraId="0DB2A11D">
      <w:pPr>
        <w:pStyle w:val="2"/>
        <w:rPr>
          <w:rFonts w:hint="eastAsia"/>
        </w:rPr>
      </w:pPr>
      <w:r>
        <w:rPr>
          <w:rFonts w:hint="eastAsia"/>
        </w:rPr>
        <w:t xml:space="preserve">prospective cohort study conducted in North India aimed to determine the </w:t>
      </w:r>
    </w:p>
    <w:p w14:paraId="79CC496E">
      <w:pPr>
        <w:pStyle w:val="2"/>
        <w:rPr>
          <w:rFonts w:hint="eastAsia"/>
        </w:rPr>
      </w:pPr>
      <w:r>
        <w:rPr>
          <w:rFonts w:hint="eastAsia"/>
        </w:rPr>
        <w:t xml:space="preserve">incidence of complications, functional outcome (modified Rankin scale [mRS]), </w:t>
      </w:r>
    </w:p>
    <w:p w14:paraId="15E5DE11">
      <w:pPr>
        <w:pStyle w:val="2"/>
        <w:rPr>
          <w:rFonts w:hint="eastAsia"/>
        </w:rPr>
      </w:pPr>
      <w:r>
        <w:rPr>
          <w:rFonts w:hint="eastAsia"/>
        </w:rPr>
        <w:t xml:space="preserve">and mortality in TBM. Patients 12 years old and older with TBM were followed up </w:t>
      </w:r>
    </w:p>
    <w:p w14:paraId="5F62285E">
      <w:pPr>
        <w:pStyle w:val="2"/>
        <w:rPr>
          <w:rFonts w:hint="eastAsia"/>
        </w:rPr>
      </w:pPr>
      <w:r>
        <w:rPr>
          <w:rFonts w:hint="eastAsia"/>
        </w:rPr>
        <w:t xml:space="preserve">until completion of 9 months of antitubercular treatment. Patients with </w:t>
      </w:r>
    </w:p>
    <w:p w14:paraId="3607C849">
      <w:pPr>
        <w:pStyle w:val="2"/>
        <w:rPr>
          <w:rFonts w:hint="eastAsia"/>
        </w:rPr>
      </w:pPr>
      <w:r>
        <w:rPr>
          <w:rFonts w:hint="eastAsia"/>
        </w:rPr>
        <w:t xml:space="preserve">concomitant HIV infection, other infections causing meningitis, or </w:t>
      </w:r>
    </w:p>
    <w:p w14:paraId="5378775E">
      <w:pPr>
        <w:pStyle w:val="2"/>
        <w:rPr>
          <w:rFonts w:hint="eastAsia"/>
        </w:rPr>
      </w:pPr>
      <w:r>
        <w:rPr>
          <w:rFonts w:hint="eastAsia"/>
        </w:rPr>
        <w:t xml:space="preserve">multidrug-resistant tuberculosis were excluded. The primary outcome was mRS at 9 </w:t>
      </w:r>
    </w:p>
    <w:p w14:paraId="4BFA2D97">
      <w:pPr>
        <w:pStyle w:val="2"/>
        <w:rPr>
          <w:rFonts w:hint="eastAsia"/>
        </w:rPr>
      </w:pPr>
      <w:r>
        <w:rPr>
          <w:rFonts w:hint="eastAsia"/>
        </w:rPr>
        <w:t xml:space="preserve">months. Secondary outcomes included mRS at 6 months, poor mRS (&gt;2), Barthel </w:t>
      </w:r>
    </w:p>
    <w:p w14:paraId="0B028F03">
      <w:pPr>
        <w:pStyle w:val="2"/>
        <w:rPr>
          <w:rFonts w:hint="eastAsia"/>
        </w:rPr>
      </w:pPr>
      <w:r>
        <w:rPr>
          <w:rFonts w:hint="eastAsia"/>
        </w:rPr>
        <w:t xml:space="preserve">Index, and mortality at 6 and 9 months. Between October 1, 2019 and March 31, </w:t>
      </w:r>
    </w:p>
    <w:p w14:paraId="302CD2A6">
      <w:pPr>
        <w:pStyle w:val="2"/>
        <w:rPr>
          <w:rFonts w:hint="eastAsia"/>
        </w:rPr>
      </w:pPr>
      <w:r>
        <w:rPr>
          <w:rFonts w:hint="eastAsia"/>
        </w:rPr>
        <w:t xml:space="preserve">2024, 585 eligible patients were enrolled, of whom 495 (84.6%) completed </w:t>
      </w:r>
    </w:p>
    <w:p w14:paraId="603D768B">
      <w:pPr>
        <w:pStyle w:val="2"/>
        <w:rPr>
          <w:rFonts w:hint="eastAsia"/>
        </w:rPr>
      </w:pPr>
      <w:r>
        <w:rPr>
          <w:rFonts w:hint="eastAsia"/>
        </w:rPr>
        <w:t xml:space="preserve">follow-up. The median age was 24.0 years old, and the majority were female (n = </w:t>
      </w:r>
    </w:p>
    <w:p w14:paraId="59C65D90">
      <w:pPr>
        <w:pStyle w:val="2"/>
        <w:rPr>
          <w:rFonts w:hint="eastAsia"/>
        </w:rPr>
      </w:pPr>
      <w:r>
        <w:rPr>
          <w:rFonts w:hint="eastAsia"/>
        </w:rPr>
        <w:t xml:space="preserve">304/495; 61.4%). Complications were present in 377 patients (76.2%): focal </w:t>
      </w:r>
    </w:p>
    <w:p w14:paraId="1528D7D5">
      <w:pPr>
        <w:pStyle w:val="2"/>
        <w:rPr>
          <w:rFonts w:hint="eastAsia"/>
        </w:rPr>
      </w:pPr>
      <w:r>
        <w:rPr>
          <w:rFonts w:hint="eastAsia"/>
        </w:rPr>
        <w:t xml:space="preserve">neurological deficits (41.6%), seizures (38.6%), immune reconstitution </w:t>
      </w:r>
    </w:p>
    <w:p w14:paraId="07639C2C">
      <w:pPr>
        <w:pStyle w:val="2"/>
        <w:rPr>
          <w:rFonts w:hint="eastAsia"/>
        </w:rPr>
      </w:pPr>
      <w:r>
        <w:rPr>
          <w:rFonts w:hint="eastAsia"/>
        </w:rPr>
        <w:t xml:space="preserve">inflammatory syndrome (32.7%), hydrocephalus (24.8%), and drug-induced liver </w:t>
      </w:r>
    </w:p>
    <w:p w14:paraId="4CF657B3">
      <w:pPr>
        <w:pStyle w:val="2"/>
        <w:rPr>
          <w:rFonts w:hint="eastAsia"/>
        </w:rPr>
      </w:pPr>
      <w:r>
        <w:rPr>
          <w:rFonts w:hint="eastAsia"/>
        </w:rPr>
        <w:t xml:space="preserve">injury (14.1%). Complications were associated with worse mRS on unadjusted </w:t>
      </w:r>
    </w:p>
    <w:p w14:paraId="14676BB9">
      <w:pPr>
        <w:pStyle w:val="2"/>
        <w:rPr>
          <w:rFonts w:hint="eastAsia"/>
        </w:rPr>
      </w:pPr>
      <w:r>
        <w:rPr>
          <w:rFonts w:hint="eastAsia"/>
        </w:rPr>
        <w:t xml:space="preserve">analysis (odds ratio [OR]: 2.5 [1.7-3.7]; P &lt;0.001); however, this association </w:t>
      </w:r>
    </w:p>
    <w:p w14:paraId="78F4AB62">
      <w:pPr>
        <w:pStyle w:val="2"/>
        <w:rPr>
          <w:rFonts w:hint="eastAsia"/>
        </w:rPr>
      </w:pPr>
      <w:r>
        <w:rPr>
          <w:rFonts w:hint="eastAsia"/>
        </w:rPr>
        <w:t xml:space="preserve">was no longer statistically significant after adjustment for age, sex, baseline </w:t>
      </w:r>
    </w:p>
    <w:p w14:paraId="2039DA6E">
      <w:pPr>
        <w:pStyle w:val="2"/>
        <w:rPr>
          <w:rFonts w:hint="eastAsia"/>
        </w:rPr>
      </w:pPr>
      <w:r>
        <w:rPr>
          <w:rFonts w:hint="eastAsia"/>
        </w:rPr>
        <w:t xml:space="preserve">mRS, study center, and disease stage and category (OR: 1.3 [0.8-2.0]; P = 0.30). </w:t>
      </w:r>
    </w:p>
    <w:p w14:paraId="7FA8AFA2">
      <w:pPr>
        <w:pStyle w:val="2"/>
        <w:rPr>
          <w:rFonts w:hint="eastAsia"/>
        </w:rPr>
      </w:pPr>
      <w:r>
        <w:rPr>
          <w:rFonts w:hint="eastAsia"/>
        </w:rPr>
        <w:t xml:space="preserve">The median mRS improved from 4.0 at presentation to 2.0 at 6 months and 1.0 at 9 </w:t>
      </w:r>
    </w:p>
    <w:p w14:paraId="0B94C6EF">
      <w:pPr>
        <w:pStyle w:val="2"/>
        <w:rPr>
          <w:rFonts w:hint="eastAsia"/>
        </w:rPr>
      </w:pPr>
      <w:r>
        <w:rPr>
          <w:rFonts w:hint="eastAsia"/>
        </w:rPr>
        <w:t xml:space="preserve">months. Death occurred at a median of 91.0 days after presentation. Mortality at </w:t>
      </w:r>
    </w:p>
    <w:p w14:paraId="7EECF22C">
      <w:pPr>
        <w:pStyle w:val="2"/>
        <w:rPr>
          <w:rFonts w:hint="eastAsia"/>
        </w:rPr>
      </w:pPr>
      <w:r>
        <w:rPr>
          <w:rFonts w:hint="eastAsia"/>
        </w:rPr>
        <w:t>6 months was 9.3% and at 9 months was 10.7%.</w:t>
      </w:r>
    </w:p>
    <w:p w14:paraId="10CA2F72">
      <w:pPr>
        <w:pStyle w:val="2"/>
        <w:rPr>
          <w:rFonts w:hint="eastAsia"/>
        </w:rPr>
      </w:pPr>
    </w:p>
    <w:p w14:paraId="16C2E5E5">
      <w:pPr>
        <w:pStyle w:val="2"/>
        <w:rPr>
          <w:rFonts w:hint="eastAsia"/>
        </w:rPr>
      </w:pPr>
      <w:r>
        <w:rPr>
          <w:rFonts w:hint="eastAsia"/>
        </w:rPr>
        <w:t>DOI: 10.4269/ajtmh.26-0194</w:t>
      </w:r>
    </w:p>
    <w:p w14:paraId="52D309C8">
      <w:pPr>
        <w:pStyle w:val="2"/>
        <w:rPr>
          <w:rFonts w:hint="eastAsia"/>
        </w:rPr>
      </w:pPr>
      <w:r>
        <w:rPr>
          <w:rFonts w:hint="eastAsia"/>
        </w:rPr>
        <w:t>PMCID: PMC13675685</w:t>
      </w:r>
    </w:p>
    <w:p w14:paraId="144692DA">
      <w:pPr>
        <w:pStyle w:val="2"/>
        <w:rPr>
          <w:rFonts w:hint="eastAsia"/>
        </w:rPr>
      </w:pPr>
      <w:r>
        <w:rPr>
          <w:rFonts w:hint="eastAsia"/>
        </w:rPr>
        <w:t>PMID: 42869000</w:t>
      </w:r>
    </w:p>
    <w:p w14:paraId="4C631875">
      <w:pPr>
        <w:pStyle w:val="2"/>
        <w:rPr>
          <w:rFonts w:hint="eastAsia"/>
        </w:rPr>
      </w:pPr>
    </w:p>
    <w:p w14:paraId="28AB071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32</w:t>
      </w:r>
      <w:r>
        <w:rPr>
          <w:rFonts w:hint="eastAsia"/>
          <w:b/>
          <w:bCs/>
          <w:color w:val="FF0000"/>
        </w:rPr>
        <w:t xml:space="preserve">. PLoS Pathog. 2026 Oct 13;22(10):e1014454. doi: 10.1371/journal.ppat.1014454. </w:t>
      </w:r>
    </w:p>
    <w:p w14:paraId="7F880E4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5C1BE319">
      <w:pPr>
        <w:pStyle w:val="2"/>
        <w:rPr>
          <w:rFonts w:hint="eastAsia"/>
        </w:rPr>
      </w:pPr>
    </w:p>
    <w:p w14:paraId="785F8578">
      <w:pPr>
        <w:pStyle w:val="2"/>
        <w:rPr>
          <w:rFonts w:hint="eastAsia"/>
        </w:rPr>
      </w:pPr>
      <w:r>
        <w:rPr>
          <w:rFonts w:hint="eastAsia"/>
        </w:rPr>
        <w:t xml:space="preserve">MicroRNA-1246 regulates macrophage lipid metabolism and is involved in </w:t>
      </w:r>
    </w:p>
    <w:p w14:paraId="788869D8">
      <w:pPr>
        <w:pStyle w:val="2"/>
        <w:rPr>
          <w:rFonts w:hint="eastAsia"/>
        </w:rPr>
      </w:pPr>
      <w:r>
        <w:rPr>
          <w:rFonts w:hint="eastAsia"/>
        </w:rPr>
        <w:t>resistance to human Mycobacterium tuberculosis infection.</w:t>
      </w:r>
    </w:p>
    <w:p w14:paraId="4FFF931C">
      <w:pPr>
        <w:pStyle w:val="2"/>
        <w:rPr>
          <w:rFonts w:hint="eastAsia"/>
        </w:rPr>
      </w:pPr>
    </w:p>
    <w:p w14:paraId="171A59C5">
      <w:pPr>
        <w:pStyle w:val="2"/>
        <w:rPr>
          <w:rFonts w:hint="eastAsia"/>
        </w:rPr>
      </w:pPr>
      <w:r>
        <w:rPr>
          <w:rFonts w:hint="eastAsia"/>
        </w:rPr>
        <w:t xml:space="preserve">Tripathi A(1), Neela VSK(2), Radhakrishnan RK(3), Devalraju KP(2), Bogam AK(2), </w:t>
      </w:r>
    </w:p>
    <w:p w14:paraId="538748B9">
      <w:pPr>
        <w:pStyle w:val="2"/>
        <w:rPr>
          <w:rFonts w:hint="eastAsia"/>
        </w:rPr>
      </w:pPr>
      <w:r>
        <w:rPr>
          <w:rFonts w:hint="eastAsia"/>
        </w:rPr>
        <w:t xml:space="preserve">Mukherjee T(4), Mallidi V(2), Vankayalapati A(3), Ansari MSS(2), Arana C(5), </w:t>
      </w:r>
    </w:p>
    <w:p w14:paraId="1F827F6F">
      <w:pPr>
        <w:pStyle w:val="2"/>
        <w:rPr>
          <w:rFonts w:hint="eastAsia"/>
        </w:rPr>
      </w:pPr>
      <w:r>
        <w:rPr>
          <w:rFonts w:hint="eastAsia"/>
        </w:rPr>
        <w:t>Joshi S(2), Singh KP(6), Valluri VL(2), Vankayalapati R(3), Tripathi D(7).</w:t>
      </w:r>
    </w:p>
    <w:p w14:paraId="72E234E4">
      <w:pPr>
        <w:pStyle w:val="2"/>
        <w:rPr>
          <w:rFonts w:hint="eastAsia"/>
        </w:rPr>
      </w:pPr>
    </w:p>
    <w:p w14:paraId="5B7F7C2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D146032">
      <w:pPr>
        <w:pStyle w:val="2"/>
        <w:rPr>
          <w:rFonts w:hint="eastAsia"/>
        </w:rPr>
      </w:pPr>
      <w:r>
        <w:rPr>
          <w:rFonts w:hint="eastAsia"/>
        </w:rPr>
        <w:t xml:space="preserve">(1)Center for Global Infectious Disease Research, Seattle Children's Research </w:t>
      </w:r>
    </w:p>
    <w:p w14:paraId="11C4E0B4">
      <w:pPr>
        <w:pStyle w:val="2"/>
        <w:rPr>
          <w:rFonts w:hint="eastAsia"/>
        </w:rPr>
      </w:pPr>
      <w:r>
        <w:rPr>
          <w:rFonts w:hint="eastAsia"/>
        </w:rPr>
        <w:t>Institute, Seattle, Washington, United States of America.</w:t>
      </w:r>
    </w:p>
    <w:p w14:paraId="46570D38">
      <w:pPr>
        <w:pStyle w:val="2"/>
        <w:rPr>
          <w:rFonts w:hint="eastAsia"/>
        </w:rPr>
      </w:pPr>
      <w:r>
        <w:rPr>
          <w:rFonts w:hint="eastAsia"/>
        </w:rPr>
        <w:t xml:space="preserve">(2)Immunology and Molecular Biology Department, Bhagwan Mahavir Medical Research </w:t>
      </w:r>
    </w:p>
    <w:p w14:paraId="4DFCBC7E">
      <w:pPr>
        <w:pStyle w:val="2"/>
        <w:rPr>
          <w:rFonts w:hint="eastAsia"/>
        </w:rPr>
      </w:pPr>
      <w:r>
        <w:rPr>
          <w:rFonts w:hint="eastAsia"/>
        </w:rPr>
        <w:t>Centre, Hyderabad, India.</w:t>
      </w:r>
    </w:p>
    <w:p w14:paraId="34E61570">
      <w:pPr>
        <w:pStyle w:val="2"/>
        <w:rPr>
          <w:rFonts w:hint="eastAsia"/>
        </w:rPr>
      </w:pPr>
      <w:r>
        <w:rPr>
          <w:rFonts w:hint="eastAsia"/>
        </w:rPr>
        <w:t xml:space="preserve">(3)Division of Infectious Diseases, Allergy and Immunology, Department of </w:t>
      </w:r>
    </w:p>
    <w:p w14:paraId="35C7811C">
      <w:pPr>
        <w:pStyle w:val="2"/>
        <w:rPr>
          <w:rFonts w:hint="eastAsia"/>
        </w:rPr>
      </w:pPr>
      <w:r>
        <w:rPr>
          <w:rFonts w:hint="eastAsia"/>
        </w:rPr>
        <w:t xml:space="preserve">Internal Medicine, Saint Louis University School Medicine, St. Louis, Missouri, </w:t>
      </w:r>
    </w:p>
    <w:p w14:paraId="2DB729C6">
      <w:pPr>
        <w:pStyle w:val="2"/>
        <w:rPr>
          <w:rFonts w:hint="eastAsia"/>
        </w:rPr>
      </w:pPr>
      <w:r>
        <w:rPr>
          <w:rFonts w:hint="eastAsia"/>
        </w:rPr>
        <w:t>United States of America.</w:t>
      </w:r>
    </w:p>
    <w:p w14:paraId="7B9450D8">
      <w:pPr>
        <w:pStyle w:val="2"/>
        <w:rPr>
          <w:rFonts w:hint="eastAsia"/>
        </w:rPr>
      </w:pPr>
      <w:r>
        <w:rPr>
          <w:rFonts w:hint="eastAsia"/>
        </w:rPr>
        <w:t xml:space="preserve">(4)Center for Biomedical Research, The University of Texas Health Science Center </w:t>
      </w:r>
    </w:p>
    <w:p w14:paraId="66444825">
      <w:pPr>
        <w:pStyle w:val="2"/>
        <w:rPr>
          <w:rFonts w:hint="eastAsia"/>
        </w:rPr>
      </w:pPr>
      <w:r>
        <w:rPr>
          <w:rFonts w:hint="eastAsia"/>
        </w:rPr>
        <w:t>at Tyler, Tyler, Texas, United States of America.</w:t>
      </w:r>
    </w:p>
    <w:p w14:paraId="17D4EC41">
      <w:pPr>
        <w:pStyle w:val="2"/>
        <w:rPr>
          <w:rFonts w:hint="eastAsia"/>
        </w:rPr>
      </w:pPr>
      <w:r>
        <w:rPr>
          <w:rFonts w:hint="eastAsia"/>
        </w:rPr>
        <w:t xml:space="preserve">(5)Department of Immunology, UT Southwestern Medical Center, Dallas, Texas, </w:t>
      </w:r>
    </w:p>
    <w:p w14:paraId="256927CD">
      <w:pPr>
        <w:pStyle w:val="2"/>
        <w:rPr>
          <w:rFonts w:hint="eastAsia"/>
        </w:rPr>
      </w:pPr>
      <w:r>
        <w:rPr>
          <w:rFonts w:hint="eastAsia"/>
        </w:rPr>
        <w:t>United States of America.</w:t>
      </w:r>
    </w:p>
    <w:p w14:paraId="550DED22">
      <w:pPr>
        <w:pStyle w:val="2"/>
        <w:rPr>
          <w:rFonts w:hint="eastAsia"/>
        </w:rPr>
      </w:pPr>
      <w:r>
        <w:rPr>
          <w:rFonts w:hint="eastAsia"/>
        </w:rPr>
        <w:t xml:space="preserve">(6)Department of Epidemiology and Biostatistics, The University of Texas at </w:t>
      </w:r>
    </w:p>
    <w:p w14:paraId="16989CDB">
      <w:pPr>
        <w:pStyle w:val="2"/>
        <w:rPr>
          <w:rFonts w:hint="eastAsia"/>
        </w:rPr>
      </w:pPr>
      <w:r>
        <w:rPr>
          <w:rFonts w:hint="eastAsia"/>
        </w:rPr>
        <w:t xml:space="preserve">Tyler School of Medicine, Health Science Center, Tyler, Texas, United States of </w:t>
      </w:r>
    </w:p>
    <w:p w14:paraId="47AB822C">
      <w:pPr>
        <w:pStyle w:val="2"/>
        <w:rPr>
          <w:rFonts w:hint="eastAsia"/>
        </w:rPr>
      </w:pPr>
      <w:r>
        <w:rPr>
          <w:rFonts w:hint="eastAsia"/>
        </w:rPr>
        <w:t>America.</w:t>
      </w:r>
    </w:p>
    <w:p w14:paraId="7224D51A">
      <w:pPr>
        <w:pStyle w:val="2"/>
        <w:rPr>
          <w:rFonts w:hint="eastAsia"/>
        </w:rPr>
      </w:pPr>
      <w:r>
        <w:rPr>
          <w:rFonts w:hint="eastAsia"/>
        </w:rPr>
        <w:t xml:space="preserve">(7)Department of Medicine, Tulane University School of Medicine, New Orleans, </w:t>
      </w:r>
    </w:p>
    <w:p w14:paraId="153E6D21">
      <w:pPr>
        <w:pStyle w:val="2"/>
        <w:rPr>
          <w:rFonts w:hint="eastAsia"/>
        </w:rPr>
      </w:pPr>
      <w:r>
        <w:rPr>
          <w:rFonts w:hint="eastAsia"/>
        </w:rPr>
        <w:t>Louisiana, United States of America.</w:t>
      </w:r>
    </w:p>
    <w:p w14:paraId="5B22FF77">
      <w:pPr>
        <w:pStyle w:val="2"/>
        <w:rPr>
          <w:rFonts w:hint="eastAsia"/>
        </w:rPr>
      </w:pPr>
    </w:p>
    <w:p w14:paraId="4791DBF0">
      <w:pPr>
        <w:pStyle w:val="2"/>
        <w:rPr>
          <w:rFonts w:hint="eastAsia"/>
        </w:rPr>
      </w:pPr>
      <w:r>
        <w:rPr>
          <w:rFonts w:hint="eastAsia"/>
        </w:rPr>
        <w:t xml:space="preserve">We determined whether microRNAs (miRNAs) regulate resistance to Mycobacterium </w:t>
      </w:r>
    </w:p>
    <w:p w14:paraId="067E5704">
      <w:pPr>
        <w:pStyle w:val="2"/>
        <w:rPr>
          <w:rFonts w:hint="eastAsia"/>
        </w:rPr>
      </w:pPr>
      <w:r>
        <w:rPr>
          <w:rFonts w:hint="eastAsia"/>
        </w:rPr>
        <w:t xml:space="preserve">tuberculosis (Mtb) infection in healthy household contacts (HHCs) of patients </w:t>
      </w:r>
    </w:p>
    <w:p w14:paraId="1CE7CED7">
      <w:pPr>
        <w:pStyle w:val="2"/>
        <w:rPr>
          <w:rFonts w:hint="eastAsia"/>
        </w:rPr>
      </w:pPr>
      <w:r>
        <w:rPr>
          <w:rFonts w:hint="eastAsia"/>
        </w:rPr>
        <w:t xml:space="preserve">with tuberculosis (TB). As shown in our previously published study, we recruited </w:t>
      </w:r>
    </w:p>
    <w:p w14:paraId="6847C68D">
      <w:pPr>
        <w:pStyle w:val="2"/>
        <w:rPr>
          <w:rFonts w:hint="eastAsia"/>
        </w:rPr>
      </w:pPr>
      <w:r>
        <w:rPr>
          <w:rFonts w:hint="eastAsia"/>
        </w:rPr>
        <w:t xml:space="preserve">460 HHCs from 443 index cases of active pulmonary TB, with 293 (64.8%) remaining </w:t>
      </w:r>
    </w:p>
    <w:p w14:paraId="2068A845">
      <w:pPr>
        <w:pStyle w:val="2"/>
        <w:rPr>
          <w:rFonts w:hint="eastAsia"/>
        </w:rPr>
      </w:pPr>
      <w:r>
        <w:rPr>
          <w:rFonts w:hint="eastAsia"/>
        </w:rPr>
        <w:t xml:space="preserve">IGRA-negative throughout a two-year follow-up. Whole-transcriptome sequencing at </w:t>
      </w:r>
    </w:p>
    <w:p w14:paraId="7021F3C9">
      <w:pPr>
        <w:pStyle w:val="2"/>
        <w:rPr>
          <w:rFonts w:hint="eastAsia"/>
        </w:rPr>
      </w:pPr>
      <w:r>
        <w:rPr>
          <w:rFonts w:hint="eastAsia"/>
        </w:rPr>
        <w:t xml:space="preserve">baseline (0 months) and follow-up (24 months) and confirmation studies </w:t>
      </w:r>
    </w:p>
    <w:p w14:paraId="4C9F59E5">
      <w:pPr>
        <w:pStyle w:val="2"/>
        <w:rPr>
          <w:rFonts w:hint="eastAsia"/>
        </w:rPr>
      </w:pPr>
      <w:r>
        <w:rPr>
          <w:rFonts w:hint="eastAsia"/>
        </w:rPr>
        <w:t xml:space="preserve">identified miRNA-1246 (downregulated) and miRNA-125b (upregulated) as potential </w:t>
      </w:r>
    </w:p>
    <w:p w14:paraId="1B76F436">
      <w:pPr>
        <w:pStyle w:val="2"/>
        <w:rPr>
          <w:rFonts w:hint="eastAsia"/>
        </w:rPr>
      </w:pPr>
      <w:r>
        <w:rPr>
          <w:rFonts w:hint="eastAsia"/>
        </w:rPr>
        <w:t xml:space="preserve">candidates for the development of resistance in nonconverters compared with </w:t>
      </w:r>
    </w:p>
    <w:p w14:paraId="7E2A469B">
      <w:pPr>
        <w:pStyle w:val="2"/>
        <w:rPr>
          <w:rFonts w:hint="eastAsia"/>
        </w:rPr>
      </w:pPr>
      <w:r>
        <w:rPr>
          <w:rFonts w:hint="eastAsia"/>
        </w:rPr>
        <w:t xml:space="preserve">converters and progressors. Mechanistic studies using proteomics and </w:t>
      </w:r>
    </w:p>
    <w:p w14:paraId="27480B76">
      <w:pPr>
        <w:pStyle w:val="2"/>
        <w:rPr>
          <w:rFonts w:hint="eastAsia"/>
        </w:rPr>
      </w:pPr>
      <w:r>
        <w:rPr>
          <w:rFonts w:hint="eastAsia"/>
        </w:rPr>
        <w:t xml:space="preserve">computational analysis revealed that miRNA-1246 inhibitor reduce Mtb growth in </w:t>
      </w:r>
    </w:p>
    <w:p w14:paraId="484B40B9">
      <w:pPr>
        <w:pStyle w:val="2"/>
        <w:rPr>
          <w:rFonts w:hint="eastAsia"/>
        </w:rPr>
      </w:pPr>
      <w:r>
        <w:rPr>
          <w:rFonts w:hint="eastAsia"/>
        </w:rPr>
        <w:t xml:space="preserve">macrophages by regulating lipase activity, specifically through targeting </w:t>
      </w:r>
    </w:p>
    <w:p w14:paraId="6AF714AF">
      <w:pPr>
        <w:pStyle w:val="2"/>
        <w:rPr>
          <w:rFonts w:hint="eastAsia"/>
        </w:rPr>
      </w:pPr>
      <w:r>
        <w:rPr>
          <w:rFonts w:hint="eastAsia"/>
        </w:rPr>
        <w:t xml:space="preserve">alpha/beta hydrolase domain-containing protein 2 (ABHD2). Inhibition of </w:t>
      </w:r>
    </w:p>
    <w:p w14:paraId="4DC5A03B">
      <w:pPr>
        <w:pStyle w:val="2"/>
        <w:rPr>
          <w:rFonts w:hint="eastAsia"/>
        </w:rPr>
      </w:pPr>
      <w:r>
        <w:rPr>
          <w:rFonts w:hint="eastAsia"/>
        </w:rPr>
        <w:t xml:space="preserve">miRNA-1246 increased glycolytic activity and promoted a metabolic shift in </w:t>
      </w:r>
    </w:p>
    <w:p w14:paraId="68B91333">
      <w:pPr>
        <w:pStyle w:val="2"/>
        <w:rPr>
          <w:rFonts w:hint="eastAsia"/>
        </w:rPr>
      </w:pPr>
      <w:r>
        <w:rPr>
          <w:rFonts w:hint="eastAsia"/>
        </w:rPr>
        <w:t xml:space="preserve">macrophages conducive to pathogen clearance, suggesting its critical role in </w:t>
      </w:r>
    </w:p>
    <w:p w14:paraId="280D730D">
      <w:pPr>
        <w:pStyle w:val="2"/>
        <w:rPr>
          <w:rFonts w:hint="eastAsia"/>
        </w:rPr>
      </w:pPr>
      <w:r>
        <w:rPr>
          <w:rFonts w:hint="eastAsia"/>
        </w:rPr>
        <w:t xml:space="preserve">metabolic regulation and resistance to tuberculosis. These findings highlight </w:t>
      </w:r>
    </w:p>
    <w:p w14:paraId="6D2E102F">
      <w:pPr>
        <w:pStyle w:val="2"/>
        <w:rPr>
          <w:rFonts w:hint="eastAsia"/>
        </w:rPr>
      </w:pPr>
      <w:r>
        <w:rPr>
          <w:rFonts w:hint="eastAsia"/>
        </w:rPr>
        <w:t>potential miRNA-based therapeutic strategies to enhance immunity against Mtb.</w:t>
      </w:r>
    </w:p>
    <w:p w14:paraId="2D7FC01C">
      <w:pPr>
        <w:pStyle w:val="2"/>
        <w:rPr>
          <w:rFonts w:hint="eastAsia"/>
        </w:rPr>
      </w:pPr>
    </w:p>
    <w:p w14:paraId="3EC534A5">
      <w:pPr>
        <w:pStyle w:val="2"/>
        <w:rPr>
          <w:rFonts w:hint="eastAsia"/>
        </w:rPr>
      </w:pPr>
      <w:r>
        <w:rPr>
          <w:rFonts w:hint="eastAsia"/>
        </w:rPr>
        <w:t xml:space="preserve">Copyright: © 2026 Tripathi et al. This is an open access article distributed </w:t>
      </w:r>
    </w:p>
    <w:p w14:paraId="46E01083">
      <w:pPr>
        <w:pStyle w:val="2"/>
        <w:rPr>
          <w:rFonts w:hint="eastAsia"/>
        </w:rPr>
      </w:pPr>
      <w:r>
        <w:rPr>
          <w:rFonts w:hint="eastAsia"/>
        </w:rPr>
        <w:t xml:space="preserve">under the terms of the Creative Commons Attribution License, which permits </w:t>
      </w:r>
    </w:p>
    <w:p w14:paraId="3B027C93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15421125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4822F7E6">
      <w:pPr>
        <w:pStyle w:val="2"/>
        <w:rPr>
          <w:rFonts w:hint="eastAsia"/>
        </w:rPr>
      </w:pPr>
    </w:p>
    <w:p w14:paraId="14361CD2">
      <w:pPr>
        <w:pStyle w:val="2"/>
        <w:rPr>
          <w:rFonts w:hint="eastAsia"/>
        </w:rPr>
      </w:pPr>
      <w:r>
        <w:rPr>
          <w:rFonts w:hint="eastAsia"/>
        </w:rPr>
        <w:t>DOI: 10.1371/journal.ppat.1014454</w:t>
      </w:r>
    </w:p>
    <w:p w14:paraId="33B9A776">
      <w:pPr>
        <w:pStyle w:val="2"/>
        <w:rPr>
          <w:rFonts w:hint="eastAsia"/>
        </w:rPr>
      </w:pPr>
      <w:r>
        <w:rPr>
          <w:rFonts w:hint="eastAsia"/>
        </w:rPr>
        <w:t>PMCID: PMC13660885</w:t>
      </w:r>
    </w:p>
    <w:p w14:paraId="7860E891">
      <w:pPr>
        <w:pStyle w:val="2"/>
        <w:rPr>
          <w:rFonts w:hint="eastAsia"/>
        </w:rPr>
      </w:pPr>
      <w:r>
        <w:rPr>
          <w:rFonts w:hint="eastAsia"/>
        </w:rPr>
        <w:t>PMID: 42868206 [Indexed for MEDLINE]</w:t>
      </w:r>
    </w:p>
    <w:p w14:paraId="2881831B">
      <w:pPr>
        <w:pStyle w:val="2"/>
        <w:rPr>
          <w:rFonts w:hint="eastAsia"/>
        </w:rPr>
      </w:pPr>
    </w:p>
    <w:p w14:paraId="42673FD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33</w:t>
      </w:r>
      <w:r>
        <w:rPr>
          <w:rFonts w:hint="eastAsia"/>
          <w:b/>
          <w:bCs/>
          <w:color w:val="FF0000"/>
        </w:rPr>
        <w:t xml:space="preserve">. PLoS One. 2026 Oct 13;21(10):e0360738. doi: 10.1371/journal.pone.0360738. </w:t>
      </w:r>
    </w:p>
    <w:p w14:paraId="42BD15A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6F97E317">
      <w:pPr>
        <w:pStyle w:val="2"/>
        <w:rPr>
          <w:rFonts w:hint="eastAsia"/>
        </w:rPr>
      </w:pPr>
    </w:p>
    <w:p w14:paraId="65332243">
      <w:pPr>
        <w:pStyle w:val="2"/>
        <w:rPr>
          <w:rFonts w:hint="eastAsia"/>
        </w:rPr>
      </w:pPr>
      <w:r>
        <w:rPr>
          <w:rFonts w:hint="eastAsia"/>
        </w:rPr>
        <w:t xml:space="preserve">The dual burden of disease: Depression among patients with multidrug resistance </w:t>
      </w:r>
    </w:p>
    <w:p w14:paraId="6AAB3E39">
      <w:pPr>
        <w:pStyle w:val="2"/>
        <w:rPr>
          <w:rFonts w:hint="eastAsia"/>
        </w:rPr>
      </w:pPr>
      <w:r>
        <w:rPr>
          <w:rFonts w:hint="eastAsia"/>
        </w:rPr>
        <w:t xml:space="preserve">tuberculosis in low-income and lower- middle-income countries: A systematic </w:t>
      </w:r>
    </w:p>
    <w:p w14:paraId="494521D4">
      <w:pPr>
        <w:pStyle w:val="2"/>
        <w:rPr>
          <w:rFonts w:hint="eastAsia"/>
        </w:rPr>
      </w:pPr>
      <w:r>
        <w:rPr>
          <w:rFonts w:hint="eastAsia"/>
        </w:rPr>
        <w:t>review and meta-analysis.</w:t>
      </w:r>
    </w:p>
    <w:p w14:paraId="66829CAA">
      <w:pPr>
        <w:pStyle w:val="2"/>
        <w:rPr>
          <w:rFonts w:hint="eastAsia"/>
        </w:rPr>
      </w:pPr>
    </w:p>
    <w:p w14:paraId="0E23E80A">
      <w:pPr>
        <w:pStyle w:val="2"/>
        <w:rPr>
          <w:rFonts w:hint="eastAsia"/>
        </w:rPr>
      </w:pPr>
      <w:r>
        <w:rPr>
          <w:rFonts w:hint="eastAsia"/>
        </w:rPr>
        <w:t xml:space="preserve">Abate AW(1), Tedla A(1), Wubet GM(1), Legas G(1), Belete A(1), Shiferaw K(1), </w:t>
      </w:r>
    </w:p>
    <w:p w14:paraId="0953112F">
      <w:pPr>
        <w:pStyle w:val="2"/>
        <w:rPr>
          <w:rFonts w:hint="eastAsia"/>
        </w:rPr>
      </w:pPr>
      <w:r>
        <w:rPr>
          <w:rFonts w:hint="eastAsia"/>
        </w:rPr>
        <w:t xml:space="preserve">Beyene GM(1), Teshome AA(2), Addis WD(3), Agidew MM(4), Dagnew SB(5), Sitotaw </w:t>
      </w:r>
    </w:p>
    <w:p w14:paraId="3CEA4881">
      <w:pPr>
        <w:pStyle w:val="2"/>
        <w:rPr>
          <w:rFonts w:hint="eastAsia"/>
        </w:rPr>
      </w:pPr>
      <w:r>
        <w:rPr>
          <w:rFonts w:hint="eastAsia"/>
        </w:rPr>
        <w:t>BA(6), Munie BM(1).</w:t>
      </w:r>
    </w:p>
    <w:p w14:paraId="17C641EB">
      <w:pPr>
        <w:pStyle w:val="2"/>
        <w:rPr>
          <w:rFonts w:hint="eastAsia"/>
        </w:rPr>
      </w:pPr>
    </w:p>
    <w:p w14:paraId="2517589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4B6A0DC">
      <w:pPr>
        <w:pStyle w:val="2"/>
        <w:rPr>
          <w:rFonts w:hint="eastAsia"/>
        </w:rPr>
      </w:pPr>
      <w:r>
        <w:rPr>
          <w:rFonts w:hint="eastAsia"/>
        </w:rPr>
        <w:t xml:space="preserve">(1)Department of Psychiatry, School of medicine, College of Health Sciences, </w:t>
      </w:r>
    </w:p>
    <w:p w14:paraId="3898416F">
      <w:pPr>
        <w:pStyle w:val="2"/>
        <w:rPr>
          <w:rFonts w:hint="eastAsia"/>
        </w:rPr>
      </w:pPr>
      <w:r>
        <w:rPr>
          <w:rFonts w:hint="eastAsia"/>
        </w:rPr>
        <w:t>Debre Tabor University, Debre Tabor, Ethiopia.</w:t>
      </w:r>
    </w:p>
    <w:p w14:paraId="46632629">
      <w:pPr>
        <w:pStyle w:val="2"/>
        <w:rPr>
          <w:rFonts w:hint="eastAsia"/>
        </w:rPr>
      </w:pPr>
      <w:r>
        <w:rPr>
          <w:rFonts w:hint="eastAsia"/>
        </w:rPr>
        <w:t xml:space="preserve">(2)Department of Biomedical Science, College of Health Sciences, Debre Tabor </w:t>
      </w:r>
    </w:p>
    <w:p w14:paraId="182E345E">
      <w:pPr>
        <w:pStyle w:val="2"/>
        <w:rPr>
          <w:rFonts w:hint="eastAsia"/>
        </w:rPr>
      </w:pPr>
      <w:r>
        <w:rPr>
          <w:rFonts w:hint="eastAsia"/>
        </w:rPr>
        <w:t>University, Debre Tabor, Ethiopia.</w:t>
      </w:r>
    </w:p>
    <w:p w14:paraId="5FB83481">
      <w:pPr>
        <w:pStyle w:val="2"/>
        <w:rPr>
          <w:rFonts w:hint="eastAsia"/>
        </w:rPr>
      </w:pPr>
      <w:r>
        <w:rPr>
          <w:rFonts w:hint="eastAsia"/>
        </w:rPr>
        <w:t xml:space="preserve">(3)Department of Public Health, College of Health Sciences, Debre Tabor </w:t>
      </w:r>
    </w:p>
    <w:p w14:paraId="6EAE0C67">
      <w:pPr>
        <w:pStyle w:val="2"/>
        <w:rPr>
          <w:rFonts w:hint="eastAsia"/>
        </w:rPr>
      </w:pPr>
      <w:r>
        <w:rPr>
          <w:rFonts w:hint="eastAsia"/>
        </w:rPr>
        <w:t>University, Debre Tabor, Ethiopia.</w:t>
      </w:r>
    </w:p>
    <w:p w14:paraId="0D5A04B4">
      <w:pPr>
        <w:pStyle w:val="2"/>
        <w:rPr>
          <w:rFonts w:hint="eastAsia"/>
        </w:rPr>
      </w:pPr>
      <w:r>
        <w:rPr>
          <w:rFonts w:hint="eastAsia"/>
        </w:rPr>
        <w:t xml:space="preserve">(4)Department of Medical Biochemistry, College of Health Sciences, Debre Tabor </w:t>
      </w:r>
    </w:p>
    <w:p w14:paraId="46399F80">
      <w:pPr>
        <w:pStyle w:val="2"/>
        <w:rPr>
          <w:rFonts w:hint="eastAsia"/>
        </w:rPr>
      </w:pPr>
      <w:r>
        <w:rPr>
          <w:rFonts w:hint="eastAsia"/>
        </w:rPr>
        <w:t>University, Debre Tabor, Ethiopia.</w:t>
      </w:r>
    </w:p>
    <w:p w14:paraId="2698C9A4">
      <w:pPr>
        <w:pStyle w:val="2"/>
        <w:rPr>
          <w:rFonts w:hint="eastAsia"/>
        </w:rPr>
      </w:pPr>
      <w:r>
        <w:rPr>
          <w:rFonts w:hint="eastAsia"/>
        </w:rPr>
        <w:t xml:space="preserve">(5)Department of Clinical Pharmacy, College of Health Sciences, Debre Tabor </w:t>
      </w:r>
    </w:p>
    <w:p w14:paraId="1D30D9F1">
      <w:pPr>
        <w:pStyle w:val="2"/>
        <w:rPr>
          <w:rFonts w:hint="eastAsia"/>
        </w:rPr>
      </w:pPr>
      <w:r>
        <w:rPr>
          <w:rFonts w:hint="eastAsia"/>
        </w:rPr>
        <w:t>University, Debre Tabor, Ethiopia.</w:t>
      </w:r>
    </w:p>
    <w:p w14:paraId="326EBD15">
      <w:pPr>
        <w:pStyle w:val="2"/>
        <w:rPr>
          <w:rFonts w:hint="eastAsia"/>
        </w:rPr>
      </w:pPr>
      <w:r>
        <w:rPr>
          <w:rFonts w:hint="eastAsia"/>
        </w:rPr>
        <w:t xml:space="preserve">(6)Department of Public Health, Amhara Regional Health Bureau, South Gondar </w:t>
      </w:r>
    </w:p>
    <w:p w14:paraId="712065B9">
      <w:pPr>
        <w:pStyle w:val="2"/>
        <w:rPr>
          <w:rFonts w:hint="eastAsia"/>
        </w:rPr>
      </w:pPr>
      <w:r>
        <w:rPr>
          <w:rFonts w:hint="eastAsia"/>
        </w:rPr>
        <w:t>Zone, Debre Tabor, Ethiopia.</w:t>
      </w:r>
    </w:p>
    <w:p w14:paraId="01EE764E">
      <w:pPr>
        <w:pStyle w:val="2"/>
        <w:rPr>
          <w:rFonts w:hint="eastAsia"/>
        </w:rPr>
      </w:pPr>
    </w:p>
    <w:p w14:paraId="7BBEFE7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INTRODUCTION: </w:t>
      </w:r>
      <w:r>
        <w:rPr>
          <w:rFonts w:hint="eastAsia"/>
        </w:rPr>
        <w:t xml:space="preserve">Multidrug-Resistant Tuberculosis (MDR-TB) continues to pose a </w:t>
      </w:r>
    </w:p>
    <w:p w14:paraId="23BD8D7E">
      <w:pPr>
        <w:pStyle w:val="2"/>
        <w:rPr>
          <w:rFonts w:hint="eastAsia"/>
        </w:rPr>
      </w:pPr>
      <w:r>
        <w:rPr>
          <w:rFonts w:hint="eastAsia"/>
        </w:rPr>
        <w:t xml:space="preserve">serious global health challenge, particularly in low-income and </w:t>
      </w:r>
    </w:p>
    <w:p w14:paraId="44D2A038">
      <w:pPr>
        <w:pStyle w:val="2"/>
        <w:rPr>
          <w:rFonts w:hint="eastAsia"/>
        </w:rPr>
      </w:pPr>
      <w:r>
        <w:rPr>
          <w:rFonts w:hint="eastAsia"/>
        </w:rPr>
        <w:t xml:space="preserve">lower-middle-income countries where the disease burden, fragile health systems, </w:t>
      </w:r>
    </w:p>
    <w:p w14:paraId="4BC090AB">
      <w:pPr>
        <w:pStyle w:val="2"/>
        <w:rPr>
          <w:rFonts w:hint="eastAsia"/>
        </w:rPr>
      </w:pPr>
      <w:r>
        <w:rPr>
          <w:rFonts w:hint="eastAsia"/>
        </w:rPr>
        <w:t xml:space="preserve">and socioeconomic hardships are most pronounced. These conditions not only </w:t>
      </w:r>
    </w:p>
    <w:p w14:paraId="49907921">
      <w:pPr>
        <w:pStyle w:val="2"/>
        <w:rPr>
          <w:rFonts w:hint="eastAsia"/>
        </w:rPr>
      </w:pPr>
      <w:r>
        <w:rPr>
          <w:rFonts w:hint="eastAsia"/>
        </w:rPr>
        <w:t xml:space="preserve">complicate treatment but also worsen patients' vulnerability to depression. </w:t>
      </w:r>
    </w:p>
    <w:p w14:paraId="393B0A97">
      <w:pPr>
        <w:pStyle w:val="2"/>
        <w:rPr>
          <w:rFonts w:hint="eastAsia"/>
        </w:rPr>
      </w:pPr>
      <w:r>
        <w:rPr>
          <w:rFonts w:hint="eastAsia"/>
        </w:rPr>
        <w:t xml:space="preserve">Although numerous primary studies have investigated the prevalence of depression </w:t>
      </w:r>
    </w:p>
    <w:p w14:paraId="63DEFE65">
      <w:pPr>
        <w:pStyle w:val="2"/>
        <w:rPr>
          <w:rFonts w:hint="eastAsia"/>
        </w:rPr>
      </w:pPr>
      <w:r>
        <w:rPr>
          <w:rFonts w:hint="eastAsia"/>
        </w:rPr>
        <w:t xml:space="preserve">among individuals with MDR-TB, their findings have been inconsistent. To address </w:t>
      </w:r>
    </w:p>
    <w:p w14:paraId="1217D853">
      <w:pPr>
        <w:pStyle w:val="2"/>
        <w:rPr>
          <w:rFonts w:hint="eastAsia"/>
        </w:rPr>
      </w:pPr>
      <w:r>
        <w:rPr>
          <w:rFonts w:hint="eastAsia"/>
        </w:rPr>
        <w:t xml:space="preserve">this gap, the present study seeks to estimate the pooled prevalence of </w:t>
      </w:r>
    </w:p>
    <w:p w14:paraId="56C579DD">
      <w:pPr>
        <w:pStyle w:val="2"/>
        <w:rPr>
          <w:rFonts w:hint="eastAsia"/>
        </w:rPr>
      </w:pPr>
      <w:r>
        <w:rPr>
          <w:rFonts w:hint="eastAsia"/>
        </w:rPr>
        <w:t xml:space="preserve">depression and identify its associated factors among MDR-TB patients in low- and </w:t>
      </w:r>
    </w:p>
    <w:p w14:paraId="086E883B">
      <w:pPr>
        <w:pStyle w:val="2"/>
        <w:rPr>
          <w:rFonts w:hint="eastAsia"/>
        </w:rPr>
      </w:pPr>
      <w:r>
        <w:rPr>
          <w:rFonts w:hint="eastAsia"/>
        </w:rPr>
        <w:t>lower-middle-income countries.</w:t>
      </w:r>
    </w:p>
    <w:p w14:paraId="357FCD82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Relevant studies were sourced from Google Scholar, Scopus, PubMed, and </w:t>
      </w:r>
    </w:p>
    <w:p w14:paraId="6418D952">
      <w:pPr>
        <w:pStyle w:val="2"/>
        <w:rPr>
          <w:rFonts w:hint="eastAsia"/>
        </w:rPr>
      </w:pPr>
      <w:r>
        <w:rPr>
          <w:rFonts w:hint="eastAsia"/>
        </w:rPr>
        <w:t xml:space="preserve">Web of Science. Additionally, the reference lists of selected articles were </w:t>
      </w:r>
    </w:p>
    <w:p w14:paraId="27D36D35">
      <w:pPr>
        <w:pStyle w:val="2"/>
        <w:rPr>
          <w:rFonts w:hint="eastAsia"/>
        </w:rPr>
      </w:pPr>
      <w:r>
        <w:rPr>
          <w:rFonts w:hint="eastAsia"/>
        </w:rPr>
        <w:t xml:space="preserve">manually reviewed to identify further eligible publications. A random-effects </w:t>
      </w:r>
    </w:p>
    <w:p w14:paraId="40F05CF7">
      <w:pPr>
        <w:pStyle w:val="2"/>
        <w:rPr>
          <w:rFonts w:hint="eastAsia"/>
        </w:rPr>
      </w:pPr>
      <w:r>
        <w:rPr>
          <w:rFonts w:hint="eastAsia"/>
        </w:rPr>
        <w:t xml:space="preserve">model was employed to calculate the pooled prevalence of depression among MDR-TB </w:t>
      </w:r>
    </w:p>
    <w:p w14:paraId="3BEC735B">
      <w:pPr>
        <w:pStyle w:val="2"/>
        <w:rPr>
          <w:rFonts w:hint="eastAsia"/>
        </w:rPr>
      </w:pPr>
      <w:r>
        <w:rPr>
          <w:rFonts w:hint="eastAsia"/>
        </w:rPr>
        <w:t>patients in low- and lower-middle-income countries.</w:t>
      </w:r>
    </w:p>
    <w:p w14:paraId="607DDB18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The meta-analysis incorporated 23 primary studies with a combined </w:t>
      </w:r>
    </w:p>
    <w:p w14:paraId="60DAA824">
      <w:pPr>
        <w:pStyle w:val="2"/>
        <w:rPr>
          <w:rFonts w:hint="eastAsia"/>
        </w:rPr>
      </w:pPr>
      <w:r>
        <w:rPr>
          <w:rFonts w:hint="eastAsia"/>
        </w:rPr>
        <w:t xml:space="preserve">sample of 5,734 MDR-TB patients. The pooled prevalence of depression among this </w:t>
      </w:r>
    </w:p>
    <w:p w14:paraId="54BC4E8D">
      <w:pPr>
        <w:pStyle w:val="2"/>
        <w:rPr>
          <w:rFonts w:hint="eastAsia"/>
        </w:rPr>
      </w:pPr>
      <w:r>
        <w:rPr>
          <w:rFonts w:hint="eastAsia"/>
        </w:rPr>
        <w:t xml:space="preserve">population was 41.89% (95% CI: 32.63-51.15; I² = 98.51%, P &lt; 0.001). Several </w:t>
      </w:r>
    </w:p>
    <w:p w14:paraId="4891BF72">
      <w:pPr>
        <w:pStyle w:val="2"/>
        <w:rPr>
          <w:rFonts w:hint="eastAsia"/>
        </w:rPr>
      </w:pPr>
      <w:r>
        <w:rPr>
          <w:rFonts w:hint="eastAsia"/>
        </w:rPr>
        <w:t xml:space="preserve">factors were significantly linked to depression, including female gender </w:t>
      </w:r>
    </w:p>
    <w:p w14:paraId="14813393">
      <w:pPr>
        <w:pStyle w:val="2"/>
        <w:rPr>
          <w:rFonts w:hint="eastAsia"/>
        </w:rPr>
      </w:pPr>
      <w:r>
        <w:rPr>
          <w:rFonts w:hint="eastAsia"/>
        </w:rPr>
        <w:t xml:space="preserve">(AOR = 2.00, 95% CI: 1.66-2.41), financial hardship (AOR = 2.56, 95% CI: </w:t>
      </w:r>
    </w:p>
    <w:p w14:paraId="76ECD73C">
      <w:pPr>
        <w:pStyle w:val="2"/>
        <w:rPr>
          <w:rFonts w:hint="eastAsia"/>
        </w:rPr>
      </w:pPr>
      <w:r>
        <w:rPr>
          <w:rFonts w:hint="eastAsia"/>
        </w:rPr>
        <w:t xml:space="preserve">1.44-4.55), presence of comorbidities (AOR = 3.72, 95% CI: 2.11-5.38), greater </w:t>
      </w:r>
    </w:p>
    <w:p w14:paraId="1237E22B">
      <w:pPr>
        <w:pStyle w:val="2"/>
        <w:rPr>
          <w:rFonts w:hint="eastAsia"/>
        </w:rPr>
      </w:pPr>
      <w:r>
        <w:rPr>
          <w:rFonts w:hint="eastAsia"/>
        </w:rPr>
        <w:t xml:space="preserve">disease severity (AOR = 2.13, 95% CI: 1.42-3.12), medication-related side </w:t>
      </w:r>
    </w:p>
    <w:p w14:paraId="0A72B036">
      <w:pPr>
        <w:pStyle w:val="2"/>
        <w:rPr>
          <w:rFonts w:hint="eastAsia"/>
        </w:rPr>
      </w:pPr>
      <w:r>
        <w:rPr>
          <w:rFonts w:hint="eastAsia"/>
        </w:rPr>
        <w:t xml:space="preserve">effects (AOR = 2.77, 95% CI: 2.20-3.48), and perceived stigma (AOR = 3.58, 95% </w:t>
      </w:r>
    </w:p>
    <w:p w14:paraId="0DB19724">
      <w:pPr>
        <w:pStyle w:val="2"/>
        <w:rPr>
          <w:rFonts w:hint="eastAsia"/>
        </w:rPr>
      </w:pPr>
      <w:r>
        <w:rPr>
          <w:rFonts w:hint="eastAsia"/>
        </w:rPr>
        <w:t>CI: 2.13-6.02).</w:t>
      </w:r>
    </w:p>
    <w:p w14:paraId="3D3468A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The prevalence of depression among MDR-TB patients in low- and </w:t>
      </w:r>
    </w:p>
    <w:p w14:paraId="3DBDEB97">
      <w:pPr>
        <w:pStyle w:val="2"/>
        <w:rPr>
          <w:rFonts w:hint="eastAsia"/>
        </w:rPr>
      </w:pPr>
      <w:r>
        <w:rPr>
          <w:rFonts w:hint="eastAsia"/>
        </w:rPr>
        <w:t xml:space="preserve">lower-middle-income countries was found to be notably high. These findings </w:t>
      </w:r>
    </w:p>
    <w:p w14:paraId="33133ADA">
      <w:pPr>
        <w:pStyle w:val="2"/>
        <w:rPr>
          <w:rFonts w:hint="eastAsia"/>
        </w:rPr>
      </w:pPr>
      <w:r>
        <w:rPr>
          <w:rFonts w:hint="eastAsia"/>
        </w:rPr>
        <w:t xml:space="preserve">emphasize the importance of implementing routine depression screening and </w:t>
      </w:r>
    </w:p>
    <w:p w14:paraId="51E38431">
      <w:pPr>
        <w:pStyle w:val="2"/>
        <w:rPr>
          <w:rFonts w:hint="eastAsia"/>
        </w:rPr>
      </w:pPr>
      <w:r>
        <w:rPr>
          <w:rFonts w:hint="eastAsia"/>
        </w:rPr>
        <w:t>integrating psychosocial support into patient care.</w:t>
      </w:r>
    </w:p>
    <w:p w14:paraId="70AC6AB1">
      <w:pPr>
        <w:pStyle w:val="2"/>
        <w:rPr>
          <w:rFonts w:hint="eastAsia"/>
        </w:rPr>
      </w:pPr>
    </w:p>
    <w:p w14:paraId="1F7EB60C">
      <w:pPr>
        <w:pStyle w:val="2"/>
        <w:rPr>
          <w:rFonts w:hint="eastAsia"/>
        </w:rPr>
      </w:pPr>
      <w:r>
        <w:rPr>
          <w:rFonts w:hint="eastAsia"/>
        </w:rPr>
        <w:t xml:space="preserve">Copyright: © 2026 Abate et al. This is an open access article distributed under </w:t>
      </w:r>
    </w:p>
    <w:p w14:paraId="441E0A48">
      <w:pPr>
        <w:pStyle w:val="2"/>
        <w:rPr>
          <w:rFonts w:hint="eastAsia"/>
        </w:rPr>
      </w:pPr>
      <w:r>
        <w:rPr>
          <w:rFonts w:hint="eastAsia"/>
        </w:rPr>
        <w:t xml:space="preserve">the terms of the Creative Commons Attribution License, which permits </w:t>
      </w:r>
    </w:p>
    <w:p w14:paraId="25F7613D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7DF5CDFC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44866084">
      <w:pPr>
        <w:pStyle w:val="2"/>
        <w:rPr>
          <w:rFonts w:hint="eastAsia"/>
        </w:rPr>
      </w:pPr>
    </w:p>
    <w:p w14:paraId="46589070">
      <w:pPr>
        <w:pStyle w:val="2"/>
        <w:rPr>
          <w:rFonts w:hint="eastAsia"/>
        </w:rPr>
      </w:pPr>
      <w:r>
        <w:rPr>
          <w:rFonts w:hint="eastAsia"/>
        </w:rPr>
        <w:t>DOI: 10.1371/journal.pone.0360738</w:t>
      </w:r>
    </w:p>
    <w:p w14:paraId="16AFB6E3">
      <w:pPr>
        <w:pStyle w:val="2"/>
        <w:rPr>
          <w:rFonts w:hint="eastAsia"/>
        </w:rPr>
      </w:pPr>
      <w:r>
        <w:rPr>
          <w:rFonts w:hint="eastAsia"/>
        </w:rPr>
        <w:t>PMCID: PMC13660881</w:t>
      </w:r>
    </w:p>
    <w:p w14:paraId="529A7183">
      <w:pPr>
        <w:pStyle w:val="2"/>
        <w:rPr>
          <w:rFonts w:hint="eastAsia"/>
        </w:rPr>
      </w:pPr>
      <w:r>
        <w:rPr>
          <w:rFonts w:hint="eastAsia"/>
        </w:rPr>
        <w:t>PMID: 42868138 [Indexed for MEDLINE]</w:t>
      </w:r>
    </w:p>
    <w:p w14:paraId="5829CE07">
      <w:pPr>
        <w:pStyle w:val="2"/>
        <w:rPr>
          <w:rFonts w:hint="eastAsia"/>
        </w:rPr>
      </w:pPr>
    </w:p>
    <w:p w14:paraId="676F4F9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34</w:t>
      </w:r>
      <w:r>
        <w:rPr>
          <w:rFonts w:hint="eastAsia"/>
          <w:b/>
          <w:bCs/>
          <w:color w:val="FF0000"/>
        </w:rPr>
        <w:t>. mSystems. 2026 Oct 13:e0093426. doi: 10.1128/msystems.00934-26. Online ahead of print.</w:t>
      </w:r>
    </w:p>
    <w:p w14:paraId="31BD85E4">
      <w:pPr>
        <w:pStyle w:val="2"/>
        <w:rPr>
          <w:rFonts w:hint="eastAsia"/>
        </w:rPr>
      </w:pPr>
    </w:p>
    <w:p w14:paraId="223DDC51">
      <w:pPr>
        <w:pStyle w:val="2"/>
        <w:rPr>
          <w:rFonts w:hint="eastAsia"/>
        </w:rPr>
      </w:pPr>
      <w:r>
        <w:rPr>
          <w:rFonts w:hint="eastAsia"/>
        </w:rPr>
        <w:t xml:space="preserve">Acquisition of a toxin-antitoxin system within a mobile genetic element likely </w:t>
      </w:r>
    </w:p>
    <w:p w14:paraId="4591F20A">
      <w:pPr>
        <w:pStyle w:val="2"/>
        <w:rPr>
          <w:rFonts w:hint="eastAsia"/>
        </w:rPr>
      </w:pPr>
      <w:r>
        <w:rPr>
          <w:rFonts w:hint="eastAsia"/>
        </w:rPr>
        <w:t>enhances Mycobacterium abscessus fitness by enforcing cargo retention.</w:t>
      </w:r>
    </w:p>
    <w:p w14:paraId="2DEF6AFD">
      <w:pPr>
        <w:pStyle w:val="2"/>
        <w:rPr>
          <w:rFonts w:hint="eastAsia"/>
        </w:rPr>
      </w:pPr>
    </w:p>
    <w:p w14:paraId="744601C4">
      <w:pPr>
        <w:pStyle w:val="2"/>
        <w:rPr>
          <w:rFonts w:hint="eastAsia"/>
        </w:rPr>
      </w:pPr>
      <w:r>
        <w:rPr>
          <w:rFonts w:hint="eastAsia"/>
        </w:rPr>
        <w:t>Amin NH(1), Troian EA(1), Maldonado HM(1), Woychik NA(1).</w:t>
      </w:r>
    </w:p>
    <w:p w14:paraId="60FEBAC8">
      <w:pPr>
        <w:pStyle w:val="2"/>
        <w:rPr>
          <w:rFonts w:hint="eastAsia"/>
        </w:rPr>
      </w:pPr>
    </w:p>
    <w:p w14:paraId="6197A5A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81C45D6">
      <w:pPr>
        <w:pStyle w:val="2"/>
        <w:rPr>
          <w:rFonts w:hint="eastAsia"/>
        </w:rPr>
      </w:pPr>
      <w:r>
        <w:rPr>
          <w:rFonts w:hint="eastAsia"/>
        </w:rPr>
        <w:t xml:space="preserve">(1)Department of Biochemistry and Molecular Biology, Rutgers Health, Robert Wood </w:t>
      </w:r>
    </w:p>
    <w:p w14:paraId="47D5B8DF">
      <w:pPr>
        <w:pStyle w:val="2"/>
        <w:rPr>
          <w:rFonts w:hint="eastAsia"/>
        </w:rPr>
      </w:pPr>
      <w:r>
        <w:rPr>
          <w:rFonts w:hint="eastAsia"/>
        </w:rPr>
        <w:t>Johnson Medical School, Piscataway, New Jersey, USA.</w:t>
      </w:r>
    </w:p>
    <w:p w14:paraId="71ABA0DA">
      <w:pPr>
        <w:pStyle w:val="2"/>
        <w:rPr>
          <w:rFonts w:hint="eastAsia"/>
        </w:rPr>
      </w:pPr>
    </w:p>
    <w:p w14:paraId="2750F520">
      <w:pPr>
        <w:pStyle w:val="2"/>
        <w:rPr>
          <w:rFonts w:hint="eastAsia"/>
        </w:rPr>
      </w:pPr>
      <w:r>
        <w:rPr>
          <w:rFonts w:hint="eastAsia"/>
        </w:rPr>
        <w:t xml:space="preserve">Infections caused by the emerging pathogen Mycobacterium abscessus (Mab) require </w:t>
      </w:r>
    </w:p>
    <w:p w14:paraId="155A1A73">
      <w:pPr>
        <w:pStyle w:val="2"/>
        <w:rPr>
          <w:rFonts w:hint="eastAsia"/>
        </w:rPr>
      </w:pPr>
      <w:r>
        <w:rPr>
          <w:rFonts w:hint="eastAsia"/>
        </w:rPr>
        <w:t xml:space="preserve">prolonged multidrug treatment regimens that frequently fail because its </w:t>
      </w:r>
    </w:p>
    <w:p w14:paraId="2A8936A5">
      <w:pPr>
        <w:pStyle w:val="2"/>
        <w:rPr>
          <w:rFonts w:hint="eastAsia"/>
        </w:rPr>
      </w:pPr>
      <w:r>
        <w:rPr>
          <w:rFonts w:hint="eastAsia"/>
        </w:rPr>
        <w:t xml:space="preserve">accessory genome has incorporated a daunting array of poorly defined resistance </w:t>
      </w:r>
    </w:p>
    <w:p w14:paraId="63D6D59F">
      <w:pPr>
        <w:pStyle w:val="2"/>
        <w:rPr>
          <w:rFonts w:hint="eastAsia"/>
        </w:rPr>
      </w:pPr>
      <w:r>
        <w:rPr>
          <w:rFonts w:hint="eastAsia"/>
        </w:rPr>
        <w:t xml:space="preserve">mechanisms. However, the processes governing acquisition and retention of new </w:t>
      </w:r>
    </w:p>
    <w:p w14:paraId="2931AEEE">
      <w:pPr>
        <w:pStyle w:val="2"/>
        <w:rPr>
          <w:rFonts w:hint="eastAsia"/>
        </w:rPr>
      </w:pPr>
      <w:r>
        <w:rPr>
          <w:rFonts w:hint="eastAsia"/>
        </w:rPr>
        <w:t xml:space="preserve">genetic material within the Mab accessory genome remain poorly understood. Here, </w:t>
      </w:r>
    </w:p>
    <w:p w14:paraId="703C5946">
      <w:pPr>
        <w:pStyle w:val="2"/>
        <w:rPr>
          <w:rFonts w:hint="eastAsia"/>
        </w:rPr>
      </w:pPr>
      <w:r>
        <w:rPr>
          <w:rFonts w:hint="eastAsia"/>
        </w:rPr>
        <w:t xml:space="preserve">we first identified two Mab clinical strains that harbor the same </w:t>
      </w:r>
    </w:p>
    <w:p w14:paraId="335858FF">
      <w:pPr>
        <w:pStyle w:val="2"/>
        <w:rPr>
          <w:rFonts w:hint="eastAsia"/>
        </w:rPr>
      </w:pPr>
      <w:r>
        <w:rPr>
          <w:rFonts w:hint="eastAsia"/>
        </w:rPr>
        <w:t xml:space="preserve">uncharacterized toxin-antitoxin (TA) system at different genomic positions. </w:t>
      </w:r>
    </w:p>
    <w:p w14:paraId="285B01E4">
      <w:pPr>
        <w:pStyle w:val="2"/>
        <w:rPr>
          <w:rFonts w:hint="eastAsia"/>
        </w:rPr>
      </w:pPr>
      <w:r>
        <w:rPr>
          <w:rFonts w:hint="eastAsia"/>
        </w:rPr>
        <w:t xml:space="preserve">Using computational analyses of the surrounding DNA context, we discovered that </w:t>
      </w:r>
    </w:p>
    <w:p w14:paraId="6D25B45D">
      <w:pPr>
        <w:pStyle w:val="2"/>
        <w:rPr>
          <w:rFonts w:hint="eastAsia"/>
        </w:rPr>
      </w:pPr>
      <w:r>
        <w:rPr>
          <w:rFonts w:hint="eastAsia"/>
        </w:rPr>
        <w:t xml:space="preserve">each TA system resides within identical mobile genetic element (MGE) cassettes </w:t>
      </w:r>
    </w:p>
    <w:p w14:paraId="0EC1D5E7">
      <w:pPr>
        <w:pStyle w:val="2"/>
        <w:rPr>
          <w:rFonts w:hint="eastAsia"/>
        </w:rPr>
      </w:pPr>
      <w:r>
        <w:rPr>
          <w:rFonts w:hint="eastAsia"/>
        </w:rPr>
        <w:t xml:space="preserve">whose positions exchange between the two strains via site-specific recombinases. </w:t>
      </w:r>
    </w:p>
    <w:p w14:paraId="391D3C22">
      <w:pPr>
        <w:pStyle w:val="2"/>
        <w:rPr>
          <w:rFonts w:hint="eastAsia"/>
        </w:rPr>
      </w:pPr>
      <w:r>
        <w:rPr>
          <w:rFonts w:hint="eastAsia"/>
        </w:rPr>
        <w:t xml:space="preserve">We then applied a specialized 5' RNA-seq approach to identify initiator tRNAfMet </w:t>
      </w:r>
    </w:p>
    <w:p w14:paraId="12B7F48D">
      <w:pPr>
        <w:pStyle w:val="2"/>
        <w:rPr>
          <w:rFonts w:hint="eastAsia"/>
        </w:rPr>
      </w:pPr>
      <w:r>
        <w:rPr>
          <w:rFonts w:hint="eastAsia"/>
        </w:rPr>
        <w:t xml:space="preserve">as the exclusive RNA target of the VapC2 TA toxin residing within the MGE. </w:t>
      </w:r>
    </w:p>
    <w:p w14:paraId="6950992E">
      <w:pPr>
        <w:pStyle w:val="2"/>
        <w:rPr>
          <w:rFonts w:hint="eastAsia"/>
        </w:rPr>
      </w:pPr>
      <w:r>
        <w:rPr>
          <w:rFonts w:hint="eastAsia"/>
        </w:rPr>
        <w:t xml:space="preserve">VapC2-mediated tRNAfMet inactivation by cleavage at its anticodon stem loop </w:t>
      </w:r>
    </w:p>
    <w:p w14:paraId="6D5FF428">
      <w:pPr>
        <w:pStyle w:val="2"/>
        <w:rPr>
          <w:rFonts w:hint="eastAsia"/>
        </w:rPr>
      </w:pPr>
      <w:r>
        <w:rPr>
          <w:rFonts w:hint="eastAsia"/>
        </w:rPr>
        <w:t xml:space="preserve">leads to growth arrest and global translation inhibition. This activity ensures </w:t>
      </w:r>
    </w:p>
    <w:p w14:paraId="4AE3F6F1">
      <w:pPr>
        <w:pStyle w:val="2"/>
        <w:rPr>
          <w:rFonts w:hint="eastAsia"/>
        </w:rPr>
      </w:pPr>
      <w:r>
        <w:rPr>
          <w:rFonts w:hint="eastAsia"/>
        </w:rPr>
        <w:t xml:space="preserve">stable inheritance of the MGE and its resident cargo genes through a mechanism </w:t>
      </w:r>
    </w:p>
    <w:p w14:paraId="7A274B0A">
      <w:pPr>
        <w:pStyle w:val="2"/>
        <w:rPr>
          <w:rFonts w:hint="eastAsia"/>
        </w:rPr>
      </w:pPr>
      <w:r>
        <w:rPr>
          <w:rFonts w:hint="eastAsia"/>
        </w:rPr>
        <w:t xml:space="preserve">similar to postsegregational killing. Our findings uncover the mechanism for </w:t>
      </w:r>
    </w:p>
    <w:p w14:paraId="7D91BAF8">
      <w:pPr>
        <w:pStyle w:val="2"/>
        <w:rPr>
          <w:rFonts w:hint="eastAsia"/>
        </w:rPr>
      </w:pPr>
      <w:r>
        <w:rPr>
          <w:rFonts w:hint="eastAsia"/>
        </w:rPr>
        <w:t xml:space="preserve">durable expansion of the Mab accessory genome and suggest a selective advantage </w:t>
      </w:r>
    </w:p>
    <w:p w14:paraId="196E8721">
      <w:pPr>
        <w:pStyle w:val="2"/>
        <w:rPr>
          <w:rFonts w:hint="eastAsia"/>
        </w:rPr>
      </w:pPr>
      <w:r>
        <w:rPr>
          <w:rFonts w:hint="eastAsia"/>
        </w:rPr>
        <w:t xml:space="preserve">whereby toxin-mediated entry into a reversible growth-arrested state may reduce </w:t>
      </w:r>
    </w:p>
    <w:p w14:paraId="20FA117B">
      <w:pPr>
        <w:pStyle w:val="2"/>
        <w:rPr>
          <w:rFonts w:hint="eastAsia"/>
        </w:rPr>
      </w:pPr>
      <w:r>
        <w:rPr>
          <w:rFonts w:hint="eastAsia"/>
        </w:rPr>
        <w:t xml:space="preserve">antibiotic susceptibility. Together, these results illustrate how retention of </w:t>
      </w:r>
    </w:p>
    <w:p w14:paraId="284C291D">
      <w:pPr>
        <w:pStyle w:val="2"/>
        <w:rPr>
          <w:rFonts w:hint="eastAsia"/>
        </w:rPr>
      </w:pPr>
      <w:r>
        <w:rPr>
          <w:rFonts w:hint="eastAsia"/>
        </w:rPr>
        <w:t xml:space="preserve">horizontally acquired MGEs containing a potent TA system can drive adaptive </w:t>
      </w:r>
    </w:p>
    <w:p w14:paraId="54185ABA">
      <w:pPr>
        <w:pStyle w:val="2"/>
        <w:rPr>
          <w:rFonts w:hint="eastAsia"/>
        </w:rPr>
      </w:pPr>
      <w:r>
        <w:rPr>
          <w:rFonts w:hint="eastAsia"/>
        </w:rPr>
        <w:t>genome evolution to enhance fitness in this highly drug-resistant pathogen.</w:t>
      </w:r>
    </w:p>
    <w:p w14:paraId="27ABC7BD">
      <w:pPr>
        <w:pStyle w:val="2"/>
        <w:rPr>
          <w:rFonts w:hint="eastAsia"/>
        </w:rPr>
      </w:pPr>
      <w:r>
        <w:rPr>
          <w:rFonts w:hint="eastAsia"/>
        </w:rPr>
        <w:t xml:space="preserve">IMPORTANCE: Mycobacterium abscessus (Mab) causes chronic lung disease and skin </w:t>
      </w:r>
    </w:p>
    <w:p w14:paraId="60D8B522">
      <w:pPr>
        <w:pStyle w:val="2"/>
        <w:rPr>
          <w:rFonts w:hint="eastAsia"/>
        </w:rPr>
      </w:pPr>
      <w:r>
        <w:rPr>
          <w:rFonts w:hint="eastAsia"/>
        </w:rPr>
        <w:t xml:space="preserve">and soft tissue infections, posing a major threat to individuals with cystic </w:t>
      </w:r>
    </w:p>
    <w:p w14:paraId="00A98004">
      <w:pPr>
        <w:pStyle w:val="2"/>
        <w:rPr>
          <w:rFonts w:hint="eastAsia"/>
        </w:rPr>
      </w:pPr>
      <w:r>
        <w:rPr>
          <w:rFonts w:hint="eastAsia"/>
        </w:rPr>
        <w:t xml:space="preserve">fibrosis, underlying lung disease, lung transplants, or weakened immune systems. </w:t>
      </w:r>
    </w:p>
    <w:p w14:paraId="69A3EA6F">
      <w:pPr>
        <w:pStyle w:val="2"/>
        <w:rPr>
          <w:rFonts w:hint="eastAsia"/>
        </w:rPr>
      </w:pPr>
      <w:r>
        <w:rPr>
          <w:rFonts w:hint="eastAsia"/>
        </w:rPr>
        <w:t xml:space="preserve">Unlike Mycobacterium tuberculosis, Mab has a large and highly plastic accessory </w:t>
      </w:r>
    </w:p>
    <w:p w14:paraId="3C06C76D">
      <w:pPr>
        <w:pStyle w:val="2"/>
        <w:rPr>
          <w:rFonts w:hint="eastAsia"/>
        </w:rPr>
      </w:pPr>
      <w:r>
        <w:rPr>
          <w:rFonts w:hint="eastAsia"/>
        </w:rPr>
        <w:t xml:space="preserve">genome generally thought to be predominantly shaped by horizontal gene transfer </w:t>
      </w:r>
    </w:p>
    <w:p w14:paraId="6116C5FE">
      <w:pPr>
        <w:pStyle w:val="2"/>
        <w:rPr>
          <w:rFonts w:hint="eastAsia"/>
        </w:rPr>
      </w:pPr>
      <w:r>
        <w:rPr>
          <w:rFonts w:hint="eastAsia"/>
        </w:rPr>
        <w:t xml:space="preserve">and recombination. However, the mechanisms that stabilize newly acquired genetic </w:t>
      </w:r>
    </w:p>
    <w:p w14:paraId="218E0EBF">
      <w:pPr>
        <w:pStyle w:val="2"/>
        <w:rPr>
          <w:rFonts w:hint="eastAsia"/>
        </w:rPr>
      </w:pPr>
      <w:r>
        <w:rPr>
          <w:rFonts w:hint="eastAsia"/>
        </w:rPr>
        <w:t xml:space="preserve">material in this pathogen remain poorly understood. Here, we identify a </w:t>
      </w:r>
    </w:p>
    <w:p w14:paraId="0095D088">
      <w:pPr>
        <w:pStyle w:val="2"/>
        <w:rPr>
          <w:rFonts w:hint="eastAsia"/>
        </w:rPr>
      </w:pPr>
      <w:r>
        <w:rPr>
          <w:rFonts w:hint="eastAsia"/>
        </w:rPr>
        <w:t xml:space="preserve">toxin-antitoxin (TA) system embedded within a mobile genetic element (MGE) </w:t>
      </w:r>
    </w:p>
    <w:p w14:paraId="55601AA3">
      <w:pPr>
        <w:pStyle w:val="2"/>
        <w:rPr>
          <w:rFonts w:hint="eastAsia"/>
        </w:rPr>
      </w:pPr>
      <w:r>
        <w:rPr>
          <w:rFonts w:hint="eastAsia"/>
        </w:rPr>
        <w:t xml:space="preserve">predicted to enforce stable retention of the MGE through a mechanism similar to </w:t>
      </w:r>
    </w:p>
    <w:p w14:paraId="4F7B87D7">
      <w:pPr>
        <w:pStyle w:val="2"/>
        <w:rPr>
          <w:rFonts w:hint="eastAsia"/>
        </w:rPr>
      </w:pPr>
      <w:r>
        <w:rPr>
          <w:rFonts w:hint="eastAsia"/>
        </w:rPr>
        <w:t xml:space="preserve">postsegregational killing. The toxin inactivates initiator tRNAfMet, inducing </w:t>
      </w:r>
    </w:p>
    <w:p w14:paraId="5E32AF0E">
      <w:pPr>
        <w:pStyle w:val="2"/>
        <w:rPr>
          <w:rFonts w:hint="eastAsia"/>
        </w:rPr>
      </w:pPr>
      <w:r>
        <w:rPr>
          <w:rFonts w:hint="eastAsia"/>
        </w:rPr>
        <w:t xml:space="preserve">reversible growth arrest that likely reduces antibiotic efficacy. By functioning </w:t>
      </w:r>
    </w:p>
    <w:p w14:paraId="16DC4E78">
      <w:pPr>
        <w:pStyle w:val="2"/>
        <w:rPr>
          <w:rFonts w:hint="eastAsia"/>
        </w:rPr>
      </w:pPr>
      <w:r>
        <w:rPr>
          <w:rFonts w:hint="eastAsia"/>
        </w:rPr>
        <w:t xml:space="preserve">as an addiction module, this TA system also ensures stable inheritance of </w:t>
      </w:r>
    </w:p>
    <w:p w14:paraId="613C2A47">
      <w:pPr>
        <w:pStyle w:val="2"/>
        <w:rPr>
          <w:rFonts w:hint="eastAsia"/>
        </w:rPr>
      </w:pPr>
      <w:r>
        <w:rPr>
          <w:rFonts w:hint="eastAsia"/>
        </w:rPr>
        <w:t xml:space="preserve">co-transferred accessory genes within the MGE, providing a mechanism for </w:t>
      </w:r>
    </w:p>
    <w:p w14:paraId="669D90AD">
      <w:pPr>
        <w:pStyle w:val="2"/>
        <w:rPr>
          <w:rFonts w:hint="eastAsia"/>
        </w:rPr>
      </w:pPr>
      <w:r>
        <w:rPr>
          <w:rFonts w:hint="eastAsia"/>
        </w:rPr>
        <w:t xml:space="preserve">long-term retention of horizontally acquired genetic material that enhances </w:t>
      </w:r>
    </w:p>
    <w:p w14:paraId="6D9E94E2">
      <w:pPr>
        <w:pStyle w:val="2"/>
        <w:rPr>
          <w:rFonts w:hint="eastAsia"/>
        </w:rPr>
      </w:pPr>
      <w:r>
        <w:rPr>
          <w:rFonts w:hint="eastAsia"/>
        </w:rPr>
        <w:t>pathogen fitness.</w:t>
      </w:r>
    </w:p>
    <w:p w14:paraId="02D77243">
      <w:pPr>
        <w:pStyle w:val="2"/>
        <w:rPr>
          <w:rFonts w:hint="eastAsia"/>
        </w:rPr>
      </w:pPr>
    </w:p>
    <w:p w14:paraId="6F429727">
      <w:pPr>
        <w:pStyle w:val="2"/>
        <w:rPr>
          <w:rFonts w:hint="eastAsia"/>
        </w:rPr>
      </w:pPr>
      <w:r>
        <w:rPr>
          <w:rFonts w:hint="eastAsia"/>
        </w:rPr>
        <w:t>DOI: 10.1128/msystems.00934-26</w:t>
      </w:r>
    </w:p>
    <w:p w14:paraId="64DA0112">
      <w:pPr>
        <w:pStyle w:val="2"/>
        <w:rPr>
          <w:rFonts w:hint="eastAsia"/>
        </w:rPr>
      </w:pPr>
      <w:r>
        <w:rPr>
          <w:rFonts w:hint="eastAsia"/>
        </w:rPr>
        <w:t>PMID: 42867246</w:t>
      </w:r>
    </w:p>
    <w:p w14:paraId="7CF5EA4F">
      <w:pPr>
        <w:pStyle w:val="2"/>
        <w:rPr>
          <w:rFonts w:hint="eastAsia"/>
        </w:rPr>
      </w:pPr>
    </w:p>
    <w:p w14:paraId="0B70B9E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35</w:t>
      </w:r>
      <w:r>
        <w:rPr>
          <w:rFonts w:hint="eastAsia"/>
          <w:b/>
          <w:bCs/>
          <w:color w:val="FF0000"/>
        </w:rPr>
        <w:t>. Microbiol Spectr. 2026 Oct 13:e0148526. doi: 10.1128/spectrum.01485-26. Online ahead of print.</w:t>
      </w:r>
    </w:p>
    <w:p w14:paraId="01BCBC48">
      <w:pPr>
        <w:pStyle w:val="2"/>
        <w:rPr>
          <w:rFonts w:hint="eastAsia"/>
        </w:rPr>
      </w:pPr>
    </w:p>
    <w:p w14:paraId="345080B4">
      <w:pPr>
        <w:pStyle w:val="2"/>
        <w:rPr>
          <w:rFonts w:hint="eastAsia"/>
        </w:rPr>
      </w:pPr>
      <w:r>
        <w:rPr>
          <w:rFonts w:hint="eastAsia"/>
        </w:rPr>
        <w:t>Genomic diversity of human-associated Mycobacterium bovis in Canada.</w:t>
      </w:r>
    </w:p>
    <w:p w14:paraId="5038E9F4">
      <w:pPr>
        <w:pStyle w:val="2"/>
        <w:rPr>
          <w:rFonts w:hint="eastAsia"/>
        </w:rPr>
      </w:pPr>
    </w:p>
    <w:p w14:paraId="1BDB287D">
      <w:pPr>
        <w:pStyle w:val="2"/>
        <w:rPr>
          <w:rFonts w:hint="eastAsia"/>
        </w:rPr>
      </w:pPr>
      <w:r>
        <w:rPr>
          <w:rFonts w:hint="eastAsia"/>
        </w:rPr>
        <w:t xml:space="preserve">Sharma MK(1)(2), Andrievskaia O(3), Tyrrell GJ(4), Akochy P-M(5), Sekirov I(6), </w:t>
      </w:r>
    </w:p>
    <w:p w14:paraId="2A1242B5">
      <w:pPr>
        <w:pStyle w:val="2"/>
        <w:rPr>
          <w:rFonts w:hint="eastAsia"/>
        </w:rPr>
      </w:pPr>
      <w:r>
        <w:rPr>
          <w:rFonts w:hint="eastAsia"/>
        </w:rPr>
        <w:t xml:space="preserve">Richard-Greenblatt M(7)(8)(9), Ma A(7)(8), Adam H(10), Alawa M(11), Simms E(12), </w:t>
      </w:r>
    </w:p>
    <w:p w14:paraId="04F795DD">
      <w:pPr>
        <w:pStyle w:val="2"/>
        <w:rPr>
          <w:rFonts w:hint="eastAsia"/>
        </w:rPr>
      </w:pPr>
      <w:r>
        <w:rPr>
          <w:rFonts w:hint="eastAsia"/>
        </w:rPr>
        <w:t>Islam MR(1), Rabb M(1), Soualhine H(1)(2)(13).</w:t>
      </w:r>
    </w:p>
    <w:p w14:paraId="79CA6942">
      <w:pPr>
        <w:pStyle w:val="2"/>
        <w:rPr>
          <w:rFonts w:hint="eastAsia"/>
        </w:rPr>
      </w:pPr>
    </w:p>
    <w:p w14:paraId="50C9D2E1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DB14B2C">
      <w:pPr>
        <w:pStyle w:val="2"/>
        <w:rPr>
          <w:rFonts w:hint="eastAsia"/>
        </w:rPr>
      </w:pPr>
      <w:r>
        <w:rPr>
          <w:rFonts w:hint="eastAsia"/>
        </w:rPr>
        <w:t xml:space="preserve">(1)National Reference Centre for Mycobacteriology, National Microbiology </w:t>
      </w:r>
    </w:p>
    <w:p w14:paraId="64E89F3E">
      <w:pPr>
        <w:pStyle w:val="2"/>
        <w:rPr>
          <w:rFonts w:hint="eastAsia"/>
        </w:rPr>
      </w:pPr>
      <w:r>
        <w:rPr>
          <w:rFonts w:hint="eastAsia"/>
        </w:rPr>
        <w:t>Laboratory, Public Health Agency of Canada, Winnipeg, Manitoba, Canada.</w:t>
      </w:r>
    </w:p>
    <w:p w14:paraId="15C2AD52">
      <w:pPr>
        <w:pStyle w:val="2"/>
        <w:rPr>
          <w:rFonts w:hint="eastAsia"/>
        </w:rPr>
      </w:pPr>
      <w:r>
        <w:rPr>
          <w:rFonts w:hint="eastAsia"/>
        </w:rPr>
        <w:t xml:space="preserve">(2)Medical Microbiology and Infectious Diseases, University of Manitoba, </w:t>
      </w:r>
    </w:p>
    <w:p w14:paraId="0C1F38B7">
      <w:pPr>
        <w:pStyle w:val="2"/>
        <w:rPr>
          <w:rFonts w:hint="eastAsia"/>
        </w:rPr>
      </w:pPr>
      <w:r>
        <w:rPr>
          <w:rFonts w:hint="eastAsia"/>
        </w:rPr>
        <w:t>Winnipeg, Canada.</w:t>
      </w:r>
    </w:p>
    <w:p w14:paraId="486C2270">
      <w:pPr>
        <w:pStyle w:val="2"/>
        <w:rPr>
          <w:rFonts w:hint="eastAsia"/>
        </w:rPr>
      </w:pPr>
      <w:r>
        <w:rPr>
          <w:rFonts w:hint="eastAsia"/>
        </w:rPr>
        <w:t xml:space="preserve">(3)National Reference Laboratory for Bovine Tuberculosis, Ottawa Animal Health </w:t>
      </w:r>
    </w:p>
    <w:p w14:paraId="17145E43">
      <w:pPr>
        <w:pStyle w:val="2"/>
        <w:rPr>
          <w:rFonts w:hint="eastAsia"/>
        </w:rPr>
      </w:pPr>
      <w:r>
        <w:rPr>
          <w:rFonts w:hint="eastAsia"/>
        </w:rPr>
        <w:t>Laboratory, Canadian Food Inspection Agency, Ottawa, Ontario, Canada.</w:t>
      </w:r>
    </w:p>
    <w:p w14:paraId="4EC3AEFB">
      <w:pPr>
        <w:pStyle w:val="2"/>
        <w:rPr>
          <w:rFonts w:hint="eastAsia"/>
        </w:rPr>
      </w:pPr>
      <w:r>
        <w:rPr>
          <w:rFonts w:hint="eastAsia"/>
        </w:rPr>
        <w:t xml:space="preserve">(4)Division of Diagnostic and Applied Microbiology, Laboratory Medicine and </w:t>
      </w:r>
    </w:p>
    <w:p w14:paraId="5E161EF2">
      <w:pPr>
        <w:pStyle w:val="2"/>
        <w:rPr>
          <w:rFonts w:hint="eastAsia"/>
        </w:rPr>
      </w:pPr>
      <w:r>
        <w:rPr>
          <w:rFonts w:hint="eastAsia"/>
        </w:rPr>
        <w:t xml:space="preserve">Pathology, University of Alberta and Alberta Precision Laboratories, Edmonton, </w:t>
      </w:r>
    </w:p>
    <w:p w14:paraId="552DB08F">
      <w:pPr>
        <w:pStyle w:val="2"/>
        <w:rPr>
          <w:rFonts w:hint="eastAsia"/>
        </w:rPr>
      </w:pPr>
      <w:r>
        <w:rPr>
          <w:rFonts w:hint="eastAsia"/>
        </w:rPr>
        <w:t>Alberta, Canada.</w:t>
      </w:r>
    </w:p>
    <w:p w14:paraId="2CCE2D7C">
      <w:pPr>
        <w:pStyle w:val="2"/>
        <w:rPr>
          <w:rFonts w:hint="eastAsia"/>
        </w:rPr>
      </w:pPr>
      <w:r>
        <w:rPr>
          <w:rFonts w:hint="eastAsia"/>
        </w:rPr>
        <w:t>(5)Laboratoire de santé publique du Québec, INSPQ, Québec City, Canada.</w:t>
      </w:r>
    </w:p>
    <w:p w14:paraId="2C836220">
      <w:pPr>
        <w:pStyle w:val="2"/>
        <w:rPr>
          <w:rFonts w:hint="eastAsia"/>
        </w:rPr>
      </w:pPr>
      <w:r>
        <w:rPr>
          <w:rFonts w:hint="eastAsia"/>
        </w:rPr>
        <w:t xml:space="preserve">(6)Public Health Laboratory, BC Centre for Disease Control, Vancouver, British </w:t>
      </w:r>
    </w:p>
    <w:p w14:paraId="40749A0C">
      <w:pPr>
        <w:pStyle w:val="2"/>
        <w:rPr>
          <w:rFonts w:hint="eastAsia"/>
        </w:rPr>
      </w:pPr>
      <w:r>
        <w:rPr>
          <w:rFonts w:hint="eastAsia"/>
        </w:rPr>
        <w:t>Columbia, Canada.</w:t>
      </w:r>
    </w:p>
    <w:p w14:paraId="637D4665">
      <w:pPr>
        <w:pStyle w:val="2"/>
        <w:rPr>
          <w:rFonts w:hint="eastAsia"/>
        </w:rPr>
      </w:pPr>
      <w:r>
        <w:rPr>
          <w:rFonts w:hint="eastAsia"/>
        </w:rPr>
        <w:t>(7)Public Health Ontario, Toronto, Ontario, Canada.</w:t>
      </w:r>
    </w:p>
    <w:p w14:paraId="78A965E8">
      <w:pPr>
        <w:pStyle w:val="2"/>
        <w:rPr>
          <w:rFonts w:hint="eastAsia"/>
        </w:rPr>
      </w:pPr>
      <w:r>
        <w:rPr>
          <w:rFonts w:hint="eastAsia"/>
        </w:rPr>
        <w:t>(8)Laboratory Medicine and Pathobiology, University of Toronto, Toronto, Canada.</w:t>
      </w:r>
    </w:p>
    <w:p w14:paraId="62CF3CC6">
      <w:pPr>
        <w:pStyle w:val="2"/>
        <w:rPr>
          <w:rFonts w:hint="eastAsia"/>
        </w:rPr>
      </w:pPr>
      <w:r>
        <w:rPr>
          <w:rFonts w:hint="eastAsia"/>
        </w:rPr>
        <w:t xml:space="preserve">(9)Department of Pediatric Laboratory Medicine, The Hospital for Sick Children, </w:t>
      </w:r>
    </w:p>
    <w:p w14:paraId="437A5777">
      <w:pPr>
        <w:pStyle w:val="2"/>
        <w:rPr>
          <w:rFonts w:hint="eastAsia"/>
        </w:rPr>
      </w:pPr>
      <w:r>
        <w:rPr>
          <w:rFonts w:hint="eastAsia"/>
        </w:rPr>
        <w:t>Toronto, Canada.</w:t>
      </w:r>
    </w:p>
    <w:p w14:paraId="2CE1BC50">
      <w:pPr>
        <w:pStyle w:val="2"/>
        <w:rPr>
          <w:rFonts w:hint="eastAsia"/>
        </w:rPr>
      </w:pPr>
      <w:r>
        <w:rPr>
          <w:rFonts w:hint="eastAsia"/>
        </w:rPr>
        <w:t>(10)Shared Health, Health Sciences Centre, Winnipeg, Manitoba, Canada.</w:t>
      </w:r>
    </w:p>
    <w:p w14:paraId="20548FC8">
      <w:pPr>
        <w:pStyle w:val="2"/>
        <w:rPr>
          <w:rFonts w:hint="eastAsia"/>
        </w:rPr>
      </w:pPr>
      <w:r>
        <w:rPr>
          <w:rFonts w:hint="eastAsia"/>
        </w:rPr>
        <w:t>(11)Regina Qu'Appelle Health Region, Regina, Saskatchewan, Canada.</w:t>
      </w:r>
    </w:p>
    <w:p w14:paraId="14888B2E">
      <w:pPr>
        <w:pStyle w:val="2"/>
        <w:rPr>
          <w:rFonts w:hint="eastAsia"/>
        </w:rPr>
      </w:pPr>
      <w:r>
        <w:rPr>
          <w:rFonts w:hint="eastAsia"/>
        </w:rPr>
        <w:t>(12)Provincial Public Health Laboratory, Nova Scotia, Canada.</w:t>
      </w:r>
    </w:p>
    <w:p w14:paraId="34327AAA">
      <w:pPr>
        <w:pStyle w:val="2"/>
        <w:rPr>
          <w:rFonts w:hint="eastAsia"/>
        </w:rPr>
      </w:pPr>
      <w:r>
        <w:rPr>
          <w:rFonts w:hint="eastAsia"/>
        </w:rPr>
        <w:t xml:space="preserve">(13)McGill International TB Research Centre, McGill University, Montreal, </w:t>
      </w:r>
    </w:p>
    <w:p w14:paraId="6EC44EA0">
      <w:pPr>
        <w:pStyle w:val="2"/>
        <w:rPr>
          <w:rFonts w:hint="eastAsia"/>
        </w:rPr>
      </w:pPr>
      <w:r>
        <w:rPr>
          <w:rFonts w:hint="eastAsia"/>
        </w:rPr>
        <w:t>Quebec, Canada.</w:t>
      </w:r>
    </w:p>
    <w:p w14:paraId="24F273BE">
      <w:pPr>
        <w:pStyle w:val="2"/>
        <w:rPr>
          <w:rFonts w:hint="eastAsia"/>
        </w:rPr>
      </w:pPr>
    </w:p>
    <w:p w14:paraId="555DAE58">
      <w:pPr>
        <w:pStyle w:val="2"/>
        <w:rPr>
          <w:rFonts w:hint="eastAsia"/>
        </w:rPr>
      </w:pPr>
      <w:r>
        <w:rPr>
          <w:rFonts w:hint="eastAsia"/>
        </w:rPr>
        <w:t xml:space="preserve">Human infections caused by Mycobacterium bovis in Canada are not well </w:t>
      </w:r>
    </w:p>
    <w:p w14:paraId="43929380">
      <w:pPr>
        <w:pStyle w:val="2"/>
        <w:rPr>
          <w:rFonts w:hint="eastAsia"/>
        </w:rPr>
      </w:pPr>
      <w:r>
        <w:rPr>
          <w:rFonts w:hint="eastAsia"/>
        </w:rPr>
        <w:t xml:space="preserve">documented. The following study analyzed M. bovis (excluding BCG) isolates </w:t>
      </w:r>
    </w:p>
    <w:p w14:paraId="2ED47BC7">
      <w:pPr>
        <w:pStyle w:val="2"/>
        <w:rPr>
          <w:rFonts w:hint="eastAsia"/>
        </w:rPr>
      </w:pPr>
      <w:r>
        <w:rPr>
          <w:rFonts w:hint="eastAsia"/>
        </w:rPr>
        <w:t xml:space="preserve">identified in public health laboratories across Canadian provinces between 2000 </w:t>
      </w:r>
    </w:p>
    <w:p w14:paraId="526CF7C9">
      <w:pPr>
        <w:pStyle w:val="2"/>
        <w:rPr>
          <w:rFonts w:hint="eastAsia"/>
        </w:rPr>
      </w:pPr>
      <w:r>
        <w:rPr>
          <w:rFonts w:hint="eastAsia"/>
        </w:rPr>
        <w:t xml:space="preserve">and 2025. Whole-genome sequencing was used to catalog mutations linked to </w:t>
      </w:r>
    </w:p>
    <w:p w14:paraId="3442CD1D">
      <w:pPr>
        <w:pStyle w:val="2"/>
        <w:rPr>
          <w:rFonts w:hint="eastAsia"/>
        </w:rPr>
      </w:pPr>
      <w:r>
        <w:rPr>
          <w:rFonts w:hint="eastAsia"/>
        </w:rPr>
        <w:t xml:space="preserve">antimicrobial resistance and evaluate the genomic relatedness of isolates. The </w:t>
      </w:r>
    </w:p>
    <w:p w14:paraId="10B99075">
      <w:pPr>
        <w:pStyle w:val="2"/>
        <w:rPr>
          <w:rFonts w:hint="eastAsia"/>
        </w:rPr>
      </w:pPr>
      <w:r>
        <w:rPr>
          <w:rFonts w:hint="eastAsia"/>
        </w:rPr>
        <w:t xml:space="preserve">majority of samples in this study were non-respiratory (60%). Of 74 study </w:t>
      </w:r>
    </w:p>
    <w:p w14:paraId="061E468F">
      <w:pPr>
        <w:pStyle w:val="2"/>
        <w:rPr>
          <w:rFonts w:hint="eastAsia"/>
        </w:rPr>
      </w:pPr>
      <w:r>
        <w:rPr>
          <w:rFonts w:hint="eastAsia"/>
        </w:rPr>
        <w:t xml:space="preserve">isolates, 69 (93%) were phenotypically sensitive to first-line drugs isoniazid, </w:t>
      </w:r>
    </w:p>
    <w:p w14:paraId="0695BA87">
      <w:pPr>
        <w:pStyle w:val="2"/>
        <w:rPr>
          <w:rFonts w:hint="eastAsia"/>
        </w:rPr>
      </w:pPr>
      <w:r>
        <w:rPr>
          <w:rFonts w:hint="eastAsia"/>
        </w:rPr>
        <w:t xml:space="preserve">rifampin, and ethambutol. The most frequently encountered M. bovis clusters </w:t>
      </w:r>
    </w:p>
    <w:p w14:paraId="644FE3A4">
      <w:pPr>
        <w:pStyle w:val="2"/>
        <w:rPr>
          <w:rFonts w:hint="eastAsia"/>
        </w:rPr>
      </w:pPr>
      <w:r>
        <w:rPr>
          <w:rFonts w:hint="eastAsia"/>
        </w:rPr>
        <w:t xml:space="preserve">belonged to M. tuberculosis complex lineages La 1.7 and La 1.8. Although some </w:t>
      </w:r>
    </w:p>
    <w:p w14:paraId="2CC90B6C">
      <w:pPr>
        <w:pStyle w:val="2"/>
        <w:rPr>
          <w:rFonts w:hint="eastAsia"/>
        </w:rPr>
      </w:pPr>
      <w:r>
        <w:rPr>
          <w:rFonts w:hint="eastAsia"/>
        </w:rPr>
        <w:t xml:space="preserve">isolates showed phylogenetic clustering, their lack of spatial and temporal </w:t>
      </w:r>
    </w:p>
    <w:p w14:paraId="62A25812">
      <w:pPr>
        <w:pStyle w:val="2"/>
        <w:rPr>
          <w:rFonts w:hint="eastAsia"/>
        </w:rPr>
      </w:pPr>
      <w:r>
        <w:rPr>
          <w:rFonts w:hint="eastAsia"/>
        </w:rPr>
        <w:t xml:space="preserve">relatedness suggested sporadic cases rather than local M. bovis transmission. Of </w:t>
      </w:r>
    </w:p>
    <w:p w14:paraId="3615CB31">
      <w:pPr>
        <w:pStyle w:val="2"/>
        <w:rPr>
          <w:rFonts w:hint="eastAsia"/>
        </w:rPr>
      </w:pPr>
      <w:r>
        <w:rPr>
          <w:rFonts w:hint="eastAsia"/>
        </w:rPr>
        <w:t xml:space="preserve">all first-line drugs evaluated, isoniazid showed the lowest concordance (94.4%) </w:t>
      </w:r>
    </w:p>
    <w:p w14:paraId="4DA4E59F">
      <w:pPr>
        <w:pStyle w:val="2"/>
        <w:rPr>
          <w:rFonts w:hint="eastAsia"/>
        </w:rPr>
      </w:pPr>
      <w:r>
        <w:rPr>
          <w:rFonts w:hint="eastAsia"/>
        </w:rPr>
        <w:t xml:space="preserve">between phenotypic and genotypic methods. The isolates in this study harbor some </w:t>
      </w:r>
    </w:p>
    <w:p w14:paraId="301013B6">
      <w:pPr>
        <w:pStyle w:val="2"/>
        <w:rPr>
          <w:rFonts w:hint="eastAsia"/>
        </w:rPr>
      </w:pPr>
      <w:r>
        <w:rPr>
          <w:rFonts w:hint="eastAsia"/>
        </w:rPr>
        <w:t xml:space="preserve">mutations that are not currently documented in the WHO mutation catalog, </w:t>
      </w:r>
    </w:p>
    <w:p w14:paraId="5ABC6537">
      <w:pPr>
        <w:pStyle w:val="2"/>
        <w:rPr>
          <w:rFonts w:hint="eastAsia"/>
        </w:rPr>
      </w:pPr>
      <w:r>
        <w:rPr>
          <w:rFonts w:hint="eastAsia"/>
        </w:rPr>
        <w:t xml:space="preserve">indicating that these variants may be rare. The findings suggest that the </w:t>
      </w:r>
    </w:p>
    <w:p w14:paraId="695F1BE1">
      <w:pPr>
        <w:pStyle w:val="2"/>
        <w:rPr>
          <w:rFonts w:hint="eastAsia"/>
        </w:rPr>
      </w:pPr>
      <w:r>
        <w:rPr>
          <w:rFonts w:hint="eastAsia"/>
        </w:rPr>
        <w:t xml:space="preserve">prevalence of M. bovis infection in Canada is low with cases unlikely to be </w:t>
      </w:r>
    </w:p>
    <w:p w14:paraId="3745772C">
      <w:pPr>
        <w:pStyle w:val="2"/>
        <w:rPr>
          <w:rFonts w:hint="eastAsia"/>
        </w:rPr>
      </w:pPr>
      <w:r>
        <w:rPr>
          <w:rFonts w:hint="eastAsia"/>
        </w:rPr>
        <w:t xml:space="preserve">acquired through human-to-human transmission.IMPORTANCEIncidence of human </w:t>
      </w:r>
    </w:p>
    <w:p w14:paraId="0CBFB828">
      <w:pPr>
        <w:pStyle w:val="2"/>
        <w:rPr>
          <w:rFonts w:hint="eastAsia"/>
        </w:rPr>
      </w:pPr>
      <w:r>
        <w:rPr>
          <w:rFonts w:hint="eastAsia"/>
        </w:rPr>
        <w:t xml:space="preserve">infections due to Mycobacterium bovis in Canada is largely unknown as these data </w:t>
      </w:r>
    </w:p>
    <w:p w14:paraId="3F1C4778">
      <w:pPr>
        <w:pStyle w:val="2"/>
        <w:rPr>
          <w:rFonts w:hint="eastAsia"/>
        </w:rPr>
      </w:pPr>
      <w:r>
        <w:rPr>
          <w:rFonts w:hint="eastAsia"/>
        </w:rPr>
        <w:t xml:space="preserve">are not collected or annually published. This research is a first effort to </w:t>
      </w:r>
    </w:p>
    <w:p w14:paraId="15AC56E6">
      <w:pPr>
        <w:pStyle w:val="2"/>
        <w:rPr>
          <w:rFonts w:hint="eastAsia"/>
        </w:rPr>
      </w:pPr>
      <w:r>
        <w:rPr>
          <w:rFonts w:hint="eastAsia"/>
        </w:rPr>
        <w:t xml:space="preserve">identify historical M. bovis isolates that were available for culture, had drug </w:t>
      </w:r>
    </w:p>
    <w:p w14:paraId="26641F0A">
      <w:pPr>
        <w:pStyle w:val="2"/>
        <w:rPr>
          <w:rFonts w:hint="eastAsia"/>
        </w:rPr>
      </w:pPr>
      <w:r>
        <w:rPr>
          <w:rFonts w:hint="eastAsia"/>
        </w:rPr>
        <w:t xml:space="preserve">susceptibility testing data, and were analyzed through whole-genome sequencing. </w:t>
      </w:r>
    </w:p>
    <w:p w14:paraId="11F9BE09">
      <w:pPr>
        <w:pStyle w:val="2"/>
        <w:rPr>
          <w:rFonts w:hint="eastAsia"/>
        </w:rPr>
      </w:pPr>
      <w:r>
        <w:rPr>
          <w:rFonts w:hint="eastAsia"/>
        </w:rPr>
        <w:t>The annual reporting of these data in Canada holds value.</w:t>
      </w:r>
    </w:p>
    <w:p w14:paraId="1F399A87">
      <w:pPr>
        <w:pStyle w:val="2"/>
        <w:rPr>
          <w:rFonts w:hint="eastAsia"/>
        </w:rPr>
      </w:pPr>
    </w:p>
    <w:p w14:paraId="2A937413">
      <w:pPr>
        <w:pStyle w:val="2"/>
        <w:rPr>
          <w:rFonts w:hint="eastAsia"/>
        </w:rPr>
      </w:pPr>
      <w:r>
        <w:rPr>
          <w:rFonts w:hint="eastAsia"/>
        </w:rPr>
        <w:t>DOI: 10.1128/spectrum.01485-26</w:t>
      </w:r>
    </w:p>
    <w:p w14:paraId="2375745C">
      <w:pPr>
        <w:pStyle w:val="2"/>
        <w:rPr>
          <w:rFonts w:hint="eastAsia"/>
        </w:rPr>
      </w:pPr>
      <w:r>
        <w:rPr>
          <w:rFonts w:hint="eastAsia"/>
        </w:rPr>
        <w:t>PMID: 42866990</w:t>
      </w:r>
    </w:p>
    <w:p w14:paraId="4C77DE0A">
      <w:pPr>
        <w:pStyle w:val="2"/>
        <w:rPr>
          <w:rFonts w:hint="eastAsia"/>
        </w:rPr>
      </w:pPr>
    </w:p>
    <w:p w14:paraId="434404F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36</w:t>
      </w:r>
      <w:r>
        <w:rPr>
          <w:rFonts w:hint="eastAsia"/>
          <w:b/>
          <w:bCs/>
          <w:color w:val="FF0000"/>
        </w:rPr>
        <w:t xml:space="preserve">. iScience. 2026 Sep 22;29(10):117738. doi: 10.1016/j.isci.2026.117738. </w:t>
      </w:r>
    </w:p>
    <w:p w14:paraId="2AE2B93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 16.</w:t>
      </w:r>
    </w:p>
    <w:p w14:paraId="0FAE82D0">
      <w:pPr>
        <w:pStyle w:val="2"/>
        <w:rPr>
          <w:rFonts w:hint="eastAsia"/>
        </w:rPr>
      </w:pPr>
    </w:p>
    <w:p w14:paraId="2B75E418">
      <w:pPr>
        <w:pStyle w:val="2"/>
        <w:rPr>
          <w:rFonts w:hint="eastAsia"/>
        </w:rPr>
      </w:pPr>
      <w:r>
        <w:rPr>
          <w:rFonts w:hint="eastAsia"/>
        </w:rPr>
        <w:t>Small-molecule activators of the Staphylococcus aureus ClpC/ClpP AAA+ protease.</w:t>
      </w:r>
    </w:p>
    <w:p w14:paraId="3E55DBF3">
      <w:pPr>
        <w:pStyle w:val="2"/>
        <w:rPr>
          <w:rFonts w:hint="eastAsia"/>
        </w:rPr>
      </w:pPr>
    </w:p>
    <w:p w14:paraId="5DB6FF05">
      <w:pPr>
        <w:pStyle w:val="2"/>
        <w:rPr>
          <w:rFonts w:hint="eastAsia"/>
        </w:rPr>
      </w:pPr>
      <w:r>
        <w:rPr>
          <w:rFonts w:hint="eastAsia"/>
        </w:rPr>
        <w:t xml:space="preserve">Jenne T(1), Viliuga V(2), Uhrig U(3), Jehle B(3), Schwan M(4), Kopp J(4), </w:t>
      </w:r>
    </w:p>
    <w:p w14:paraId="15ADB3C1">
      <w:pPr>
        <w:pStyle w:val="2"/>
        <w:rPr>
          <w:rFonts w:hint="eastAsia"/>
        </w:rPr>
      </w:pPr>
      <w:r>
        <w:rPr>
          <w:rFonts w:hint="eastAsia"/>
        </w:rPr>
        <w:t>Flemming D(4), Seebach E(5)(6), Sinning I(4), Bukau B(1), Mogk A(1).</w:t>
      </w:r>
    </w:p>
    <w:p w14:paraId="6605D9B4">
      <w:pPr>
        <w:pStyle w:val="2"/>
        <w:rPr>
          <w:rFonts w:hint="eastAsia"/>
        </w:rPr>
      </w:pPr>
    </w:p>
    <w:p w14:paraId="0E235C8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DA78CA1">
      <w:pPr>
        <w:pStyle w:val="2"/>
        <w:rPr>
          <w:rFonts w:hint="eastAsia"/>
        </w:rPr>
      </w:pPr>
      <w:r>
        <w:rPr>
          <w:rFonts w:hint="eastAsia"/>
        </w:rPr>
        <w:t xml:space="preserve">(1)Center for Molecular Biology of Heidelberg University (ZMBH), DKFZ-ZMBH </w:t>
      </w:r>
    </w:p>
    <w:p w14:paraId="0E7AF5F3">
      <w:pPr>
        <w:pStyle w:val="2"/>
        <w:rPr>
          <w:rFonts w:hint="eastAsia"/>
        </w:rPr>
      </w:pPr>
      <w:r>
        <w:rPr>
          <w:rFonts w:hint="eastAsia"/>
        </w:rPr>
        <w:t>Alliance, Im Neuenheimer Feld 345, 69120 Heidelberg, Germany.</w:t>
      </w:r>
    </w:p>
    <w:p w14:paraId="7F77DE37">
      <w:pPr>
        <w:pStyle w:val="2"/>
        <w:rPr>
          <w:rFonts w:hint="eastAsia"/>
        </w:rPr>
      </w:pPr>
      <w:r>
        <w:rPr>
          <w:rFonts w:hint="eastAsia"/>
        </w:rPr>
        <w:t xml:space="preserve">(2)Department of Biochemistry and Biophysics at Stockholm University and Science </w:t>
      </w:r>
    </w:p>
    <w:p w14:paraId="6F5FFF65">
      <w:pPr>
        <w:pStyle w:val="2"/>
        <w:rPr>
          <w:rFonts w:hint="eastAsia"/>
        </w:rPr>
      </w:pPr>
      <w:r>
        <w:rPr>
          <w:rFonts w:hint="eastAsia"/>
        </w:rPr>
        <w:t>for Life Laboratory, Stockholm, Sweden.</w:t>
      </w:r>
    </w:p>
    <w:p w14:paraId="5762DD4A">
      <w:pPr>
        <w:pStyle w:val="2"/>
        <w:rPr>
          <w:rFonts w:hint="eastAsia"/>
        </w:rPr>
      </w:pPr>
      <w:r>
        <w:rPr>
          <w:rFonts w:hint="eastAsia"/>
        </w:rPr>
        <w:t xml:space="preserve">(3)The European Molecular Biology Laboratory, EMBL, Meyerhofstraße 1, 69120 </w:t>
      </w:r>
    </w:p>
    <w:p w14:paraId="20DEAFA9">
      <w:pPr>
        <w:pStyle w:val="2"/>
        <w:rPr>
          <w:rFonts w:hint="eastAsia"/>
        </w:rPr>
      </w:pPr>
      <w:r>
        <w:rPr>
          <w:rFonts w:hint="eastAsia"/>
        </w:rPr>
        <w:t>Heidelberg, Germany.</w:t>
      </w:r>
    </w:p>
    <w:p w14:paraId="60CD213A">
      <w:pPr>
        <w:pStyle w:val="2"/>
        <w:rPr>
          <w:rFonts w:hint="eastAsia"/>
        </w:rPr>
      </w:pPr>
      <w:r>
        <w:rPr>
          <w:rFonts w:hint="eastAsia"/>
        </w:rPr>
        <w:t xml:space="preserve">(4)Heidelberg University Biochemistry Center (BZH), Im Neuenheimer Feld 328, </w:t>
      </w:r>
    </w:p>
    <w:p w14:paraId="5F479F5E">
      <w:pPr>
        <w:pStyle w:val="2"/>
        <w:rPr>
          <w:rFonts w:hint="eastAsia"/>
        </w:rPr>
      </w:pPr>
      <w:r>
        <w:rPr>
          <w:rFonts w:hint="eastAsia"/>
        </w:rPr>
        <w:t>69120 Heidelberg, Germany.</w:t>
      </w:r>
    </w:p>
    <w:p w14:paraId="771F5D4C">
      <w:pPr>
        <w:pStyle w:val="2"/>
        <w:rPr>
          <w:rFonts w:hint="eastAsia"/>
        </w:rPr>
      </w:pPr>
      <w:r>
        <w:rPr>
          <w:rFonts w:hint="eastAsia"/>
        </w:rPr>
        <w:t xml:space="preserve">(5)Department of Infectious Diseases, Medical Microbiology and Hygiene, Medical </w:t>
      </w:r>
    </w:p>
    <w:p w14:paraId="097B7424">
      <w:pPr>
        <w:pStyle w:val="2"/>
        <w:rPr>
          <w:rFonts w:hint="eastAsia"/>
        </w:rPr>
      </w:pPr>
      <w:r>
        <w:rPr>
          <w:rFonts w:hint="eastAsia"/>
        </w:rPr>
        <w:t>Faculty Heidelberg, Heidelberg University, Heidelberg, Germany.</w:t>
      </w:r>
    </w:p>
    <w:p w14:paraId="778555C8">
      <w:pPr>
        <w:pStyle w:val="2"/>
        <w:rPr>
          <w:rFonts w:hint="eastAsia"/>
        </w:rPr>
      </w:pPr>
      <w:r>
        <w:rPr>
          <w:rFonts w:hint="eastAsia"/>
        </w:rPr>
        <w:t>(6)University Hospital Heidelberg, Heidelberg, Germany.</w:t>
      </w:r>
    </w:p>
    <w:p w14:paraId="423568FD">
      <w:pPr>
        <w:pStyle w:val="2"/>
        <w:rPr>
          <w:rFonts w:hint="eastAsia"/>
        </w:rPr>
      </w:pPr>
    </w:p>
    <w:p w14:paraId="36933639">
      <w:pPr>
        <w:pStyle w:val="2"/>
        <w:rPr>
          <w:rFonts w:hint="eastAsia"/>
        </w:rPr>
      </w:pPr>
      <w:r>
        <w:rPr>
          <w:rFonts w:hint="eastAsia"/>
        </w:rPr>
        <w:t xml:space="preserve">The central AAA+ ClpC/ClpP protease in Gram-positive bacteria is crucial for </w:t>
      </w:r>
    </w:p>
    <w:p w14:paraId="3D1B3B36">
      <w:pPr>
        <w:pStyle w:val="2"/>
        <w:rPr>
          <w:rFonts w:hint="eastAsia"/>
        </w:rPr>
      </w:pPr>
      <w:r>
        <w:rPr>
          <w:rFonts w:hint="eastAsia"/>
        </w:rPr>
        <w:t xml:space="preserve">virulence and stress resistance and has been recognized as drug target. Natural </w:t>
      </w:r>
    </w:p>
    <w:p w14:paraId="5A07CE55">
      <w:pPr>
        <w:pStyle w:val="2"/>
        <w:rPr>
          <w:rFonts w:hint="eastAsia"/>
        </w:rPr>
      </w:pPr>
      <w:r>
        <w:rPr>
          <w:rFonts w:hint="eastAsia"/>
        </w:rPr>
        <w:t xml:space="preserve">cyclic peptides deregulate the essential Mycobacterium tuberculosis ClpC1 and </w:t>
      </w:r>
    </w:p>
    <w:p w14:paraId="4C73024D">
      <w:pPr>
        <w:pStyle w:val="2"/>
        <w:rPr>
          <w:rFonts w:hint="eastAsia"/>
        </w:rPr>
      </w:pPr>
      <w:r>
        <w:rPr>
          <w:rFonts w:hint="eastAsia"/>
        </w:rPr>
        <w:t xml:space="preserve">cause cell death. Similarly, overactivated mutants of the non-essential </w:t>
      </w:r>
    </w:p>
    <w:p w14:paraId="682258EA">
      <w:pPr>
        <w:pStyle w:val="2"/>
        <w:rPr>
          <w:rFonts w:hint="eastAsia"/>
        </w:rPr>
      </w:pPr>
      <w:r>
        <w:rPr>
          <w:rFonts w:hint="eastAsia"/>
        </w:rPr>
        <w:t xml:space="preserve">Staphylococcus aureus ClpC homolog cause uncontrolled proteolysis and severe </w:t>
      </w:r>
    </w:p>
    <w:p w14:paraId="2DE52766">
      <w:pPr>
        <w:pStyle w:val="2"/>
        <w:rPr>
          <w:rFonts w:hint="eastAsia"/>
        </w:rPr>
      </w:pPr>
      <w:r>
        <w:rPr>
          <w:rFonts w:hint="eastAsia"/>
        </w:rPr>
        <w:t xml:space="preserve">toxicity in vivo. However, no chemical modulators of S. aureus ClpC have been </w:t>
      </w:r>
    </w:p>
    <w:p w14:paraId="423D8247">
      <w:pPr>
        <w:pStyle w:val="2"/>
        <w:rPr>
          <w:rFonts w:hint="eastAsia"/>
        </w:rPr>
      </w:pPr>
      <w:r>
        <w:rPr>
          <w:rFonts w:hint="eastAsia"/>
        </w:rPr>
        <w:t xml:space="preserve">described. Here, using a biochemical high-throughput screen, we identify eight </w:t>
      </w:r>
    </w:p>
    <w:p w14:paraId="0F06FAB1">
      <w:pPr>
        <w:pStyle w:val="2"/>
        <w:rPr>
          <w:rFonts w:hint="eastAsia"/>
        </w:rPr>
      </w:pPr>
      <w:r>
        <w:rPr>
          <w:rFonts w:hint="eastAsia"/>
        </w:rPr>
        <w:t xml:space="preserve">distinct bona fide small molecules that stimulate ClpC ATPase and proteolytic </w:t>
      </w:r>
    </w:p>
    <w:p w14:paraId="693AC1D5">
      <w:pPr>
        <w:pStyle w:val="2"/>
        <w:rPr>
          <w:rFonts w:hint="eastAsia"/>
        </w:rPr>
      </w:pPr>
      <w:r>
        <w:rPr>
          <w:rFonts w:hint="eastAsia"/>
        </w:rPr>
        <w:t xml:space="preserve">activity in vitro. Structural, computational, and mutational analyses define two </w:t>
      </w:r>
    </w:p>
    <w:p w14:paraId="1E885B17">
      <w:pPr>
        <w:pStyle w:val="2"/>
        <w:rPr>
          <w:rFonts w:hint="eastAsia"/>
        </w:rPr>
      </w:pPr>
      <w:r>
        <w:rPr>
          <w:rFonts w:hint="eastAsia"/>
        </w:rPr>
        <w:t xml:space="preserve">ligandable regulatory sites within the ClpC N-terminal domain (NTD) as compound </w:t>
      </w:r>
    </w:p>
    <w:p w14:paraId="53598842">
      <w:pPr>
        <w:pStyle w:val="2"/>
        <w:rPr>
          <w:rFonts w:hint="eastAsia"/>
        </w:rPr>
      </w:pPr>
      <w:r>
        <w:rPr>
          <w:rFonts w:hint="eastAsia"/>
        </w:rPr>
        <w:t xml:space="preserve">targets: a conserved hydrophobic groove and an allosteric pArg1 pocket, both </w:t>
      </w:r>
    </w:p>
    <w:p w14:paraId="40D6F293">
      <w:pPr>
        <w:pStyle w:val="2"/>
        <w:rPr>
          <w:rFonts w:hint="eastAsia"/>
        </w:rPr>
      </w:pPr>
      <w:r>
        <w:rPr>
          <w:rFonts w:hint="eastAsia"/>
        </w:rPr>
        <w:t xml:space="preserve">engaged in substrate recognition. These findings establish S. aureus ClpC as </w:t>
      </w:r>
    </w:p>
    <w:p w14:paraId="0AA9444C">
      <w:pPr>
        <w:pStyle w:val="2"/>
        <w:rPr>
          <w:rFonts w:hint="eastAsia"/>
        </w:rPr>
      </w:pPr>
      <w:r>
        <w:rPr>
          <w:rFonts w:hint="eastAsia"/>
        </w:rPr>
        <w:t xml:space="preserve">chemically targetable and provide mechanistic insight into its regulatory </w:t>
      </w:r>
    </w:p>
    <w:p w14:paraId="60EA01F0">
      <w:pPr>
        <w:pStyle w:val="2"/>
        <w:rPr>
          <w:rFonts w:hint="eastAsia"/>
        </w:rPr>
      </w:pPr>
      <w:r>
        <w:rPr>
          <w:rFonts w:hint="eastAsia"/>
        </w:rPr>
        <w:t xml:space="preserve">architecture, enabling future development and optimization of chemical probes to </w:t>
      </w:r>
    </w:p>
    <w:p w14:paraId="6DEAC1CC">
      <w:pPr>
        <w:pStyle w:val="2"/>
        <w:rPr>
          <w:rFonts w:hint="eastAsia"/>
        </w:rPr>
      </w:pPr>
      <w:r>
        <w:rPr>
          <w:rFonts w:hint="eastAsia"/>
        </w:rPr>
        <w:t>deregulate AAA+ protease control.</w:t>
      </w:r>
    </w:p>
    <w:p w14:paraId="35C62DA0">
      <w:pPr>
        <w:pStyle w:val="2"/>
        <w:rPr>
          <w:rFonts w:hint="eastAsia"/>
        </w:rPr>
      </w:pPr>
    </w:p>
    <w:p w14:paraId="34AD2D80">
      <w:pPr>
        <w:pStyle w:val="2"/>
        <w:rPr>
          <w:rFonts w:hint="eastAsia"/>
        </w:rPr>
      </w:pPr>
      <w:r>
        <w:rPr>
          <w:rFonts w:hint="eastAsia"/>
        </w:rPr>
        <w:t>© 2026 The Author(s).</w:t>
      </w:r>
    </w:p>
    <w:p w14:paraId="7C9DFCAA">
      <w:pPr>
        <w:pStyle w:val="2"/>
        <w:rPr>
          <w:rFonts w:hint="eastAsia"/>
        </w:rPr>
      </w:pPr>
    </w:p>
    <w:p w14:paraId="55622C20">
      <w:pPr>
        <w:pStyle w:val="2"/>
        <w:rPr>
          <w:rFonts w:hint="eastAsia"/>
        </w:rPr>
      </w:pPr>
      <w:r>
        <w:rPr>
          <w:rFonts w:hint="eastAsia"/>
        </w:rPr>
        <w:t>DOI: 10.1016/j.isci.2026.117738</w:t>
      </w:r>
    </w:p>
    <w:p w14:paraId="742BD927">
      <w:pPr>
        <w:pStyle w:val="2"/>
        <w:rPr>
          <w:rFonts w:hint="eastAsia"/>
        </w:rPr>
      </w:pPr>
      <w:r>
        <w:rPr>
          <w:rFonts w:hint="eastAsia"/>
        </w:rPr>
        <w:t>PMCID: PMC13657355</w:t>
      </w:r>
    </w:p>
    <w:p w14:paraId="709E8D5F">
      <w:pPr>
        <w:pStyle w:val="2"/>
        <w:rPr>
          <w:rFonts w:hint="eastAsia"/>
        </w:rPr>
      </w:pPr>
      <w:r>
        <w:rPr>
          <w:rFonts w:hint="eastAsia"/>
        </w:rPr>
        <w:t>PMID: 42866717</w:t>
      </w:r>
    </w:p>
    <w:p w14:paraId="0423CDF4">
      <w:pPr>
        <w:pStyle w:val="2"/>
        <w:rPr>
          <w:rFonts w:hint="eastAsia"/>
        </w:rPr>
      </w:pPr>
    </w:p>
    <w:p w14:paraId="1B39A1E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37</w:t>
      </w:r>
      <w:r>
        <w:rPr>
          <w:rFonts w:hint="eastAsia"/>
          <w:b/>
          <w:bCs/>
          <w:color w:val="FF0000"/>
        </w:rPr>
        <w:t xml:space="preserve">. IJTLD Open. 2026 Oct 12;3(10):611-617. doi: 10.5588/ijtldopen.26.0263. </w:t>
      </w:r>
    </w:p>
    <w:p w14:paraId="7E4FF02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614A5F89">
      <w:pPr>
        <w:pStyle w:val="2"/>
        <w:rPr>
          <w:rFonts w:hint="eastAsia"/>
        </w:rPr>
      </w:pPr>
    </w:p>
    <w:p w14:paraId="3F509548">
      <w:pPr>
        <w:pStyle w:val="2"/>
        <w:rPr>
          <w:rFonts w:hint="eastAsia"/>
        </w:rPr>
      </w:pPr>
      <w:r>
        <w:rPr>
          <w:rFonts w:hint="eastAsia"/>
        </w:rPr>
        <w:t xml:space="preserve">Trials, tribulations, and formulations in access to new TB drugs for children: </w:t>
      </w:r>
    </w:p>
    <w:p w14:paraId="0A2B798A">
      <w:pPr>
        <w:pStyle w:val="2"/>
        <w:rPr>
          <w:rFonts w:hint="eastAsia"/>
        </w:rPr>
      </w:pPr>
      <w:r>
        <w:rPr>
          <w:rFonts w:hint="eastAsia"/>
        </w:rPr>
        <w:t>learning from rifapentine.</w:t>
      </w:r>
    </w:p>
    <w:p w14:paraId="2E04D567">
      <w:pPr>
        <w:pStyle w:val="2"/>
        <w:rPr>
          <w:rFonts w:hint="eastAsia"/>
        </w:rPr>
      </w:pPr>
    </w:p>
    <w:p w14:paraId="33C9B6DD">
      <w:pPr>
        <w:pStyle w:val="2"/>
        <w:rPr>
          <w:rFonts w:hint="eastAsia"/>
        </w:rPr>
      </w:pPr>
      <w:r>
        <w:rPr>
          <w:rFonts w:hint="eastAsia"/>
        </w:rPr>
        <w:t xml:space="preserve">Hesseling AC(1), Salazar-Austin N(2), Louey M(3), van der Laan L(1), Gombe M(4), </w:t>
      </w:r>
    </w:p>
    <w:p w14:paraId="5E069FAE">
      <w:pPr>
        <w:pStyle w:val="2"/>
        <w:rPr>
          <w:rFonts w:hint="eastAsia"/>
        </w:rPr>
      </w:pPr>
      <w:r>
        <w:rPr>
          <w:rFonts w:hint="eastAsia"/>
        </w:rPr>
        <w:t xml:space="preserve">Masini T(5), Penazzato M(6), Courtney I(1), Garcia-Prats A(1)(7), Tarlton D(8), </w:t>
      </w:r>
    </w:p>
    <w:p w14:paraId="0846B665">
      <w:pPr>
        <w:pStyle w:val="2"/>
        <w:rPr>
          <w:rFonts w:hint="eastAsia"/>
        </w:rPr>
      </w:pPr>
      <w:r>
        <w:rPr>
          <w:rFonts w:hint="eastAsia"/>
        </w:rPr>
        <w:t>Frick M(9).</w:t>
      </w:r>
    </w:p>
    <w:p w14:paraId="7CA3327F">
      <w:pPr>
        <w:pStyle w:val="2"/>
        <w:rPr>
          <w:rFonts w:hint="eastAsia"/>
        </w:rPr>
      </w:pPr>
    </w:p>
    <w:p w14:paraId="029F5EF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DF45D0B">
      <w:pPr>
        <w:pStyle w:val="2"/>
        <w:rPr>
          <w:rFonts w:hint="eastAsia"/>
        </w:rPr>
      </w:pPr>
      <w:r>
        <w:rPr>
          <w:rFonts w:hint="eastAsia"/>
        </w:rPr>
        <w:t xml:space="preserve">(1)Desmond Tutu TB Centre, Department of Paediatrics and Child Health, Faculty </w:t>
      </w:r>
    </w:p>
    <w:p w14:paraId="46B8981E">
      <w:pPr>
        <w:pStyle w:val="2"/>
        <w:rPr>
          <w:rFonts w:hint="eastAsia"/>
        </w:rPr>
      </w:pPr>
      <w:r>
        <w:rPr>
          <w:rFonts w:hint="eastAsia"/>
        </w:rPr>
        <w:t xml:space="preserve">of Medicine and Health Sciences, Stellenbosch University, Stellenbosch, South </w:t>
      </w:r>
    </w:p>
    <w:p w14:paraId="521DE943">
      <w:pPr>
        <w:pStyle w:val="2"/>
        <w:rPr>
          <w:rFonts w:hint="eastAsia"/>
        </w:rPr>
      </w:pPr>
      <w:r>
        <w:rPr>
          <w:rFonts w:hint="eastAsia"/>
        </w:rPr>
        <w:t>Africa.</w:t>
      </w:r>
    </w:p>
    <w:p w14:paraId="6A7BB9BD">
      <w:pPr>
        <w:pStyle w:val="2"/>
        <w:rPr>
          <w:rFonts w:hint="eastAsia"/>
        </w:rPr>
      </w:pPr>
      <w:r>
        <w:rPr>
          <w:rFonts w:hint="eastAsia"/>
        </w:rPr>
        <w:t xml:space="preserve">(2)Department of Pediatrics and Johns Hopkins Bloomberg School of Public Health, </w:t>
      </w:r>
    </w:p>
    <w:p w14:paraId="6FBBD326">
      <w:pPr>
        <w:pStyle w:val="2"/>
        <w:rPr>
          <w:rFonts w:hint="eastAsia"/>
        </w:rPr>
      </w:pPr>
      <w:r>
        <w:rPr>
          <w:rFonts w:hint="eastAsia"/>
        </w:rPr>
        <w:t xml:space="preserve">Department of International Health, Johns Hopkins University School of Medicine, </w:t>
      </w:r>
    </w:p>
    <w:p w14:paraId="79AADD99">
      <w:pPr>
        <w:pStyle w:val="2"/>
        <w:rPr>
          <w:rFonts w:hint="eastAsia"/>
        </w:rPr>
      </w:pPr>
      <w:r>
        <w:rPr>
          <w:rFonts w:hint="eastAsia"/>
        </w:rPr>
        <w:t>Baltimore, MD, USA.</w:t>
      </w:r>
    </w:p>
    <w:p w14:paraId="0F3D9AC8">
      <w:pPr>
        <w:pStyle w:val="2"/>
        <w:rPr>
          <w:rFonts w:hint="eastAsia"/>
        </w:rPr>
      </w:pPr>
      <w:r>
        <w:rPr>
          <w:rFonts w:hint="eastAsia"/>
        </w:rPr>
        <w:t>(3)Clinton Health Access Initiative, New York, NY, USA.</w:t>
      </w:r>
    </w:p>
    <w:p w14:paraId="1F314865">
      <w:pPr>
        <w:pStyle w:val="2"/>
        <w:rPr>
          <w:rFonts w:hint="eastAsia"/>
        </w:rPr>
      </w:pPr>
      <w:r>
        <w:rPr>
          <w:rFonts w:hint="eastAsia"/>
        </w:rPr>
        <w:t>(4)The Aurum Institute, Johannesburg, South Africa.</w:t>
      </w:r>
    </w:p>
    <w:p w14:paraId="66ED3E40">
      <w:pPr>
        <w:pStyle w:val="2"/>
        <w:rPr>
          <w:rFonts w:hint="eastAsia"/>
        </w:rPr>
      </w:pPr>
      <w:r>
        <w:rPr>
          <w:rFonts w:hint="eastAsia"/>
        </w:rPr>
        <w:t>(5)Independent Consultant, Lucca, Italy.</w:t>
      </w:r>
    </w:p>
    <w:p w14:paraId="4E938439">
      <w:pPr>
        <w:pStyle w:val="2"/>
        <w:rPr>
          <w:rFonts w:hint="eastAsia"/>
        </w:rPr>
      </w:pPr>
      <w:r>
        <w:rPr>
          <w:rFonts w:hint="eastAsia"/>
        </w:rPr>
        <w:t xml:space="preserve">(6)Global Accelerator for Paediatric Formulations Network, World Health </w:t>
      </w:r>
    </w:p>
    <w:p w14:paraId="63252045">
      <w:pPr>
        <w:pStyle w:val="2"/>
        <w:rPr>
          <w:rFonts w:hint="eastAsia"/>
        </w:rPr>
      </w:pPr>
      <w:r>
        <w:rPr>
          <w:rFonts w:hint="eastAsia"/>
        </w:rPr>
        <w:t>Organization, Geneva, Switzerland.</w:t>
      </w:r>
    </w:p>
    <w:p w14:paraId="24ED56F9">
      <w:pPr>
        <w:pStyle w:val="2"/>
        <w:rPr>
          <w:rFonts w:hint="eastAsia"/>
        </w:rPr>
      </w:pPr>
      <w:r>
        <w:rPr>
          <w:rFonts w:hint="eastAsia"/>
        </w:rPr>
        <w:t xml:space="preserve">(7)Division of General Pediatrics and Adolescent Medicine and Division of Global </w:t>
      </w:r>
    </w:p>
    <w:p w14:paraId="23DA9A2D">
      <w:pPr>
        <w:pStyle w:val="2"/>
        <w:rPr>
          <w:rFonts w:hint="eastAsia"/>
        </w:rPr>
      </w:pPr>
      <w:r>
        <w:rPr>
          <w:rFonts w:hint="eastAsia"/>
        </w:rPr>
        <w:t xml:space="preserve">Pediatrics, Department of Pediatrics, School of Medicine and Public Health, </w:t>
      </w:r>
    </w:p>
    <w:p w14:paraId="29FCF245">
      <w:pPr>
        <w:pStyle w:val="2"/>
        <w:rPr>
          <w:rFonts w:hint="eastAsia"/>
        </w:rPr>
      </w:pPr>
      <w:r>
        <w:rPr>
          <w:rFonts w:hint="eastAsia"/>
        </w:rPr>
        <w:t>University of Wisconsin-Madison, Madison, WI, USA.</w:t>
      </w:r>
    </w:p>
    <w:p w14:paraId="1E1F5647">
      <w:pPr>
        <w:pStyle w:val="2"/>
        <w:rPr>
          <w:rFonts w:hint="eastAsia"/>
        </w:rPr>
      </w:pPr>
      <w:r>
        <w:rPr>
          <w:rFonts w:hint="eastAsia"/>
        </w:rPr>
        <w:t>(8)UNITAID, Geneva, Switzerland.</w:t>
      </w:r>
    </w:p>
    <w:p w14:paraId="59306BF6">
      <w:pPr>
        <w:pStyle w:val="2"/>
        <w:rPr>
          <w:rFonts w:hint="eastAsia"/>
        </w:rPr>
      </w:pPr>
      <w:r>
        <w:rPr>
          <w:rFonts w:hint="eastAsia"/>
        </w:rPr>
        <w:t>(9)Treatment Action Group, New York, NY, USA.</w:t>
      </w:r>
    </w:p>
    <w:p w14:paraId="1EC03C65">
      <w:pPr>
        <w:pStyle w:val="2"/>
        <w:rPr>
          <w:rFonts w:hint="eastAsia"/>
        </w:rPr>
      </w:pPr>
    </w:p>
    <w:p w14:paraId="5133E319">
      <w:pPr>
        <w:pStyle w:val="2"/>
        <w:rPr>
          <w:rFonts w:hint="eastAsia"/>
        </w:rPr>
      </w:pPr>
      <w:r>
        <w:rPr>
          <w:rFonts w:hint="eastAsia"/>
        </w:rPr>
        <w:t xml:space="preserve">Historically, there has been considerable delay between stringent regulatory </w:t>
      </w:r>
    </w:p>
    <w:p w14:paraId="3EA21C5B">
      <w:pPr>
        <w:pStyle w:val="2"/>
        <w:rPr>
          <w:rFonts w:hint="eastAsia"/>
        </w:rPr>
      </w:pPr>
      <w:r>
        <w:rPr>
          <w:rFonts w:hint="eastAsia"/>
        </w:rPr>
        <w:t xml:space="preserve">authority approval for new TB drugs in adults, and subsequent trials, </w:t>
      </w:r>
    </w:p>
    <w:p w14:paraId="72F6CE1A">
      <w:pPr>
        <w:pStyle w:val="2"/>
        <w:rPr>
          <w:rFonts w:hint="eastAsia"/>
        </w:rPr>
      </w:pPr>
      <w:r>
        <w:rPr>
          <w:rFonts w:hint="eastAsia"/>
        </w:rPr>
        <w:t xml:space="preserve">registration, and access for children. This has been due to the exclusion of </w:t>
      </w:r>
    </w:p>
    <w:p w14:paraId="20613C0C">
      <w:pPr>
        <w:pStyle w:val="2"/>
        <w:rPr>
          <w:rFonts w:hint="eastAsia"/>
        </w:rPr>
      </w:pPr>
      <w:r>
        <w:rPr>
          <w:rFonts w:hint="eastAsia"/>
        </w:rPr>
        <w:t xml:space="preserve">older children from phase 3 trials, the failure to study novel drugs in younger </w:t>
      </w:r>
    </w:p>
    <w:p w14:paraId="6C009FFF">
      <w:pPr>
        <w:pStyle w:val="2"/>
        <w:rPr>
          <w:rFonts w:hint="eastAsia"/>
        </w:rPr>
      </w:pPr>
      <w:r>
        <w:rPr>
          <w:rFonts w:hint="eastAsia"/>
        </w:rPr>
        <w:t xml:space="preserve">children earlier on, and delays in developing and testing paediatric </w:t>
      </w:r>
    </w:p>
    <w:p w14:paraId="0908A3B2">
      <w:pPr>
        <w:pStyle w:val="2"/>
        <w:rPr>
          <w:rFonts w:hint="eastAsia"/>
        </w:rPr>
      </w:pPr>
      <w:r>
        <w:rPr>
          <w:rFonts w:hint="eastAsia"/>
        </w:rPr>
        <w:t xml:space="preserve">formulations. Specific barriers include the failure to develop paediatric </w:t>
      </w:r>
    </w:p>
    <w:p w14:paraId="781B5913">
      <w:pPr>
        <w:pStyle w:val="2"/>
        <w:rPr>
          <w:rFonts w:hint="eastAsia"/>
        </w:rPr>
      </w:pPr>
      <w:r>
        <w:rPr>
          <w:rFonts w:hint="eastAsia"/>
        </w:rPr>
        <w:t xml:space="preserve">investigational plans early on, regulatory barriers, inefficient trial design </w:t>
      </w:r>
    </w:p>
    <w:p w14:paraId="788653FE">
      <w:pPr>
        <w:pStyle w:val="2"/>
        <w:rPr>
          <w:rFonts w:hint="eastAsia"/>
        </w:rPr>
      </w:pPr>
      <w:r>
        <w:rPr>
          <w:rFonts w:hint="eastAsia"/>
        </w:rPr>
        <w:t xml:space="preserve">and implementation, limited site capacity, and lack of advocacy and funding. The </w:t>
      </w:r>
    </w:p>
    <w:p w14:paraId="194992E6">
      <w:pPr>
        <w:pStyle w:val="2"/>
        <w:rPr>
          <w:rFonts w:hint="eastAsia"/>
        </w:rPr>
      </w:pPr>
      <w:r>
        <w:rPr>
          <w:rFonts w:hint="eastAsia"/>
        </w:rPr>
        <w:t xml:space="preserve">successful implementation of paediatric clinical trials depend on timely access </w:t>
      </w:r>
    </w:p>
    <w:p w14:paraId="3ED9CC24">
      <w:pPr>
        <w:pStyle w:val="2"/>
        <w:rPr>
          <w:rFonts w:hint="eastAsia"/>
        </w:rPr>
      </w:pPr>
      <w:r>
        <w:rPr>
          <w:rFonts w:hint="eastAsia"/>
        </w:rPr>
        <w:t xml:space="preserve">to appropriate paediatric formulations. We review the delayed evaluation of </w:t>
      </w:r>
    </w:p>
    <w:p w14:paraId="1AE4438D">
      <w:pPr>
        <w:pStyle w:val="2"/>
        <w:rPr>
          <w:rFonts w:hint="eastAsia"/>
        </w:rPr>
      </w:pPr>
      <w:r>
        <w:rPr>
          <w:rFonts w:hint="eastAsia"/>
        </w:rPr>
        <w:t xml:space="preserve">rifapentine in children and describe barriers, costs in time and resources, and </w:t>
      </w:r>
    </w:p>
    <w:p w14:paraId="3C4E5DB4">
      <w:pPr>
        <w:pStyle w:val="2"/>
        <w:rPr>
          <w:rFonts w:hint="eastAsia"/>
        </w:rPr>
      </w:pPr>
      <w:r>
        <w:rPr>
          <w:rFonts w:hint="eastAsia"/>
        </w:rPr>
        <w:t xml:space="preserve">lost opportunities resulting in delayed clinical trials and access in the field, </w:t>
      </w:r>
    </w:p>
    <w:p w14:paraId="650FA7FF">
      <w:pPr>
        <w:pStyle w:val="2"/>
        <w:rPr>
          <w:rFonts w:hint="eastAsia"/>
        </w:rPr>
      </w:pPr>
      <w:r>
        <w:rPr>
          <w:rFonts w:hint="eastAsia"/>
        </w:rPr>
        <w:t xml:space="preserve">and highlight avoidable delays. Lessons regarding enablers and inhibitors from </w:t>
      </w:r>
    </w:p>
    <w:p w14:paraId="38F03DFC">
      <w:pPr>
        <w:pStyle w:val="2"/>
        <w:rPr>
          <w:rFonts w:hint="eastAsia"/>
        </w:rPr>
      </w:pPr>
      <w:r>
        <w:rPr>
          <w:rFonts w:hint="eastAsia"/>
        </w:rPr>
        <w:t>the rifapentine experience could prevent similar delays in future.</w:t>
      </w:r>
    </w:p>
    <w:p w14:paraId="53BFA259">
      <w:pPr>
        <w:pStyle w:val="2"/>
        <w:rPr>
          <w:rFonts w:hint="eastAsia"/>
        </w:rPr>
      </w:pPr>
    </w:p>
    <w:p w14:paraId="12861FE7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6AF80BEA">
      <w:pPr>
        <w:pStyle w:val="2"/>
        <w:rPr>
          <w:rFonts w:hint="eastAsia"/>
        </w:rPr>
      </w:pPr>
    </w:p>
    <w:p w14:paraId="24BC60D0">
      <w:pPr>
        <w:pStyle w:val="2"/>
        <w:rPr>
          <w:rFonts w:hint="eastAsia"/>
        </w:rPr>
      </w:pPr>
      <w:r>
        <w:rPr>
          <w:rFonts w:hint="eastAsia"/>
        </w:rPr>
        <w:t>DOI: 10.5588/ijtldopen.26.0263</w:t>
      </w:r>
    </w:p>
    <w:p w14:paraId="4EA9E283">
      <w:pPr>
        <w:pStyle w:val="2"/>
        <w:rPr>
          <w:rFonts w:hint="eastAsia"/>
        </w:rPr>
      </w:pPr>
      <w:r>
        <w:rPr>
          <w:rFonts w:hint="eastAsia"/>
        </w:rPr>
        <w:t>PMCID: PMC13657021</w:t>
      </w:r>
    </w:p>
    <w:p w14:paraId="721BCDBD">
      <w:pPr>
        <w:pStyle w:val="2"/>
        <w:rPr>
          <w:rFonts w:hint="eastAsia"/>
        </w:rPr>
      </w:pPr>
      <w:r>
        <w:rPr>
          <w:rFonts w:hint="eastAsia"/>
        </w:rPr>
        <w:t>PMID: 42866592</w:t>
      </w:r>
    </w:p>
    <w:p w14:paraId="250D85D4">
      <w:pPr>
        <w:pStyle w:val="2"/>
        <w:rPr>
          <w:rFonts w:hint="eastAsia"/>
        </w:rPr>
      </w:pPr>
    </w:p>
    <w:p w14:paraId="62F6A4B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38</w:t>
      </w:r>
      <w:r>
        <w:rPr>
          <w:rFonts w:hint="eastAsia"/>
          <w:b/>
          <w:bCs/>
          <w:color w:val="FF0000"/>
        </w:rPr>
        <w:t xml:space="preserve">. IJTLD Open. 2026 Oct 12;3(10):674-676. doi: 10.5588/ijtldopen.26.0165. </w:t>
      </w:r>
    </w:p>
    <w:p w14:paraId="375C5B0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1A13B705">
      <w:pPr>
        <w:pStyle w:val="2"/>
        <w:rPr>
          <w:rFonts w:hint="eastAsia"/>
          <w:b/>
          <w:bCs/>
          <w:color w:val="FF0000"/>
        </w:rPr>
      </w:pPr>
    </w:p>
    <w:p w14:paraId="7848C57B">
      <w:pPr>
        <w:pStyle w:val="2"/>
        <w:rPr>
          <w:rFonts w:hint="eastAsia"/>
        </w:rPr>
      </w:pPr>
      <w:r>
        <w:rPr>
          <w:rFonts w:hint="eastAsia"/>
        </w:rPr>
        <w:t xml:space="preserve">Projected long-term impacts of US funding cuts on TB and HIV in South Africa and </w:t>
      </w:r>
    </w:p>
    <w:p w14:paraId="29935DF7">
      <w:pPr>
        <w:pStyle w:val="2"/>
        <w:rPr>
          <w:rFonts w:hint="eastAsia"/>
        </w:rPr>
      </w:pPr>
      <w:r>
        <w:rPr>
          <w:rFonts w:hint="eastAsia"/>
        </w:rPr>
        <w:t>the TB Programme response.</w:t>
      </w:r>
    </w:p>
    <w:p w14:paraId="4860FFDD">
      <w:pPr>
        <w:pStyle w:val="2"/>
        <w:rPr>
          <w:rFonts w:hint="eastAsia"/>
        </w:rPr>
      </w:pPr>
    </w:p>
    <w:p w14:paraId="356A5D60">
      <w:pPr>
        <w:pStyle w:val="2"/>
        <w:rPr>
          <w:rFonts w:hint="eastAsia"/>
        </w:rPr>
      </w:pPr>
      <w:r>
        <w:rPr>
          <w:rFonts w:hint="eastAsia"/>
        </w:rPr>
        <w:t xml:space="preserve">Kubjane M(1)(2), Jamieson L(1), Johnson LF(3), Boffa J(2)(4), Subrayen P(2)(4), </w:t>
      </w:r>
    </w:p>
    <w:p w14:paraId="32451C56">
      <w:pPr>
        <w:pStyle w:val="2"/>
        <w:rPr>
          <w:rFonts w:hint="eastAsia"/>
        </w:rPr>
      </w:pPr>
      <w:r>
        <w:rPr>
          <w:rFonts w:hint="eastAsia"/>
        </w:rPr>
        <w:t xml:space="preserve">Abdullah F(2)(5)(6), Ndjeka N(2)(7), Lebina L(2)(8), Naidoo P(2), Mohr-Holland </w:t>
      </w:r>
    </w:p>
    <w:p w14:paraId="78CD8300">
      <w:pPr>
        <w:pStyle w:val="2"/>
        <w:rPr>
          <w:rFonts w:hint="eastAsia"/>
        </w:rPr>
      </w:pPr>
      <w:r>
        <w:rPr>
          <w:rFonts w:hint="eastAsia"/>
        </w:rPr>
        <w:t>E(2)(9), Meyer-Rath G(1)(10).</w:t>
      </w:r>
    </w:p>
    <w:p w14:paraId="27C72617">
      <w:pPr>
        <w:pStyle w:val="2"/>
        <w:rPr>
          <w:rFonts w:hint="eastAsia"/>
        </w:rPr>
      </w:pPr>
    </w:p>
    <w:p w14:paraId="6574F9E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E01B7AE">
      <w:pPr>
        <w:pStyle w:val="2"/>
        <w:rPr>
          <w:rFonts w:hint="eastAsia"/>
        </w:rPr>
      </w:pPr>
      <w:r>
        <w:rPr>
          <w:rFonts w:hint="eastAsia"/>
        </w:rPr>
        <w:t xml:space="preserve">(1)Health Economics and Epidemiology Research Office (HERO), University of the </w:t>
      </w:r>
    </w:p>
    <w:p w14:paraId="32539009">
      <w:pPr>
        <w:pStyle w:val="2"/>
        <w:rPr>
          <w:rFonts w:hint="eastAsia"/>
        </w:rPr>
      </w:pPr>
      <w:r>
        <w:rPr>
          <w:rFonts w:hint="eastAsia"/>
        </w:rPr>
        <w:t>Witwatersrand, Johannesburg, South Africa.</w:t>
      </w:r>
    </w:p>
    <w:p w14:paraId="5CC69A64">
      <w:pPr>
        <w:pStyle w:val="2"/>
        <w:rPr>
          <w:rFonts w:hint="eastAsia"/>
        </w:rPr>
      </w:pPr>
      <w:r>
        <w:rPr>
          <w:rFonts w:hint="eastAsia"/>
        </w:rPr>
        <w:t>(2)South African TB Think Tank, Johannesburg, South Africa.</w:t>
      </w:r>
    </w:p>
    <w:p w14:paraId="4A99211E">
      <w:pPr>
        <w:pStyle w:val="2"/>
        <w:rPr>
          <w:rFonts w:hint="eastAsia"/>
        </w:rPr>
      </w:pPr>
      <w:r>
        <w:rPr>
          <w:rFonts w:hint="eastAsia"/>
        </w:rPr>
        <w:t xml:space="preserve">(3)Centre for Integrated Data and Epidemiological Research (CIDER), University </w:t>
      </w:r>
    </w:p>
    <w:p w14:paraId="58CC8C3B">
      <w:pPr>
        <w:pStyle w:val="2"/>
        <w:rPr>
          <w:rFonts w:hint="eastAsia"/>
        </w:rPr>
      </w:pPr>
      <w:r>
        <w:rPr>
          <w:rFonts w:hint="eastAsia"/>
        </w:rPr>
        <w:t>of Cape Town, South Africa.</w:t>
      </w:r>
    </w:p>
    <w:p w14:paraId="046DAE39">
      <w:pPr>
        <w:pStyle w:val="2"/>
        <w:rPr>
          <w:rFonts w:hint="eastAsia"/>
        </w:rPr>
      </w:pPr>
      <w:r>
        <w:rPr>
          <w:rFonts w:hint="eastAsia"/>
        </w:rPr>
        <w:t>(4)The Aurum Institute, Johannesburg, South Africa.</w:t>
      </w:r>
    </w:p>
    <w:p w14:paraId="37BB93A0">
      <w:pPr>
        <w:pStyle w:val="2"/>
        <w:rPr>
          <w:rFonts w:hint="eastAsia"/>
        </w:rPr>
      </w:pPr>
      <w:r>
        <w:rPr>
          <w:rFonts w:hint="eastAsia"/>
        </w:rPr>
        <w:t xml:space="preserve">(5)Office of AIDS and TB Research, South African Medical Research Council, Cape </w:t>
      </w:r>
    </w:p>
    <w:p w14:paraId="2C4E95EA">
      <w:pPr>
        <w:pStyle w:val="2"/>
        <w:rPr>
          <w:rFonts w:hint="eastAsia"/>
        </w:rPr>
      </w:pPr>
      <w:r>
        <w:rPr>
          <w:rFonts w:hint="eastAsia"/>
        </w:rPr>
        <w:t>Town, South Africa.</w:t>
      </w:r>
    </w:p>
    <w:p w14:paraId="588F6AA1">
      <w:pPr>
        <w:pStyle w:val="2"/>
        <w:rPr>
          <w:rFonts w:hint="eastAsia"/>
        </w:rPr>
      </w:pPr>
      <w:r>
        <w:rPr>
          <w:rFonts w:hint="eastAsia"/>
        </w:rPr>
        <w:t xml:space="preserve">(6)Departments of Public Health Medicine &amp; Infectious Diseases, University of </w:t>
      </w:r>
    </w:p>
    <w:p w14:paraId="267E9B53">
      <w:pPr>
        <w:pStyle w:val="2"/>
        <w:rPr>
          <w:rFonts w:hint="eastAsia"/>
        </w:rPr>
      </w:pPr>
      <w:r>
        <w:rPr>
          <w:rFonts w:hint="eastAsia"/>
        </w:rPr>
        <w:t>Pretoria, Pretoria, South Africa.</w:t>
      </w:r>
    </w:p>
    <w:p w14:paraId="19BB20C8">
      <w:pPr>
        <w:pStyle w:val="2"/>
        <w:rPr>
          <w:rFonts w:hint="eastAsia"/>
        </w:rPr>
      </w:pPr>
      <w:r>
        <w:rPr>
          <w:rFonts w:hint="eastAsia"/>
        </w:rPr>
        <w:t xml:space="preserve">(7)TB Cluster, South African National Department of Health, Pretoria, South </w:t>
      </w:r>
    </w:p>
    <w:p w14:paraId="44245E77">
      <w:pPr>
        <w:pStyle w:val="2"/>
        <w:rPr>
          <w:rFonts w:hint="eastAsia"/>
        </w:rPr>
      </w:pPr>
      <w:r>
        <w:rPr>
          <w:rFonts w:hint="eastAsia"/>
        </w:rPr>
        <w:t>Africa.</w:t>
      </w:r>
    </w:p>
    <w:p w14:paraId="44BBA89D">
      <w:pPr>
        <w:pStyle w:val="2"/>
        <w:rPr>
          <w:rFonts w:hint="eastAsia"/>
        </w:rPr>
      </w:pPr>
      <w:r>
        <w:rPr>
          <w:rFonts w:hint="eastAsia"/>
        </w:rPr>
        <w:t>(8)Africa Health Research Institute, Durban, South Africa.</w:t>
      </w:r>
    </w:p>
    <w:p w14:paraId="4C21AFD3">
      <w:pPr>
        <w:pStyle w:val="2"/>
        <w:rPr>
          <w:rFonts w:hint="eastAsia"/>
        </w:rPr>
      </w:pPr>
      <w:r>
        <w:rPr>
          <w:rFonts w:hint="eastAsia"/>
        </w:rPr>
        <w:t>(9)Community Services and Health, City of Cape Town, Cape Town, South Africa.</w:t>
      </w:r>
    </w:p>
    <w:p w14:paraId="14E9AAEF">
      <w:pPr>
        <w:pStyle w:val="2"/>
        <w:rPr>
          <w:rFonts w:hint="eastAsia"/>
        </w:rPr>
      </w:pPr>
      <w:r>
        <w:rPr>
          <w:rFonts w:hint="eastAsia"/>
        </w:rPr>
        <w:t>(10)Boston University School of Public Health, Boston, MA, USA.</w:t>
      </w:r>
    </w:p>
    <w:p w14:paraId="43B379AB">
      <w:pPr>
        <w:pStyle w:val="2"/>
        <w:rPr>
          <w:rFonts w:hint="eastAsia"/>
        </w:rPr>
      </w:pPr>
    </w:p>
    <w:p w14:paraId="7565AA62">
      <w:pPr>
        <w:pStyle w:val="2"/>
        <w:rPr>
          <w:rFonts w:hint="eastAsia"/>
        </w:rPr>
      </w:pPr>
      <w:r>
        <w:rPr>
          <w:rFonts w:hint="eastAsia"/>
        </w:rPr>
        <w:t>DOI: 10.5588/ijtldopen.26.0165</w:t>
      </w:r>
    </w:p>
    <w:p w14:paraId="3C1EEECB">
      <w:pPr>
        <w:pStyle w:val="2"/>
        <w:rPr>
          <w:rFonts w:hint="eastAsia"/>
        </w:rPr>
      </w:pPr>
      <w:r>
        <w:rPr>
          <w:rFonts w:hint="eastAsia"/>
        </w:rPr>
        <w:t>PMCID: PMC13657024</w:t>
      </w:r>
    </w:p>
    <w:p w14:paraId="5F68A52C">
      <w:pPr>
        <w:pStyle w:val="2"/>
        <w:rPr>
          <w:rFonts w:hint="eastAsia"/>
        </w:rPr>
      </w:pPr>
      <w:r>
        <w:rPr>
          <w:rFonts w:hint="eastAsia"/>
        </w:rPr>
        <w:t>PMID: 42866583</w:t>
      </w:r>
    </w:p>
    <w:p w14:paraId="64FDFB6D">
      <w:pPr>
        <w:pStyle w:val="2"/>
        <w:rPr>
          <w:rFonts w:hint="eastAsia"/>
        </w:rPr>
      </w:pPr>
    </w:p>
    <w:p w14:paraId="1465206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39</w:t>
      </w:r>
      <w:r>
        <w:rPr>
          <w:rFonts w:hint="eastAsia"/>
          <w:b/>
          <w:bCs/>
          <w:color w:val="FF0000"/>
        </w:rPr>
        <w:t xml:space="preserve">. IJTLD Open. 2026 Oct 12;3(10):618-623. doi: 10.5588/ijtldopen.26.0117. </w:t>
      </w:r>
    </w:p>
    <w:p w14:paraId="0CD5EAE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7F8FD183">
      <w:pPr>
        <w:pStyle w:val="2"/>
        <w:rPr>
          <w:rFonts w:hint="eastAsia"/>
        </w:rPr>
      </w:pPr>
    </w:p>
    <w:p w14:paraId="16381C97">
      <w:pPr>
        <w:pStyle w:val="2"/>
        <w:rPr>
          <w:rFonts w:hint="eastAsia"/>
        </w:rPr>
      </w:pPr>
      <w:r>
        <w:rPr>
          <w:rFonts w:hint="eastAsia"/>
        </w:rPr>
        <w:t xml:space="preserve">Linking prevention and adherence: a behavioural study on treatment compliance to </w:t>
      </w:r>
    </w:p>
    <w:p w14:paraId="0D0100E0">
      <w:pPr>
        <w:pStyle w:val="2"/>
        <w:rPr>
          <w:rFonts w:hint="eastAsia"/>
        </w:rPr>
      </w:pPr>
      <w:r>
        <w:rPr>
          <w:rFonts w:hint="eastAsia"/>
        </w:rPr>
        <w:t>preventing TB transmission.</w:t>
      </w:r>
    </w:p>
    <w:p w14:paraId="4F1344E7">
      <w:pPr>
        <w:pStyle w:val="2"/>
        <w:rPr>
          <w:rFonts w:hint="eastAsia"/>
        </w:rPr>
      </w:pPr>
    </w:p>
    <w:p w14:paraId="2BC126CE">
      <w:pPr>
        <w:pStyle w:val="2"/>
        <w:rPr>
          <w:rFonts w:hint="eastAsia"/>
        </w:rPr>
      </w:pPr>
      <w:r>
        <w:rPr>
          <w:rFonts w:hint="eastAsia"/>
        </w:rPr>
        <w:t>Rakhmani AN(1), KaewKungwal J(2)(3).</w:t>
      </w:r>
    </w:p>
    <w:p w14:paraId="0E384686">
      <w:pPr>
        <w:pStyle w:val="2"/>
        <w:rPr>
          <w:rFonts w:hint="eastAsia"/>
        </w:rPr>
      </w:pPr>
    </w:p>
    <w:p w14:paraId="5CD0997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3F1ECD5">
      <w:pPr>
        <w:pStyle w:val="2"/>
        <w:rPr>
          <w:rFonts w:hint="eastAsia"/>
        </w:rPr>
      </w:pPr>
      <w:r>
        <w:rPr>
          <w:rFonts w:hint="eastAsia"/>
        </w:rPr>
        <w:t xml:space="preserve">(1)Department Family Medicine, Faculty of Medicine, Universitas Brawijaya, </w:t>
      </w:r>
    </w:p>
    <w:p w14:paraId="3B9C41CF">
      <w:pPr>
        <w:pStyle w:val="2"/>
        <w:rPr>
          <w:rFonts w:hint="eastAsia"/>
        </w:rPr>
      </w:pPr>
      <w:r>
        <w:rPr>
          <w:rFonts w:hint="eastAsia"/>
        </w:rPr>
        <w:t>Malang, Indonesia.</w:t>
      </w:r>
    </w:p>
    <w:p w14:paraId="45E8BBEF">
      <w:pPr>
        <w:pStyle w:val="2"/>
        <w:rPr>
          <w:rFonts w:hint="eastAsia"/>
        </w:rPr>
      </w:pPr>
      <w:r>
        <w:rPr>
          <w:rFonts w:hint="eastAsia"/>
        </w:rPr>
        <w:t>(2)Faculty of Medicine, Universitas Brawijaya, Malang, Indonesia.</w:t>
      </w:r>
    </w:p>
    <w:p w14:paraId="0ED2C3A7">
      <w:pPr>
        <w:pStyle w:val="2"/>
        <w:rPr>
          <w:rFonts w:hint="eastAsia"/>
        </w:rPr>
      </w:pPr>
      <w:r>
        <w:rPr>
          <w:rFonts w:hint="eastAsia"/>
        </w:rPr>
        <w:t xml:space="preserve">(3)Department Tropical Hygiene, Faculty of Tropical Medicine, Mahidol </w:t>
      </w:r>
    </w:p>
    <w:p w14:paraId="181F7414">
      <w:pPr>
        <w:pStyle w:val="2"/>
        <w:rPr>
          <w:rFonts w:hint="eastAsia"/>
        </w:rPr>
      </w:pPr>
      <w:r>
        <w:rPr>
          <w:rFonts w:hint="eastAsia"/>
        </w:rPr>
        <w:t>University, Thailand.</w:t>
      </w:r>
    </w:p>
    <w:p w14:paraId="750A0AF0">
      <w:pPr>
        <w:pStyle w:val="2"/>
        <w:rPr>
          <w:rFonts w:hint="eastAsia"/>
        </w:rPr>
      </w:pPr>
    </w:p>
    <w:p w14:paraId="7B673E9D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OBJECTIVES: </w:t>
      </w:r>
      <w:r>
        <w:rPr>
          <w:rFonts w:hint="eastAsia"/>
        </w:rPr>
        <w:t xml:space="preserve">To assess the concordance between TB prevention practices and </w:t>
      </w:r>
    </w:p>
    <w:p w14:paraId="1ED0330E">
      <w:pPr>
        <w:pStyle w:val="2"/>
        <w:rPr>
          <w:rFonts w:hint="eastAsia"/>
        </w:rPr>
      </w:pPr>
      <w:r>
        <w:rPr>
          <w:rFonts w:hint="eastAsia"/>
        </w:rPr>
        <w:t xml:space="preserve">treatment adherence and identify determinants of a combined prevention and </w:t>
      </w:r>
    </w:p>
    <w:p w14:paraId="5621951B">
      <w:pPr>
        <w:pStyle w:val="2"/>
        <w:rPr>
          <w:rFonts w:hint="eastAsia"/>
        </w:rPr>
      </w:pPr>
      <w:r>
        <w:rPr>
          <w:rFonts w:hint="eastAsia"/>
        </w:rPr>
        <w:t>adherence behaviour.</w:t>
      </w:r>
    </w:p>
    <w:p w14:paraId="250990FA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 cross-sectional study was conducted among 147 TB patients attending </w:t>
      </w:r>
    </w:p>
    <w:p w14:paraId="6BAED877">
      <w:pPr>
        <w:pStyle w:val="2"/>
        <w:rPr>
          <w:rFonts w:hint="eastAsia"/>
        </w:rPr>
      </w:pPr>
      <w:r>
        <w:rPr>
          <w:rFonts w:hint="eastAsia"/>
        </w:rPr>
        <w:t xml:space="preserve">seven urban primary health centres in Malang, Indonesia (January to June 2025). </w:t>
      </w:r>
    </w:p>
    <w:p w14:paraId="18096EDF">
      <w:pPr>
        <w:pStyle w:val="2"/>
        <w:rPr>
          <w:rFonts w:hint="eastAsia"/>
        </w:rPr>
      </w:pPr>
      <w:r>
        <w:rPr>
          <w:rFonts w:hint="eastAsia"/>
        </w:rPr>
        <w:t xml:space="preserve">Prevention behaviours and treatment adherence were assessed using structured </w:t>
      </w:r>
    </w:p>
    <w:p w14:paraId="05DDD8CD">
      <w:pPr>
        <w:pStyle w:val="2"/>
        <w:rPr>
          <w:rFonts w:hint="eastAsia"/>
        </w:rPr>
      </w:pPr>
      <w:r>
        <w:rPr>
          <w:rFonts w:hint="eastAsia"/>
        </w:rPr>
        <w:t xml:space="preserve">questionnaire Agreement between prevention practices and adherence was analysed </w:t>
      </w:r>
    </w:p>
    <w:p w14:paraId="36D63EC7">
      <w:pPr>
        <w:pStyle w:val="2"/>
        <w:rPr>
          <w:rFonts w:hint="eastAsia"/>
        </w:rPr>
      </w:pPr>
      <w:r>
        <w:rPr>
          <w:rFonts w:hint="eastAsia"/>
        </w:rPr>
        <w:t xml:space="preserve">using weighted Cohen kappa and Gwet AC. Determinants of the combined behavioural </w:t>
      </w:r>
    </w:p>
    <w:p w14:paraId="07EEC46D">
      <w:pPr>
        <w:pStyle w:val="2"/>
        <w:rPr>
          <w:rFonts w:hint="eastAsia"/>
        </w:rPr>
      </w:pPr>
      <w:r>
        <w:rPr>
          <w:rFonts w:hint="eastAsia"/>
        </w:rPr>
        <w:t>categories were identified using multinomial logistic regression.</w:t>
      </w:r>
    </w:p>
    <w:p w14:paraId="584EBC6A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High prevention behaviour and high treatment adherence was observed in </w:t>
      </w:r>
    </w:p>
    <w:p w14:paraId="1EFBCCB9">
      <w:pPr>
        <w:pStyle w:val="2"/>
        <w:rPr>
          <w:rFonts w:hint="eastAsia"/>
        </w:rPr>
      </w:pPr>
      <w:r>
        <w:rPr>
          <w:rFonts w:hint="eastAsia"/>
        </w:rPr>
        <w:t xml:space="preserve">52% and 57%. Agreement between these two behaviours was moderate. Results showed </w:t>
      </w:r>
    </w:p>
    <w:p w14:paraId="1537308B">
      <w:pPr>
        <w:pStyle w:val="2"/>
        <w:rPr>
          <w:rFonts w:hint="eastAsia"/>
        </w:rPr>
      </w:pPr>
      <w:r>
        <w:rPr>
          <w:rFonts w:hint="eastAsia"/>
        </w:rPr>
        <w:t xml:space="preserve">34% of patients consistently had high prevention and adherence behaviour, 53% </w:t>
      </w:r>
    </w:p>
    <w:p w14:paraId="36F40B19">
      <w:pPr>
        <w:pStyle w:val="2"/>
        <w:rPr>
          <w:rFonts w:hint="eastAsia"/>
        </w:rPr>
      </w:pPr>
      <w:r>
        <w:rPr>
          <w:rFonts w:hint="eastAsia"/>
        </w:rPr>
        <w:t xml:space="preserve">showed moderate behaviour, and 13% showed low behaviour. Moderate combined </w:t>
      </w:r>
    </w:p>
    <w:p w14:paraId="5CB89F58">
      <w:pPr>
        <w:pStyle w:val="2"/>
        <w:rPr>
          <w:rFonts w:hint="eastAsia"/>
        </w:rPr>
      </w:pPr>
      <w:r>
        <w:rPr>
          <w:rFonts w:hint="eastAsia"/>
        </w:rPr>
        <w:t xml:space="preserve">behaviour was associated with gender and TB knowledge. High combined behaviour </w:t>
      </w:r>
    </w:p>
    <w:p w14:paraId="3744C9D5">
      <w:pPr>
        <w:pStyle w:val="2"/>
        <w:rPr>
          <w:rFonts w:hint="eastAsia"/>
        </w:rPr>
      </w:pPr>
      <w:r>
        <w:rPr>
          <w:rFonts w:hint="eastAsia"/>
        </w:rPr>
        <w:t xml:space="preserve">was significantly associated with higher education, greater income, stronger </w:t>
      </w:r>
    </w:p>
    <w:p w14:paraId="1439D8A8">
      <w:pPr>
        <w:pStyle w:val="2"/>
        <w:rPr>
          <w:rFonts w:hint="eastAsia"/>
        </w:rPr>
      </w:pPr>
      <w:r>
        <w:rPr>
          <w:rFonts w:hint="eastAsia"/>
        </w:rPr>
        <w:t>family functioning, more positive attitudes, and higher TB knowledge.</w:t>
      </w:r>
    </w:p>
    <w:p w14:paraId="724DAA3B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Routine educational programmes are needed for patients and their </w:t>
      </w:r>
    </w:p>
    <w:p w14:paraId="35DC83F8">
      <w:pPr>
        <w:pStyle w:val="2"/>
        <w:rPr>
          <w:rFonts w:hint="eastAsia"/>
        </w:rPr>
      </w:pPr>
      <w:r>
        <w:rPr>
          <w:rFonts w:hint="eastAsia"/>
        </w:rPr>
        <w:t xml:space="preserve">families during the intensive phase of treatment, along with individualised </w:t>
      </w:r>
    </w:p>
    <w:p w14:paraId="2827E9B1">
      <w:pPr>
        <w:pStyle w:val="2"/>
        <w:rPr>
          <w:rFonts w:hint="eastAsia"/>
        </w:rPr>
      </w:pPr>
      <w:r>
        <w:rPr>
          <w:rFonts w:hint="eastAsia"/>
        </w:rPr>
        <w:t xml:space="preserve">family assistance through personalised education sessions when patients visit </w:t>
      </w:r>
    </w:p>
    <w:p w14:paraId="7F53958E">
      <w:pPr>
        <w:pStyle w:val="2"/>
        <w:rPr>
          <w:rFonts w:hint="eastAsia"/>
        </w:rPr>
      </w:pPr>
      <w:r>
        <w:rPr>
          <w:rFonts w:hint="eastAsia"/>
        </w:rPr>
        <w:t>primary health centres to collect their medications.</w:t>
      </w:r>
    </w:p>
    <w:p w14:paraId="445862BF">
      <w:pPr>
        <w:pStyle w:val="2"/>
        <w:rPr>
          <w:rFonts w:hint="eastAsia"/>
        </w:rPr>
      </w:pPr>
    </w:p>
    <w:p w14:paraId="268410DC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46538136">
      <w:pPr>
        <w:pStyle w:val="2"/>
        <w:rPr>
          <w:rFonts w:hint="eastAsia"/>
        </w:rPr>
      </w:pPr>
    </w:p>
    <w:p w14:paraId="50CEC37A">
      <w:pPr>
        <w:pStyle w:val="2"/>
        <w:rPr>
          <w:rFonts w:hint="eastAsia"/>
        </w:rPr>
      </w:pPr>
      <w:r>
        <w:rPr>
          <w:rFonts w:hint="eastAsia"/>
        </w:rPr>
        <w:t>DOI: 10.5588/ijtldopen.26.0117</w:t>
      </w:r>
    </w:p>
    <w:p w14:paraId="39019479">
      <w:pPr>
        <w:pStyle w:val="2"/>
        <w:rPr>
          <w:rFonts w:hint="eastAsia"/>
        </w:rPr>
      </w:pPr>
      <w:r>
        <w:rPr>
          <w:rFonts w:hint="eastAsia"/>
        </w:rPr>
        <w:t>PMCID: PMC13657027</w:t>
      </w:r>
    </w:p>
    <w:p w14:paraId="2E851F59">
      <w:pPr>
        <w:pStyle w:val="2"/>
        <w:rPr>
          <w:rFonts w:hint="eastAsia"/>
        </w:rPr>
      </w:pPr>
      <w:r>
        <w:rPr>
          <w:rFonts w:hint="eastAsia"/>
        </w:rPr>
        <w:t>PMID: 42866581</w:t>
      </w:r>
    </w:p>
    <w:p w14:paraId="4C85C646">
      <w:pPr>
        <w:pStyle w:val="2"/>
        <w:rPr>
          <w:rFonts w:hint="eastAsia"/>
        </w:rPr>
      </w:pPr>
    </w:p>
    <w:p w14:paraId="0D1233C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40</w:t>
      </w:r>
      <w:r>
        <w:rPr>
          <w:rFonts w:hint="eastAsia"/>
          <w:b/>
          <w:bCs/>
          <w:color w:val="FF0000"/>
        </w:rPr>
        <w:t xml:space="preserve">. IJTLD Open. 2026 Oct 12;3(10):624-631. doi: 10.5588/ijtldopen.26.0114. </w:t>
      </w:r>
    </w:p>
    <w:p w14:paraId="4AEB804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6812D430">
      <w:pPr>
        <w:pStyle w:val="2"/>
        <w:rPr>
          <w:rFonts w:hint="eastAsia"/>
        </w:rPr>
      </w:pPr>
    </w:p>
    <w:p w14:paraId="2AA7E241">
      <w:pPr>
        <w:pStyle w:val="2"/>
        <w:rPr>
          <w:rFonts w:hint="eastAsia"/>
        </w:rPr>
      </w:pPr>
      <w:r>
        <w:rPr>
          <w:rFonts w:hint="eastAsia"/>
        </w:rPr>
        <w:t xml:space="preserve">The burden of multimorbidity in patients with TB-HIV: a retrospective cohort </w:t>
      </w:r>
    </w:p>
    <w:p w14:paraId="011C5FC4">
      <w:pPr>
        <w:pStyle w:val="2"/>
        <w:rPr>
          <w:rFonts w:hint="eastAsia"/>
        </w:rPr>
      </w:pPr>
      <w:r>
        <w:rPr>
          <w:rFonts w:hint="eastAsia"/>
        </w:rPr>
        <w:t>analysis.</w:t>
      </w:r>
    </w:p>
    <w:p w14:paraId="5F7A19C5">
      <w:pPr>
        <w:pStyle w:val="2"/>
        <w:rPr>
          <w:rFonts w:hint="eastAsia"/>
        </w:rPr>
      </w:pPr>
    </w:p>
    <w:p w14:paraId="37138A1B">
      <w:pPr>
        <w:pStyle w:val="2"/>
        <w:rPr>
          <w:rFonts w:hint="eastAsia"/>
        </w:rPr>
      </w:pPr>
      <w:r>
        <w:rPr>
          <w:rFonts w:hint="eastAsia"/>
        </w:rPr>
        <w:t xml:space="preserve">Hill KJ(1)(2), Owaro NC(2), Sekaggya-Wiltshire C(1)(2), Mubiri P(2), Odongpiny </w:t>
      </w:r>
    </w:p>
    <w:p w14:paraId="0DB84923">
      <w:pPr>
        <w:pStyle w:val="2"/>
        <w:rPr>
          <w:rFonts w:hint="eastAsia"/>
        </w:rPr>
      </w:pPr>
      <w:r>
        <w:rPr>
          <w:rFonts w:hint="eastAsia"/>
        </w:rPr>
        <w:t xml:space="preserve">ELA(1)(2), Matovu J(2), Alinaitwe L(2), Aber F(2), Mpagama S(3), Mills SE(1), </w:t>
      </w:r>
    </w:p>
    <w:p w14:paraId="3E9695C4">
      <w:pPr>
        <w:pStyle w:val="2"/>
        <w:rPr>
          <w:rFonts w:hint="eastAsia"/>
        </w:rPr>
      </w:pPr>
      <w:r>
        <w:rPr>
          <w:rFonts w:hint="eastAsia"/>
        </w:rPr>
        <w:t>Stagg HR(4), Sloan DJ(1).</w:t>
      </w:r>
    </w:p>
    <w:p w14:paraId="4D9DC979">
      <w:pPr>
        <w:pStyle w:val="2"/>
        <w:rPr>
          <w:rFonts w:hint="eastAsia"/>
        </w:rPr>
      </w:pPr>
    </w:p>
    <w:p w14:paraId="7DEE4F2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A01078E">
      <w:pPr>
        <w:pStyle w:val="2"/>
        <w:rPr>
          <w:rFonts w:hint="eastAsia"/>
        </w:rPr>
      </w:pPr>
      <w:r>
        <w:rPr>
          <w:rFonts w:hint="eastAsia"/>
        </w:rPr>
        <w:t xml:space="preserve">(1)Infection and Global Health Department, School of Medicine, University of St </w:t>
      </w:r>
    </w:p>
    <w:p w14:paraId="29DF1A80">
      <w:pPr>
        <w:pStyle w:val="2"/>
        <w:rPr>
          <w:rFonts w:hint="eastAsia"/>
        </w:rPr>
      </w:pPr>
      <w:r>
        <w:rPr>
          <w:rFonts w:hint="eastAsia"/>
        </w:rPr>
        <w:t>Andrews, St Andrews, UK.</w:t>
      </w:r>
    </w:p>
    <w:p w14:paraId="71865DBC">
      <w:pPr>
        <w:pStyle w:val="2"/>
        <w:rPr>
          <w:rFonts w:hint="eastAsia"/>
        </w:rPr>
      </w:pPr>
      <w:r>
        <w:rPr>
          <w:rFonts w:hint="eastAsia"/>
        </w:rPr>
        <w:t>(2)Infectious Diseases Institute, Makerere University, Kampala, Uganda.</w:t>
      </w:r>
    </w:p>
    <w:p w14:paraId="7A92818A">
      <w:pPr>
        <w:pStyle w:val="2"/>
        <w:rPr>
          <w:rFonts w:hint="eastAsia"/>
        </w:rPr>
      </w:pPr>
      <w:r>
        <w:rPr>
          <w:rFonts w:hint="eastAsia"/>
        </w:rPr>
        <w:t>(3)Kibong'oto Infectious Diseases Hospital, Sanya Juu, Tanzania.</w:t>
      </w:r>
    </w:p>
    <w:p w14:paraId="4F38FEB0">
      <w:pPr>
        <w:pStyle w:val="2"/>
        <w:rPr>
          <w:rFonts w:hint="eastAsia"/>
        </w:rPr>
      </w:pPr>
      <w:r>
        <w:rPr>
          <w:rFonts w:hint="eastAsia"/>
        </w:rPr>
        <w:t xml:space="preserve">(4)Department of Infectious Disease Epidemiology, London School of Hygiene and </w:t>
      </w:r>
    </w:p>
    <w:p w14:paraId="5A38F943">
      <w:pPr>
        <w:pStyle w:val="2"/>
        <w:rPr>
          <w:rFonts w:hint="eastAsia"/>
        </w:rPr>
      </w:pPr>
      <w:r>
        <w:rPr>
          <w:rFonts w:hint="eastAsia"/>
        </w:rPr>
        <w:t>Tropical Medicine, London, UK.</w:t>
      </w:r>
    </w:p>
    <w:p w14:paraId="646C6C88">
      <w:pPr>
        <w:pStyle w:val="2"/>
        <w:rPr>
          <w:rFonts w:hint="eastAsia"/>
        </w:rPr>
      </w:pPr>
    </w:p>
    <w:p w14:paraId="40FE5CE8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Multimorbidity (i.e., the co-existence of two or more long-term </w:t>
      </w:r>
    </w:p>
    <w:p w14:paraId="045D4654">
      <w:pPr>
        <w:pStyle w:val="2"/>
        <w:rPr>
          <w:rFonts w:hint="eastAsia"/>
        </w:rPr>
      </w:pPr>
      <w:r>
        <w:rPr>
          <w:rFonts w:hint="eastAsia"/>
        </w:rPr>
        <w:t xml:space="preserve">health conditions [LTCs]) is increasing in high-TB-burden countries. Few studies </w:t>
      </w:r>
    </w:p>
    <w:p w14:paraId="349E1FDC">
      <w:pPr>
        <w:pStyle w:val="2"/>
        <w:rPr>
          <w:rFonts w:hint="eastAsia"/>
        </w:rPr>
      </w:pPr>
      <w:r>
        <w:rPr>
          <w:rFonts w:hint="eastAsia"/>
        </w:rPr>
        <w:t xml:space="preserve">have estimated the prevalence of multimorbidity in patients with TB, and none in </w:t>
      </w:r>
    </w:p>
    <w:p w14:paraId="68BF8642">
      <w:pPr>
        <w:pStyle w:val="2"/>
        <w:rPr>
          <w:rFonts w:hint="eastAsia"/>
        </w:rPr>
      </w:pPr>
      <w:r>
        <w:rPr>
          <w:rFonts w:hint="eastAsia"/>
        </w:rPr>
        <w:t xml:space="preserve">TB-HIV. This retrospective cohort study used HIV clinic data from the Infectious </w:t>
      </w:r>
    </w:p>
    <w:p w14:paraId="556AAE9B">
      <w:pPr>
        <w:pStyle w:val="2"/>
        <w:rPr>
          <w:rFonts w:hint="eastAsia"/>
        </w:rPr>
      </w:pPr>
      <w:r>
        <w:rPr>
          <w:rFonts w:hint="eastAsia"/>
        </w:rPr>
        <w:t xml:space="preserve">Diseases Institute in Kampala, Uganda, to determine the prevalence and patterns </w:t>
      </w:r>
    </w:p>
    <w:p w14:paraId="22CEB87F">
      <w:pPr>
        <w:pStyle w:val="2"/>
        <w:rPr>
          <w:rFonts w:hint="eastAsia"/>
        </w:rPr>
      </w:pPr>
      <w:r>
        <w:rPr>
          <w:rFonts w:hint="eastAsia"/>
        </w:rPr>
        <w:t xml:space="preserve">of multimorbidity in patients with TB-HIV at the time of TB diagnosis, and its </w:t>
      </w:r>
    </w:p>
    <w:p w14:paraId="37A2E662">
      <w:pPr>
        <w:pStyle w:val="2"/>
        <w:rPr>
          <w:rFonts w:hint="eastAsia"/>
        </w:rPr>
      </w:pPr>
      <w:r>
        <w:rPr>
          <w:rFonts w:hint="eastAsia"/>
        </w:rPr>
        <w:t>effect on TB treatment outcomes.</w:t>
      </w:r>
    </w:p>
    <w:p w14:paraId="6A777474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Adults living with HIV and diagnosed with TB between 1 January 2014 and </w:t>
      </w:r>
    </w:p>
    <w:p w14:paraId="32C41FD8">
      <w:pPr>
        <w:pStyle w:val="2"/>
        <w:rPr>
          <w:rFonts w:hint="eastAsia"/>
        </w:rPr>
      </w:pPr>
      <w:r>
        <w:rPr>
          <w:rFonts w:hint="eastAsia"/>
        </w:rPr>
        <w:t xml:space="preserve">14 November 2024 were included. Clinical, laboratory, and prescription records </w:t>
      </w:r>
    </w:p>
    <w:p w14:paraId="3DFA10B1">
      <w:pPr>
        <w:pStyle w:val="2"/>
        <w:rPr>
          <w:rFonts w:hint="eastAsia"/>
        </w:rPr>
      </w:pPr>
      <w:r>
        <w:rPr>
          <w:rFonts w:hint="eastAsia"/>
        </w:rPr>
        <w:t xml:space="preserve">were used to categorise LTCs. The prevalence and patterns of multimorbidity were </w:t>
      </w:r>
    </w:p>
    <w:p w14:paraId="6C56996A">
      <w:pPr>
        <w:pStyle w:val="2"/>
        <w:rPr>
          <w:rFonts w:hint="eastAsia"/>
        </w:rPr>
      </w:pPr>
      <w:r>
        <w:rPr>
          <w:rFonts w:hint="eastAsia"/>
        </w:rPr>
        <w:t xml:space="preserve">examined and their effect on WHO-defined TB treatment outcomes was assessed </w:t>
      </w:r>
    </w:p>
    <w:p w14:paraId="559BC546">
      <w:pPr>
        <w:pStyle w:val="2"/>
        <w:rPr>
          <w:rFonts w:hint="eastAsia"/>
        </w:rPr>
      </w:pPr>
      <w:r>
        <w:rPr>
          <w:rFonts w:hint="eastAsia"/>
        </w:rPr>
        <w:t>using regression models.</w:t>
      </w:r>
    </w:p>
    <w:p w14:paraId="56414F6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Among 993 included patients, 76.1% (95% confidence interval: </w:t>
      </w:r>
    </w:p>
    <w:p w14:paraId="355F1503">
      <w:pPr>
        <w:pStyle w:val="2"/>
        <w:rPr>
          <w:rFonts w:hint="eastAsia"/>
        </w:rPr>
      </w:pPr>
      <w:r>
        <w:rPr>
          <w:rFonts w:hint="eastAsia"/>
        </w:rPr>
        <w:t xml:space="preserve">73.4%-78.8%) had multimorbidity and 34.3% (31.4%-37.4%) had three or more LTCs. </w:t>
      </w:r>
    </w:p>
    <w:p w14:paraId="126207EE">
      <w:pPr>
        <w:pStyle w:val="2"/>
        <w:rPr>
          <w:rFonts w:hint="eastAsia"/>
        </w:rPr>
      </w:pPr>
      <w:r>
        <w:rPr>
          <w:rFonts w:hint="eastAsia"/>
        </w:rPr>
        <w:t xml:space="preserve">Anaemia (52.1%) and undernutrition (34.3%) were most prevalent. Multimorbidity </w:t>
      </w:r>
    </w:p>
    <w:p w14:paraId="6F04F8E6">
      <w:pPr>
        <w:pStyle w:val="2"/>
        <w:rPr>
          <w:rFonts w:hint="eastAsia"/>
        </w:rPr>
      </w:pPr>
      <w:r>
        <w:rPr>
          <w:rFonts w:hint="eastAsia"/>
        </w:rPr>
        <w:t xml:space="preserve">was associated with a 3.70% (-0.35%-7.74%, P = 0.07) absolute increase in the </w:t>
      </w:r>
    </w:p>
    <w:p w14:paraId="35C0F6AF">
      <w:pPr>
        <w:pStyle w:val="2"/>
        <w:rPr>
          <w:rFonts w:hint="eastAsia"/>
        </w:rPr>
      </w:pPr>
      <w:r>
        <w:rPr>
          <w:rFonts w:hint="eastAsia"/>
        </w:rPr>
        <w:t>adjusted risk of an unsuccessful treatment outcome.</w:t>
      </w:r>
    </w:p>
    <w:p w14:paraId="1E5D087D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 M</w:t>
      </w:r>
      <w:r>
        <w:rPr>
          <w:rFonts w:hint="eastAsia"/>
        </w:rPr>
        <w:t xml:space="preserve">ultimorbidity was highly prevalent at TB diagnosis in this cohort </w:t>
      </w:r>
    </w:p>
    <w:p w14:paraId="57CF382F">
      <w:pPr>
        <w:pStyle w:val="2"/>
        <w:rPr>
          <w:rFonts w:hint="eastAsia"/>
        </w:rPr>
      </w:pPr>
      <w:r>
        <w:rPr>
          <w:rFonts w:hint="eastAsia"/>
        </w:rPr>
        <w:t xml:space="preserve">of people with TB-HIV, highlighting the complexity of care required alongside </w:t>
      </w:r>
    </w:p>
    <w:p w14:paraId="16985346">
      <w:pPr>
        <w:pStyle w:val="2"/>
        <w:rPr>
          <w:rFonts w:hint="eastAsia"/>
        </w:rPr>
      </w:pPr>
      <w:r>
        <w:rPr>
          <w:rFonts w:hint="eastAsia"/>
        </w:rPr>
        <w:t>prescription of anti-TB therapy.</w:t>
      </w:r>
    </w:p>
    <w:p w14:paraId="4FA93470">
      <w:pPr>
        <w:pStyle w:val="2"/>
        <w:rPr>
          <w:rFonts w:hint="eastAsia"/>
        </w:rPr>
      </w:pPr>
    </w:p>
    <w:p w14:paraId="4067447A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6B2CB1A9">
      <w:pPr>
        <w:pStyle w:val="2"/>
        <w:rPr>
          <w:rFonts w:hint="eastAsia"/>
        </w:rPr>
      </w:pPr>
    </w:p>
    <w:p w14:paraId="3F1C485B">
      <w:pPr>
        <w:pStyle w:val="2"/>
        <w:rPr>
          <w:rFonts w:hint="eastAsia"/>
        </w:rPr>
      </w:pPr>
      <w:r>
        <w:rPr>
          <w:rFonts w:hint="eastAsia"/>
        </w:rPr>
        <w:t>DOI: 10.5588/ijtldopen.26.0114</w:t>
      </w:r>
    </w:p>
    <w:p w14:paraId="7C60445F">
      <w:pPr>
        <w:pStyle w:val="2"/>
        <w:rPr>
          <w:rFonts w:hint="eastAsia"/>
        </w:rPr>
      </w:pPr>
      <w:r>
        <w:rPr>
          <w:rFonts w:hint="eastAsia"/>
        </w:rPr>
        <w:t>PMCID: PMC13657031</w:t>
      </w:r>
    </w:p>
    <w:p w14:paraId="434FDD98">
      <w:pPr>
        <w:pStyle w:val="2"/>
        <w:rPr>
          <w:rFonts w:hint="eastAsia"/>
        </w:rPr>
      </w:pPr>
      <w:r>
        <w:rPr>
          <w:rFonts w:hint="eastAsia"/>
        </w:rPr>
        <w:t>PMID: 42866577</w:t>
      </w:r>
    </w:p>
    <w:p w14:paraId="214860C9">
      <w:pPr>
        <w:pStyle w:val="2"/>
        <w:rPr>
          <w:rFonts w:hint="eastAsia"/>
        </w:rPr>
      </w:pPr>
    </w:p>
    <w:p w14:paraId="73EA066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41</w:t>
      </w:r>
      <w:r>
        <w:rPr>
          <w:rFonts w:hint="eastAsia"/>
          <w:b/>
          <w:bCs/>
          <w:color w:val="FF0000"/>
        </w:rPr>
        <w:t>. FASEB Bioadv. 2026 Oct 12;8(10):e70157. doi: 10.1096/fba.2026-00238. eCollection 2026 Oct.</w:t>
      </w:r>
    </w:p>
    <w:p w14:paraId="5B9D2828">
      <w:pPr>
        <w:pStyle w:val="2"/>
        <w:rPr>
          <w:rFonts w:hint="eastAsia"/>
        </w:rPr>
      </w:pPr>
    </w:p>
    <w:p w14:paraId="4076362C">
      <w:pPr>
        <w:pStyle w:val="2"/>
        <w:rPr>
          <w:rFonts w:hint="eastAsia"/>
        </w:rPr>
      </w:pPr>
      <w:r>
        <w:rPr>
          <w:rFonts w:hint="eastAsia"/>
        </w:rPr>
        <w:t xml:space="preserve">The Proteome of Plasma Extracellular Vesicles in Latent and Active Tuberculosis </w:t>
      </w:r>
    </w:p>
    <w:p w14:paraId="14C47C3B">
      <w:pPr>
        <w:pStyle w:val="2"/>
        <w:rPr>
          <w:rFonts w:hint="eastAsia"/>
        </w:rPr>
      </w:pPr>
      <w:r>
        <w:rPr>
          <w:rFonts w:hint="eastAsia"/>
        </w:rPr>
        <w:t>Reveals Phase-Specific Composition and Immunometabolic Insights.</w:t>
      </w:r>
    </w:p>
    <w:p w14:paraId="51AC12EB">
      <w:pPr>
        <w:pStyle w:val="2"/>
        <w:rPr>
          <w:rFonts w:hint="eastAsia"/>
        </w:rPr>
      </w:pPr>
    </w:p>
    <w:p w14:paraId="26234EDD">
      <w:pPr>
        <w:pStyle w:val="2"/>
        <w:rPr>
          <w:rFonts w:hint="eastAsia"/>
        </w:rPr>
      </w:pPr>
      <w:r>
        <w:rPr>
          <w:rFonts w:hint="eastAsia"/>
        </w:rPr>
        <w:t xml:space="preserve">S-Peregrino E(1)(2), Castañeda-Casimiro J(1)(2), Vallejo-Castillo L(2)(3), </w:t>
      </w:r>
    </w:p>
    <w:p w14:paraId="1C188442">
      <w:pPr>
        <w:pStyle w:val="2"/>
        <w:rPr>
          <w:rFonts w:hint="eastAsia"/>
        </w:rPr>
      </w:pPr>
      <w:r>
        <w:rPr>
          <w:rFonts w:hint="eastAsia"/>
        </w:rPr>
        <w:t xml:space="preserve">Soria-Fragoso M(2), Ortega-Díaz GM(1)(4), Mondragón-Lara KI(2), Méndez-Tenorio </w:t>
      </w:r>
    </w:p>
    <w:p w14:paraId="36B22FD0">
      <w:pPr>
        <w:pStyle w:val="2"/>
        <w:rPr>
          <w:rFonts w:hint="eastAsia"/>
        </w:rPr>
      </w:pPr>
      <w:r>
        <w:rPr>
          <w:rFonts w:hint="eastAsia"/>
        </w:rPr>
        <w:t xml:space="preserve">A(5), Chacón-Salinas R(2)(6), García-Pérez BE(4), Serafín-López J(2)(6), </w:t>
      </w:r>
    </w:p>
    <w:p w14:paraId="461201EC">
      <w:pPr>
        <w:pStyle w:val="2"/>
        <w:rPr>
          <w:rFonts w:hint="eastAsia"/>
        </w:rPr>
      </w:pPr>
      <w:r>
        <w:rPr>
          <w:rFonts w:hint="eastAsia"/>
        </w:rPr>
        <w:t xml:space="preserve">Wong-Baeza C(5)(6), Rosales-García VH(7)(8), Hernández-Solis A(9)(10), </w:t>
      </w:r>
    </w:p>
    <w:p w14:paraId="04502E50">
      <w:pPr>
        <w:pStyle w:val="2"/>
        <w:rPr>
          <w:rFonts w:hint="eastAsia"/>
        </w:rPr>
      </w:pPr>
      <w:r>
        <w:rPr>
          <w:rFonts w:hint="eastAsia"/>
        </w:rPr>
        <w:t>Wong-Baeza I(2)(6).</w:t>
      </w:r>
    </w:p>
    <w:p w14:paraId="71F05A67">
      <w:pPr>
        <w:pStyle w:val="2"/>
        <w:rPr>
          <w:rFonts w:hint="eastAsia"/>
        </w:rPr>
      </w:pPr>
    </w:p>
    <w:p w14:paraId="3C00268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DBD50E2">
      <w:pPr>
        <w:pStyle w:val="2"/>
        <w:rPr>
          <w:rFonts w:hint="eastAsia"/>
        </w:rPr>
      </w:pPr>
      <w:r>
        <w:rPr>
          <w:rFonts w:hint="eastAsia"/>
        </w:rPr>
        <w:t xml:space="preserve">(1)Instituto Politécnico Nacional (IPN), Escuela Nacional de Ciencias Biológicas </w:t>
      </w:r>
    </w:p>
    <w:p w14:paraId="18622C7C">
      <w:pPr>
        <w:pStyle w:val="2"/>
        <w:rPr>
          <w:rFonts w:hint="eastAsia"/>
        </w:rPr>
      </w:pPr>
      <w:r>
        <w:rPr>
          <w:rFonts w:hint="eastAsia"/>
        </w:rPr>
        <w:t>(ENCB), Posgrado en Inmunología Mexico City Mexico.</w:t>
      </w:r>
    </w:p>
    <w:p w14:paraId="03543307">
      <w:pPr>
        <w:pStyle w:val="2"/>
        <w:rPr>
          <w:rFonts w:hint="eastAsia"/>
        </w:rPr>
      </w:pPr>
      <w:r>
        <w:rPr>
          <w:rFonts w:hint="eastAsia"/>
        </w:rPr>
        <w:t xml:space="preserve">(2)Departamento de Inmunología Instituto Politécnico Nacional (IPN), Escuela </w:t>
      </w:r>
    </w:p>
    <w:p w14:paraId="060A268B">
      <w:pPr>
        <w:pStyle w:val="2"/>
        <w:rPr>
          <w:rFonts w:hint="eastAsia"/>
        </w:rPr>
      </w:pPr>
      <w:r>
        <w:rPr>
          <w:rFonts w:hint="eastAsia"/>
        </w:rPr>
        <w:t>Nacional de Ciencias Biológicas (ENCB) Mexico City Mexico.</w:t>
      </w:r>
    </w:p>
    <w:p w14:paraId="6646271D">
      <w:pPr>
        <w:pStyle w:val="2"/>
        <w:rPr>
          <w:rFonts w:hint="eastAsia"/>
        </w:rPr>
      </w:pPr>
      <w:r>
        <w:rPr>
          <w:rFonts w:hint="eastAsia"/>
        </w:rPr>
        <w:t xml:space="preserve">(3)Instituto Politécnico Nacional (IPN), Escuela Nacional de Ciencias Biológicas </w:t>
      </w:r>
    </w:p>
    <w:p w14:paraId="0EEC17D5">
      <w:pPr>
        <w:pStyle w:val="2"/>
        <w:rPr>
          <w:rFonts w:hint="eastAsia"/>
        </w:rPr>
      </w:pPr>
      <w:r>
        <w:rPr>
          <w:rFonts w:hint="eastAsia"/>
        </w:rPr>
        <w:t xml:space="preserve">(ENCB), Unidad de Desarrollo e Investigación en Bioterapéuticos (UDIBI) Mexico </w:t>
      </w:r>
    </w:p>
    <w:p w14:paraId="5E978850">
      <w:pPr>
        <w:pStyle w:val="2"/>
        <w:rPr>
          <w:rFonts w:hint="eastAsia"/>
        </w:rPr>
      </w:pPr>
      <w:r>
        <w:rPr>
          <w:rFonts w:hint="eastAsia"/>
        </w:rPr>
        <w:t>City Mexico.</w:t>
      </w:r>
    </w:p>
    <w:p w14:paraId="67658DD4">
      <w:pPr>
        <w:pStyle w:val="2"/>
        <w:rPr>
          <w:rFonts w:hint="eastAsia"/>
        </w:rPr>
      </w:pPr>
      <w:r>
        <w:rPr>
          <w:rFonts w:hint="eastAsia"/>
        </w:rPr>
        <w:t xml:space="preserve">(4)Departamento de Microbiología Instituto Politécnico Nacional (IPN), Escuela </w:t>
      </w:r>
    </w:p>
    <w:p w14:paraId="7FDD4E15">
      <w:pPr>
        <w:pStyle w:val="2"/>
        <w:rPr>
          <w:rFonts w:hint="eastAsia"/>
        </w:rPr>
      </w:pPr>
      <w:r>
        <w:rPr>
          <w:rFonts w:hint="eastAsia"/>
        </w:rPr>
        <w:t>Nacional de Ciencias Biológicas (ENCB) Mexico City Mexico.</w:t>
      </w:r>
    </w:p>
    <w:p w14:paraId="17CC9738">
      <w:pPr>
        <w:pStyle w:val="2"/>
        <w:rPr>
          <w:rFonts w:hint="eastAsia"/>
        </w:rPr>
      </w:pPr>
      <w:r>
        <w:rPr>
          <w:rFonts w:hint="eastAsia"/>
        </w:rPr>
        <w:t xml:space="preserve">(5)Departamento de Bioquímica Instituto Politécnico Nacional (IPN), Escuela </w:t>
      </w:r>
    </w:p>
    <w:p w14:paraId="709540F1">
      <w:pPr>
        <w:pStyle w:val="2"/>
        <w:rPr>
          <w:rFonts w:hint="eastAsia"/>
        </w:rPr>
      </w:pPr>
      <w:r>
        <w:rPr>
          <w:rFonts w:hint="eastAsia"/>
        </w:rPr>
        <w:t>Nacional de Ciencias Biológicas (ENCB) Mexico City Mexico.</w:t>
      </w:r>
    </w:p>
    <w:p w14:paraId="1BBDD744">
      <w:pPr>
        <w:pStyle w:val="2"/>
        <w:rPr>
          <w:rFonts w:hint="eastAsia"/>
        </w:rPr>
      </w:pPr>
      <w:r>
        <w:rPr>
          <w:rFonts w:hint="eastAsia"/>
        </w:rPr>
        <w:t>(6)Red de Salud del Instituto Politécnico Nacional Mexico City Mexico.</w:t>
      </w:r>
    </w:p>
    <w:p w14:paraId="34CCCE7C">
      <w:pPr>
        <w:pStyle w:val="2"/>
        <w:rPr>
          <w:rFonts w:hint="eastAsia"/>
        </w:rPr>
      </w:pPr>
      <w:r>
        <w:rPr>
          <w:rFonts w:hint="eastAsia"/>
        </w:rPr>
        <w:t xml:space="preserve">(7)Centro de Investigación y de Estudios Avanzados del Instituto Politécnico </w:t>
      </w:r>
    </w:p>
    <w:p w14:paraId="58DE2E41">
      <w:pPr>
        <w:pStyle w:val="2"/>
        <w:rPr>
          <w:rFonts w:hint="eastAsia"/>
        </w:rPr>
      </w:pPr>
      <w:r>
        <w:rPr>
          <w:rFonts w:hint="eastAsia"/>
        </w:rPr>
        <w:t xml:space="preserve">Nacional (CINVESTAV-IPN), Laboratorios Nacionales de Servicios Experimentales </w:t>
      </w:r>
    </w:p>
    <w:p w14:paraId="0C87D686">
      <w:pPr>
        <w:pStyle w:val="2"/>
        <w:rPr>
          <w:rFonts w:hint="eastAsia"/>
        </w:rPr>
      </w:pPr>
      <w:r>
        <w:rPr>
          <w:rFonts w:hint="eastAsia"/>
        </w:rPr>
        <w:t>(LANSE) Mexico City Mexico.</w:t>
      </w:r>
    </w:p>
    <w:p w14:paraId="37B1CFAF">
      <w:pPr>
        <w:pStyle w:val="2"/>
        <w:rPr>
          <w:rFonts w:hint="eastAsia"/>
        </w:rPr>
      </w:pPr>
      <w:r>
        <w:rPr>
          <w:rFonts w:hint="eastAsia"/>
        </w:rPr>
        <w:t xml:space="preserve">(8)Laboratorio de Citometría de Flujo de Diagnóstico Molecular de Leucemias y </w:t>
      </w:r>
    </w:p>
    <w:p w14:paraId="4A113455">
      <w:pPr>
        <w:pStyle w:val="2"/>
        <w:rPr>
          <w:rFonts w:hint="eastAsia"/>
        </w:rPr>
      </w:pPr>
      <w:r>
        <w:rPr>
          <w:rFonts w:hint="eastAsia"/>
        </w:rPr>
        <w:t>Terapia Celular, S.A. de C.V. (DILETEC) Mexico City Mexico.</w:t>
      </w:r>
    </w:p>
    <w:p w14:paraId="71CC49F8">
      <w:pPr>
        <w:pStyle w:val="2"/>
        <w:rPr>
          <w:rFonts w:hint="eastAsia"/>
        </w:rPr>
      </w:pPr>
      <w:r>
        <w:rPr>
          <w:rFonts w:hint="eastAsia"/>
        </w:rPr>
        <w:t xml:space="preserve">(9)Universidad Nacional Autónoma de México (UNAM), Facultad de Medicina Mexico </w:t>
      </w:r>
    </w:p>
    <w:p w14:paraId="07A48C19">
      <w:pPr>
        <w:pStyle w:val="2"/>
        <w:rPr>
          <w:rFonts w:hint="eastAsia"/>
        </w:rPr>
      </w:pPr>
      <w:r>
        <w:rPr>
          <w:rFonts w:hint="eastAsia"/>
        </w:rPr>
        <w:t>City Mexico.</w:t>
      </w:r>
    </w:p>
    <w:p w14:paraId="457C7A7E">
      <w:pPr>
        <w:pStyle w:val="2"/>
        <w:rPr>
          <w:rFonts w:hint="eastAsia"/>
        </w:rPr>
      </w:pPr>
      <w:r>
        <w:rPr>
          <w:rFonts w:hint="eastAsia"/>
        </w:rPr>
        <w:t xml:space="preserve">(10)Secretaría de Salud, Servicio de Neumología Hospital General de México "Dr. </w:t>
      </w:r>
    </w:p>
    <w:p w14:paraId="62B956AC">
      <w:pPr>
        <w:pStyle w:val="2"/>
        <w:rPr>
          <w:rFonts w:hint="eastAsia"/>
        </w:rPr>
      </w:pPr>
      <w:r>
        <w:rPr>
          <w:rFonts w:hint="eastAsia"/>
        </w:rPr>
        <w:t>Eduardo Liceaga" Mexico City Mexico.</w:t>
      </w:r>
    </w:p>
    <w:p w14:paraId="2561939F">
      <w:pPr>
        <w:pStyle w:val="2"/>
        <w:rPr>
          <w:rFonts w:hint="eastAsia"/>
        </w:rPr>
      </w:pPr>
    </w:p>
    <w:p w14:paraId="29F8BCF8">
      <w:pPr>
        <w:pStyle w:val="2"/>
        <w:rPr>
          <w:rFonts w:hint="eastAsia"/>
        </w:rPr>
      </w:pPr>
      <w:r>
        <w:rPr>
          <w:rFonts w:hint="eastAsia"/>
        </w:rPr>
        <w:t xml:space="preserve">Tuberculosis (TB) is an infectious disease that affects millions of people </w:t>
      </w:r>
    </w:p>
    <w:p w14:paraId="116E69D0">
      <w:pPr>
        <w:pStyle w:val="2"/>
        <w:rPr>
          <w:rFonts w:hint="eastAsia"/>
        </w:rPr>
      </w:pPr>
      <w:r>
        <w:rPr>
          <w:rFonts w:hint="eastAsia"/>
        </w:rPr>
        <w:t xml:space="preserve">worldwide. Extracellular vesicles (EVs) are mediators of intercellular </w:t>
      </w:r>
    </w:p>
    <w:p w14:paraId="5E498235">
      <w:pPr>
        <w:pStyle w:val="2"/>
        <w:rPr>
          <w:rFonts w:hint="eastAsia"/>
        </w:rPr>
      </w:pPr>
      <w:r>
        <w:rPr>
          <w:rFonts w:hint="eastAsia"/>
        </w:rPr>
        <w:t xml:space="preserve">communication that participate in the immunopathogenesis of TB. Here, we </w:t>
      </w:r>
    </w:p>
    <w:p w14:paraId="22A19D34">
      <w:pPr>
        <w:pStyle w:val="2"/>
        <w:rPr>
          <w:rFonts w:hint="eastAsia"/>
        </w:rPr>
      </w:pPr>
      <w:r>
        <w:rPr>
          <w:rFonts w:hint="eastAsia"/>
        </w:rPr>
        <w:t xml:space="preserve">characterized plasma EVs from healthy individuals and from individuals with </w:t>
      </w:r>
    </w:p>
    <w:p w14:paraId="29A88522">
      <w:pPr>
        <w:pStyle w:val="2"/>
        <w:rPr>
          <w:rFonts w:hint="eastAsia"/>
        </w:rPr>
      </w:pPr>
      <w:r>
        <w:rPr>
          <w:rFonts w:hint="eastAsia"/>
        </w:rPr>
        <w:t xml:space="preserve">latent (LTB) or active TB (ATB). We found increased total protein concentrations </w:t>
      </w:r>
    </w:p>
    <w:p w14:paraId="56CD5ED4">
      <w:pPr>
        <w:pStyle w:val="2"/>
        <w:rPr>
          <w:rFonts w:hint="eastAsia"/>
        </w:rPr>
      </w:pPr>
      <w:r>
        <w:rPr>
          <w:rFonts w:hint="eastAsia"/>
        </w:rPr>
        <w:t xml:space="preserve">in EVs from LTB and ATB individuals compared to healthy controls, without </w:t>
      </w:r>
    </w:p>
    <w:p w14:paraId="4794CC15">
      <w:pPr>
        <w:pStyle w:val="2"/>
        <w:rPr>
          <w:rFonts w:hint="eastAsia"/>
        </w:rPr>
      </w:pPr>
      <w:r>
        <w:rPr>
          <w:rFonts w:hint="eastAsia"/>
        </w:rPr>
        <w:t xml:space="preserve">significant differences in EV concentrations, but reduced exosome abundance in </w:t>
      </w:r>
    </w:p>
    <w:p w14:paraId="3503FD87">
      <w:pPr>
        <w:pStyle w:val="2"/>
        <w:rPr>
          <w:rFonts w:hint="eastAsia"/>
        </w:rPr>
      </w:pPr>
      <w:r>
        <w:rPr>
          <w:rFonts w:hint="eastAsia"/>
        </w:rPr>
        <w:t xml:space="preserve">LTB. Proteomic and bioinformatic analysis showed that LTB EVs were enriched in </w:t>
      </w:r>
    </w:p>
    <w:p w14:paraId="397C698D">
      <w:pPr>
        <w:pStyle w:val="2"/>
        <w:rPr>
          <w:rFonts w:hint="eastAsia"/>
        </w:rPr>
      </w:pPr>
      <w:r>
        <w:rPr>
          <w:rFonts w:hint="eastAsia"/>
        </w:rPr>
        <w:t xml:space="preserve">proteins associated with the regulation of inflammation, tissue remodeling, and </w:t>
      </w:r>
    </w:p>
    <w:p w14:paraId="248A9104">
      <w:pPr>
        <w:pStyle w:val="2"/>
        <w:rPr>
          <w:rFonts w:hint="eastAsia"/>
        </w:rPr>
      </w:pPr>
      <w:r>
        <w:rPr>
          <w:rFonts w:hint="eastAsia"/>
        </w:rPr>
        <w:t xml:space="preserve">lipid metabolism, including TGFβ and apolipoproteins (APO) A1 and E. In </w:t>
      </w:r>
    </w:p>
    <w:p w14:paraId="4A3FD29C">
      <w:pPr>
        <w:pStyle w:val="2"/>
        <w:rPr>
          <w:rFonts w:hint="eastAsia"/>
        </w:rPr>
      </w:pPr>
      <w:r>
        <w:rPr>
          <w:rFonts w:hint="eastAsia"/>
        </w:rPr>
        <w:t xml:space="preserve">contrast, ATB EVs were enriched in mycobacterial antigens and host proteins </w:t>
      </w:r>
    </w:p>
    <w:p w14:paraId="789FB603">
      <w:pPr>
        <w:pStyle w:val="2"/>
        <w:rPr>
          <w:rFonts w:hint="eastAsia"/>
        </w:rPr>
      </w:pPr>
      <w:r>
        <w:rPr>
          <w:rFonts w:hint="eastAsia"/>
        </w:rPr>
        <w:t xml:space="preserve">associated with acute inflammation, including serum amyloid A1 and A2 (SAA1/A2) </w:t>
      </w:r>
    </w:p>
    <w:p w14:paraId="73ADB5C6">
      <w:pPr>
        <w:pStyle w:val="2"/>
        <w:rPr>
          <w:rFonts w:hint="eastAsia"/>
        </w:rPr>
      </w:pPr>
      <w:r>
        <w:rPr>
          <w:rFonts w:hint="eastAsia"/>
        </w:rPr>
        <w:t xml:space="preserve">and the calgranulin complex proteins S100A8 and S100A9. These host proteins were </w:t>
      </w:r>
    </w:p>
    <w:p w14:paraId="1A60292E">
      <w:pPr>
        <w:pStyle w:val="2"/>
        <w:rPr>
          <w:rFonts w:hint="eastAsia"/>
        </w:rPr>
      </w:pPr>
      <w:r>
        <w:rPr>
          <w:rFonts w:hint="eastAsia"/>
        </w:rPr>
        <w:t xml:space="preserve">central and/or cohesive nodes in the protein-protein interaction networks of </w:t>
      </w:r>
    </w:p>
    <w:p w14:paraId="551FA57A">
      <w:pPr>
        <w:pStyle w:val="2"/>
        <w:rPr>
          <w:rFonts w:hint="eastAsia"/>
        </w:rPr>
      </w:pPr>
      <w:r>
        <w:rPr>
          <w:rFonts w:hint="eastAsia"/>
        </w:rPr>
        <w:t xml:space="preserve">these EVs. Dot blot analysis confirmed the increased levels of these EV proteins </w:t>
      </w:r>
    </w:p>
    <w:p w14:paraId="57EC6023">
      <w:pPr>
        <w:pStyle w:val="2"/>
        <w:rPr>
          <w:rFonts w:hint="eastAsia"/>
        </w:rPr>
      </w:pPr>
      <w:r>
        <w:rPr>
          <w:rFonts w:hint="eastAsia"/>
        </w:rPr>
        <w:t xml:space="preserve">in a second group of individuals with LTB or ATB. The EV levels of mycobacterial </w:t>
      </w:r>
    </w:p>
    <w:p w14:paraId="366A428B">
      <w:pPr>
        <w:pStyle w:val="2"/>
        <w:rPr>
          <w:rFonts w:hint="eastAsia"/>
        </w:rPr>
      </w:pPr>
      <w:r>
        <w:rPr>
          <w:rFonts w:hint="eastAsia"/>
        </w:rPr>
        <w:t xml:space="preserve">antigens correlated positively with the EV levels of SAA1/A2 and S100A8/A9, but </w:t>
      </w:r>
    </w:p>
    <w:p w14:paraId="6E822CBD">
      <w:pPr>
        <w:pStyle w:val="2"/>
        <w:rPr>
          <w:rFonts w:hint="eastAsia"/>
        </w:rPr>
      </w:pPr>
      <w:r>
        <w:rPr>
          <w:rFonts w:hint="eastAsia"/>
        </w:rPr>
        <w:t xml:space="preserve">negatively with their levels of TGFβ and APOA1. Principal component analysis and </w:t>
      </w:r>
    </w:p>
    <w:p w14:paraId="260BCB3D">
      <w:pPr>
        <w:pStyle w:val="2"/>
        <w:rPr>
          <w:rFonts w:hint="eastAsia"/>
        </w:rPr>
      </w:pPr>
      <w:r>
        <w:rPr>
          <w:rFonts w:hint="eastAsia"/>
        </w:rPr>
        <w:t xml:space="preserve">hierarchical clustering suggested that the simultaneous analysis of </w:t>
      </w:r>
    </w:p>
    <w:p w14:paraId="037C23E0">
      <w:pPr>
        <w:pStyle w:val="2"/>
        <w:rPr>
          <w:rFonts w:hint="eastAsia"/>
        </w:rPr>
      </w:pPr>
      <w:r>
        <w:rPr>
          <w:rFonts w:hint="eastAsia"/>
        </w:rPr>
        <w:t xml:space="preserve">mycobacterial antigens and these EV proteins could discriminate between healthy, </w:t>
      </w:r>
    </w:p>
    <w:p w14:paraId="6FD4A821">
      <w:pPr>
        <w:pStyle w:val="2"/>
        <w:rPr>
          <w:rFonts w:hint="eastAsia"/>
        </w:rPr>
      </w:pPr>
      <w:r>
        <w:rPr>
          <w:rFonts w:hint="eastAsia"/>
        </w:rPr>
        <w:t xml:space="preserve">LTB, and ATB individuals. Our findings confirm that plasma EVs provide insights </w:t>
      </w:r>
    </w:p>
    <w:p w14:paraId="44CE0279">
      <w:pPr>
        <w:pStyle w:val="2"/>
        <w:rPr>
          <w:rFonts w:hint="eastAsia"/>
        </w:rPr>
      </w:pPr>
      <w:r>
        <w:rPr>
          <w:rFonts w:hint="eastAsia"/>
        </w:rPr>
        <w:t xml:space="preserve">into the host immunometabolic response to TB and may be a source of clinically </w:t>
      </w:r>
    </w:p>
    <w:p w14:paraId="52D0E995">
      <w:pPr>
        <w:pStyle w:val="2"/>
        <w:rPr>
          <w:rFonts w:hint="eastAsia"/>
        </w:rPr>
      </w:pPr>
      <w:r>
        <w:rPr>
          <w:rFonts w:hint="eastAsia"/>
        </w:rPr>
        <w:t>useful biomarkers.</w:t>
      </w:r>
    </w:p>
    <w:p w14:paraId="3473CC14">
      <w:pPr>
        <w:pStyle w:val="2"/>
        <w:rPr>
          <w:rFonts w:hint="eastAsia"/>
        </w:rPr>
      </w:pPr>
    </w:p>
    <w:p w14:paraId="3DB7660F">
      <w:pPr>
        <w:pStyle w:val="2"/>
        <w:rPr>
          <w:rFonts w:hint="eastAsia"/>
        </w:rPr>
      </w:pPr>
      <w:r>
        <w:rPr>
          <w:rFonts w:hint="eastAsia"/>
        </w:rPr>
        <w:t xml:space="preserve">© 2026 The Author(s). FASEB BioAdvances published by Wiley Periodicals LLC on </w:t>
      </w:r>
    </w:p>
    <w:p w14:paraId="0414A868">
      <w:pPr>
        <w:pStyle w:val="2"/>
        <w:rPr>
          <w:rFonts w:hint="eastAsia"/>
        </w:rPr>
      </w:pPr>
      <w:r>
        <w:rPr>
          <w:rFonts w:hint="eastAsia"/>
        </w:rPr>
        <w:t>behalf of The Federation of American Societies for Experimental Biology.</w:t>
      </w:r>
    </w:p>
    <w:p w14:paraId="594FE86B">
      <w:pPr>
        <w:pStyle w:val="2"/>
        <w:rPr>
          <w:rFonts w:hint="eastAsia"/>
        </w:rPr>
      </w:pPr>
    </w:p>
    <w:p w14:paraId="769F9DB9">
      <w:pPr>
        <w:pStyle w:val="2"/>
        <w:rPr>
          <w:rFonts w:hint="eastAsia"/>
        </w:rPr>
      </w:pPr>
      <w:r>
        <w:rPr>
          <w:rFonts w:hint="eastAsia"/>
        </w:rPr>
        <w:t>DOI: 10.1096/fba.2026-00238</w:t>
      </w:r>
    </w:p>
    <w:p w14:paraId="79889D15">
      <w:pPr>
        <w:pStyle w:val="2"/>
        <w:rPr>
          <w:rFonts w:hint="eastAsia"/>
        </w:rPr>
      </w:pPr>
      <w:r>
        <w:rPr>
          <w:rFonts w:hint="eastAsia"/>
        </w:rPr>
        <w:t>PMCID: PMC13656203</w:t>
      </w:r>
    </w:p>
    <w:p w14:paraId="01548AF0">
      <w:pPr>
        <w:pStyle w:val="2"/>
        <w:rPr>
          <w:rFonts w:hint="eastAsia"/>
        </w:rPr>
      </w:pPr>
      <w:r>
        <w:rPr>
          <w:rFonts w:hint="eastAsia"/>
        </w:rPr>
        <w:t>PMID: 42866400</w:t>
      </w:r>
    </w:p>
    <w:p w14:paraId="2948DCB1">
      <w:pPr>
        <w:pStyle w:val="2"/>
        <w:rPr>
          <w:rFonts w:hint="eastAsia"/>
        </w:rPr>
      </w:pPr>
    </w:p>
    <w:p w14:paraId="1246683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42</w:t>
      </w:r>
      <w:r>
        <w:rPr>
          <w:rFonts w:hint="eastAsia"/>
          <w:b/>
          <w:bCs/>
          <w:color w:val="FF0000"/>
        </w:rPr>
        <w:t xml:space="preserve">. iScience. 2026 Sep 22;29(10):117699. doi: 10.1016/j.isci.2026.117699. </w:t>
      </w:r>
    </w:p>
    <w:p w14:paraId="4E770A3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 16.</w:t>
      </w:r>
    </w:p>
    <w:p w14:paraId="3188FDA5">
      <w:pPr>
        <w:pStyle w:val="2"/>
        <w:rPr>
          <w:rFonts w:hint="eastAsia"/>
        </w:rPr>
      </w:pPr>
    </w:p>
    <w:p w14:paraId="333A437E">
      <w:pPr>
        <w:pStyle w:val="2"/>
        <w:rPr>
          <w:rFonts w:hint="eastAsia"/>
        </w:rPr>
      </w:pPr>
      <w:r>
        <w:rPr>
          <w:rFonts w:hint="eastAsia"/>
        </w:rPr>
        <w:t xml:space="preserve">Association between human genomes and mycobacterial genomes contributes to </w:t>
      </w:r>
    </w:p>
    <w:p w14:paraId="3C770262">
      <w:pPr>
        <w:pStyle w:val="2"/>
        <w:rPr>
          <w:rFonts w:hint="eastAsia"/>
        </w:rPr>
      </w:pPr>
      <w:r>
        <w:rPr>
          <w:rFonts w:hint="eastAsia"/>
        </w:rPr>
        <w:t>severity and transmissibility of pulmonary tuberculosis.</w:t>
      </w:r>
    </w:p>
    <w:p w14:paraId="68892D10">
      <w:pPr>
        <w:pStyle w:val="2"/>
        <w:rPr>
          <w:rFonts w:hint="eastAsia"/>
        </w:rPr>
      </w:pPr>
    </w:p>
    <w:p w14:paraId="6641278F">
      <w:pPr>
        <w:pStyle w:val="2"/>
        <w:rPr>
          <w:rFonts w:hint="eastAsia"/>
        </w:rPr>
      </w:pPr>
      <w:r>
        <w:rPr>
          <w:rFonts w:hint="eastAsia"/>
        </w:rPr>
        <w:t xml:space="preserve">Tantivitayakul P(1)(2), Kunhapan P(3), Boonbangyang M(2), Chaichoompu K(4), </w:t>
      </w:r>
    </w:p>
    <w:p w14:paraId="51BA2669">
      <w:pPr>
        <w:pStyle w:val="2"/>
        <w:rPr>
          <w:rFonts w:hint="eastAsia"/>
        </w:rPr>
      </w:pPr>
      <w:r>
        <w:rPr>
          <w:rFonts w:hint="eastAsia"/>
        </w:rPr>
        <w:t xml:space="preserve">Wilantho A(4), Sawaengdee W(3), Ruangchai W(2), Thawornwattana Y(2), Yanai H(5), </w:t>
      </w:r>
    </w:p>
    <w:p w14:paraId="295E1FB1">
      <w:pPr>
        <w:pStyle w:val="2"/>
        <w:rPr>
          <w:rFonts w:hint="eastAsia"/>
        </w:rPr>
      </w:pPr>
      <w:r>
        <w:rPr>
          <w:rFonts w:hint="eastAsia"/>
        </w:rPr>
        <w:t xml:space="preserve">Wattanapokayakit S(3), Disratthakit A(3), Miyahara R(6), Nedsuwan S(7), </w:t>
      </w:r>
    </w:p>
    <w:p w14:paraId="2D9C7F6D">
      <w:pPr>
        <w:pStyle w:val="2"/>
        <w:rPr>
          <w:rFonts w:hint="eastAsia"/>
        </w:rPr>
      </w:pPr>
      <w:r>
        <w:rPr>
          <w:rFonts w:hint="eastAsia"/>
        </w:rPr>
        <w:t xml:space="preserve">Imasanguan W(7), Kantipong P(7), Chaiyasirinroje B(8), Phelan J(9), Clark TG(9), </w:t>
      </w:r>
    </w:p>
    <w:p w14:paraId="47B29CC5">
      <w:pPr>
        <w:pStyle w:val="2"/>
        <w:rPr>
          <w:rFonts w:hint="eastAsia"/>
        </w:rPr>
      </w:pPr>
      <w:r>
        <w:rPr>
          <w:rFonts w:hint="eastAsia"/>
        </w:rPr>
        <w:t>Hibberd ML(9), Tokunaga K(6), Mahasirimongkol S(3), Palittapongarnpim P(2).</w:t>
      </w:r>
    </w:p>
    <w:p w14:paraId="3810C14A">
      <w:pPr>
        <w:pStyle w:val="2"/>
        <w:rPr>
          <w:rFonts w:hint="eastAsia"/>
        </w:rPr>
      </w:pPr>
    </w:p>
    <w:p w14:paraId="71B0E49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A738DAD">
      <w:pPr>
        <w:pStyle w:val="2"/>
        <w:rPr>
          <w:rFonts w:hint="eastAsia"/>
        </w:rPr>
      </w:pPr>
      <w:r>
        <w:rPr>
          <w:rFonts w:hint="eastAsia"/>
        </w:rPr>
        <w:t xml:space="preserve">(1)Department of Oral Microbiology, Faculty of Dentistry, Mahidol University, </w:t>
      </w:r>
    </w:p>
    <w:p w14:paraId="3C55847D">
      <w:pPr>
        <w:pStyle w:val="2"/>
        <w:rPr>
          <w:rFonts w:hint="eastAsia"/>
        </w:rPr>
      </w:pPr>
      <w:r>
        <w:rPr>
          <w:rFonts w:hint="eastAsia"/>
        </w:rPr>
        <w:t>Bangkok 10400, Thailand.</w:t>
      </w:r>
    </w:p>
    <w:p w14:paraId="7100D01F">
      <w:pPr>
        <w:pStyle w:val="2"/>
        <w:rPr>
          <w:rFonts w:hint="eastAsia"/>
        </w:rPr>
      </w:pPr>
      <w:r>
        <w:rPr>
          <w:rFonts w:hint="eastAsia"/>
        </w:rPr>
        <w:t xml:space="preserve">(2)Emeritus Professor Pornchai Matangkasombut Center for Microbial Genomics, </w:t>
      </w:r>
    </w:p>
    <w:p w14:paraId="2FA5CEFE">
      <w:pPr>
        <w:pStyle w:val="2"/>
        <w:rPr>
          <w:rFonts w:hint="eastAsia"/>
        </w:rPr>
      </w:pPr>
      <w:r>
        <w:rPr>
          <w:rFonts w:hint="eastAsia"/>
        </w:rPr>
        <w:t xml:space="preserve">Department of Microbiology, Faculty of Science, Mahidol University, Bangkok, </w:t>
      </w:r>
    </w:p>
    <w:p w14:paraId="68236B45">
      <w:pPr>
        <w:pStyle w:val="2"/>
        <w:rPr>
          <w:rFonts w:hint="eastAsia"/>
        </w:rPr>
      </w:pPr>
      <w:r>
        <w:rPr>
          <w:rFonts w:hint="eastAsia"/>
        </w:rPr>
        <w:t>Thailand.</w:t>
      </w:r>
    </w:p>
    <w:p w14:paraId="54A5E3A4">
      <w:pPr>
        <w:pStyle w:val="2"/>
        <w:rPr>
          <w:rFonts w:hint="eastAsia"/>
        </w:rPr>
      </w:pPr>
      <w:r>
        <w:rPr>
          <w:rFonts w:hint="eastAsia"/>
        </w:rPr>
        <w:t xml:space="preserve">(3)Department of Medical Sciences, Ministry of Public Health, Tiwanon Road, </w:t>
      </w:r>
    </w:p>
    <w:p w14:paraId="2ECFAEF3">
      <w:pPr>
        <w:pStyle w:val="2"/>
        <w:rPr>
          <w:rFonts w:hint="eastAsia"/>
        </w:rPr>
      </w:pPr>
      <w:r>
        <w:rPr>
          <w:rFonts w:hint="eastAsia"/>
        </w:rPr>
        <w:t>Nonthaburi, Thailand.</w:t>
      </w:r>
    </w:p>
    <w:p w14:paraId="10818F7F">
      <w:pPr>
        <w:pStyle w:val="2"/>
        <w:rPr>
          <w:rFonts w:hint="eastAsia"/>
        </w:rPr>
      </w:pPr>
      <w:r>
        <w:rPr>
          <w:rFonts w:hint="eastAsia"/>
        </w:rPr>
        <w:t xml:space="preserve">(4)National Biobank of Thailand, 111 Thailand Science Park, Phahonyothin Road, </w:t>
      </w:r>
    </w:p>
    <w:p w14:paraId="77488BB9">
      <w:pPr>
        <w:pStyle w:val="2"/>
        <w:rPr>
          <w:rFonts w:hint="eastAsia"/>
        </w:rPr>
      </w:pPr>
      <w:r>
        <w:rPr>
          <w:rFonts w:hint="eastAsia"/>
        </w:rPr>
        <w:t>Klong Neung, Khlong Luang, Pathum Thani 12120, Thailand.</w:t>
      </w:r>
    </w:p>
    <w:p w14:paraId="42AA4D67">
      <w:pPr>
        <w:pStyle w:val="2"/>
        <w:rPr>
          <w:rFonts w:hint="eastAsia"/>
        </w:rPr>
      </w:pPr>
      <w:r>
        <w:rPr>
          <w:rFonts w:hint="eastAsia"/>
        </w:rPr>
        <w:t xml:space="preserve">(5)Fukujuji Hospital and Research Institute of Tuberculosis (RIT), Japan </w:t>
      </w:r>
    </w:p>
    <w:p w14:paraId="0AEC029E">
      <w:pPr>
        <w:pStyle w:val="2"/>
        <w:rPr>
          <w:rFonts w:hint="eastAsia"/>
        </w:rPr>
      </w:pPr>
      <w:r>
        <w:rPr>
          <w:rFonts w:hint="eastAsia"/>
        </w:rPr>
        <w:t>Anti-Tuberculosis Association (JATA), Kiyose, Japan.</w:t>
      </w:r>
    </w:p>
    <w:p w14:paraId="3AB9F7CB">
      <w:pPr>
        <w:pStyle w:val="2"/>
        <w:rPr>
          <w:rFonts w:hint="eastAsia"/>
        </w:rPr>
      </w:pPr>
      <w:r>
        <w:rPr>
          <w:rFonts w:hint="eastAsia"/>
        </w:rPr>
        <w:t xml:space="preserve">(6)Genome Medical Science Project, National Center for Global Health and </w:t>
      </w:r>
    </w:p>
    <w:p w14:paraId="32A5EE7A">
      <w:pPr>
        <w:pStyle w:val="2"/>
        <w:rPr>
          <w:rFonts w:hint="eastAsia"/>
        </w:rPr>
      </w:pPr>
      <w:r>
        <w:rPr>
          <w:rFonts w:hint="eastAsia"/>
        </w:rPr>
        <w:t>Medicine, Tokyo, Japan.</w:t>
      </w:r>
    </w:p>
    <w:p w14:paraId="19C24C34">
      <w:pPr>
        <w:pStyle w:val="2"/>
        <w:rPr>
          <w:rFonts w:hint="eastAsia"/>
        </w:rPr>
      </w:pPr>
      <w:r>
        <w:rPr>
          <w:rFonts w:hint="eastAsia"/>
        </w:rPr>
        <w:t xml:space="preserve">(7)Chiang Rai Prachanukroh Hospital, Ministry of Public Health, Chiang Rai, </w:t>
      </w:r>
    </w:p>
    <w:p w14:paraId="0AA354B9">
      <w:pPr>
        <w:pStyle w:val="2"/>
        <w:rPr>
          <w:rFonts w:hint="eastAsia"/>
        </w:rPr>
      </w:pPr>
      <w:r>
        <w:rPr>
          <w:rFonts w:hint="eastAsia"/>
        </w:rPr>
        <w:t>Thailand.</w:t>
      </w:r>
    </w:p>
    <w:p w14:paraId="36E5F150">
      <w:pPr>
        <w:pStyle w:val="2"/>
        <w:rPr>
          <w:rFonts w:hint="eastAsia"/>
        </w:rPr>
      </w:pPr>
      <w:r>
        <w:rPr>
          <w:rFonts w:hint="eastAsia"/>
        </w:rPr>
        <w:t>(8)TB-HIV Research Foundation, Chiang Rai, Thailand.</w:t>
      </w:r>
    </w:p>
    <w:p w14:paraId="0A93CB6C">
      <w:pPr>
        <w:pStyle w:val="2"/>
        <w:rPr>
          <w:rFonts w:hint="eastAsia"/>
        </w:rPr>
      </w:pPr>
      <w:r>
        <w:rPr>
          <w:rFonts w:hint="eastAsia"/>
        </w:rPr>
        <w:t>(9)London School of Hygiene and Tropical Medicine, London, UK.</w:t>
      </w:r>
    </w:p>
    <w:p w14:paraId="0C262E30">
      <w:pPr>
        <w:pStyle w:val="2"/>
        <w:rPr>
          <w:rFonts w:hint="eastAsia"/>
        </w:rPr>
      </w:pPr>
    </w:p>
    <w:p w14:paraId="7416CFDA">
      <w:pPr>
        <w:pStyle w:val="2"/>
        <w:rPr>
          <w:rFonts w:hint="eastAsia"/>
        </w:rPr>
      </w:pPr>
      <w:r>
        <w:rPr>
          <w:rFonts w:hint="eastAsia"/>
        </w:rPr>
        <w:t xml:space="preserve">Pulmonary tuberculosis (PTB) remains a major infectious disease globally. This </w:t>
      </w:r>
    </w:p>
    <w:p w14:paraId="41425E15">
      <w:pPr>
        <w:pStyle w:val="2"/>
        <w:rPr>
          <w:rFonts w:hint="eastAsia"/>
        </w:rPr>
      </w:pPr>
      <w:r>
        <w:rPr>
          <w:rFonts w:hint="eastAsia"/>
        </w:rPr>
        <w:t xml:space="preserve">study aimed to identify determinants of Mycobacterium tuberculosis (MTB) </w:t>
      </w:r>
    </w:p>
    <w:p w14:paraId="3FB9FA6A">
      <w:pPr>
        <w:pStyle w:val="2"/>
        <w:rPr>
          <w:rFonts w:hint="eastAsia"/>
        </w:rPr>
      </w:pPr>
      <w:r>
        <w:rPr>
          <w:rFonts w:hint="eastAsia"/>
        </w:rPr>
        <w:t xml:space="preserve">transmission clustering, treatment outcome, and pulmonary cavitation by </w:t>
      </w:r>
    </w:p>
    <w:p w14:paraId="71484F43">
      <w:pPr>
        <w:pStyle w:val="2"/>
        <w:rPr>
          <w:rFonts w:hint="eastAsia"/>
        </w:rPr>
      </w:pPr>
      <w:r>
        <w:rPr>
          <w:rFonts w:hint="eastAsia"/>
        </w:rPr>
        <w:t xml:space="preserve">simultaneously analyzing host and pathogen genomic data. Whole-genome sequencing </w:t>
      </w:r>
    </w:p>
    <w:p w14:paraId="701C89D9">
      <w:pPr>
        <w:pStyle w:val="2"/>
        <w:rPr>
          <w:rFonts w:hint="eastAsia"/>
        </w:rPr>
      </w:pPr>
      <w:r>
        <w:rPr>
          <w:rFonts w:hint="eastAsia"/>
        </w:rPr>
        <w:t xml:space="preserve">of 1,960 MTB isolates identified four major lineages (L1-L4). Host population </w:t>
      </w:r>
    </w:p>
    <w:p w14:paraId="4D92887F">
      <w:pPr>
        <w:pStyle w:val="2"/>
        <w:rPr>
          <w:rFonts w:hint="eastAsia"/>
        </w:rPr>
      </w:pPr>
      <w:r>
        <w:rPr>
          <w:rFonts w:hint="eastAsia"/>
        </w:rPr>
        <w:t xml:space="preserve">stratification by principal component analysis of genome-wide single nucleotide </w:t>
      </w:r>
    </w:p>
    <w:p w14:paraId="7422C3F1">
      <w:pPr>
        <w:pStyle w:val="2"/>
        <w:rPr>
          <w:rFonts w:hint="eastAsia"/>
        </w:rPr>
      </w:pPr>
      <w:r>
        <w:rPr>
          <w:rFonts w:hint="eastAsia"/>
        </w:rPr>
        <w:t xml:space="preserve">polymorphisms (SNPs) classified 899 patients (70%) into a genetically </w:t>
      </w:r>
    </w:p>
    <w:p w14:paraId="3596725C">
      <w:pPr>
        <w:pStyle w:val="2"/>
        <w:rPr>
          <w:rFonts w:hint="eastAsia"/>
        </w:rPr>
      </w:pPr>
      <w:r>
        <w:rPr>
          <w:rFonts w:hint="eastAsia"/>
        </w:rPr>
        <w:t xml:space="preserve">homogeneous main group for genome-wide association study (GWAS). Multivariate </w:t>
      </w:r>
    </w:p>
    <w:p w14:paraId="4AB208D2">
      <w:pPr>
        <w:pStyle w:val="2"/>
        <w:rPr>
          <w:rFonts w:hint="eastAsia"/>
        </w:rPr>
      </w:pPr>
      <w:r>
        <w:rPr>
          <w:rFonts w:hint="eastAsia"/>
        </w:rPr>
        <w:t xml:space="preserve">regression demonstrated that MTB lineage was the primary determinant of </w:t>
      </w:r>
    </w:p>
    <w:p w14:paraId="61773E55">
      <w:pPr>
        <w:pStyle w:val="2"/>
        <w:rPr>
          <w:rFonts w:hint="eastAsia"/>
        </w:rPr>
      </w:pPr>
      <w:r>
        <w:rPr>
          <w:rFonts w:hint="eastAsia"/>
        </w:rPr>
        <w:t xml:space="preserve">transmission clustering, rifampicin resistance was the dominant predictor of </w:t>
      </w:r>
    </w:p>
    <w:p w14:paraId="68EFF7CF">
      <w:pPr>
        <w:pStyle w:val="2"/>
        <w:rPr>
          <w:rFonts w:hint="eastAsia"/>
        </w:rPr>
      </w:pPr>
      <w:r>
        <w:rPr>
          <w:rFonts w:hint="eastAsia"/>
        </w:rPr>
        <w:t xml:space="preserve">unfavorable treatment outcome, and host genetic group was independently </w:t>
      </w:r>
    </w:p>
    <w:p w14:paraId="0F4940E8">
      <w:pPr>
        <w:pStyle w:val="2"/>
        <w:rPr>
          <w:rFonts w:hint="eastAsia"/>
        </w:rPr>
      </w:pPr>
      <w:r>
        <w:rPr>
          <w:rFonts w:hint="eastAsia"/>
        </w:rPr>
        <w:t xml:space="preserve">associated with pulmonary cavitation. GWAS identified novel loci in collectin </w:t>
      </w:r>
    </w:p>
    <w:p w14:paraId="2CCEE1A4">
      <w:pPr>
        <w:pStyle w:val="2"/>
        <w:rPr>
          <w:rFonts w:hint="eastAsia"/>
        </w:rPr>
      </w:pPr>
      <w:r>
        <w:rPr>
          <w:rFonts w:hint="eastAsia"/>
        </w:rPr>
        <w:t xml:space="preserve">subfamily member 10 (COLEC10), CTNNA3, and long intergenic non-coding RNA 2775 </w:t>
      </w:r>
    </w:p>
    <w:p w14:paraId="3ADCA24A">
      <w:pPr>
        <w:pStyle w:val="2"/>
        <w:rPr>
          <w:rFonts w:hint="eastAsia"/>
        </w:rPr>
      </w:pPr>
      <w:r>
        <w:rPr>
          <w:rFonts w:hint="eastAsia"/>
        </w:rPr>
        <w:t xml:space="preserve">(LINC02775) associated with clustering, treatment outcome, and cavitation, </w:t>
      </w:r>
    </w:p>
    <w:p w14:paraId="4CAFB3D1">
      <w:pPr>
        <w:pStyle w:val="2"/>
        <w:rPr>
          <w:rFonts w:hint="eastAsia"/>
        </w:rPr>
      </w:pPr>
      <w:r>
        <w:rPr>
          <w:rFonts w:hint="eastAsia"/>
        </w:rPr>
        <w:t xml:space="preserve">respectively, with the association of COLEC10 also found in the remaining group </w:t>
      </w:r>
    </w:p>
    <w:p w14:paraId="53AD73C2">
      <w:pPr>
        <w:pStyle w:val="2"/>
        <w:rPr>
          <w:rFonts w:hint="eastAsia"/>
        </w:rPr>
      </w:pPr>
      <w:r>
        <w:rPr>
          <w:rFonts w:hint="eastAsia"/>
        </w:rPr>
        <w:t xml:space="preserve">of patients. These findings highlight the importance of integrating bacterial </w:t>
      </w:r>
    </w:p>
    <w:p w14:paraId="6B3DE1FF">
      <w:pPr>
        <w:pStyle w:val="2"/>
        <w:rPr>
          <w:rFonts w:hint="eastAsia"/>
        </w:rPr>
      </w:pPr>
      <w:r>
        <w:rPr>
          <w:rFonts w:hint="eastAsia"/>
        </w:rPr>
        <w:t>and human genomic analyses to understand tuberculosis host-pathogen interaction.</w:t>
      </w:r>
    </w:p>
    <w:p w14:paraId="265820D7">
      <w:pPr>
        <w:pStyle w:val="2"/>
        <w:rPr>
          <w:rFonts w:hint="eastAsia"/>
        </w:rPr>
      </w:pPr>
    </w:p>
    <w:p w14:paraId="3406BF4C">
      <w:pPr>
        <w:pStyle w:val="2"/>
        <w:rPr>
          <w:rFonts w:hint="eastAsia"/>
        </w:rPr>
      </w:pPr>
      <w:r>
        <w:rPr>
          <w:rFonts w:hint="eastAsia"/>
        </w:rPr>
        <w:t>© 2026 The Author(s).</w:t>
      </w:r>
    </w:p>
    <w:p w14:paraId="567C3BAD">
      <w:pPr>
        <w:pStyle w:val="2"/>
        <w:rPr>
          <w:rFonts w:hint="eastAsia"/>
        </w:rPr>
      </w:pPr>
    </w:p>
    <w:p w14:paraId="23762B91">
      <w:pPr>
        <w:pStyle w:val="2"/>
        <w:rPr>
          <w:rFonts w:hint="eastAsia"/>
        </w:rPr>
      </w:pPr>
      <w:r>
        <w:rPr>
          <w:rFonts w:hint="eastAsia"/>
        </w:rPr>
        <w:t>DOI: 10.1016/j.isci.2026.117699</w:t>
      </w:r>
    </w:p>
    <w:p w14:paraId="5A26AD68">
      <w:pPr>
        <w:pStyle w:val="2"/>
        <w:rPr>
          <w:rFonts w:hint="eastAsia"/>
        </w:rPr>
      </w:pPr>
      <w:r>
        <w:rPr>
          <w:rFonts w:hint="eastAsia"/>
        </w:rPr>
        <w:t>PMCID: PMC13657231</w:t>
      </w:r>
    </w:p>
    <w:p w14:paraId="227BBFC1">
      <w:pPr>
        <w:pStyle w:val="2"/>
        <w:rPr>
          <w:rFonts w:hint="eastAsia"/>
        </w:rPr>
      </w:pPr>
      <w:r>
        <w:rPr>
          <w:rFonts w:hint="eastAsia"/>
        </w:rPr>
        <w:t>PMID: 42866265</w:t>
      </w:r>
    </w:p>
    <w:p w14:paraId="408B4583">
      <w:pPr>
        <w:pStyle w:val="2"/>
        <w:rPr>
          <w:rFonts w:hint="eastAsia"/>
        </w:rPr>
      </w:pPr>
    </w:p>
    <w:p w14:paraId="432D208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43</w:t>
      </w:r>
      <w:r>
        <w:rPr>
          <w:rFonts w:hint="eastAsia"/>
          <w:b/>
          <w:bCs/>
          <w:color w:val="FF0000"/>
        </w:rPr>
        <w:t xml:space="preserve">. IJTLD Open. 2026 Oct 12;3(10):662-669. doi: 10.5588/ijtldopen.25.0600. </w:t>
      </w:r>
    </w:p>
    <w:p w14:paraId="43DB7BE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2F2DB058">
      <w:pPr>
        <w:pStyle w:val="2"/>
        <w:rPr>
          <w:rFonts w:hint="eastAsia"/>
          <w:b/>
          <w:bCs/>
          <w:color w:val="FF0000"/>
        </w:rPr>
      </w:pPr>
    </w:p>
    <w:p w14:paraId="05F532DD">
      <w:pPr>
        <w:pStyle w:val="2"/>
        <w:rPr>
          <w:rFonts w:hint="eastAsia"/>
        </w:rPr>
      </w:pPr>
      <w:r>
        <w:rPr>
          <w:rFonts w:hint="eastAsia"/>
        </w:rPr>
        <w:t xml:space="preserve">Availability of genotypic and phenotypic drug susceptibility testing for </w:t>
      </w:r>
    </w:p>
    <w:p w14:paraId="404AE1C1">
      <w:pPr>
        <w:pStyle w:val="2"/>
        <w:rPr>
          <w:rFonts w:hint="eastAsia"/>
        </w:rPr>
      </w:pPr>
      <w:r>
        <w:rPr>
          <w:rFonts w:hint="eastAsia"/>
        </w:rPr>
        <w:t>Mycobacterium tuberculosis in WHO European Region.</w:t>
      </w:r>
    </w:p>
    <w:p w14:paraId="4059E98D">
      <w:pPr>
        <w:pStyle w:val="2"/>
        <w:rPr>
          <w:rFonts w:hint="eastAsia"/>
        </w:rPr>
      </w:pPr>
    </w:p>
    <w:p w14:paraId="0E40BEB8">
      <w:pPr>
        <w:pStyle w:val="2"/>
        <w:rPr>
          <w:rFonts w:hint="eastAsia"/>
        </w:rPr>
      </w:pPr>
      <w:r>
        <w:rPr>
          <w:rFonts w:hint="eastAsia"/>
        </w:rPr>
        <w:t xml:space="preserve">Köser CU(1)(2), Paspaliari DK(2)(3), Cabibbe AM(4), Cirillo DM(2)(4), Yedilbayev </w:t>
      </w:r>
    </w:p>
    <w:p w14:paraId="5ABCD18F">
      <w:pPr>
        <w:pStyle w:val="2"/>
        <w:rPr>
          <w:rFonts w:hint="eastAsia"/>
        </w:rPr>
      </w:pPr>
      <w:r>
        <w:rPr>
          <w:rFonts w:hint="eastAsia"/>
        </w:rPr>
        <w:t>A(5), Ehsani S(2)(3).</w:t>
      </w:r>
    </w:p>
    <w:p w14:paraId="3833A518">
      <w:pPr>
        <w:pStyle w:val="2"/>
        <w:rPr>
          <w:rFonts w:hint="eastAsia"/>
        </w:rPr>
      </w:pPr>
    </w:p>
    <w:p w14:paraId="26B14C9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B0A8226">
      <w:pPr>
        <w:pStyle w:val="2"/>
        <w:rPr>
          <w:rFonts w:hint="eastAsia"/>
        </w:rPr>
      </w:pPr>
      <w:r>
        <w:rPr>
          <w:rFonts w:hint="eastAsia"/>
        </w:rPr>
        <w:t>(1)Department of Genetics, University of Cambridge, Cambridge, UK.</w:t>
      </w:r>
    </w:p>
    <w:p w14:paraId="3C4F7B01">
      <w:pPr>
        <w:pStyle w:val="2"/>
        <w:rPr>
          <w:rFonts w:hint="eastAsia"/>
        </w:rPr>
      </w:pPr>
      <w:r>
        <w:rPr>
          <w:rFonts w:hint="eastAsia"/>
        </w:rPr>
        <w:t xml:space="preserve">(2)European Laboratory Initiative on TB, HIV and Viral Hepatitis, WHO Regional </w:t>
      </w:r>
    </w:p>
    <w:p w14:paraId="31DE53A9">
      <w:pPr>
        <w:pStyle w:val="2"/>
        <w:rPr>
          <w:rFonts w:hint="eastAsia"/>
        </w:rPr>
      </w:pPr>
      <w:r>
        <w:rPr>
          <w:rFonts w:hint="eastAsia"/>
        </w:rPr>
        <w:t>Office for Europe, Copenhagen, Denmark.</w:t>
      </w:r>
    </w:p>
    <w:p w14:paraId="43417FA2">
      <w:pPr>
        <w:pStyle w:val="2"/>
        <w:rPr>
          <w:rFonts w:hint="eastAsia"/>
        </w:rPr>
      </w:pPr>
      <w:r>
        <w:rPr>
          <w:rFonts w:hint="eastAsia"/>
        </w:rPr>
        <w:t xml:space="preserve">(3)Joint Infectious Diseases Unit, Division of Communicable Diseases, </w:t>
      </w:r>
    </w:p>
    <w:p w14:paraId="50E4BE4A">
      <w:pPr>
        <w:pStyle w:val="2"/>
        <w:rPr>
          <w:rFonts w:hint="eastAsia"/>
        </w:rPr>
      </w:pPr>
      <w:r>
        <w:rPr>
          <w:rFonts w:hint="eastAsia"/>
        </w:rPr>
        <w:t>Environment and Health, WHO Regional Office for Europe, Copenhagen, Denmark.</w:t>
      </w:r>
    </w:p>
    <w:p w14:paraId="1D1D02CD">
      <w:pPr>
        <w:pStyle w:val="2"/>
        <w:rPr>
          <w:rFonts w:hint="eastAsia"/>
        </w:rPr>
      </w:pPr>
      <w:r>
        <w:rPr>
          <w:rFonts w:hint="eastAsia"/>
        </w:rPr>
        <w:t xml:space="preserve">(4)Emerging Bacterial Pathogens Unit, IRCCS San Raffaele Scientific Institute, </w:t>
      </w:r>
    </w:p>
    <w:p w14:paraId="02218B87">
      <w:pPr>
        <w:pStyle w:val="2"/>
        <w:rPr>
          <w:rFonts w:hint="eastAsia"/>
        </w:rPr>
      </w:pPr>
      <w:r>
        <w:rPr>
          <w:rFonts w:hint="eastAsia"/>
        </w:rPr>
        <w:t>Milan, Italy.</w:t>
      </w:r>
    </w:p>
    <w:p w14:paraId="23AF7143">
      <w:pPr>
        <w:pStyle w:val="2"/>
        <w:rPr>
          <w:rFonts w:hint="eastAsia"/>
        </w:rPr>
      </w:pPr>
      <w:r>
        <w:rPr>
          <w:rFonts w:hint="eastAsia"/>
        </w:rPr>
        <w:t xml:space="preserve">(5)Pandemic Threats, Communicable Diseases and Antimicrobial Resistance Unit, </w:t>
      </w:r>
    </w:p>
    <w:p w14:paraId="1B9172AD">
      <w:pPr>
        <w:pStyle w:val="2"/>
        <w:rPr>
          <w:rFonts w:hint="eastAsia"/>
        </w:rPr>
      </w:pPr>
      <w:r>
        <w:rPr>
          <w:rFonts w:hint="eastAsia"/>
        </w:rPr>
        <w:t>Health Security Division, WHO Regional Office for Europe, Copenhagen, Denmark.</w:t>
      </w:r>
    </w:p>
    <w:p w14:paraId="1D815213">
      <w:pPr>
        <w:pStyle w:val="2"/>
        <w:rPr>
          <w:rFonts w:hint="eastAsia"/>
        </w:rPr>
      </w:pPr>
    </w:p>
    <w:p w14:paraId="73AB6500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The WHO European Region has the highest rates of drug-resistant TB </w:t>
      </w:r>
    </w:p>
    <w:p w14:paraId="4024941A">
      <w:pPr>
        <w:pStyle w:val="2"/>
        <w:rPr>
          <w:rFonts w:hint="eastAsia"/>
        </w:rPr>
      </w:pPr>
      <w:r>
        <w:rPr>
          <w:rFonts w:hint="eastAsia"/>
        </w:rPr>
        <w:t xml:space="preserve">globally. Therefore, we studied the availability of genotypic and phenotypic </w:t>
      </w:r>
    </w:p>
    <w:p w14:paraId="7C1927D6">
      <w:pPr>
        <w:pStyle w:val="2"/>
        <w:rPr>
          <w:rFonts w:hint="eastAsia"/>
        </w:rPr>
      </w:pPr>
      <w:r>
        <w:rPr>
          <w:rFonts w:hint="eastAsia"/>
        </w:rPr>
        <w:t xml:space="preserve">drug susceptibility testing (DST), including targeted next-generation sequencing </w:t>
      </w:r>
    </w:p>
    <w:p w14:paraId="1BE4C9D5">
      <w:pPr>
        <w:pStyle w:val="2"/>
        <w:rPr>
          <w:rFonts w:hint="eastAsia"/>
        </w:rPr>
      </w:pPr>
      <w:r>
        <w:rPr>
          <w:rFonts w:hint="eastAsia"/>
        </w:rPr>
        <w:t>and whole genome sequencing, for first- and second-line drugs.</w:t>
      </w:r>
    </w:p>
    <w:p w14:paraId="24F9FDB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METHOD: </w:t>
      </w:r>
      <w:r>
        <w:rPr>
          <w:rFonts w:hint="eastAsia"/>
        </w:rPr>
        <w:t xml:space="preserve">In 2024, the results of an online survey completed by national and </w:t>
      </w:r>
    </w:p>
    <w:p w14:paraId="2B86F4D2">
      <w:pPr>
        <w:pStyle w:val="2"/>
        <w:rPr>
          <w:rFonts w:hint="eastAsia"/>
        </w:rPr>
      </w:pPr>
      <w:r>
        <w:rPr>
          <w:rFonts w:hint="eastAsia"/>
        </w:rPr>
        <w:t xml:space="preserve">supranational reference laboratories (or equivalent) of 53 countries, </w:t>
      </w:r>
    </w:p>
    <w:p w14:paraId="396B2C09">
      <w:pPr>
        <w:pStyle w:val="2"/>
        <w:rPr>
          <w:rFonts w:hint="eastAsia"/>
        </w:rPr>
      </w:pPr>
      <w:r>
        <w:rPr>
          <w:rFonts w:hint="eastAsia"/>
        </w:rPr>
        <w:t xml:space="preserve">territories, and areas of the WHO European Region were reviewed. The </w:t>
      </w:r>
    </w:p>
    <w:p w14:paraId="7674FA79">
      <w:pPr>
        <w:pStyle w:val="2"/>
        <w:rPr>
          <w:rFonts w:hint="eastAsia"/>
        </w:rPr>
      </w:pPr>
      <w:r>
        <w:rPr>
          <w:rFonts w:hint="eastAsia"/>
        </w:rPr>
        <w:t xml:space="preserve">availability of DST was analysed using three denominators: 1) the number of </w:t>
      </w:r>
    </w:p>
    <w:p w14:paraId="09EC3396">
      <w:pPr>
        <w:pStyle w:val="2"/>
        <w:rPr>
          <w:rFonts w:hint="eastAsia"/>
        </w:rPr>
      </w:pPr>
      <w:r>
        <w:rPr>
          <w:rFonts w:hint="eastAsia"/>
        </w:rPr>
        <w:t xml:space="preserve">countries, territories, and areas for all drugs; 2) the estimated 2024 TB </w:t>
      </w:r>
    </w:p>
    <w:p w14:paraId="3EB9B447">
      <w:pPr>
        <w:pStyle w:val="2"/>
        <w:rPr>
          <w:rFonts w:hint="eastAsia"/>
        </w:rPr>
      </w:pPr>
      <w:r>
        <w:rPr>
          <w:rFonts w:hint="eastAsia"/>
        </w:rPr>
        <w:t xml:space="preserve">incidence for first-line drugs, including fluoroquinolones; and 3) the estimated </w:t>
      </w:r>
    </w:p>
    <w:p w14:paraId="50B1A44F">
      <w:pPr>
        <w:pStyle w:val="2"/>
        <w:rPr>
          <w:rFonts w:hint="eastAsia"/>
        </w:rPr>
      </w:pPr>
      <w:r>
        <w:rPr>
          <w:rFonts w:hint="eastAsia"/>
        </w:rPr>
        <w:t>2024 rifampicin-resistant TB incidence for the remaining drugs.</w:t>
      </w:r>
    </w:p>
    <w:p w14:paraId="5560568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The most important gap in the availability of DST was for pretomanid, </w:t>
      </w:r>
    </w:p>
    <w:p w14:paraId="19F4EF32">
      <w:pPr>
        <w:pStyle w:val="2"/>
        <w:rPr>
          <w:rFonts w:hint="eastAsia"/>
        </w:rPr>
      </w:pPr>
      <w:r>
        <w:rPr>
          <w:rFonts w:hint="eastAsia"/>
        </w:rPr>
        <w:t xml:space="preserve">the most recently approved anti-TB drug: phenotypic DST was only available for </w:t>
      </w:r>
    </w:p>
    <w:p w14:paraId="22CCC5BA">
      <w:pPr>
        <w:pStyle w:val="2"/>
        <w:rPr>
          <w:rFonts w:hint="eastAsia"/>
        </w:rPr>
      </w:pPr>
      <w:r>
        <w:rPr>
          <w:rFonts w:hint="eastAsia"/>
        </w:rPr>
        <w:t xml:space="preserve">4% of the estimated incident cases of rifampicin-resistant TB in countries where </w:t>
      </w:r>
    </w:p>
    <w:p w14:paraId="61CDC7D5">
      <w:pPr>
        <w:pStyle w:val="2"/>
        <w:rPr>
          <w:rFonts w:hint="eastAsia"/>
        </w:rPr>
      </w:pPr>
      <w:r>
        <w:rPr>
          <w:rFonts w:hint="eastAsia"/>
        </w:rPr>
        <w:t xml:space="preserve">pretomanid is approved or used programmatically. This contrasted with an </w:t>
      </w:r>
    </w:p>
    <w:p w14:paraId="057DA732">
      <w:pPr>
        <w:pStyle w:val="2"/>
        <w:rPr>
          <w:rFonts w:hint="eastAsia"/>
        </w:rPr>
      </w:pPr>
      <w:r>
        <w:rPr>
          <w:rFonts w:hint="eastAsia"/>
        </w:rPr>
        <w:t xml:space="preserve">availability of phenotypic DST of &gt;98% for bedaquiline, delamanid, and </w:t>
      </w:r>
    </w:p>
    <w:p w14:paraId="6D466FBD">
      <w:pPr>
        <w:pStyle w:val="2"/>
        <w:rPr>
          <w:rFonts w:hint="eastAsia"/>
        </w:rPr>
      </w:pPr>
      <w:r>
        <w:rPr>
          <w:rFonts w:hint="eastAsia"/>
        </w:rPr>
        <w:t>linezolid.</w:t>
      </w:r>
    </w:p>
    <w:p w14:paraId="2EBD863C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The delay between the introduction of novel drugs and the </w:t>
      </w:r>
    </w:p>
    <w:p w14:paraId="378B7836">
      <w:pPr>
        <w:pStyle w:val="2"/>
        <w:rPr>
          <w:rFonts w:hint="eastAsia"/>
        </w:rPr>
      </w:pPr>
      <w:r>
        <w:rPr>
          <w:rFonts w:hint="eastAsia"/>
        </w:rPr>
        <w:t xml:space="preserve">availability of robust DST services should be minimised to avoid intrinsic and </w:t>
      </w:r>
    </w:p>
    <w:p w14:paraId="299E5307">
      <w:pPr>
        <w:pStyle w:val="2"/>
        <w:rPr>
          <w:rFonts w:hint="eastAsia"/>
        </w:rPr>
      </w:pPr>
      <w:r>
        <w:rPr>
          <w:rFonts w:hint="eastAsia"/>
        </w:rPr>
        <w:t>selected resistance to novel drugs going unnoticed.</w:t>
      </w:r>
    </w:p>
    <w:p w14:paraId="16D24BE6">
      <w:pPr>
        <w:pStyle w:val="2"/>
        <w:rPr>
          <w:rFonts w:hint="eastAsia"/>
        </w:rPr>
      </w:pPr>
    </w:p>
    <w:p w14:paraId="5C6EF3F4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32555913">
      <w:pPr>
        <w:pStyle w:val="2"/>
        <w:rPr>
          <w:rFonts w:hint="eastAsia"/>
        </w:rPr>
      </w:pPr>
    </w:p>
    <w:p w14:paraId="3FA3B896">
      <w:pPr>
        <w:pStyle w:val="2"/>
        <w:rPr>
          <w:rFonts w:hint="eastAsia"/>
        </w:rPr>
      </w:pPr>
      <w:r>
        <w:rPr>
          <w:rFonts w:hint="eastAsia"/>
        </w:rPr>
        <w:t>DOI: 10.5588/ijtldopen.25.0600</w:t>
      </w:r>
    </w:p>
    <w:p w14:paraId="06CC3B23">
      <w:pPr>
        <w:pStyle w:val="2"/>
        <w:rPr>
          <w:rFonts w:hint="eastAsia"/>
        </w:rPr>
      </w:pPr>
      <w:r>
        <w:rPr>
          <w:rFonts w:hint="eastAsia"/>
        </w:rPr>
        <w:t>PMCID: PMC13657020</w:t>
      </w:r>
    </w:p>
    <w:p w14:paraId="418B1270">
      <w:pPr>
        <w:pStyle w:val="2"/>
        <w:rPr>
          <w:rFonts w:hint="eastAsia"/>
        </w:rPr>
      </w:pPr>
      <w:r>
        <w:rPr>
          <w:rFonts w:hint="eastAsia"/>
        </w:rPr>
        <w:t>PMID: 42866176</w:t>
      </w:r>
    </w:p>
    <w:p w14:paraId="66270F36">
      <w:pPr>
        <w:pStyle w:val="2"/>
        <w:rPr>
          <w:rFonts w:hint="eastAsia"/>
        </w:rPr>
      </w:pPr>
    </w:p>
    <w:p w14:paraId="646AD8C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44</w:t>
      </w:r>
      <w:r>
        <w:rPr>
          <w:rFonts w:hint="eastAsia"/>
          <w:b/>
          <w:bCs/>
          <w:color w:val="FF0000"/>
        </w:rPr>
        <w:t xml:space="preserve">. IJTLD Open. 2026 Oct 12;3(10):647-652. doi: 10.5588/ijtldopen.26.0270. </w:t>
      </w:r>
    </w:p>
    <w:p w14:paraId="6C2CD51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5214AE51">
      <w:pPr>
        <w:pStyle w:val="2"/>
        <w:rPr>
          <w:rFonts w:hint="eastAsia"/>
        </w:rPr>
      </w:pPr>
    </w:p>
    <w:p w14:paraId="4D51150E">
      <w:pPr>
        <w:pStyle w:val="2"/>
        <w:rPr>
          <w:rFonts w:hint="eastAsia"/>
        </w:rPr>
      </w:pPr>
      <w:r>
        <w:rPr>
          <w:rFonts w:hint="eastAsia"/>
        </w:rPr>
        <w:t xml:space="preserve">Projected detection of active pulmonary TB through the Japan pre-entry TB </w:t>
      </w:r>
    </w:p>
    <w:p w14:paraId="763E406E">
      <w:pPr>
        <w:pStyle w:val="2"/>
        <w:rPr>
          <w:rFonts w:hint="eastAsia"/>
        </w:rPr>
      </w:pPr>
      <w:r>
        <w:rPr>
          <w:rFonts w:hint="eastAsia"/>
        </w:rPr>
        <w:t>screening programme.</w:t>
      </w:r>
    </w:p>
    <w:p w14:paraId="31B0B36B">
      <w:pPr>
        <w:pStyle w:val="2"/>
        <w:rPr>
          <w:rFonts w:hint="eastAsia"/>
        </w:rPr>
      </w:pPr>
    </w:p>
    <w:p w14:paraId="14068564">
      <w:pPr>
        <w:pStyle w:val="2"/>
        <w:rPr>
          <w:rFonts w:hint="eastAsia"/>
        </w:rPr>
      </w:pPr>
      <w:r>
        <w:rPr>
          <w:rFonts w:hint="eastAsia"/>
        </w:rPr>
        <w:t>Ohkado A(1)(2)(3), Lee S(1)(2), Yamada N(3).</w:t>
      </w:r>
    </w:p>
    <w:p w14:paraId="3E3E6E20">
      <w:pPr>
        <w:pStyle w:val="2"/>
        <w:rPr>
          <w:rFonts w:hint="eastAsia"/>
        </w:rPr>
      </w:pPr>
    </w:p>
    <w:p w14:paraId="5D32B1E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66E85C1">
      <w:pPr>
        <w:pStyle w:val="2"/>
        <w:rPr>
          <w:rFonts w:hint="eastAsia"/>
        </w:rPr>
      </w:pPr>
      <w:r>
        <w:rPr>
          <w:rFonts w:hint="eastAsia"/>
        </w:rPr>
        <w:t xml:space="preserve">(1)Department of Epidemiology and Clinical Research, Research Institute of </w:t>
      </w:r>
    </w:p>
    <w:p w14:paraId="35273677">
      <w:pPr>
        <w:pStyle w:val="2"/>
        <w:rPr>
          <w:rFonts w:hint="eastAsia"/>
        </w:rPr>
      </w:pPr>
      <w:r>
        <w:rPr>
          <w:rFonts w:hint="eastAsia"/>
        </w:rPr>
        <w:t>Tuberculosis (RIT), Japan Anti-Tuberculosis Association (JATA), Tokyo, Japan.</w:t>
      </w:r>
    </w:p>
    <w:p w14:paraId="093A8E4D">
      <w:pPr>
        <w:pStyle w:val="2"/>
        <w:rPr>
          <w:rFonts w:hint="eastAsia"/>
        </w:rPr>
      </w:pPr>
      <w:r>
        <w:rPr>
          <w:rFonts w:hint="eastAsia"/>
        </w:rPr>
        <w:t xml:space="preserve">(2)Centre for JPETS Quality Assessment, Research Institute of Tuberculosis </w:t>
      </w:r>
    </w:p>
    <w:p w14:paraId="63EE57F0">
      <w:pPr>
        <w:pStyle w:val="2"/>
        <w:rPr>
          <w:rFonts w:hint="eastAsia"/>
        </w:rPr>
      </w:pPr>
      <w:r>
        <w:rPr>
          <w:rFonts w:hint="eastAsia"/>
        </w:rPr>
        <w:t>(RIT), Japan Anti-Tuberculosis Association (JATA), Tokyo, Japan.</w:t>
      </w:r>
    </w:p>
    <w:p w14:paraId="3258025C">
      <w:pPr>
        <w:pStyle w:val="2"/>
        <w:rPr>
          <w:rFonts w:hint="eastAsia"/>
        </w:rPr>
      </w:pPr>
      <w:r>
        <w:rPr>
          <w:rFonts w:hint="eastAsia"/>
        </w:rPr>
        <w:t xml:space="preserve">(3)Centre for International Cooperation and Global TB Information, Research </w:t>
      </w:r>
    </w:p>
    <w:p w14:paraId="6C44654C">
      <w:pPr>
        <w:pStyle w:val="2"/>
        <w:rPr>
          <w:rFonts w:hint="eastAsia"/>
        </w:rPr>
      </w:pPr>
      <w:r>
        <w:rPr>
          <w:rFonts w:hint="eastAsia"/>
        </w:rPr>
        <w:t xml:space="preserve">Institute of Tuberculosis (RIT), Japan Anti-Tuberculosis Association (JATA), </w:t>
      </w:r>
    </w:p>
    <w:p w14:paraId="1482AACB">
      <w:pPr>
        <w:pStyle w:val="2"/>
        <w:rPr>
          <w:rFonts w:hint="eastAsia"/>
        </w:rPr>
      </w:pPr>
      <w:r>
        <w:rPr>
          <w:rFonts w:hint="eastAsia"/>
        </w:rPr>
        <w:t>Tokyo, Japan.</w:t>
      </w:r>
    </w:p>
    <w:p w14:paraId="6D812DF6">
      <w:pPr>
        <w:pStyle w:val="2"/>
        <w:rPr>
          <w:rFonts w:hint="eastAsia"/>
        </w:rPr>
      </w:pPr>
    </w:p>
    <w:p w14:paraId="608D7FB2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This study aimed to estimate the number of bacteriologically </w:t>
      </w:r>
    </w:p>
    <w:p w14:paraId="0FA49841">
      <w:pPr>
        <w:pStyle w:val="2"/>
        <w:rPr>
          <w:rFonts w:hint="eastAsia"/>
        </w:rPr>
      </w:pPr>
      <w:r>
        <w:rPr>
          <w:rFonts w:hint="eastAsia"/>
        </w:rPr>
        <w:t xml:space="preserve">confirmed pulmonary TB (BC-PTB) cases expected to be detected and the number </w:t>
      </w:r>
    </w:p>
    <w:p w14:paraId="28E0ADC0">
      <w:pPr>
        <w:pStyle w:val="2"/>
        <w:rPr>
          <w:rFonts w:hint="eastAsia"/>
        </w:rPr>
      </w:pPr>
      <w:r>
        <w:rPr>
          <w:rFonts w:hint="eastAsia"/>
        </w:rPr>
        <w:t xml:space="preserve">needed to screen (NNS) to detect one BC-PTB case by the Japan Pre-entry </w:t>
      </w:r>
    </w:p>
    <w:p w14:paraId="596ECAFF">
      <w:pPr>
        <w:pStyle w:val="2"/>
        <w:rPr>
          <w:rFonts w:hint="eastAsia"/>
        </w:rPr>
      </w:pPr>
      <w:r>
        <w:rPr>
          <w:rFonts w:hint="eastAsia"/>
        </w:rPr>
        <w:t>Tuberculosis Screening (JPETS) programme.</w:t>
      </w:r>
    </w:p>
    <w:p w14:paraId="5432AB00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This descriptive study estimated the number of cases with BC-PTB to be </w:t>
      </w:r>
    </w:p>
    <w:p w14:paraId="2801FC4E">
      <w:pPr>
        <w:pStyle w:val="2"/>
        <w:rPr>
          <w:rFonts w:hint="eastAsia"/>
        </w:rPr>
      </w:pPr>
      <w:r>
        <w:rPr>
          <w:rFonts w:hint="eastAsia"/>
        </w:rPr>
        <w:t xml:space="preserve">detected and the NNS required to detect one case using the JPETS programme, </w:t>
      </w:r>
    </w:p>
    <w:p w14:paraId="1BD7E0AC">
      <w:pPr>
        <w:pStyle w:val="2"/>
        <w:rPr>
          <w:rFonts w:hint="eastAsia"/>
        </w:rPr>
      </w:pPr>
      <w:r>
        <w:rPr>
          <w:rFonts w:hint="eastAsia"/>
        </w:rPr>
        <w:t xml:space="preserve">based on national TB prevalence survey data from the six JPETS target Asian </w:t>
      </w:r>
    </w:p>
    <w:p w14:paraId="1C4D81E8">
      <w:pPr>
        <w:pStyle w:val="2"/>
        <w:rPr>
          <w:rFonts w:hint="eastAsia"/>
        </w:rPr>
      </w:pPr>
      <w:r>
        <w:rPr>
          <w:rFonts w:hint="eastAsia"/>
        </w:rPr>
        <w:t>countries and immigration statistics in Japan.</w:t>
      </w:r>
    </w:p>
    <w:p w14:paraId="14CAA13E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Among JPETS applicants, the estimated total number of BC-PTB cases </w:t>
      </w:r>
    </w:p>
    <w:p w14:paraId="1A3F10C7">
      <w:pPr>
        <w:pStyle w:val="2"/>
        <w:rPr>
          <w:rFonts w:hint="eastAsia"/>
        </w:rPr>
      </w:pPr>
      <w:r>
        <w:rPr>
          <w:rFonts w:hint="eastAsia"/>
        </w:rPr>
        <w:t xml:space="preserve">diagnosed per year was 1,997 (95% confidence interval [CI]: 1,910-2,086) when </w:t>
      </w:r>
    </w:p>
    <w:p w14:paraId="6140A218">
      <w:pPr>
        <w:pStyle w:val="2"/>
        <w:rPr>
          <w:rFonts w:hint="eastAsia"/>
        </w:rPr>
      </w:pPr>
      <w:r>
        <w:rPr>
          <w:rFonts w:hint="eastAsia"/>
        </w:rPr>
        <w:t xml:space="preserve">adjusted for sex and 1,323 (95% CI: 1,253-1,396) when adjusted for age group. </w:t>
      </w:r>
    </w:p>
    <w:p w14:paraId="5287B2AA">
      <w:pPr>
        <w:pStyle w:val="2"/>
        <w:rPr>
          <w:rFonts w:hint="eastAsia"/>
        </w:rPr>
      </w:pPr>
      <w:r>
        <w:rPr>
          <w:rFonts w:hint="eastAsia"/>
        </w:rPr>
        <w:t xml:space="preserve">The estimated NNS to identify one BC-PTB case was 227 cases (95% CI: 217-237) </w:t>
      </w:r>
    </w:p>
    <w:p w14:paraId="236F3E5D">
      <w:pPr>
        <w:pStyle w:val="2"/>
        <w:rPr>
          <w:rFonts w:hint="eastAsia"/>
        </w:rPr>
      </w:pPr>
      <w:r>
        <w:rPr>
          <w:rFonts w:hint="eastAsia"/>
        </w:rPr>
        <w:t>when adjusted for sex and 319 cases (95% CI: 302-337) when adjusted for age.</w:t>
      </w:r>
    </w:p>
    <w:p w14:paraId="35C3353E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The JPETS is projected to identify approximately 1,300 BC-PTB cases </w:t>
      </w:r>
    </w:p>
    <w:p w14:paraId="68759B72">
      <w:pPr>
        <w:pStyle w:val="2"/>
        <w:rPr>
          <w:rFonts w:hint="eastAsia"/>
        </w:rPr>
      </w:pPr>
      <w:r>
        <w:rPr>
          <w:rFonts w:hint="eastAsia"/>
        </w:rPr>
        <w:t xml:space="preserve">per year across six Asian countries. When selecting countries for JPETS, </w:t>
      </w:r>
    </w:p>
    <w:p w14:paraId="438B81D9">
      <w:pPr>
        <w:pStyle w:val="2"/>
        <w:rPr>
          <w:rFonts w:hint="eastAsia"/>
        </w:rPr>
      </w:pPr>
      <w:r>
        <w:rPr>
          <w:rFonts w:hint="eastAsia"/>
        </w:rPr>
        <w:t xml:space="preserve">consideration of both the number of TB cases in Japan and the TB prevalence in </w:t>
      </w:r>
    </w:p>
    <w:p w14:paraId="04BE5D7A">
      <w:pPr>
        <w:pStyle w:val="2"/>
        <w:rPr>
          <w:rFonts w:hint="eastAsia"/>
        </w:rPr>
      </w:pPr>
      <w:r>
        <w:rPr>
          <w:rFonts w:hint="eastAsia"/>
        </w:rPr>
        <w:t>target countries may enhance screening effectiveness.</w:t>
      </w:r>
    </w:p>
    <w:p w14:paraId="5401FC70">
      <w:pPr>
        <w:pStyle w:val="2"/>
        <w:rPr>
          <w:rFonts w:hint="eastAsia"/>
        </w:rPr>
      </w:pPr>
    </w:p>
    <w:p w14:paraId="483C1BF5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6A29C8CD">
      <w:pPr>
        <w:pStyle w:val="2"/>
        <w:rPr>
          <w:rFonts w:hint="eastAsia"/>
        </w:rPr>
      </w:pPr>
    </w:p>
    <w:p w14:paraId="6BCE6A82">
      <w:pPr>
        <w:pStyle w:val="2"/>
        <w:rPr>
          <w:rFonts w:hint="eastAsia"/>
        </w:rPr>
      </w:pPr>
      <w:r>
        <w:rPr>
          <w:rFonts w:hint="eastAsia"/>
        </w:rPr>
        <w:t>DOI: 10.5588/ijtldopen.26.0270</w:t>
      </w:r>
    </w:p>
    <w:p w14:paraId="1CABB857">
      <w:pPr>
        <w:pStyle w:val="2"/>
        <w:rPr>
          <w:rFonts w:hint="eastAsia"/>
        </w:rPr>
      </w:pPr>
      <w:r>
        <w:rPr>
          <w:rFonts w:hint="eastAsia"/>
        </w:rPr>
        <w:t>PMCID: PMC13657019</w:t>
      </w:r>
    </w:p>
    <w:p w14:paraId="472A9405">
      <w:pPr>
        <w:pStyle w:val="2"/>
        <w:rPr>
          <w:rFonts w:hint="eastAsia"/>
        </w:rPr>
      </w:pPr>
      <w:r>
        <w:rPr>
          <w:rFonts w:hint="eastAsia"/>
        </w:rPr>
        <w:t>PMID: 42866154</w:t>
      </w:r>
    </w:p>
    <w:p w14:paraId="16BD4ED6">
      <w:pPr>
        <w:pStyle w:val="2"/>
        <w:rPr>
          <w:rFonts w:hint="eastAsia"/>
        </w:rPr>
      </w:pPr>
    </w:p>
    <w:p w14:paraId="7505992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45</w:t>
      </w:r>
      <w:r>
        <w:rPr>
          <w:rFonts w:hint="eastAsia"/>
          <w:b/>
          <w:bCs/>
          <w:color w:val="FF0000"/>
        </w:rPr>
        <w:t xml:space="preserve">. IJTLD Open. 2026 Oct 12;3(10):640-646. doi: 10.5588/ijtldopen.26.0237. </w:t>
      </w:r>
    </w:p>
    <w:p w14:paraId="641A1D2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788E279C">
      <w:pPr>
        <w:pStyle w:val="2"/>
        <w:rPr>
          <w:rFonts w:hint="eastAsia"/>
        </w:rPr>
      </w:pPr>
    </w:p>
    <w:p w14:paraId="13FA8235">
      <w:pPr>
        <w:pStyle w:val="2"/>
        <w:rPr>
          <w:rFonts w:hint="eastAsia"/>
        </w:rPr>
      </w:pPr>
      <w:r>
        <w:rPr>
          <w:rFonts w:hint="eastAsia"/>
        </w:rPr>
        <w:t>Managing TB infection among household contacts of patients with pulmonary TB.</w:t>
      </w:r>
    </w:p>
    <w:p w14:paraId="44D42EB3">
      <w:pPr>
        <w:pStyle w:val="2"/>
        <w:rPr>
          <w:rFonts w:hint="eastAsia"/>
        </w:rPr>
      </w:pPr>
    </w:p>
    <w:p w14:paraId="579F2C9F">
      <w:pPr>
        <w:pStyle w:val="2"/>
        <w:rPr>
          <w:rFonts w:hint="eastAsia"/>
        </w:rPr>
      </w:pPr>
      <w:r>
        <w:rPr>
          <w:rFonts w:hint="eastAsia"/>
        </w:rPr>
        <w:t xml:space="preserve">Kalra A(1), Das M(1), ThekkePurakkal AS(1), Showket T(1), Raj S(1), Prakash </w:t>
      </w:r>
    </w:p>
    <w:p w14:paraId="0F0FA21D">
      <w:pPr>
        <w:pStyle w:val="2"/>
        <w:rPr>
          <w:rFonts w:hint="eastAsia"/>
        </w:rPr>
      </w:pPr>
      <w:r>
        <w:rPr>
          <w:rFonts w:hint="eastAsia"/>
        </w:rPr>
        <w:t xml:space="preserve">S(2), Dasari R(3), Solanki H(4), Rao R(5), Dhawan V(5), Yassin MA(6), Chadha </w:t>
      </w:r>
    </w:p>
    <w:p w14:paraId="494166C2">
      <w:pPr>
        <w:pStyle w:val="2"/>
        <w:rPr>
          <w:rFonts w:hint="eastAsia"/>
        </w:rPr>
      </w:pPr>
      <w:r>
        <w:rPr>
          <w:rFonts w:hint="eastAsia"/>
        </w:rPr>
        <w:t>SS(7), Singh UB(5).</w:t>
      </w:r>
    </w:p>
    <w:p w14:paraId="71B61F20">
      <w:pPr>
        <w:pStyle w:val="2"/>
        <w:rPr>
          <w:rFonts w:hint="eastAsia"/>
        </w:rPr>
      </w:pPr>
    </w:p>
    <w:p w14:paraId="7C9D266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C63A41A">
      <w:pPr>
        <w:pStyle w:val="2"/>
        <w:rPr>
          <w:rFonts w:hint="eastAsia"/>
        </w:rPr>
      </w:pPr>
      <w:r>
        <w:rPr>
          <w:rFonts w:hint="eastAsia"/>
        </w:rPr>
        <w:t>(1)FIND, New Delhi, India.</w:t>
      </w:r>
    </w:p>
    <w:p w14:paraId="2BF89A92">
      <w:pPr>
        <w:pStyle w:val="2"/>
        <w:rPr>
          <w:rFonts w:hint="eastAsia"/>
        </w:rPr>
      </w:pPr>
      <w:r>
        <w:rPr>
          <w:rFonts w:hint="eastAsia"/>
        </w:rPr>
        <w:t>(2)Karnataka Health Promotion Trust, Bengaluru, Karnataka, India.</w:t>
      </w:r>
    </w:p>
    <w:p w14:paraId="5EC02F1A">
      <w:pPr>
        <w:pStyle w:val="2"/>
        <w:rPr>
          <w:rFonts w:hint="eastAsia"/>
        </w:rPr>
      </w:pPr>
      <w:r>
        <w:rPr>
          <w:rFonts w:hint="eastAsia"/>
        </w:rPr>
        <w:t>(3)TB Alert India, Secunderabad, Telangana, India.</w:t>
      </w:r>
    </w:p>
    <w:p w14:paraId="458C8F41">
      <w:pPr>
        <w:pStyle w:val="2"/>
        <w:rPr>
          <w:rFonts w:hint="eastAsia"/>
        </w:rPr>
      </w:pPr>
      <w:r>
        <w:rPr>
          <w:rFonts w:hint="eastAsia"/>
        </w:rPr>
        <w:t>(4)Central TB Division, WHO NTEP Technical Support Network, New Delhi, India.</w:t>
      </w:r>
    </w:p>
    <w:p w14:paraId="1BE7C881">
      <w:pPr>
        <w:pStyle w:val="2"/>
        <w:rPr>
          <w:rFonts w:hint="eastAsia"/>
        </w:rPr>
      </w:pPr>
      <w:r>
        <w:rPr>
          <w:rFonts w:hint="eastAsia"/>
        </w:rPr>
        <w:t>(5)Central TB Division, Ministry of Health and Family Welfare, New Delhi, India.</w:t>
      </w:r>
    </w:p>
    <w:p w14:paraId="519F3247">
      <w:pPr>
        <w:pStyle w:val="2"/>
        <w:rPr>
          <w:rFonts w:hint="eastAsia"/>
        </w:rPr>
      </w:pPr>
      <w:r>
        <w:rPr>
          <w:rFonts w:hint="eastAsia"/>
        </w:rPr>
        <w:t>(6)The Global Fund to Fight AIDS, Tuberculosis and Malaria, Geneva, Switzerland.</w:t>
      </w:r>
    </w:p>
    <w:p w14:paraId="61A70E2F">
      <w:pPr>
        <w:pStyle w:val="2"/>
        <w:rPr>
          <w:rFonts w:hint="eastAsia"/>
        </w:rPr>
      </w:pPr>
      <w:r>
        <w:rPr>
          <w:rFonts w:hint="eastAsia"/>
        </w:rPr>
        <w:t>(7)FIND, Geneva, Switzerland.</w:t>
      </w:r>
    </w:p>
    <w:p w14:paraId="3B897424">
      <w:pPr>
        <w:pStyle w:val="2"/>
        <w:rPr>
          <w:rFonts w:hint="eastAsia"/>
        </w:rPr>
      </w:pPr>
    </w:p>
    <w:p w14:paraId="2FC6708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One third of India's population has TB infection (TBI) with 10% at </w:t>
      </w:r>
    </w:p>
    <w:p w14:paraId="1E6C5145">
      <w:pPr>
        <w:pStyle w:val="2"/>
        <w:rPr>
          <w:rFonts w:hint="eastAsia"/>
        </w:rPr>
      </w:pPr>
      <w:r>
        <w:rPr>
          <w:rFonts w:hint="eastAsia"/>
        </w:rPr>
        <w:t xml:space="preserve">risk of developing TB disease. A multi-centric TBI initiative for household </w:t>
      </w:r>
    </w:p>
    <w:p w14:paraId="5EBE7467">
      <w:pPr>
        <w:pStyle w:val="2"/>
        <w:rPr>
          <w:rFonts w:hint="eastAsia"/>
        </w:rPr>
      </w:pPr>
      <w:r>
        <w:rPr>
          <w:rFonts w:hint="eastAsia"/>
        </w:rPr>
        <w:t>contacts (HHCs) of people with pulmonary TB (PTB) was implemented.</w:t>
      </w:r>
    </w:p>
    <w:p w14:paraId="5E5AAA86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The project Joint Effort for Elimination of TB was implemented in </w:t>
      </w:r>
    </w:p>
    <w:p w14:paraId="710EA467">
      <w:pPr>
        <w:pStyle w:val="2"/>
        <w:rPr>
          <w:rFonts w:hint="eastAsia"/>
        </w:rPr>
      </w:pPr>
      <w:r>
        <w:rPr>
          <w:rFonts w:hint="eastAsia"/>
        </w:rPr>
        <w:t xml:space="preserve">collaboration with India's National TB Elimination Programme from April 2021 to </w:t>
      </w:r>
    </w:p>
    <w:p w14:paraId="2CC84A9B">
      <w:pPr>
        <w:pStyle w:val="2"/>
        <w:rPr>
          <w:rFonts w:hint="eastAsia"/>
        </w:rPr>
      </w:pPr>
      <w:r>
        <w:rPr>
          <w:rFonts w:hint="eastAsia"/>
        </w:rPr>
        <w:t xml:space="preserve">March 2024. This included doorstep ruling out of TB disease, screening HHCs for </w:t>
      </w:r>
    </w:p>
    <w:p w14:paraId="08D1600D">
      <w:pPr>
        <w:pStyle w:val="2"/>
        <w:rPr>
          <w:rFonts w:hint="eastAsia"/>
        </w:rPr>
      </w:pPr>
      <w:r>
        <w:rPr>
          <w:rFonts w:hint="eastAsia"/>
        </w:rPr>
        <w:t>TBI, provision of TB preventive treatment (TPT), and adverse events management.</w:t>
      </w:r>
    </w:p>
    <w:p w14:paraId="7EB529B7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Of the 151,890 notified patients with PTB, 138,812 (91%) could be </w:t>
      </w:r>
    </w:p>
    <w:p w14:paraId="4775547D">
      <w:pPr>
        <w:pStyle w:val="2"/>
        <w:rPr>
          <w:rFonts w:hint="eastAsia"/>
        </w:rPr>
      </w:pPr>
      <w:r>
        <w:rPr>
          <w:rFonts w:hint="eastAsia"/>
        </w:rPr>
        <w:t xml:space="preserve">contacted. Of these, 112,687 (74%) consented to home visits and 94,621 (63%) </w:t>
      </w:r>
    </w:p>
    <w:p w14:paraId="044C2F5D">
      <w:pPr>
        <w:pStyle w:val="2"/>
        <w:rPr>
          <w:rFonts w:hint="eastAsia"/>
        </w:rPr>
      </w:pPr>
      <w:r>
        <w:rPr>
          <w:rFonts w:hint="eastAsia"/>
        </w:rPr>
        <w:t xml:space="preserve">households were visited. During the visits, 403,923 HHCs were identified, of </w:t>
      </w:r>
    </w:p>
    <w:p w14:paraId="569BCFCF">
      <w:pPr>
        <w:pStyle w:val="2"/>
        <w:rPr>
          <w:rFonts w:hint="eastAsia"/>
        </w:rPr>
      </w:pPr>
      <w:r>
        <w:rPr>
          <w:rFonts w:hint="eastAsia"/>
        </w:rPr>
        <w:t xml:space="preserve">whom 398,822 (99%) were screened for TBI; 310,605 (77%) consented and 253,885 </w:t>
      </w:r>
    </w:p>
    <w:p w14:paraId="60BD2003">
      <w:pPr>
        <w:pStyle w:val="2"/>
        <w:rPr>
          <w:rFonts w:hint="eastAsia"/>
        </w:rPr>
      </w:pPr>
      <w:r>
        <w:rPr>
          <w:rFonts w:hint="eastAsia"/>
        </w:rPr>
        <w:t xml:space="preserve">(63%) initiated on TPT. Adverse events were reported by 3% HHCs with no serious </w:t>
      </w:r>
    </w:p>
    <w:p w14:paraId="45639AAC">
      <w:pPr>
        <w:pStyle w:val="2"/>
        <w:rPr>
          <w:rFonts w:hint="eastAsia"/>
        </w:rPr>
      </w:pPr>
      <w:r>
        <w:rPr>
          <w:rFonts w:hint="eastAsia"/>
        </w:rPr>
        <w:t xml:space="preserve">episodes. Of the eligible 148,715 HHCs on TPT, 130,304 (88%) completed with an </w:t>
      </w:r>
    </w:p>
    <w:p w14:paraId="25C0B294">
      <w:pPr>
        <w:pStyle w:val="2"/>
        <w:rPr>
          <w:rFonts w:hint="eastAsia"/>
        </w:rPr>
      </w:pPr>
      <w:r>
        <w:rPr>
          <w:rFonts w:hint="eastAsia"/>
        </w:rPr>
        <w:t>increasing trend in the TPT completion.</w:t>
      </w:r>
    </w:p>
    <w:p w14:paraId="36567D1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This community-based model for TBI management is feasible and </w:t>
      </w:r>
    </w:p>
    <w:p w14:paraId="180209F7">
      <w:pPr>
        <w:pStyle w:val="2"/>
        <w:rPr>
          <w:rFonts w:hint="eastAsia"/>
        </w:rPr>
      </w:pPr>
      <w:r>
        <w:rPr>
          <w:rFonts w:hint="eastAsia"/>
        </w:rPr>
        <w:t xml:space="preserve">effective. High screening and treatment completion rates alongside minimal </w:t>
      </w:r>
    </w:p>
    <w:p w14:paraId="3E4D93C9">
      <w:pPr>
        <w:pStyle w:val="2"/>
        <w:rPr>
          <w:rFonts w:hint="eastAsia"/>
        </w:rPr>
      </w:pPr>
      <w:r>
        <w:rPr>
          <w:rFonts w:hint="eastAsia"/>
        </w:rPr>
        <w:t xml:space="preserve">adverse events prove this strategy is scalable and replicable for other </w:t>
      </w:r>
    </w:p>
    <w:p w14:paraId="311AF292">
      <w:pPr>
        <w:pStyle w:val="2"/>
        <w:rPr>
          <w:rFonts w:hint="eastAsia"/>
        </w:rPr>
      </w:pPr>
      <w:r>
        <w:rPr>
          <w:rFonts w:hint="eastAsia"/>
        </w:rPr>
        <w:t>high-burden settings worldwide.</w:t>
      </w:r>
    </w:p>
    <w:p w14:paraId="10D0B7D6">
      <w:pPr>
        <w:pStyle w:val="2"/>
        <w:rPr>
          <w:rFonts w:hint="eastAsia"/>
        </w:rPr>
      </w:pPr>
    </w:p>
    <w:p w14:paraId="15D29C1C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1B1C6BB7">
      <w:pPr>
        <w:pStyle w:val="2"/>
        <w:rPr>
          <w:rFonts w:hint="eastAsia"/>
        </w:rPr>
      </w:pPr>
    </w:p>
    <w:p w14:paraId="772421A1">
      <w:pPr>
        <w:pStyle w:val="2"/>
        <w:rPr>
          <w:rFonts w:hint="eastAsia"/>
        </w:rPr>
      </w:pPr>
      <w:r>
        <w:rPr>
          <w:rFonts w:hint="eastAsia"/>
        </w:rPr>
        <w:t>DOI: 10.5588/ijtldopen.26.0237</w:t>
      </w:r>
    </w:p>
    <w:p w14:paraId="4EFC6AC5">
      <w:pPr>
        <w:pStyle w:val="2"/>
        <w:rPr>
          <w:rFonts w:hint="eastAsia"/>
        </w:rPr>
      </w:pPr>
      <w:r>
        <w:rPr>
          <w:rFonts w:hint="eastAsia"/>
        </w:rPr>
        <w:t>PMCID: PMC13657030</w:t>
      </w:r>
    </w:p>
    <w:p w14:paraId="3B99F7AE">
      <w:pPr>
        <w:pStyle w:val="2"/>
        <w:rPr>
          <w:rFonts w:hint="eastAsia"/>
        </w:rPr>
      </w:pPr>
      <w:r>
        <w:rPr>
          <w:rFonts w:hint="eastAsia"/>
        </w:rPr>
        <w:t>PMID: 42866151</w:t>
      </w:r>
    </w:p>
    <w:p w14:paraId="2A53CB3E">
      <w:pPr>
        <w:pStyle w:val="2"/>
        <w:rPr>
          <w:rFonts w:hint="eastAsia"/>
        </w:rPr>
      </w:pPr>
    </w:p>
    <w:p w14:paraId="6C60833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46</w:t>
      </w:r>
      <w:r>
        <w:rPr>
          <w:rFonts w:hint="eastAsia"/>
          <w:b/>
          <w:bCs/>
          <w:color w:val="FF0000"/>
        </w:rPr>
        <w:t xml:space="preserve">. IJTLD Open. 2026 Oct 12;3(10):677-680. doi: 10.5588/ijtldopen.26.0182. </w:t>
      </w:r>
    </w:p>
    <w:p w14:paraId="7B6D99F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25841D83">
      <w:pPr>
        <w:pStyle w:val="2"/>
        <w:rPr>
          <w:rFonts w:hint="eastAsia"/>
        </w:rPr>
      </w:pPr>
    </w:p>
    <w:p w14:paraId="79C29955">
      <w:pPr>
        <w:pStyle w:val="2"/>
        <w:rPr>
          <w:rFonts w:hint="eastAsia"/>
        </w:rPr>
      </w:pPr>
      <w:r>
        <w:rPr>
          <w:rFonts w:hint="eastAsia"/>
        </w:rPr>
        <w:t xml:space="preserve">Diagnostic accuracy of Pluslife MiniDock MTB on tongue swabs in sputum-scarce </w:t>
      </w:r>
    </w:p>
    <w:p w14:paraId="1CAE76D9">
      <w:pPr>
        <w:pStyle w:val="2"/>
        <w:rPr>
          <w:rFonts w:hint="eastAsia"/>
        </w:rPr>
      </w:pPr>
      <w:r>
        <w:rPr>
          <w:rFonts w:hint="eastAsia"/>
        </w:rPr>
        <w:t>people with presumptive TB.</w:t>
      </w:r>
    </w:p>
    <w:p w14:paraId="046B0397">
      <w:pPr>
        <w:pStyle w:val="2"/>
        <w:rPr>
          <w:rFonts w:hint="eastAsia"/>
        </w:rPr>
      </w:pPr>
    </w:p>
    <w:p w14:paraId="72404867">
      <w:pPr>
        <w:pStyle w:val="2"/>
        <w:rPr>
          <w:rFonts w:hint="eastAsia"/>
        </w:rPr>
      </w:pPr>
      <w:r>
        <w:rPr>
          <w:rFonts w:hint="eastAsia"/>
        </w:rPr>
        <w:t xml:space="preserve">Rockman L(1)(2), Abdulgader SM(1)(2), Minnies S(1)(2), Naidoo D(1)(2), Chiwaya </w:t>
      </w:r>
    </w:p>
    <w:p w14:paraId="45D9905A">
      <w:pPr>
        <w:pStyle w:val="2"/>
        <w:rPr>
          <w:rFonts w:hint="eastAsia"/>
        </w:rPr>
      </w:pPr>
      <w:r>
        <w:rPr>
          <w:rFonts w:hint="eastAsia"/>
        </w:rPr>
        <w:t>AM(1)(2), Nwamba W(1)(2), Okunola A(1)(2), Theron G(1)(2).</w:t>
      </w:r>
    </w:p>
    <w:p w14:paraId="03310500">
      <w:pPr>
        <w:pStyle w:val="2"/>
        <w:rPr>
          <w:rFonts w:hint="eastAsia"/>
        </w:rPr>
      </w:pPr>
    </w:p>
    <w:p w14:paraId="345CE7B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9B59BAB">
      <w:pPr>
        <w:pStyle w:val="2"/>
        <w:rPr>
          <w:rFonts w:hint="eastAsia"/>
        </w:rPr>
      </w:pPr>
      <w:r>
        <w:rPr>
          <w:rFonts w:hint="eastAsia"/>
        </w:rPr>
        <w:t xml:space="preserve">(1)DSI-NRF Centre of Excellence for Biomedical Tuberculosis Research, South </w:t>
      </w:r>
    </w:p>
    <w:p w14:paraId="28B8EF88">
      <w:pPr>
        <w:pStyle w:val="2"/>
        <w:rPr>
          <w:rFonts w:hint="eastAsia"/>
        </w:rPr>
      </w:pPr>
      <w:r>
        <w:rPr>
          <w:rFonts w:hint="eastAsia"/>
        </w:rPr>
        <w:t xml:space="preserve">African Medical Research Council Centre for Tuberculosis Research, Division of </w:t>
      </w:r>
    </w:p>
    <w:p w14:paraId="16312343">
      <w:pPr>
        <w:pStyle w:val="2"/>
        <w:rPr>
          <w:rFonts w:hint="eastAsia"/>
        </w:rPr>
      </w:pPr>
      <w:r>
        <w:rPr>
          <w:rFonts w:hint="eastAsia"/>
        </w:rPr>
        <w:t xml:space="preserve">Molecular Biology and Human Genetics, Faculty of Medicine and Health Sciences, </w:t>
      </w:r>
    </w:p>
    <w:p w14:paraId="744FC888">
      <w:pPr>
        <w:pStyle w:val="2"/>
        <w:rPr>
          <w:rFonts w:hint="eastAsia"/>
        </w:rPr>
      </w:pPr>
      <w:r>
        <w:rPr>
          <w:rFonts w:hint="eastAsia"/>
        </w:rPr>
        <w:t>Stellenbosch University, Stellenbosch, South Africa.</w:t>
      </w:r>
    </w:p>
    <w:p w14:paraId="02D67C3E">
      <w:pPr>
        <w:pStyle w:val="2"/>
        <w:rPr>
          <w:rFonts w:hint="eastAsia"/>
        </w:rPr>
      </w:pPr>
      <w:r>
        <w:rPr>
          <w:rFonts w:hint="eastAsia"/>
        </w:rPr>
        <w:t xml:space="preserve">(2)Biomedical Research Institute (BMRI), Faculty of Medicine and Health </w:t>
      </w:r>
    </w:p>
    <w:p w14:paraId="34BB3B61">
      <w:pPr>
        <w:pStyle w:val="2"/>
        <w:rPr>
          <w:rFonts w:hint="eastAsia"/>
        </w:rPr>
      </w:pPr>
      <w:r>
        <w:rPr>
          <w:rFonts w:hint="eastAsia"/>
        </w:rPr>
        <w:t>Sciences, Stellenbosch University, Cape Town, South Africa.</w:t>
      </w:r>
    </w:p>
    <w:p w14:paraId="54E41EBF">
      <w:pPr>
        <w:pStyle w:val="2"/>
        <w:rPr>
          <w:rFonts w:hint="eastAsia"/>
        </w:rPr>
      </w:pPr>
    </w:p>
    <w:p w14:paraId="143AD124">
      <w:pPr>
        <w:pStyle w:val="2"/>
        <w:rPr>
          <w:rFonts w:hint="eastAsia"/>
        </w:rPr>
      </w:pPr>
      <w:r>
        <w:rPr>
          <w:rFonts w:hint="eastAsia"/>
        </w:rPr>
        <w:t>DOI: 10.5588/ijtldopen.26.0182</w:t>
      </w:r>
    </w:p>
    <w:p w14:paraId="39F89140">
      <w:pPr>
        <w:pStyle w:val="2"/>
        <w:rPr>
          <w:rFonts w:hint="eastAsia"/>
        </w:rPr>
      </w:pPr>
      <w:r>
        <w:rPr>
          <w:rFonts w:hint="eastAsia"/>
        </w:rPr>
        <w:t>PMCID: PMC13657029</w:t>
      </w:r>
    </w:p>
    <w:p w14:paraId="4DF47533">
      <w:pPr>
        <w:pStyle w:val="2"/>
        <w:rPr>
          <w:rFonts w:hint="eastAsia"/>
        </w:rPr>
      </w:pPr>
      <w:r>
        <w:rPr>
          <w:rFonts w:hint="eastAsia"/>
        </w:rPr>
        <w:t>PMID: 42866147</w:t>
      </w:r>
    </w:p>
    <w:p w14:paraId="657B7CA2">
      <w:pPr>
        <w:pStyle w:val="2"/>
        <w:rPr>
          <w:rFonts w:hint="eastAsia"/>
        </w:rPr>
      </w:pPr>
    </w:p>
    <w:p w14:paraId="358F984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47</w:t>
      </w:r>
      <w:r>
        <w:rPr>
          <w:rFonts w:hint="eastAsia"/>
          <w:b/>
          <w:bCs/>
          <w:color w:val="FF0000"/>
        </w:rPr>
        <w:t xml:space="preserve">. IJTLD Open. 2026 Oct 12;3(10):653-661. doi: 10.5588/ijtldopen.26.0210. </w:t>
      </w:r>
    </w:p>
    <w:p w14:paraId="32D8CE0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24CE047E">
      <w:pPr>
        <w:pStyle w:val="2"/>
        <w:rPr>
          <w:rFonts w:hint="eastAsia"/>
        </w:rPr>
      </w:pPr>
    </w:p>
    <w:p w14:paraId="027484F9">
      <w:pPr>
        <w:pStyle w:val="2"/>
        <w:rPr>
          <w:rFonts w:hint="eastAsia"/>
        </w:rPr>
      </w:pPr>
      <w:r>
        <w:rPr>
          <w:rFonts w:hint="eastAsia"/>
        </w:rPr>
        <w:t>Asymptomatic and symptomatic recurrence of TB among cured pulmonary TB patients.</w:t>
      </w:r>
    </w:p>
    <w:p w14:paraId="2227CA37">
      <w:pPr>
        <w:pStyle w:val="2"/>
        <w:rPr>
          <w:rFonts w:hint="eastAsia"/>
        </w:rPr>
      </w:pPr>
    </w:p>
    <w:p w14:paraId="28B746C4">
      <w:pPr>
        <w:pStyle w:val="2"/>
        <w:rPr>
          <w:rFonts w:hint="eastAsia"/>
        </w:rPr>
      </w:pPr>
      <w:r>
        <w:rPr>
          <w:rFonts w:hint="eastAsia"/>
        </w:rPr>
        <w:t xml:space="preserve">Paradkar M(1)(2), Gaikwad S(3), Padmapriyadarsini C(4), Naik M(1)(2), Pradhan </w:t>
      </w:r>
    </w:p>
    <w:p w14:paraId="718EC2FB">
      <w:pPr>
        <w:pStyle w:val="2"/>
        <w:rPr>
          <w:rFonts w:hint="eastAsia"/>
        </w:rPr>
      </w:pPr>
      <w:r>
        <w:rPr>
          <w:rFonts w:hint="eastAsia"/>
        </w:rPr>
        <w:t xml:space="preserve">N(1)(2), Karyakarte R(3), Sahasrabudhe T(5), Lokhande R(3), Deshmukh S(1)(2), </w:t>
      </w:r>
    </w:p>
    <w:p w14:paraId="2D35E007">
      <w:pPr>
        <w:pStyle w:val="2"/>
        <w:rPr>
          <w:rFonts w:hint="eastAsia"/>
        </w:rPr>
      </w:pPr>
      <w:r>
        <w:rPr>
          <w:rFonts w:hint="eastAsia"/>
        </w:rPr>
        <w:t xml:space="preserve">Barthwal M(5), Raskar S(1)(2), Thiruvengadam K(4), Kakrani A(5), Krishnan S(6), </w:t>
      </w:r>
    </w:p>
    <w:p w14:paraId="6BE1F681">
      <w:pPr>
        <w:pStyle w:val="2"/>
        <w:rPr>
          <w:rFonts w:hint="eastAsia"/>
        </w:rPr>
      </w:pPr>
      <w:r>
        <w:rPr>
          <w:rFonts w:hint="eastAsia"/>
        </w:rPr>
        <w:t xml:space="preserve">Gupte A(7), Gupta A(2)(6), Gupte N(1)(2)(6), Golub JE(2)(6), Kendall EA(6), Mave </w:t>
      </w:r>
    </w:p>
    <w:p w14:paraId="467F98EE">
      <w:pPr>
        <w:pStyle w:val="2"/>
        <w:rPr>
          <w:rFonts w:hint="eastAsia"/>
        </w:rPr>
      </w:pPr>
      <w:r>
        <w:rPr>
          <w:rFonts w:hint="eastAsia"/>
        </w:rPr>
        <w:t>V(1)(2)(6); TBDM-CTRIUMPh-RePORT India Study Team.</w:t>
      </w:r>
    </w:p>
    <w:p w14:paraId="38B326A8">
      <w:pPr>
        <w:pStyle w:val="2"/>
        <w:rPr>
          <w:rFonts w:hint="eastAsia"/>
        </w:rPr>
      </w:pPr>
    </w:p>
    <w:p w14:paraId="656D7A9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5883ED5">
      <w:pPr>
        <w:pStyle w:val="2"/>
        <w:rPr>
          <w:rFonts w:hint="eastAsia"/>
        </w:rPr>
      </w:pPr>
      <w:r>
        <w:rPr>
          <w:rFonts w:hint="eastAsia"/>
        </w:rPr>
        <w:t xml:space="preserve">(1)BJ Government Medical College-Johns Hopkins Clinical Research Site, Pune, </w:t>
      </w:r>
    </w:p>
    <w:p w14:paraId="25959FD1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5C739ED6">
      <w:pPr>
        <w:pStyle w:val="2"/>
        <w:rPr>
          <w:rFonts w:hint="eastAsia"/>
        </w:rPr>
      </w:pPr>
      <w:r>
        <w:rPr>
          <w:rFonts w:hint="eastAsia"/>
        </w:rPr>
        <w:t>(2)Johns Hopkins Center for Infectious Diseases in India, Pune, India.</w:t>
      </w:r>
    </w:p>
    <w:p w14:paraId="1905ECF8">
      <w:pPr>
        <w:pStyle w:val="2"/>
        <w:rPr>
          <w:rFonts w:hint="eastAsia"/>
        </w:rPr>
      </w:pPr>
      <w:r>
        <w:rPr>
          <w:rFonts w:hint="eastAsia"/>
        </w:rPr>
        <w:t>(3)BJ Government Medical College and Sassoon General Hospitals, Pune, India.</w:t>
      </w:r>
    </w:p>
    <w:p w14:paraId="16B455BE">
      <w:pPr>
        <w:pStyle w:val="2"/>
        <w:rPr>
          <w:rFonts w:hint="eastAsia"/>
        </w:rPr>
      </w:pPr>
      <w:r>
        <w:rPr>
          <w:rFonts w:hint="eastAsia"/>
        </w:rPr>
        <w:t xml:space="preserve">(4)Indian Council of Medical Research, National Institute for Research in </w:t>
      </w:r>
    </w:p>
    <w:p w14:paraId="4D2D53AE">
      <w:pPr>
        <w:pStyle w:val="2"/>
        <w:rPr>
          <w:rFonts w:hint="eastAsia"/>
        </w:rPr>
      </w:pPr>
      <w:r>
        <w:rPr>
          <w:rFonts w:hint="eastAsia"/>
        </w:rPr>
        <w:t>Tuberculosis, Chennai, India.</w:t>
      </w:r>
    </w:p>
    <w:p w14:paraId="6B4C8158">
      <w:pPr>
        <w:pStyle w:val="2"/>
        <w:rPr>
          <w:rFonts w:hint="eastAsia"/>
        </w:rPr>
      </w:pPr>
      <w:r>
        <w:rPr>
          <w:rFonts w:hint="eastAsia"/>
        </w:rPr>
        <w:t>(5)Dr. D.Y. Patil Medical College, Hospital &amp; Research Centre, Pune, India.</w:t>
      </w:r>
    </w:p>
    <w:p w14:paraId="684FE3EA">
      <w:pPr>
        <w:pStyle w:val="2"/>
        <w:rPr>
          <w:rFonts w:hint="eastAsia"/>
        </w:rPr>
      </w:pPr>
      <w:r>
        <w:rPr>
          <w:rFonts w:hint="eastAsia"/>
        </w:rPr>
        <w:t>(6)Johns Hopkins University School of Medicine, Baltimore, MD, USA.</w:t>
      </w:r>
    </w:p>
    <w:p w14:paraId="58FD411F">
      <w:pPr>
        <w:pStyle w:val="2"/>
        <w:rPr>
          <w:rFonts w:hint="eastAsia"/>
        </w:rPr>
      </w:pPr>
      <w:r>
        <w:rPr>
          <w:rFonts w:hint="eastAsia"/>
        </w:rPr>
        <w:t>(7)Boston University School of Public Health, Boston, MA, USA.</w:t>
      </w:r>
    </w:p>
    <w:p w14:paraId="3CC7037E">
      <w:pPr>
        <w:pStyle w:val="2"/>
        <w:rPr>
          <w:rFonts w:hint="eastAsia"/>
        </w:rPr>
      </w:pPr>
    </w:p>
    <w:p w14:paraId="69F1AA8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Asymptomatic pulmonary TB (PTB), including asymptomatic recurrence, </w:t>
      </w:r>
    </w:p>
    <w:p w14:paraId="61FA2AEE">
      <w:pPr>
        <w:pStyle w:val="2"/>
        <w:rPr>
          <w:rFonts w:hint="eastAsia"/>
        </w:rPr>
      </w:pPr>
      <w:r>
        <w:rPr>
          <w:rFonts w:hint="eastAsia"/>
        </w:rPr>
        <w:t>has emerged as a potential contributor to TB transmission.</w:t>
      </w:r>
    </w:p>
    <w:p w14:paraId="3870687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Participants ≥14 years old from two Indian cohorts with </w:t>
      </w:r>
    </w:p>
    <w:p w14:paraId="76C7A69E">
      <w:pPr>
        <w:pStyle w:val="2"/>
        <w:rPr>
          <w:rFonts w:hint="eastAsia"/>
        </w:rPr>
      </w:pPr>
      <w:r>
        <w:rPr>
          <w:rFonts w:hint="eastAsia"/>
        </w:rPr>
        <w:t xml:space="preserve">culture-confirmed, drug-sensitive PTB and an outcome of cure were followed up </w:t>
      </w:r>
    </w:p>
    <w:p w14:paraId="65B93095">
      <w:pPr>
        <w:pStyle w:val="2"/>
        <w:rPr>
          <w:rFonts w:hint="eastAsia"/>
        </w:rPr>
      </w:pPr>
      <w:r>
        <w:rPr>
          <w:rFonts w:hint="eastAsia"/>
        </w:rPr>
        <w:t xml:space="preserve">for up to 18 months post treatment completion. We calculated the cumulative </w:t>
      </w:r>
    </w:p>
    <w:p w14:paraId="442894C8">
      <w:pPr>
        <w:pStyle w:val="2"/>
        <w:rPr>
          <w:rFonts w:hint="eastAsia"/>
        </w:rPr>
      </w:pPr>
      <w:r>
        <w:rPr>
          <w:rFonts w:hint="eastAsia"/>
        </w:rPr>
        <w:t xml:space="preserve">incidence and timing of symptomatic TB recurrence and the prevalence of </w:t>
      </w:r>
    </w:p>
    <w:p w14:paraId="5F4DD6B2">
      <w:pPr>
        <w:pStyle w:val="2"/>
        <w:rPr>
          <w:rFonts w:hint="eastAsia"/>
        </w:rPr>
      </w:pPr>
      <w:r>
        <w:rPr>
          <w:rFonts w:hint="eastAsia"/>
        </w:rPr>
        <w:t xml:space="preserve">asymptomatic recurrence at two screening time points, and performed </w:t>
      </w:r>
    </w:p>
    <w:p w14:paraId="4B991EF6">
      <w:pPr>
        <w:pStyle w:val="2"/>
        <w:rPr>
          <w:rFonts w:hint="eastAsia"/>
        </w:rPr>
      </w:pPr>
      <w:r>
        <w:rPr>
          <w:rFonts w:hint="eastAsia"/>
        </w:rPr>
        <w:t>Cox-regression analysis.</w:t>
      </w:r>
    </w:p>
    <w:p w14:paraId="55E49F1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Of 713 culture-confirmed PTB and cure, 60 (8%) experienced confirmed TB </w:t>
      </w:r>
    </w:p>
    <w:p w14:paraId="348676E4">
      <w:pPr>
        <w:pStyle w:val="2"/>
        <w:rPr>
          <w:rFonts w:hint="eastAsia"/>
        </w:rPr>
      </w:pPr>
      <w:r>
        <w:rPr>
          <w:rFonts w:hint="eastAsia"/>
        </w:rPr>
        <w:t xml:space="preserve">recurrence (cumulative incidence: 8.7 [95% confidence interval (CI): </w:t>
      </w:r>
    </w:p>
    <w:p w14:paraId="58842F59">
      <w:pPr>
        <w:pStyle w:val="2"/>
        <w:rPr>
          <w:rFonts w:hint="eastAsia"/>
        </w:rPr>
      </w:pPr>
      <w:r>
        <w:rPr>
          <w:rFonts w:hint="eastAsia"/>
        </w:rPr>
        <w:t xml:space="preserve">6.6-11.2]/100 person-years), including 40 (66.7%) symptomatic and 20 (33.3%) </w:t>
      </w:r>
    </w:p>
    <w:p w14:paraId="4919DC40">
      <w:pPr>
        <w:pStyle w:val="2"/>
        <w:rPr>
          <w:rFonts w:hint="eastAsia"/>
        </w:rPr>
      </w:pPr>
      <w:r>
        <w:rPr>
          <w:rFonts w:hint="eastAsia"/>
        </w:rPr>
        <w:t xml:space="preserve">asymptomatic recurrences. At study visits with scheduled sputum testing, 22 of </w:t>
      </w:r>
    </w:p>
    <w:p w14:paraId="3911F5BB">
      <w:pPr>
        <w:pStyle w:val="2"/>
        <w:rPr>
          <w:rFonts w:hint="eastAsia"/>
        </w:rPr>
      </w:pPr>
      <w:r>
        <w:rPr>
          <w:rFonts w:hint="eastAsia"/>
        </w:rPr>
        <w:t xml:space="preserve">35 (63%) TB recurrences diagnosed were asymptomatic at the time of diagnosis. </w:t>
      </w:r>
    </w:p>
    <w:p w14:paraId="3E4DCE2E">
      <w:pPr>
        <w:pStyle w:val="2"/>
        <w:rPr>
          <w:rFonts w:hint="eastAsia"/>
        </w:rPr>
      </w:pPr>
      <w:r>
        <w:rPr>
          <w:rFonts w:hint="eastAsia"/>
        </w:rPr>
        <w:t xml:space="preserve">Undernutrition was an independent risk factor for overall TB recurrence </w:t>
      </w:r>
    </w:p>
    <w:p w14:paraId="407A484E">
      <w:pPr>
        <w:pStyle w:val="2"/>
        <w:rPr>
          <w:rFonts w:hint="eastAsia"/>
        </w:rPr>
      </w:pPr>
      <w:r>
        <w:rPr>
          <w:rFonts w:hint="eastAsia"/>
        </w:rPr>
        <w:t xml:space="preserve">(adjusted hazard ratio [aHR] 2.1, 95% CI: 1.1-4.0, P = 0.03). Symptomatic </w:t>
      </w:r>
    </w:p>
    <w:p w14:paraId="1F5FA0FB">
      <w:pPr>
        <w:pStyle w:val="2"/>
        <w:rPr>
          <w:rFonts w:hint="eastAsia"/>
        </w:rPr>
      </w:pPr>
      <w:r>
        <w:rPr>
          <w:rFonts w:hint="eastAsia"/>
        </w:rPr>
        <w:t xml:space="preserve">recurrences were associated with age &gt; 35 years (aHR 2.5, 95% CI: 1.3-5.0, P = </w:t>
      </w:r>
    </w:p>
    <w:p w14:paraId="46AC21A2">
      <w:pPr>
        <w:pStyle w:val="2"/>
        <w:rPr>
          <w:rFonts w:hint="eastAsia"/>
        </w:rPr>
      </w:pPr>
      <w:r>
        <w:rPr>
          <w:rFonts w:hint="eastAsia"/>
        </w:rPr>
        <w:t xml:space="preserve">0.01), while the risk of asymptomatic recurrences was higher in the age-group of </w:t>
      </w:r>
    </w:p>
    <w:p w14:paraId="56E3AB56">
      <w:pPr>
        <w:pStyle w:val="2"/>
        <w:rPr>
          <w:rFonts w:hint="eastAsia"/>
        </w:rPr>
      </w:pPr>
      <w:r>
        <w:rPr>
          <w:rFonts w:hint="eastAsia"/>
        </w:rPr>
        <w:t>14-35 years (aHR 2.8, 95% CI: 0.8-9.8, P = 0.10).</w:t>
      </w:r>
    </w:p>
    <w:p w14:paraId="5069FDB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Among cured PTB patients, 8.4% experienced recurrent TB and one </w:t>
      </w:r>
    </w:p>
    <w:p w14:paraId="66EB48BF">
      <w:pPr>
        <w:pStyle w:val="2"/>
        <w:rPr>
          <w:rFonts w:hint="eastAsia"/>
        </w:rPr>
      </w:pPr>
      <w:r>
        <w:rPr>
          <w:rFonts w:hint="eastAsia"/>
        </w:rPr>
        <w:t xml:space="preserve">third of recurrences were asymptomatic at diagnosis, highlighting a public </w:t>
      </w:r>
    </w:p>
    <w:p w14:paraId="13998F67">
      <w:pPr>
        <w:pStyle w:val="2"/>
        <w:rPr>
          <w:rFonts w:hint="eastAsia"/>
        </w:rPr>
      </w:pPr>
      <w:r>
        <w:rPr>
          <w:rFonts w:hint="eastAsia"/>
        </w:rPr>
        <w:t xml:space="preserve">health concern due to substantial hidden burden of recurrent TB disease in </w:t>
      </w:r>
    </w:p>
    <w:p w14:paraId="1302E9D6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11B195AC">
      <w:pPr>
        <w:pStyle w:val="2"/>
        <w:rPr>
          <w:rFonts w:hint="eastAsia"/>
        </w:rPr>
      </w:pPr>
    </w:p>
    <w:p w14:paraId="3F37D075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6CB3829D">
      <w:pPr>
        <w:pStyle w:val="2"/>
        <w:rPr>
          <w:rFonts w:hint="eastAsia"/>
        </w:rPr>
      </w:pPr>
    </w:p>
    <w:p w14:paraId="05759D54">
      <w:pPr>
        <w:pStyle w:val="2"/>
        <w:rPr>
          <w:rFonts w:hint="eastAsia"/>
        </w:rPr>
      </w:pPr>
      <w:r>
        <w:rPr>
          <w:rFonts w:hint="eastAsia"/>
        </w:rPr>
        <w:t>DOI: 10.5588/ijtldopen.26.0210</w:t>
      </w:r>
    </w:p>
    <w:p w14:paraId="75A9575A">
      <w:pPr>
        <w:pStyle w:val="2"/>
        <w:rPr>
          <w:rFonts w:hint="eastAsia"/>
        </w:rPr>
      </w:pPr>
      <w:r>
        <w:rPr>
          <w:rFonts w:hint="eastAsia"/>
        </w:rPr>
        <w:t>PMCID: PMC13657022</w:t>
      </w:r>
    </w:p>
    <w:p w14:paraId="267D8EFE">
      <w:pPr>
        <w:pStyle w:val="2"/>
        <w:rPr>
          <w:rFonts w:hint="eastAsia"/>
        </w:rPr>
      </w:pPr>
      <w:r>
        <w:rPr>
          <w:rFonts w:hint="eastAsia"/>
        </w:rPr>
        <w:t>PMID: 42866145</w:t>
      </w:r>
    </w:p>
    <w:p w14:paraId="239EBB45">
      <w:pPr>
        <w:pStyle w:val="2"/>
        <w:rPr>
          <w:rFonts w:hint="eastAsia"/>
        </w:rPr>
      </w:pPr>
    </w:p>
    <w:p w14:paraId="218D08C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48</w:t>
      </w:r>
      <w:r>
        <w:rPr>
          <w:rFonts w:hint="eastAsia"/>
          <w:b/>
          <w:bCs/>
          <w:color w:val="FF0000"/>
        </w:rPr>
        <w:t xml:space="preserve">. IJTLD Open. 2026 Oct 12;3(10):632-639. doi: 10.5588/ijtldopen.26.0246. </w:t>
      </w:r>
    </w:p>
    <w:p w14:paraId="4C4EC7B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7803FCFB">
      <w:pPr>
        <w:pStyle w:val="2"/>
        <w:rPr>
          <w:rFonts w:hint="eastAsia"/>
        </w:rPr>
      </w:pPr>
    </w:p>
    <w:p w14:paraId="028BF549">
      <w:pPr>
        <w:pStyle w:val="2"/>
        <w:rPr>
          <w:rFonts w:hint="eastAsia"/>
        </w:rPr>
      </w:pPr>
      <w:r>
        <w:rPr>
          <w:rFonts w:hint="eastAsia"/>
        </w:rPr>
        <w:t xml:space="preserve">A global community of practice to improve public-private engagement in TB: the </w:t>
      </w:r>
    </w:p>
    <w:p w14:paraId="3493C979">
      <w:pPr>
        <w:pStyle w:val="2"/>
        <w:rPr>
          <w:rFonts w:hint="eastAsia"/>
        </w:rPr>
      </w:pPr>
      <w:r>
        <w:rPr>
          <w:rFonts w:hint="eastAsia"/>
        </w:rPr>
        <w:t>TBPPM Learning Network.</w:t>
      </w:r>
    </w:p>
    <w:p w14:paraId="7CC93D72">
      <w:pPr>
        <w:pStyle w:val="2"/>
        <w:rPr>
          <w:rFonts w:hint="eastAsia"/>
        </w:rPr>
      </w:pPr>
    </w:p>
    <w:p w14:paraId="3DE765FB">
      <w:pPr>
        <w:pStyle w:val="2"/>
        <w:rPr>
          <w:rFonts w:hint="eastAsia"/>
        </w:rPr>
      </w:pPr>
      <w:r>
        <w:rPr>
          <w:rFonts w:hint="eastAsia"/>
        </w:rPr>
        <w:t xml:space="preserve">Heitkamp P(1)(2), Sheokand S(1)(2), Klinton JS(1)(2), Yellappa V(3)(4), Putturaj </w:t>
      </w:r>
    </w:p>
    <w:p w14:paraId="64C9DF9E">
      <w:pPr>
        <w:pStyle w:val="2"/>
        <w:rPr>
          <w:rFonts w:hint="eastAsia"/>
        </w:rPr>
      </w:pPr>
      <w:r>
        <w:rPr>
          <w:rFonts w:hint="eastAsia"/>
        </w:rPr>
        <w:t>M(4)(5), Ananthakrishnan R(4)(6), Akinrin A(7), Thapa P(2)(8), Pai M(8)(9).</w:t>
      </w:r>
    </w:p>
    <w:p w14:paraId="0014BDAC">
      <w:pPr>
        <w:pStyle w:val="2"/>
        <w:rPr>
          <w:rFonts w:hint="eastAsia"/>
        </w:rPr>
      </w:pPr>
    </w:p>
    <w:p w14:paraId="63A1A9C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53DCDF7">
      <w:pPr>
        <w:pStyle w:val="2"/>
        <w:rPr>
          <w:rFonts w:hint="eastAsia"/>
        </w:rPr>
      </w:pPr>
      <w:r>
        <w:rPr>
          <w:rFonts w:hint="eastAsia"/>
        </w:rPr>
        <w:t xml:space="preserve">(1)Research Institute of the McGill University Health Center, McGill University, </w:t>
      </w:r>
    </w:p>
    <w:p w14:paraId="763F4730">
      <w:pPr>
        <w:pStyle w:val="2"/>
        <w:rPr>
          <w:rFonts w:hint="eastAsia"/>
        </w:rPr>
      </w:pPr>
      <w:r>
        <w:rPr>
          <w:rFonts w:hint="eastAsia"/>
        </w:rPr>
        <w:t>Montreal, QC, Canada.</w:t>
      </w:r>
    </w:p>
    <w:p w14:paraId="46A9AEB4">
      <w:pPr>
        <w:pStyle w:val="2"/>
        <w:rPr>
          <w:rFonts w:hint="eastAsia"/>
        </w:rPr>
      </w:pPr>
      <w:r>
        <w:rPr>
          <w:rFonts w:hint="eastAsia"/>
        </w:rPr>
        <w:t xml:space="preserve">(2)The TBPPM Learning Network, McGill University Health Center, Montreal, QC, </w:t>
      </w:r>
    </w:p>
    <w:p w14:paraId="2B18238A">
      <w:pPr>
        <w:pStyle w:val="2"/>
        <w:rPr>
          <w:rFonts w:hint="eastAsia"/>
        </w:rPr>
      </w:pPr>
      <w:r>
        <w:rPr>
          <w:rFonts w:hint="eastAsia"/>
        </w:rPr>
        <w:t>Canada.</w:t>
      </w:r>
    </w:p>
    <w:p w14:paraId="79B46582">
      <w:pPr>
        <w:pStyle w:val="2"/>
        <w:rPr>
          <w:rFonts w:hint="eastAsia"/>
        </w:rPr>
      </w:pPr>
      <w:r>
        <w:rPr>
          <w:rFonts w:hint="eastAsia"/>
        </w:rPr>
        <w:t>(3)KNCV TB Plus, The Hague, Netherlands.</w:t>
      </w:r>
    </w:p>
    <w:p w14:paraId="56C69D3B">
      <w:pPr>
        <w:pStyle w:val="2"/>
        <w:rPr>
          <w:rFonts w:hint="eastAsia"/>
        </w:rPr>
      </w:pPr>
      <w:r>
        <w:rPr>
          <w:rFonts w:hint="eastAsia"/>
        </w:rPr>
        <w:t xml:space="preserve">(4)India Chapter, The TBPPM Learning Network, McGill University Health Center, </w:t>
      </w:r>
    </w:p>
    <w:p w14:paraId="2DE94DCE">
      <w:pPr>
        <w:pStyle w:val="2"/>
        <w:rPr>
          <w:rFonts w:hint="eastAsia"/>
        </w:rPr>
      </w:pPr>
      <w:r>
        <w:rPr>
          <w:rFonts w:hint="eastAsia"/>
        </w:rPr>
        <w:t>Montreal, QC, Canada.</w:t>
      </w:r>
    </w:p>
    <w:p w14:paraId="094F2623">
      <w:pPr>
        <w:pStyle w:val="2"/>
        <w:rPr>
          <w:rFonts w:hint="eastAsia"/>
        </w:rPr>
      </w:pPr>
      <w:r>
        <w:rPr>
          <w:rFonts w:hint="eastAsia"/>
        </w:rPr>
        <w:t>(5)IPH Bengaluru, Bengaluru, India.</w:t>
      </w:r>
    </w:p>
    <w:p w14:paraId="62E6C776">
      <w:pPr>
        <w:pStyle w:val="2"/>
        <w:rPr>
          <w:rFonts w:hint="eastAsia"/>
        </w:rPr>
      </w:pPr>
      <w:r>
        <w:rPr>
          <w:rFonts w:hint="eastAsia"/>
        </w:rPr>
        <w:t>(6)REACH, Chennai, India.</w:t>
      </w:r>
    </w:p>
    <w:p w14:paraId="30EC9592">
      <w:pPr>
        <w:pStyle w:val="2"/>
        <w:rPr>
          <w:rFonts w:hint="eastAsia"/>
        </w:rPr>
      </w:pPr>
      <w:r>
        <w:rPr>
          <w:rFonts w:hint="eastAsia"/>
        </w:rPr>
        <w:t xml:space="preserve">(7)Nigeria Chapter, The TBPPM Learning Network, McGill University Health Center, </w:t>
      </w:r>
    </w:p>
    <w:p w14:paraId="2A4225A3">
      <w:pPr>
        <w:pStyle w:val="2"/>
        <w:rPr>
          <w:rFonts w:hint="eastAsia"/>
        </w:rPr>
      </w:pPr>
      <w:r>
        <w:rPr>
          <w:rFonts w:hint="eastAsia"/>
        </w:rPr>
        <w:t>Montreal, QC, Canada.</w:t>
      </w:r>
    </w:p>
    <w:p w14:paraId="29998CEB">
      <w:pPr>
        <w:pStyle w:val="2"/>
        <w:rPr>
          <w:rFonts w:hint="eastAsia"/>
        </w:rPr>
      </w:pPr>
      <w:r>
        <w:rPr>
          <w:rFonts w:hint="eastAsia"/>
        </w:rPr>
        <w:t xml:space="preserve">(8)School of Population and Global Health, McGill University, Montreal, QC, </w:t>
      </w:r>
    </w:p>
    <w:p w14:paraId="0171D325">
      <w:pPr>
        <w:pStyle w:val="2"/>
        <w:rPr>
          <w:rFonts w:hint="eastAsia"/>
        </w:rPr>
      </w:pPr>
      <w:r>
        <w:rPr>
          <w:rFonts w:hint="eastAsia"/>
        </w:rPr>
        <w:t>Canada.</w:t>
      </w:r>
    </w:p>
    <w:p w14:paraId="184C8B7F">
      <w:pPr>
        <w:pStyle w:val="2"/>
        <w:rPr>
          <w:rFonts w:hint="eastAsia"/>
        </w:rPr>
      </w:pPr>
      <w:r>
        <w:rPr>
          <w:rFonts w:hint="eastAsia"/>
        </w:rPr>
        <w:t>(9)Department of Medicine Solna, Karolinska Institutet, Stockholm, Sweden.</w:t>
      </w:r>
    </w:p>
    <w:p w14:paraId="0DFD241F">
      <w:pPr>
        <w:pStyle w:val="2"/>
        <w:rPr>
          <w:rFonts w:hint="eastAsia"/>
        </w:rPr>
      </w:pPr>
    </w:p>
    <w:p w14:paraId="0C2F098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In many high-TB-burden settings, most people seek initial care from </w:t>
      </w:r>
    </w:p>
    <w:p w14:paraId="58CFDC65">
      <w:pPr>
        <w:pStyle w:val="2"/>
        <w:rPr>
          <w:rFonts w:hint="eastAsia"/>
        </w:rPr>
      </w:pPr>
      <w:r>
        <w:rPr>
          <w:rFonts w:hint="eastAsia"/>
        </w:rPr>
        <w:t xml:space="preserve">private providers who are often not integrated into national TB programmes. </w:t>
      </w:r>
    </w:p>
    <w:p w14:paraId="50AD016D">
      <w:pPr>
        <w:pStyle w:val="2"/>
        <w:rPr>
          <w:rFonts w:hint="eastAsia"/>
        </w:rPr>
      </w:pPr>
      <w:r>
        <w:rPr>
          <w:rFonts w:hint="eastAsia"/>
        </w:rPr>
        <w:t xml:space="preserve">Public-private mix (PPM) strategies are therefore critical, yet difficult to </w:t>
      </w:r>
    </w:p>
    <w:p w14:paraId="45FF2BFD">
      <w:pPr>
        <w:pStyle w:val="2"/>
        <w:rPr>
          <w:rFonts w:hint="eastAsia"/>
        </w:rPr>
      </w:pPr>
      <w:r>
        <w:rPr>
          <w:rFonts w:hint="eastAsia"/>
        </w:rPr>
        <w:t xml:space="preserve">operationalise. Communities of Practice (CoPs) can act as health system enablers </w:t>
      </w:r>
    </w:p>
    <w:p w14:paraId="7B145A72">
      <w:pPr>
        <w:pStyle w:val="2"/>
        <w:rPr>
          <w:rFonts w:hint="eastAsia"/>
        </w:rPr>
      </w:pPr>
      <w:r>
        <w:rPr>
          <w:rFonts w:hint="eastAsia"/>
        </w:rPr>
        <w:t xml:space="preserve">and facilitate knowledge exchange, but empirical evidence on their long-term </w:t>
      </w:r>
    </w:p>
    <w:p w14:paraId="24837DD7">
      <w:pPr>
        <w:pStyle w:val="2"/>
        <w:rPr>
          <w:rFonts w:hint="eastAsia"/>
        </w:rPr>
      </w:pPr>
      <w:r>
        <w:rPr>
          <w:rFonts w:hint="eastAsia"/>
        </w:rPr>
        <w:t>function in disease specific contexts is limited.</w:t>
      </w:r>
    </w:p>
    <w:p w14:paraId="4873CD2E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conducted a mixed-methods descriptive analysis of the TBPPM Learning </w:t>
      </w:r>
    </w:p>
    <w:p w14:paraId="16996D9C">
      <w:pPr>
        <w:pStyle w:val="2"/>
        <w:rPr>
          <w:rFonts w:hint="eastAsia"/>
        </w:rPr>
      </w:pPr>
      <w:r>
        <w:rPr>
          <w:rFonts w:hint="eastAsia"/>
        </w:rPr>
        <w:t xml:space="preserve">Network (LN) from 2019 to 2025. Quantitative data from routine platform </w:t>
      </w:r>
    </w:p>
    <w:p w14:paraId="1B818216">
      <w:pPr>
        <w:pStyle w:val="2"/>
        <w:rPr>
          <w:rFonts w:hint="eastAsia"/>
        </w:rPr>
      </w:pPr>
      <w:r>
        <w:rPr>
          <w:rFonts w:hint="eastAsia"/>
        </w:rPr>
        <w:t xml:space="preserve">analytics were triangulated with thematic analysis of 53 webinars and 9 Friday </w:t>
      </w:r>
    </w:p>
    <w:p w14:paraId="4FABC47D">
      <w:pPr>
        <w:pStyle w:val="2"/>
        <w:rPr>
          <w:rFonts w:hint="eastAsia"/>
        </w:rPr>
      </w:pPr>
      <w:r>
        <w:rPr>
          <w:rFonts w:hint="eastAsia"/>
        </w:rPr>
        <w:t>Forum topics.</w:t>
      </w:r>
    </w:p>
    <w:p w14:paraId="0909484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The LN engaged over 6,000 TB professionals across more than 130 </w:t>
      </w:r>
    </w:p>
    <w:p w14:paraId="2414AB22">
      <w:pPr>
        <w:pStyle w:val="2"/>
        <w:rPr>
          <w:rFonts w:hint="eastAsia"/>
        </w:rPr>
      </w:pPr>
      <w:r>
        <w:rPr>
          <w:rFonts w:hint="eastAsia"/>
        </w:rPr>
        <w:t xml:space="preserve">countries, with over 75% from low- and middle-income countries. It adapted </w:t>
      </w:r>
    </w:p>
    <w:p w14:paraId="0FAEC1AA">
      <w:pPr>
        <w:pStyle w:val="2"/>
        <w:rPr>
          <w:rFonts w:hint="eastAsia"/>
        </w:rPr>
      </w:pPr>
      <w:r>
        <w:rPr>
          <w:rFonts w:hint="eastAsia"/>
        </w:rPr>
        <w:t xml:space="preserve">rapidly during the COVID-19 pandemic, strengthened South-South exchange, and </w:t>
      </w:r>
    </w:p>
    <w:p w14:paraId="060BB3FC">
      <w:pPr>
        <w:pStyle w:val="2"/>
        <w:rPr>
          <w:rFonts w:hint="eastAsia"/>
        </w:rPr>
      </w:pPr>
      <w:r>
        <w:rPr>
          <w:rFonts w:hint="eastAsia"/>
        </w:rPr>
        <w:t xml:space="preserve">supported leadership development among frontline implementers. Six key lessons </w:t>
      </w:r>
    </w:p>
    <w:p w14:paraId="61A6ABE3">
      <w:pPr>
        <w:pStyle w:val="2"/>
        <w:rPr>
          <w:rFonts w:hint="eastAsia"/>
        </w:rPr>
      </w:pPr>
      <w:r>
        <w:rPr>
          <w:rFonts w:hint="eastAsia"/>
        </w:rPr>
        <w:t xml:space="preserve">were identified, including the importance of sustained facilitation, </w:t>
      </w:r>
    </w:p>
    <w:p w14:paraId="7D71D24E">
      <w:pPr>
        <w:pStyle w:val="2"/>
        <w:rPr>
          <w:rFonts w:hint="eastAsia"/>
        </w:rPr>
      </w:pPr>
      <w:r>
        <w:rPr>
          <w:rFonts w:hint="eastAsia"/>
        </w:rPr>
        <w:t xml:space="preserve">community-building, and adaptability, alongside persistent challenges in </w:t>
      </w:r>
    </w:p>
    <w:p w14:paraId="236EFF5B">
      <w:pPr>
        <w:pStyle w:val="2"/>
        <w:rPr>
          <w:rFonts w:hint="eastAsia"/>
        </w:rPr>
      </w:pPr>
      <w:r>
        <w:rPr>
          <w:rFonts w:hint="eastAsia"/>
        </w:rPr>
        <w:t>translating learning into action in resource-limited settings.</w:t>
      </w:r>
    </w:p>
    <w:p w14:paraId="2EABE699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A global virtual CoP can function as a scalable mechanism to support </w:t>
      </w:r>
    </w:p>
    <w:p w14:paraId="62667BCD">
      <w:pPr>
        <w:pStyle w:val="2"/>
        <w:rPr>
          <w:rFonts w:hint="eastAsia"/>
        </w:rPr>
      </w:pPr>
      <w:r>
        <w:rPr>
          <w:rFonts w:hint="eastAsia"/>
        </w:rPr>
        <w:t xml:space="preserve">knowledge translation, capacity strengthening, and collaboration in complex TB </w:t>
      </w:r>
    </w:p>
    <w:p w14:paraId="0D307444">
      <w:pPr>
        <w:pStyle w:val="2"/>
        <w:rPr>
          <w:rFonts w:hint="eastAsia"/>
        </w:rPr>
      </w:pPr>
      <w:r>
        <w:rPr>
          <w:rFonts w:hint="eastAsia"/>
        </w:rPr>
        <w:t xml:space="preserve">health systems, but sustained investment is required to translate learning into </w:t>
      </w:r>
    </w:p>
    <w:p w14:paraId="18F19D22">
      <w:pPr>
        <w:pStyle w:val="2"/>
        <w:rPr>
          <w:rFonts w:hint="eastAsia"/>
        </w:rPr>
      </w:pPr>
      <w:r>
        <w:rPr>
          <w:rFonts w:hint="eastAsia"/>
        </w:rPr>
        <w:t>policy and practice.</w:t>
      </w:r>
    </w:p>
    <w:p w14:paraId="512A16B5">
      <w:pPr>
        <w:pStyle w:val="2"/>
        <w:rPr>
          <w:rFonts w:hint="eastAsia"/>
        </w:rPr>
      </w:pPr>
    </w:p>
    <w:p w14:paraId="002ED06A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5A46DA91">
      <w:pPr>
        <w:pStyle w:val="2"/>
        <w:rPr>
          <w:rFonts w:hint="eastAsia"/>
        </w:rPr>
      </w:pPr>
    </w:p>
    <w:p w14:paraId="7B4E56E8">
      <w:pPr>
        <w:pStyle w:val="2"/>
        <w:rPr>
          <w:rFonts w:hint="eastAsia"/>
        </w:rPr>
      </w:pPr>
      <w:r>
        <w:rPr>
          <w:rFonts w:hint="eastAsia"/>
        </w:rPr>
        <w:t>DOI: 10.5588/ijtldopen.26.0246</w:t>
      </w:r>
    </w:p>
    <w:p w14:paraId="7DAA36C1">
      <w:pPr>
        <w:pStyle w:val="2"/>
        <w:rPr>
          <w:rFonts w:hint="eastAsia"/>
        </w:rPr>
      </w:pPr>
      <w:r>
        <w:rPr>
          <w:rFonts w:hint="eastAsia"/>
        </w:rPr>
        <w:t>PMCID: PMC13657026</w:t>
      </w:r>
    </w:p>
    <w:p w14:paraId="6BFA6C79">
      <w:pPr>
        <w:pStyle w:val="2"/>
        <w:rPr>
          <w:rFonts w:hint="eastAsia"/>
        </w:rPr>
      </w:pPr>
      <w:r>
        <w:rPr>
          <w:rFonts w:hint="eastAsia"/>
        </w:rPr>
        <w:t>PMID: 42866137</w:t>
      </w:r>
    </w:p>
    <w:p w14:paraId="64F9934B">
      <w:pPr>
        <w:pStyle w:val="2"/>
        <w:rPr>
          <w:rFonts w:hint="eastAsia"/>
        </w:rPr>
      </w:pPr>
    </w:p>
    <w:p w14:paraId="014A3F0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49</w:t>
      </w:r>
      <w:r>
        <w:rPr>
          <w:rFonts w:hint="eastAsia"/>
          <w:b/>
          <w:bCs/>
          <w:color w:val="FF0000"/>
        </w:rPr>
        <w:t xml:space="preserve">. Health Commun. 2026 Oct 13:1-13. doi: 10.1080/10410236.2026.2743158. Online </w:t>
      </w:r>
    </w:p>
    <w:p w14:paraId="477DCC5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0043D326">
      <w:pPr>
        <w:pStyle w:val="2"/>
        <w:rPr>
          <w:rFonts w:hint="eastAsia"/>
        </w:rPr>
      </w:pPr>
    </w:p>
    <w:p w14:paraId="57A63D88">
      <w:pPr>
        <w:pStyle w:val="2"/>
        <w:rPr>
          <w:rFonts w:hint="eastAsia"/>
        </w:rPr>
      </w:pPr>
      <w:r>
        <w:rPr>
          <w:rFonts w:hint="eastAsia"/>
        </w:rPr>
        <w:t xml:space="preserve">Visual Biopolitics in Crisis: Multimodal Analysis of Tuberculosis in the Early </w:t>
      </w:r>
    </w:p>
    <w:p w14:paraId="56CC119D">
      <w:pPr>
        <w:pStyle w:val="2"/>
        <w:rPr>
          <w:rFonts w:hint="eastAsia"/>
        </w:rPr>
      </w:pPr>
      <w:r>
        <w:rPr>
          <w:rFonts w:hint="eastAsia"/>
        </w:rPr>
        <w:t>Republican Period and COVID-19 Health Communication in Turkey.</w:t>
      </w:r>
    </w:p>
    <w:p w14:paraId="1FCBD10E">
      <w:pPr>
        <w:pStyle w:val="2"/>
        <w:rPr>
          <w:rFonts w:hint="eastAsia"/>
        </w:rPr>
      </w:pPr>
    </w:p>
    <w:p w14:paraId="78AE84FC">
      <w:pPr>
        <w:pStyle w:val="2"/>
        <w:rPr>
          <w:rFonts w:hint="eastAsia"/>
        </w:rPr>
      </w:pPr>
      <w:r>
        <w:rPr>
          <w:rFonts w:hint="eastAsia"/>
        </w:rPr>
        <w:t>Rasimoğlu CGİ(1), Arda B(2).</w:t>
      </w:r>
    </w:p>
    <w:p w14:paraId="200BB1F0">
      <w:pPr>
        <w:pStyle w:val="2"/>
        <w:rPr>
          <w:rFonts w:hint="eastAsia"/>
        </w:rPr>
      </w:pPr>
    </w:p>
    <w:p w14:paraId="2175028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6F1A701">
      <w:pPr>
        <w:pStyle w:val="2"/>
        <w:rPr>
          <w:rFonts w:hint="eastAsia"/>
        </w:rPr>
      </w:pPr>
      <w:r>
        <w:rPr>
          <w:rFonts w:hint="eastAsia"/>
        </w:rPr>
        <w:t>(1)History of Medicine and Ethics, Acıbadem Mehmet Ali Aydınlar University.</w:t>
      </w:r>
    </w:p>
    <w:p w14:paraId="3226D60F">
      <w:pPr>
        <w:pStyle w:val="2"/>
        <w:rPr>
          <w:rFonts w:hint="eastAsia"/>
        </w:rPr>
      </w:pPr>
      <w:r>
        <w:rPr>
          <w:rFonts w:hint="eastAsia"/>
        </w:rPr>
        <w:t>(2)Visual Communication Design Department, Kadir Has University.</w:t>
      </w:r>
    </w:p>
    <w:p w14:paraId="4C89C9F8">
      <w:pPr>
        <w:pStyle w:val="2"/>
        <w:rPr>
          <w:rFonts w:hint="eastAsia"/>
        </w:rPr>
      </w:pPr>
    </w:p>
    <w:p w14:paraId="76E478D7">
      <w:pPr>
        <w:pStyle w:val="2"/>
        <w:rPr>
          <w:rFonts w:hint="eastAsia"/>
        </w:rPr>
      </w:pPr>
      <w:r>
        <w:rPr>
          <w:rFonts w:hint="eastAsia"/>
        </w:rPr>
        <w:t xml:space="preserve">This study investigates how visual materials used during tuberculosis </w:t>
      </w:r>
    </w:p>
    <w:p w14:paraId="6F7C0E2D">
      <w:pPr>
        <w:pStyle w:val="2"/>
        <w:rPr>
          <w:rFonts w:hint="eastAsia"/>
        </w:rPr>
      </w:pPr>
      <w:r>
        <w:rPr>
          <w:rFonts w:hint="eastAsia"/>
        </w:rPr>
        <w:t xml:space="preserve">(1930s-1940s) and COVID-19 in Turkey, supported and reflected evolving forms of </w:t>
      </w:r>
    </w:p>
    <w:p w14:paraId="7422BE45">
      <w:pPr>
        <w:pStyle w:val="2"/>
        <w:rPr>
          <w:rFonts w:hint="eastAsia"/>
        </w:rPr>
      </w:pPr>
      <w:r>
        <w:rPr>
          <w:rFonts w:hint="eastAsia"/>
        </w:rPr>
        <w:t xml:space="preserve">biopolitical governance. Drawing on data from the state-funded project "Analysis </w:t>
      </w:r>
    </w:p>
    <w:p w14:paraId="44AE53EC">
      <w:pPr>
        <w:pStyle w:val="2"/>
        <w:rPr>
          <w:rFonts w:hint="eastAsia"/>
        </w:rPr>
      </w:pPr>
      <w:r>
        <w:rPr>
          <w:rFonts w:hint="eastAsia"/>
        </w:rPr>
        <w:t xml:space="preserve">of Public Health Visual Communication Methods" (TÜBİTAK Project No. 123K980), we </w:t>
      </w:r>
    </w:p>
    <w:p w14:paraId="6446D807">
      <w:pPr>
        <w:pStyle w:val="2"/>
        <w:rPr>
          <w:rFonts w:hint="eastAsia"/>
        </w:rPr>
      </w:pPr>
      <w:r>
        <w:rPr>
          <w:rFonts w:hint="eastAsia"/>
        </w:rPr>
        <w:t xml:space="preserve">apply critical multimodal discourse analysis to explore how visual campaigns </w:t>
      </w:r>
    </w:p>
    <w:p w14:paraId="4658677B">
      <w:pPr>
        <w:pStyle w:val="2"/>
        <w:rPr>
          <w:rFonts w:hint="eastAsia"/>
        </w:rPr>
      </w:pPr>
      <w:r>
        <w:rPr>
          <w:rFonts w:hint="eastAsia"/>
        </w:rPr>
        <w:t xml:space="preserve">shaped public perceptions of health, risk, responsibility, and citizenship. Our </w:t>
      </w:r>
    </w:p>
    <w:p w14:paraId="1469F077">
      <w:pPr>
        <w:pStyle w:val="2"/>
        <w:rPr>
          <w:rFonts w:hint="eastAsia"/>
        </w:rPr>
      </w:pPr>
      <w:r>
        <w:rPr>
          <w:rFonts w:hint="eastAsia"/>
        </w:rPr>
        <w:t xml:space="preserve">source materials include archival visuals from Yaşamak Yolu, a journal published </w:t>
      </w:r>
    </w:p>
    <w:p w14:paraId="2D1BCB64">
      <w:pPr>
        <w:pStyle w:val="2"/>
        <w:rPr>
          <w:rFonts w:hint="eastAsia"/>
        </w:rPr>
      </w:pPr>
      <w:r>
        <w:rPr>
          <w:rFonts w:hint="eastAsia"/>
        </w:rPr>
        <w:t xml:space="preserve">by the Istanbul Anti-Tuberculosis Society, illustrations from contemporary </w:t>
      </w:r>
    </w:p>
    <w:p w14:paraId="73E42256">
      <w:pPr>
        <w:pStyle w:val="2"/>
        <w:rPr>
          <w:rFonts w:hint="eastAsia"/>
        </w:rPr>
      </w:pPr>
      <w:r>
        <w:rPr>
          <w:rFonts w:hint="eastAsia"/>
        </w:rPr>
        <w:t xml:space="preserve">newspapers such as Cumhuriyet, and digital COVID-19 media, including the </w:t>
      </w:r>
    </w:p>
    <w:p w14:paraId="506B211A">
      <w:pPr>
        <w:pStyle w:val="2"/>
        <w:rPr>
          <w:rFonts w:hint="eastAsia"/>
        </w:rPr>
      </w:pPr>
      <w:r>
        <w:rPr>
          <w:rFonts w:hint="eastAsia"/>
        </w:rPr>
        <w:t xml:space="preserve">Ministry of Health's Twitter posts, the HES (Life Fits Home) mobile app, TRT </w:t>
      </w:r>
    </w:p>
    <w:p w14:paraId="5D7DA3E7">
      <w:pPr>
        <w:pStyle w:val="2"/>
        <w:rPr>
          <w:rFonts w:hint="eastAsia"/>
        </w:rPr>
      </w:pPr>
      <w:r>
        <w:rPr>
          <w:rFonts w:hint="eastAsia"/>
        </w:rPr>
        <w:t xml:space="preserve">Çocuk (Turkish Radio Television Child) content, and materials by Yeşilay (Green </w:t>
      </w:r>
    </w:p>
    <w:p w14:paraId="0BA5A9D3">
      <w:pPr>
        <w:pStyle w:val="2"/>
        <w:rPr>
          <w:rFonts w:hint="eastAsia"/>
        </w:rPr>
      </w:pPr>
      <w:r>
        <w:rPr>
          <w:rFonts w:hint="eastAsia"/>
        </w:rPr>
        <w:t xml:space="preserve">Cross). We identify seven key thematic domains ("citizen - population-state," </w:t>
      </w:r>
    </w:p>
    <w:p w14:paraId="7557D327">
      <w:pPr>
        <w:pStyle w:val="2"/>
        <w:rPr>
          <w:rFonts w:hint="eastAsia"/>
        </w:rPr>
      </w:pPr>
      <w:r>
        <w:rPr>
          <w:rFonts w:hint="eastAsia"/>
        </w:rPr>
        <w:t xml:space="preserve">"patient-healthy," "microbe," "hope," "expertise-knowledge," "education-school," </w:t>
      </w:r>
    </w:p>
    <w:p w14:paraId="345290C4">
      <w:pPr>
        <w:pStyle w:val="2"/>
        <w:rPr>
          <w:rFonts w:hint="eastAsia"/>
        </w:rPr>
      </w:pPr>
      <w:r>
        <w:rPr>
          <w:rFonts w:hint="eastAsia"/>
        </w:rPr>
        <w:t xml:space="preserve">"family/child.") that structure these campaigns. Findings indicate a historical </w:t>
      </w:r>
    </w:p>
    <w:p w14:paraId="3B457297">
      <w:pPr>
        <w:pStyle w:val="2"/>
        <w:rPr>
          <w:rFonts w:hint="eastAsia"/>
        </w:rPr>
      </w:pPr>
      <w:r>
        <w:rPr>
          <w:rFonts w:hint="eastAsia"/>
        </w:rPr>
        <w:t xml:space="preserve">continuity in the use of visual communication to guide health behavior and </w:t>
      </w:r>
    </w:p>
    <w:p w14:paraId="7D6816A1">
      <w:pPr>
        <w:pStyle w:val="2"/>
        <w:rPr>
          <w:rFonts w:hint="eastAsia"/>
        </w:rPr>
      </w:pPr>
      <w:r>
        <w:rPr>
          <w:rFonts w:hint="eastAsia"/>
        </w:rPr>
        <w:t xml:space="preserve">intensified state-defined norms of well-being. Yet significant ruptures emerge </w:t>
      </w:r>
    </w:p>
    <w:p w14:paraId="67DC32E3">
      <w:pPr>
        <w:pStyle w:val="2"/>
        <w:rPr>
          <w:rFonts w:hint="eastAsia"/>
        </w:rPr>
      </w:pPr>
      <w:r>
        <w:rPr>
          <w:rFonts w:hint="eastAsia"/>
        </w:rPr>
        <w:t xml:space="preserve">in representational strategies and media technologies. In the tuberculosis era, </w:t>
      </w:r>
    </w:p>
    <w:p w14:paraId="58560D20">
      <w:pPr>
        <w:pStyle w:val="2"/>
        <w:rPr>
          <w:rFonts w:hint="eastAsia"/>
        </w:rPr>
      </w:pPr>
      <w:r>
        <w:rPr>
          <w:rFonts w:hint="eastAsia"/>
        </w:rPr>
        <w:t xml:space="preserve">visuals highlighted medical paternalism, pedagogical authority, and </w:t>
      </w:r>
    </w:p>
    <w:p w14:paraId="15DE5153">
      <w:pPr>
        <w:pStyle w:val="2"/>
        <w:rPr>
          <w:rFonts w:hint="eastAsia"/>
        </w:rPr>
      </w:pPr>
      <w:r>
        <w:rPr>
          <w:rFonts w:hint="eastAsia"/>
        </w:rPr>
        <w:t xml:space="preserve">individualized care, whereas COVID-19 visuals underscored emotional labor, </w:t>
      </w:r>
    </w:p>
    <w:p w14:paraId="64A44E80">
      <w:pPr>
        <w:pStyle w:val="2"/>
        <w:rPr>
          <w:rFonts w:hint="eastAsia"/>
        </w:rPr>
      </w:pPr>
      <w:r>
        <w:rPr>
          <w:rFonts w:hint="eastAsia"/>
        </w:rPr>
        <w:t xml:space="preserve">collective responsibility, and digital engagement. Key discursive shifts include </w:t>
      </w:r>
    </w:p>
    <w:p w14:paraId="0DFEB6EB">
      <w:pPr>
        <w:pStyle w:val="2"/>
        <w:rPr>
          <w:rFonts w:hint="eastAsia"/>
        </w:rPr>
      </w:pPr>
      <w:r>
        <w:rPr>
          <w:rFonts w:hint="eastAsia"/>
        </w:rPr>
        <w:t xml:space="preserve">the transformation of the medical authority figure from a rational, commanding </w:t>
      </w:r>
    </w:p>
    <w:p w14:paraId="15D0D382">
      <w:pPr>
        <w:pStyle w:val="2"/>
        <w:rPr>
          <w:rFonts w:hint="eastAsia"/>
        </w:rPr>
      </w:pPr>
      <w:r>
        <w:rPr>
          <w:rFonts w:hint="eastAsia"/>
        </w:rPr>
        <w:t xml:space="preserve">presence to a self-sacrificing, emotionally expressive one and the evolution of </w:t>
      </w:r>
    </w:p>
    <w:p w14:paraId="08DACAFA">
      <w:pPr>
        <w:pStyle w:val="2"/>
        <w:rPr>
          <w:rFonts w:hint="eastAsia"/>
        </w:rPr>
      </w:pPr>
      <w:r>
        <w:rPr>
          <w:rFonts w:hint="eastAsia"/>
        </w:rPr>
        <w:t xml:space="preserve">the child figure from a symbolic national emblem to an agentive, responsible </w:t>
      </w:r>
    </w:p>
    <w:p w14:paraId="2196E6F2">
      <w:pPr>
        <w:pStyle w:val="2"/>
        <w:rPr>
          <w:rFonts w:hint="eastAsia"/>
        </w:rPr>
      </w:pPr>
      <w:r>
        <w:rPr>
          <w:rFonts w:hint="eastAsia"/>
        </w:rPr>
        <w:t xml:space="preserve">actor. Depictions of contagion also transformed, shifting from minimalist, </w:t>
      </w:r>
    </w:p>
    <w:p w14:paraId="02CF6D0E">
      <w:pPr>
        <w:pStyle w:val="2"/>
        <w:rPr>
          <w:rFonts w:hint="eastAsia"/>
        </w:rPr>
      </w:pPr>
      <w:r>
        <w:rPr>
          <w:rFonts w:hint="eastAsia"/>
        </w:rPr>
        <w:t xml:space="preserve">scientific imagery to colorful digital infographics. While the mother figure </w:t>
      </w:r>
    </w:p>
    <w:p w14:paraId="64A5E5E5">
      <w:pPr>
        <w:pStyle w:val="2"/>
        <w:rPr>
          <w:rFonts w:hint="eastAsia"/>
        </w:rPr>
      </w:pPr>
      <w:r>
        <w:rPr>
          <w:rFonts w:hint="eastAsia"/>
        </w:rPr>
        <w:t xml:space="preserve">remained central across both periods, her portrayal grew more emotionally </w:t>
      </w:r>
    </w:p>
    <w:p w14:paraId="3A0BB760">
      <w:pPr>
        <w:pStyle w:val="2"/>
        <w:rPr>
          <w:rFonts w:hint="eastAsia"/>
        </w:rPr>
      </w:pPr>
      <w:r>
        <w:rPr>
          <w:rFonts w:hint="eastAsia"/>
        </w:rPr>
        <w:t xml:space="preserve">complex during the COVID-19 pandemic. Mental health also gained increased </w:t>
      </w:r>
    </w:p>
    <w:p w14:paraId="13346D75">
      <w:pPr>
        <w:pStyle w:val="2"/>
        <w:rPr>
          <w:rFonts w:hint="eastAsia"/>
        </w:rPr>
      </w:pPr>
      <w:r>
        <w:rPr>
          <w:rFonts w:hint="eastAsia"/>
        </w:rPr>
        <w:t xml:space="preserve">visibility as a domain of both individual vulnerability and national concern. By </w:t>
      </w:r>
    </w:p>
    <w:p w14:paraId="4AF77B63">
      <w:pPr>
        <w:pStyle w:val="2"/>
        <w:rPr>
          <w:rFonts w:hint="eastAsia"/>
        </w:rPr>
      </w:pPr>
      <w:r>
        <w:rPr>
          <w:rFonts w:hint="eastAsia"/>
        </w:rPr>
        <w:t xml:space="preserve">tracing these visual shifts, the study highlights how health communication </w:t>
      </w:r>
    </w:p>
    <w:p w14:paraId="3508C116">
      <w:pPr>
        <w:pStyle w:val="2"/>
        <w:rPr>
          <w:rFonts w:hint="eastAsia"/>
        </w:rPr>
      </w:pPr>
      <w:r>
        <w:rPr>
          <w:rFonts w:hint="eastAsia"/>
        </w:rPr>
        <w:t xml:space="preserve">mediates the intersection of biopolitical control, emotional appeal, and </w:t>
      </w:r>
    </w:p>
    <w:p w14:paraId="16650E7F">
      <w:pPr>
        <w:pStyle w:val="2"/>
        <w:rPr>
          <w:rFonts w:hint="eastAsia"/>
        </w:rPr>
      </w:pPr>
      <w:r>
        <w:rPr>
          <w:rFonts w:hint="eastAsia"/>
        </w:rPr>
        <w:t xml:space="preserve">national identity. We argue that visual discourse is constitutive, reshaping the </w:t>
      </w:r>
    </w:p>
    <w:p w14:paraId="11900CE6">
      <w:pPr>
        <w:pStyle w:val="2"/>
        <w:rPr>
          <w:rFonts w:hint="eastAsia"/>
        </w:rPr>
      </w:pPr>
      <w:r>
        <w:rPr>
          <w:rFonts w:hint="eastAsia"/>
        </w:rPr>
        <w:t>public's sense of care, risk, and belonging during times of crisis.</w:t>
      </w:r>
    </w:p>
    <w:p w14:paraId="75F2F5D8">
      <w:pPr>
        <w:pStyle w:val="2"/>
        <w:rPr>
          <w:rFonts w:hint="eastAsia"/>
        </w:rPr>
      </w:pPr>
    </w:p>
    <w:p w14:paraId="2F4FD1E9">
      <w:pPr>
        <w:pStyle w:val="2"/>
        <w:rPr>
          <w:rFonts w:hint="eastAsia"/>
        </w:rPr>
      </w:pPr>
      <w:r>
        <w:rPr>
          <w:rFonts w:hint="eastAsia"/>
        </w:rPr>
        <w:t>DOI: 10.1080/10410236.2026.2743158</w:t>
      </w:r>
    </w:p>
    <w:p w14:paraId="0E53162E">
      <w:pPr>
        <w:pStyle w:val="2"/>
        <w:rPr>
          <w:rFonts w:hint="eastAsia"/>
        </w:rPr>
      </w:pPr>
      <w:r>
        <w:rPr>
          <w:rFonts w:hint="eastAsia"/>
        </w:rPr>
        <w:t>PMID: 42865246</w:t>
      </w:r>
    </w:p>
    <w:p w14:paraId="7DC2D8E1">
      <w:pPr>
        <w:pStyle w:val="2"/>
        <w:rPr>
          <w:rFonts w:hint="eastAsia"/>
        </w:rPr>
      </w:pPr>
    </w:p>
    <w:p w14:paraId="1E5B499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50</w:t>
      </w:r>
      <w:r>
        <w:rPr>
          <w:rFonts w:hint="eastAsia"/>
          <w:b/>
          <w:bCs/>
          <w:color w:val="FF0000"/>
        </w:rPr>
        <w:t>. Indian J Med Microbiol. 2026 Oct 12;65:101318. doi: 10.1016/j.ijmmb.2026.101318. Online ahead of print.</w:t>
      </w:r>
    </w:p>
    <w:p w14:paraId="79619065">
      <w:pPr>
        <w:pStyle w:val="2"/>
        <w:rPr>
          <w:rFonts w:hint="eastAsia"/>
        </w:rPr>
      </w:pPr>
    </w:p>
    <w:p w14:paraId="51E8522A">
      <w:pPr>
        <w:pStyle w:val="2"/>
        <w:rPr>
          <w:rFonts w:hint="eastAsia"/>
        </w:rPr>
      </w:pPr>
      <w:r>
        <w:rPr>
          <w:rFonts w:hint="eastAsia"/>
        </w:rPr>
        <w:t xml:space="preserve">Mixed strain infections and microevolution of Mycobacterium tuberculosis: </w:t>
      </w:r>
    </w:p>
    <w:p w14:paraId="2A3574F6">
      <w:pPr>
        <w:pStyle w:val="2"/>
        <w:rPr>
          <w:rFonts w:hint="eastAsia"/>
        </w:rPr>
      </w:pPr>
      <w:r>
        <w:rPr>
          <w:rFonts w:hint="eastAsia"/>
        </w:rPr>
        <w:t>Genetic diversity in a high-burden setting of Northeastern Brazil.</w:t>
      </w:r>
    </w:p>
    <w:p w14:paraId="04A4A6C3">
      <w:pPr>
        <w:pStyle w:val="2"/>
        <w:rPr>
          <w:rFonts w:hint="eastAsia"/>
        </w:rPr>
      </w:pPr>
    </w:p>
    <w:p w14:paraId="4FACF0DC">
      <w:pPr>
        <w:pStyle w:val="2"/>
        <w:rPr>
          <w:rFonts w:hint="eastAsia"/>
        </w:rPr>
      </w:pPr>
      <w:r>
        <w:rPr>
          <w:rFonts w:hint="eastAsia"/>
        </w:rPr>
        <w:t xml:space="preserve">Silva AK(1), Evangelista P(2), Brasil T(3), Oliveira N(4), Silva C(5), Barreto </w:t>
      </w:r>
    </w:p>
    <w:p w14:paraId="0F00E1A9">
      <w:pPr>
        <w:pStyle w:val="2"/>
        <w:rPr>
          <w:rFonts w:hint="eastAsia"/>
        </w:rPr>
      </w:pPr>
      <w:r>
        <w:rPr>
          <w:rFonts w:hint="eastAsia"/>
        </w:rPr>
        <w:t xml:space="preserve">L(6), Palacios Y(7), Lourenço MC(8), Barroso E(9), Farias C(10), Sancho S(11), </w:t>
      </w:r>
    </w:p>
    <w:p w14:paraId="1F553B45">
      <w:pPr>
        <w:pStyle w:val="2"/>
        <w:rPr>
          <w:rFonts w:hint="eastAsia"/>
        </w:rPr>
      </w:pPr>
      <w:r>
        <w:rPr>
          <w:rFonts w:hint="eastAsia"/>
        </w:rPr>
        <w:t>Lima K(12), Almeida R(13), Frota C(14).</w:t>
      </w:r>
    </w:p>
    <w:p w14:paraId="27F6D68C">
      <w:pPr>
        <w:pStyle w:val="2"/>
        <w:rPr>
          <w:rFonts w:hint="eastAsia"/>
        </w:rPr>
      </w:pPr>
    </w:p>
    <w:p w14:paraId="42EE97B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E9FCF73">
      <w:pPr>
        <w:pStyle w:val="2"/>
        <w:rPr>
          <w:rFonts w:hint="eastAsia"/>
        </w:rPr>
      </w:pPr>
      <w:r>
        <w:rPr>
          <w:rFonts w:hint="eastAsia"/>
        </w:rPr>
        <w:t xml:space="preserve">(1)Postgraduate Program in Pathology, Federal University of Ceará, Fortaleza, </w:t>
      </w:r>
    </w:p>
    <w:p w14:paraId="15ED4A15">
      <w:pPr>
        <w:pStyle w:val="2"/>
        <w:rPr>
          <w:rFonts w:hint="eastAsia"/>
        </w:rPr>
      </w:pPr>
      <w:r>
        <w:rPr>
          <w:rFonts w:hint="eastAsia"/>
        </w:rPr>
        <w:t>Ceara, 60430160, Brazil. Electronic address: anakalves21@gmail.com.</w:t>
      </w:r>
    </w:p>
    <w:p w14:paraId="2F2D8176">
      <w:pPr>
        <w:pStyle w:val="2"/>
        <w:rPr>
          <w:rFonts w:hint="eastAsia"/>
        </w:rPr>
      </w:pPr>
      <w:r>
        <w:rPr>
          <w:rFonts w:hint="eastAsia"/>
        </w:rPr>
        <w:t xml:space="preserve">(2)Postgraduate Program in Pathology, Federal University of Ceará, Fortaleza, </w:t>
      </w:r>
    </w:p>
    <w:p w14:paraId="6D79ADA8">
      <w:pPr>
        <w:pStyle w:val="2"/>
        <w:rPr>
          <w:rFonts w:hint="eastAsia"/>
        </w:rPr>
      </w:pPr>
      <w:r>
        <w:rPr>
          <w:rFonts w:hint="eastAsia"/>
        </w:rPr>
        <w:t>Ceara, 60430160, Brazil. Electronic address: prisciladouradophd@gmail.com.</w:t>
      </w:r>
    </w:p>
    <w:p w14:paraId="7F5C5BBB">
      <w:pPr>
        <w:pStyle w:val="2"/>
        <w:rPr>
          <w:rFonts w:hint="eastAsia"/>
        </w:rPr>
      </w:pPr>
      <w:r>
        <w:rPr>
          <w:rFonts w:hint="eastAsia"/>
        </w:rPr>
        <w:t xml:space="preserve">(3)Postgraduate Program in Pathology, Federal University of Ceará, Fortaleza, </w:t>
      </w:r>
    </w:p>
    <w:p w14:paraId="564C71F2">
      <w:pPr>
        <w:pStyle w:val="2"/>
        <w:rPr>
          <w:rFonts w:hint="eastAsia"/>
        </w:rPr>
      </w:pPr>
      <w:r>
        <w:rPr>
          <w:rFonts w:hint="eastAsia"/>
        </w:rPr>
        <w:t>Ceara, 60430160, Brazil. Electronic address: theutlys@gmail.com.</w:t>
      </w:r>
    </w:p>
    <w:p w14:paraId="6CDCE4F2">
      <w:pPr>
        <w:pStyle w:val="2"/>
        <w:rPr>
          <w:rFonts w:hint="eastAsia"/>
        </w:rPr>
      </w:pPr>
      <w:r>
        <w:rPr>
          <w:rFonts w:hint="eastAsia"/>
        </w:rPr>
        <w:t xml:space="preserve">(4)Postgraduate Program in Pathology, Federal University of Ceará, Fortaleza, </w:t>
      </w:r>
    </w:p>
    <w:p w14:paraId="7C9FFBA3">
      <w:pPr>
        <w:pStyle w:val="2"/>
        <w:rPr>
          <w:rFonts w:hint="eastAsia"/>
        </w:rPr>
      </w:pPr>
      <w:r>
        <w:rPr>
          <w:rFonts w:hint="eastAsia"/>
        </w:rPr>
        <w:t>Ceara, 60430160, Brazil. Electronic address: natalia_oliveira88@outlook.com.</w:t>
      </w:r>
    </w:p>
    <w:p w14:paraId="72DF7462">
      <w:pPr>
        <w:pStyle w:val="2"/>
        <w:rPr>
          <w:rFonts w:hint="eastAsia"/>
        </w:rPr>
      </w:pPr>
      <w:r>
        <w:rPr>
          <w:rFonts w:hint="eastAsia"/>
        </w:rPr>
        <w:t xml:space="preserve">(5)Laboratory of Bacteriology and Bioassays in Mycobacteria, Evandro Chagas </w:t>
      </w:r>
    </w:p>
    <w:p w14:paraId="0A489C0F">
      <w:pPr>
        <w:pStyle w:val="2"/>
        <w:rPr>
          <w:rFonts w:hint="eastAsia"/>
        </w:rPr>
      </w:pPr>
      <w:r>
        <w:rPr>
          <w:rFonts w:hint="eastAsia"/>
        </w:rPr>
        <w:t xml:space="preserve">National Institute of Infectious Diseases, Oswaldo Cruz Foundation, Rio de </w:t>
      </w:r>
    </w:p>
    <w:p w14:paraId="525E61D1">
      <w:pPr>
        <w:pStyle w:val="2"/>
        <w:rPr>
          <w:rFonts w:hint="eastAsia"/>
        </w:rPr>
      </w:pPr>
      <w:r>
        <w:rPr>
          <w:rFonts w:hint="eastAsia"/>
        </w:rPr>
        <w:t xml:space="preserve">Janeiro, Rio de Janeiro, 21040360, Brazil. Electronic address: </w:t>
      </w:r>
    </w:p>
    <w:p w14:paraId="3F6944F8">
      <w:pPr>
        <w:pStyle w:val="2"/>
        <w:rPr>
          <w:rFonts w:hint="eastAsia"/>
        </w:rPr>
      </w:pPr>
      <w:r>
        <w:rPr>
          <w:rFonts w:hint="eastAsia"/>
        </w:rPr>
        <w:t>karolinysoares2303@gmail.com.</w:t>
      </w:r>
    </w:p>
    <w:p w14:paraId="6483AFC3">
      <w:pPr>
        <w:pStyle w:val="2"/>
        <w:rPr>
          <w:rFonts w:hint="eastAsia"/>
        </w:rPr>
      </w:pPr>
      <w:r>
        <w:rPr>
          <w:rFonts w:hint="eastAsia"/>
        </w:rPr>
        <w:t xml:space="preserve">(6)Laboratory of Bacteriology and Bioassays in Mycobacteria, Evandro Chagas </w:t>
      </w:r>
    </w:p>
    <w:p w14:paraId="00048416">
      <w:pPr>
        <w:pStyle w:val="2"/>
        <w:rPr>
          <w:rFonts w:hint="eastAsia"/>
        </w:rPr>
      </w:pPr>
      <w:r>
        <w:rPr>
          <w:rFonts w:hint="eastAsia"/>
        </w:rPr>
        <w:t xml:space="preserve">National Institute of Infectious Diseases, Oswaldo Cruz Foundation, Rio de </w:t>
      </w:r>
    </w:p>
    <w:p w14:paraId="4205BF2B">
      <w:pPr>
        <w:pStyle w:val="2"/>
        <w:rPr>
          <w:rFonts w:hint="eastAsia"/>
        </w:rPr>
      </w:pPr>
      <w:r>
        <w:rPr>
          <w:rFonts w:hint="eastAsia"/>
        </w:rPr>
        <w:t xml:space="preserve">Janeiro, Rio de Janeiro, 21040360, Brazil. Electronic address: </w:t>
      </w:r>
    </w:p>
    <w:p w14:paraId="6506C765">
      <w:pPr>
        <w:pStyle w:val="2"/>
        <w:rPr>
          <w:rFonts w:hint="eastAsia"/>
        </w:rPr>
      </w:pPr>
      <w:r>
        <w:rPr>
          <w:rFonts w:hint="eastAsia"/>
        </w:rPr>
        <w:t>leobpfb@gmail.com.</w:t>
      </w:r>
    </w:p>
    <w:p w14:paraId="5E67D080">
      <w:pPr>
        <w:pStyle w:val="2"/>
        <w:rPr>
          <w:rFonts w:hint="eastAsia"/>
        </w:rPr>
      </w:pPr>
      <w:r>
        <w:rPr>
          <w:rFonts w:hint="eastAsia"/>
        </w:rPr>
        <w:t xml:space="preserve">(7)Laboratory of Bacteriology and Bioassays in Mycobacteria, Evandro Chagas </w:t>
      </w:r>
    </w:p>
    <w:p w14:paraId="73177176">
      <w:pPr>
        <w:pStyle w:val="2"/>
        <w:rPr>
          <w:rFonts w:hint="eastAsia"/>
        </w:rPr>
      </w:pPr>
      <w:r>
        <w:rPr>
          <w:rFonts w:hint="eastAsia"/>
        </w:rPr>
        <w:t xml:space="preserve">National Institute of Infectious Diseases, Oswaldo Cruz Foundation, Rio de </w:t>
      </w:r>
    </w:p>
    <w:p w14:paraId="7A298281">
      <w:pPr>
        <w:pStyle w:val="2"/>
        <w:rPr>
          <w:rFonts w:hint="eastAsia"/>
        </w:rPr>
      </w:pPr>
      <w:r>
        <w:rPr>
          <w:rFonts w:hint="eastAsia"/>
        </w:rPr>
        <w:t xml:space="preserve">Janeiro, Rio de Janeiro, 21040360, Brazil. Electronic address: </w:t>
      </w:r>
    </w:p>
    <w:p w14:paraId="0C6AE023">
      <w:pPr>
        <w:pStyle w:val="2"/>
        <w:rPr>
          <w:rFonts w:hint="eastAsia"/>
        </w:rPr>
      </w:pPr>
      <w:r>
        <w:rPr>
          <w:rFonts w:hint="eastAsia"/>
        </w:rPr>
        <w:t>yrnehpradopalacios@gmail.com.</w:t>
      </w:r>
    </w:p>
    <w:p w14:paraId="5A2CF2BF">
      <w:pPr>
        <w:pStyle w:val="2"/>
        <w:rPr>
          <w:rFonts w:hint="eastAsia"/>
        </w:rPr>
      </w:pPr>
      <w:r>
        <w:rPr>
          <w:rFonts w:hint="eastAsia"/>
        </w:rPr>
        <w:t xml:space="preserve">(8)Laboratory of Bacteriology and Bioassays in Mycobacteria, Evandro Chagas </w:t>
      </w:r>
    </w:p>
    <w:p w14:paraId="1C22AA08">
      <w:pPr>
        <w:pStyle w:val="2"/>
        <w:rPr>
          <w:rFonts w:hint="eastAsia"/>
        </w:rPr>
      </w:pPr>
      <w:r>
        <w:rPr>
          <w:rFonts w:hint="eastAsia"/>
        </w:rPr>
        <w:t xml:space="preserve">National Institute of Infectious Diseases, Oswaldo Cruz Foundation, Rio de </w:t>
      </w:r>
    </w:p>
    <w:p w14:paraId="4BD748DE">
      <w:pPr>
        <w:pStyle w:val="2"/>
        <w:rPr>
          <w:rFonts w:hint="eastAsia"/>
        </w:rPr>
      </w:pPr>
      <w:r>
        <w:rPr>
          <w:rFonts w:hint="eastAsia"/>
        </w:rPr>
        <w:t xml:space="preserve">Janeiro, Rio de Janeiro, 21040360, Brazil. Electronic address: </w:t>
      </w:r>
    </w:p>
    <w:p w14:paraId="1ECF87EC">
      <w:pPr>
        <w:pStyle w:val="2"/>
        <w:rPr>
          <w:rFonts w:hint="eastAsia"/>
        </w:rPr>
      </w:pPr>
      <w:r>
        <w:rPr>
          <w:rFonts w:hint="eastAsia"/>
        </w:rPr>
        <w:t>mclouren@gmail.com.</w:t>
      </w:r>
    </w:p>
    <w:p w14:paraId="584ECF34">
      <w:pPr>
        <w:pStyle w:val="2"/>
        <w:rPr>
          <w:rFonts w:hint="eastAsia"/>
        </w:rPr>
      </w:pPr>
      <w:r>
        <w:rPr>
          <w:rFonts w:hint="eastAsia"/>
        </w:rPr>
        <w:t xml:space="preserve">(9)Mycobacteriosis Clinic, Carlos Alberto Studart Gomes Hospital, Ceará State </w:t>
      </w:r>
    </w:p>
    <w:p w14:paraId="4016A29F">
      <w:pPr>
        <w:pStyle w:val="2"/>
        <w:rPr>
          <w:rFonts w:hint="eastAsia"/>
        </w:rPr>
      </w:pPr>
      <w:r>
        <w:rPr>
          <w:rFonts w:hint="eastAsia"/>
        </w:rPr>
        <w:t xml:space="preserve">Health Department, Fortaleza, Ceara, 60840285, Brazil; University of Fortaleza, </w:t>
      </w:r>
    </w:p>
    <w:p w14:paraId="00BD2E38">
      <w:pPr>
        <w:pStyle w:val="2"/>
        <w:rPr>
          <w:rFonts w:hint="eastAsia"/>
        </w:rPr>
      </w:pPr>
      <w:r>
        <w:rPr>
          <w:rFonts w:hint="eastAsia"/>
        </w:rPr>
        <w:t>Fortaleza, Ceara, 60811905, Brazil. Electronic address: ecbarroso@unifor.br.</w:t>
      </w:r>
    </w:p>
    <w:p w14:paraId="7319AB3D">
      <w:pPr>
        <w:pStyle w:val="2"/>
        <w:rPr>
          <w:rFonts w:hint="eastAsia"/>
        </w:rPr>
      </w:pPr>
      <w:r>
        <w:rPr>
          <w:rFonts w:hint="eastAsia"/>
        </w:rPr>
        <w:t xml:space="preserve">(10)Cesar Cals General Hospital, Ceará State Health Secretariat, Fortaleza, </w:t>
      </w:r>
    </w:p>
    <w:p w14:paraId="2B2ECD57">
      <w:pPr>
        <w:pStyle w:val="2"/>
        <w:rPr>
          <w:rFonts w:hint="eastAsia"/>
        </w:rPr>
      </w:pPr>
      <w:r>
        <w:rPr>
          <w:rFonts w:hint="eastAsia"/>
        </w:rPr>
        <w:t>Ceara, 60714230, Brazil. Electronic address: nantua.clara@gmail.com.</w:t>
      </w:r>
    </w:p>
    <w:p w14:paraId="02130F11">
      <w:pPr>
        <w:pStyle w:val="2"/>
        <w:rPr>
          <w:rFonts w:hint="eastAsia"/>
        </w:rPr>
      </w:pPr>
      <w:r>
        <w:rPr>
          <w:rFonts w:hint="eastAsia"/>
        </w:rPr>
        <w:t xml:space="preserve">(11)Mycobacteria Laboratory, Faculty of Medicine, Federal University of Ceará, </w:t>
      </w:r>
    </w:p>
    <w:p w14:paraId="7B3EE460">
      <w:pPr>
        <w:pStyle w:val="2"/>
        <w:rPr>
          <w:rFonts w:hint="eastAsia"/>
        </w:rPr>
      </w:pPr>
      <w:r>
        <w:rPr>
          <w:rFonts w:hint="eastAsia"/>
        </w:rPr>
        <w:t>Fortaleza, 60430160, Brazil. Electronic address: soraya.sancho@ufc.br.</w:t>
      </w:r>
    </w:p>
    <w:p w14:paraId="55DAB8AC">
      <w:pPr>
        <w:pStyle w:val="2"/>
        <w:rPr>
          <w:rFonts w:hint="eastAsia"/>
        </w:rPr>
      </w:pPr>
      <w:r>
        <w:rPr>
          <w:rFonts w:hint="eastAsia"/>
        </w:rPr>
        <w:t xml:space="preserve">(12)Bacteriology and Mycology Section, Evandro Chagas Institute, Ananindeua, </w:t>
      </w:r>
    </w:p>
    <w:p w14:paraId="25B26D4E">
      <w:pPr>
        <w:pStyle w:val="2"/>
        <w:rPr>
          <w:rFonts w:hint="eastAsia"/>
        </w:rPr>
      </w:pPr>
      <w:r>
        <w:rPr>
          <w:rFonts w:hint="eastAsia"/>
        </w:rPr>
        <w:t xml:space="preserve">Para, 67030000, Brazil; Postgraduate Program in Parasitic Biology in the Amazon, </w:t>
      </w:r>
    </w:p>
    <w:p w14:paraId="2C968543">
      <w:pPr>
        <w:pStyle w:val="2"/>
        <w:rPr>
          <w:rFonts w:hint="eastAsia"/>
        </w:rPr>
      </w:pPr>
      <w:r>
        <w:rPr>
          <w:rFonts w:hint="eastAsia"/>
        </w:rPr>
        <w:t xml:space="preserve">Institute of Biological and Health Sciences, State University of Pará, Belém, </w:t>
      </w:r>
    </w:p>
    <w:p w14:paraId="19AA43EE">
      <w:pPr>
        <w:pStyle w:val="2"/>
        <w:rPr>
          <w:rFonts w:hint="eastAsia"/>
        </w:rPr>
      </w:pPr>
      <w:r>
        <w:rPr>
          <w:rFonts w:hint="eastAsia"/>
        </w:rPr>
        <w:t>66087662, Brazil. Electronic address: karlalima@iec.gov.br.</w:t>
      </w:r>
    </w:p>
    <w:p w14:paraId="46234721">
      <w:pPr>
        <w:pStyle w:val="2"/>
        <w:rPr>
          <w:rFonts w:hint="eastAsia"/>
        </w:rPr>
      </w:pPr>
      <w:r>
        <w:rPr>
          <w:rFonts w:hint="eastAsia"/>
        </w:rPr>
        <w:t xml:space="preserve">(13)Postgraduate Program in Public Health, Federal University of Ceará, </w:t>
      </w:r>
    </w:p>
    <w:p w14:paraId="2A7BE78B">
      <w:pPr>
        <w:pStyle w:val="2"/>
        <w:rPr>
          <w:rFonts w:hint="eastAsia"/>
        </w:rPr>
      </w:pPr>
      <w:r>
        <w:rPr>
          <w:rFonts w:hint="eastAsia"/>
        </w:rPr>
        <w:t>Fortaleza, Ceará, 60430160, Brazil. Electronic address: rliviafa@gmail.com.</w:t>
      </w:r>
    </w:p>
    <w:p w14:paraId="1C840DB6">
      <w:pPr>
        <w:pStyle w:val="2"/>
        <w:rPr>
          <w:rFonts w:hint="eastAsia"/>
        </w:rPr>
      </w:pPr>
      <w:r>
        <w:rPr>
          <w:rFonts w:hint="eastAsia"/>
        </w:rPr>
        <w:t xml:space="preserve">(14)Postgraduate Program in Pathology, Federal University of Ceará, Fortaleza, </w:t>
      </w:r>
    </w:p>
    <w:p w14:paraId="5EDDC5C2">
      <w:pPr>
        <w:pStyle w:val="2"/>
        <w:rPr>
          <w:rFonts w:hint="eastAsia"/>
        </w:rPr>
      </w:pPr>
      <w:r>
        <w:rPr>
          <w:rFonts w:hint="eastAsia"/>
        </w:rPr>
        <w:t xml:space="preserve">Ceara, 60430160, Brazil; Mycobacteria Laboratory, Faculty of Medicine, Federal </w:t>
      </w:r>
    </w:p>
    <w:p w14:paraId="3EFF1398">
      <w:pPr>
        <w:pStyle w:val="2"/>
        <w:rPr>
          <w:rFonts w:hint="eastAsia"/>
        </w:rPr>
      </w:pPr>
      <w:r>
        <w:rPr>
          <w:rFonts w:hint="eastAsia"/>
        </w:rPr>
        <w:t xml:space="preserve">University of Ceará, Fortaleza, 60430160, Brazil. Electronic address: </w:t>
      </w:r>
    </w:p>
    <w:p w14:paraId="4380EF75">
      <w:pPr>
        <w:pStyle w:val="2"/>
        <w:rPr>
          <w:rFonts w:hint="eastAsia"/>
        </w:rPr>
      </w:pPr>
      <w:r>
        <w:rPr>
          <w:rFonts w:hint="eastAsia"/>
        </w:rPr>
        <w:t>cristianefrota@ufc.br.</w:t>
      </w:r>
    </w:p>
    <w:p w14:paraId="792904D9">
      <w:pPr>
        <w:pStyle w:val="2"/>
        <w:rPr>
          <w:rFonts w:hint="eastAsia"/>
        </w:rPr>
      </w:pPr>
    </w:p>
    <w:p w14:paraId="6267F6BD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 (TB) control in high-burden settings is complicated by </w:t>
      </w:r>
    </w:p>
    <w:p w14:paraId="29E53F8D">
      <w:pPr>
        <w:pStyle w:val="2"/>
        <w:rPr>
          <w:rFonts w:hint="eastAsia"/>
        </w:rPr>
      </w:pPr>
      <w:r>
        <w:rPr>
          <w:rFonts w:hint="eastAsia"/>
        </w:rPr>
        <w:t xml:space="preserve">the genetic diversity of Mycobacterium tuberculosis (Mtb), which influences </w:t>
      </w:r>
    </w:p>
    <w:p w14:paraId="094011A5">
      <w:pPr>
        <w:pStyle w:val="2"/>
        <w:rPr>
          <w:rFonts w:hint="eastAsia"/>
        </w:rPr>
      </w:pPr>
      <w:r>
        <w:rPr>
          <w:rFonts w:hint="eastAsia"/>
        </w:rPr>
        <w:t xml:space="preserve">transmission. This study assessed the prevalence of mixed strain infections </w:t>
      </w:r>
    </w:p>
    <w:p w14:paraId="00BD3831">
      <w:pPr>
        <w:pStyle w:val="2"/>
        <w:rPr>
          <w:rFonts w:hint="eastAsia"/>
        </w:rPr>
      </w:pPr>
      <w:r>
        <w:rPr>
          <w:rFonts w:hint="eastAsia"/>
        </w:rPr>
        <w:t xml:space="preserve">(MSIs) and microevolutionary events, analyzing their association with biosocial </w:t>
      </w:r>
    </w:p>
    <w:p w14:paraId="61D45541">
      <w:pPr>
        <w:pStyle w:val="2"/>
        <w:rPr>
          <w:rFonts w:hint="eastAsia"/>
        </w:rPr>
      </w:pPr>
      <w:r>
        <w:rPr>
          <w:rFonts w:hint="eastAsia"/>
        </w:rPr>
        <w:t>and clinical variables in Fortaleza, northeastern Brazil.</w:t>
      </w:r>
    </w:p>
    <w:p w14:paraId="3DB545F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This prospective study included 168 patients with pulmonary TB from two </w:t>
      </w:r>
    </w:p>
    <w:p w14:paraId="418DE376">
      <w:pPr>
        <w:pStyle w:val="2"/>
        <w:rPr>
          <w:rFonts w:hint="eastAsia"/>
        </w:rPr>
      </w:pPr>
      <w:r>
        <w:rPr>
          <w:rFonts w:hint="eastAsia"/>
        </w:rPr>
        <w:t xml:space="preserve">referral hospitals serving socioeconomically vulnerable populations. Mtb </w:t>
      </w:r>
    </w:p>
    <w:p w14:paraId="1513A271">
      <w:pPr>
        <w:pStyle w:val="2"/>
        <w:rPr>
          <w:rFonts w:hint="eastAsia"/>
        </w:rPr>
      </w:pPr>
      <w:r>
        <w:rPr>
          <w:rFonts w:hint="eastAsia"/>
        </w:rPr>
        <w:t xml:space="preserve">isolates were subjected to drug resistance testing using Xpert MTB/RIF, MGIT </w:t>
      </w:r>
    </w:p>
    <w:p w14:paraId="1B169C97">
      <w:pPr>
        <w:pStyle w:val="2"/>
        <w:rPr>
          <w:rFonts w:hint="eastAsia"/>
        </w:rPr>
      </w:pPr>
      <w:r>
        <w:rPr>
          <w:rFonts w:hint="eastAsia"/>
        </w:rPr>
        <w:t xml:space="preserve">960, SIRE kit, and 24-locus mycobacterial interspersed repetitive unit-variable </w:t>
      </w:r>
    </w:p>
    <w:p w14:paraId="33E6E12D">
      <w:pPr>
        <w:pStyle w:val="2"/>
        <w:rPr>
          <w:rFonts w:hint="eastAsia"/>
        </w:rPr>
      </w:pPr>
      <w:r>
        <w:rPr>
          <w:rFonts w:hint="eastAsia"/>
        </w:rPr>
        <w:t xml:space="preserve">number tandem repeat typing. Genetic diversity was classified as MSI when </w:t>
      </w:r>
    </w:p>
    <w:p w14:paraId="66611ED2">
      <w:pPr>
        <w:pStyle w:val="2"/>
        <w:rPr>
          <w:rFonts w:hint="eastAsia"/>
        </w:rPr>
      </w:pPr>
      <w:r>
        <w:rPr>
          <w:rFonts w:hint="eastAsia"/>
        </w:rPr>
        <w:t xml:space="preserve">multiple alleles were detected at two or more loci, or as a microevolutionary </w:t>
      </w:r>
    </w:p>
    <w:p w14:paraId="62C18122">
      <w:pPr>
        <w:pStyle w:val="2"/>
        <w:rPr>
          <w:rFonts w:hint="eastAsia"/>
        </w:rPr>
      </w:pPr>
      <w:r>
        <w:rPr>
          <w:rFonts w:hint="eastAsia"/>
        </w:rPr>
        <w:t xml:space="preserve">event when multiple alleles were detected at a single locus. Clinical and </w:t>
      </w:r>
    </w:p>
    <w:p w14:paraId="3684F6E3">
      <w:pPr>
        <w:pStyle w:val="2"/>
        <w:rPr>
          <w:rFonts w:hint="eastAsia"/>
        </w:rPr>
      </w:pPr>
      <w:r>
        <w:rPr>
          <w:rFonts w:hint="eastAsia"/>
        </w:rPr>
        <w:t>socioeconomic data were correlated with the genotypic profiles of the patients.</w:t>
      </w:r>
    </w:p>
    <w:p w14:paraId="2851E4E2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Genetic diversity was observed in 10 isolates (6%), comprising three </w:t>
      </w:r>
    </w:p>
    <w:p w14:paraId="04F3D8B0">
      <w:pPr>
        <w:pStyle w:val="2"/>
        <w:rPr>
          <w:rFonts w:hint="eastAsia"/>
        </w:rPr>
      </w:pPr>
      <w:r>
        <w:rPr>
          <w:rFonts w:hint="eastAsia"/>
        </w:rPr>
        <w:t xml:space="preserve">(1.75%) MSIs and seven microevolutionary events. Among the 10 patients with </w:t>
      </w:r>
    </w:p>
    <w:p w14:paraId="1AEA998D">
      <w:pPr>
        <w:pStyle w:val="2"/>
        <w:rPr>
          <w:rFonts w:hint="eastAsia"/>
        </w:rPr>
      </w:pPr>
      <w:r>
        <w:rPr>
          <w:rFonts w:hint="eastAsia"/>
        </w:rPr>
        <w:t xml:space="preserve">genetic diversity, the median age was 46 years, and illicit drug use was </w:t>
      </w:r>
    </w:p>
    <w:p w14:paraId="3E199E65">
      <w:pPr>
        <w:pStyle w:val="2"/>
        <w:rPr>
          <w:rFonts w:hint="eastAsia"/>
        </w:rPr>
      </w:pPr>
      <w:r>
        <w:rPr>
          <w:rFonts w:hint="eastAsia"/>
        </w:rPr>
        <w:t xml:space="preserve">reported in this subgroup. All MSIs were rifampicin-sensitive; four of the seven </w:t>
      </w:r>
    </w:p>
    <w:p w14:paraId="7B0525E6">
      <w:pPr>
        <w:pStyle w:val="2"/>
        <w:rPr>
          <w:rFonts w:hint="eastAsia"/>
        </w:rPr>
      </w:pPr>
      <w:r>
        <w:rPr>
          <w:rFonts w:hint="eastAsia"/>
        </w:rPr>
        <w:t xml:space="preserve">cases with microevolution showed rifampicin resistance. Half of the patients </w:t>
      </w:r>
    </w:p>
    <w:p w14:paraId="0B3323D5">
      <w:pPr>
        <w:pStyle w:val="2"/>
        <w:rPr>
          <w:rFonts w:hint="eastAsia"/>
        </w:rPr>
      </w:pPr>
      <w:r>
        <w:rPr>
          <w:rFonts w:hint="eastAsia"/>
        </w:rPr>
        <w:t xml:space="preserve">with genetic diversity showed poor treatment outcomes in the form of death, </w:t>
      </w:r>
    </w:p>
    <w:p w14:paraId="5142A177">
      <w:pPr>
        <w:pStyle w:val="2"/>
        <w:rPr>
          <w:rFonts w:hint="eastAsia"/>
        </w:rPr>
      </w:pPr>
      <w:r>
        <w:rPr>
          <w:rFonts w:hint="eastAsia"/>
        </w:rPr>
        <w:t xml:space="preserve">failure, and loss of follow-up; comorbid conditions such as diabetes, syphilis, </w:t>
      </w:r>
    </w:p>
    <w:p w14:paraId="09555E49">
      <w:pPr>
        <w:pStyle w:val="2"/>
        <w:rPr>
          <w:rFonts w:hint="eastAsia"/>
        </w:rPr>
      </w:pPr>
      <w:r>
        <w:rPr>
          <w:rFonts w:hint="eastAsia"/>
        </w:rPr>
        <w:t>and previous TB were common in this subgroup.</w:t>
      </w:r>
    </w:p>
    <w:p w14:paraId="1C90441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The patterns of Mtb genetic diversity in this high-burden setting </w:t>
      </w:r>
    </w:p>
    <w:p w14:paraId="020D8246">
      <w:pPr>
        <w:pStyle w:val="2"/>
        <w:rPr>
          <w:rFonts w:hint="eastAsia"/>
        </w:rPr>
      </w:pPr>
      <w:r>
        <w:rPr>
          <w:rFonts w:hint="eastAsia"/>
        </w:rPr>
        <w:t xml:space="preserve">coexist with conditions of social vulnerability and complex disease </w:t>
      </w:r>
    </w:p>
    <w:p w14:paraId="1A49235A">
      <w:pPr>
        <w:pStyle w:val="2"/>
        <w:rPr>
          <w:rFonts w:hint="eastAsia"/>
        </w:rPr>
      </w:pPr>
      <w:r>
        <w:rPr>
          <w:rFonts w:hint="eastAsia"/>
        </w:rPr>
        <w:t xml:space="preserve">presentations. These findings highlight the coexistence of Mtb genetic diversity </w:t>
      </w:r>
    </w:p>
    <w:p w14:paraId="50958374">
      <w:pPr>
        <w:pStyle w:val="2"/>
        <w:rPr>
          <w:rFonts w:hint="eastAsia"/>
        </w:rPr>
      </w:pPr>
      <w:r>
        <w:rPr>
          <w:rFonts w:hint="eastAsia"/>
        </w:rPr>
        <w:t xml:space="preserve">with social and clinical vulnerability in this setting and support further </w:t>
      </w:r>
    </w:p>
    <w:p w14:paraId="2CA0EB66">
      <w:pPr>
        <w:pStyle w:val="2"/>
        <w:rPr>
          <w:rFonts w:hint="eastAsia"/>
        </w:rPr>
      </w:pPr>
      <w:r>
        <w:rPr>
          <w:rFonts w:hint="eastAsia"/>
        </w:rPr>
        <w:t>investigation using larger cohorts and higher-resolution genomic approaches.</w:t>
      </w:r>
    </w:p>
    <w:p w14:paraId="3C950053">
      <w:pPr>
        <w:pStyle w:val="2"/>
        <w:rPr>
          <w:rFonts w:hint="eastAsia"/>
        </w:rPr>
      </w:pPr>
    </w:p>
    <w:p w14:paraId="34F1848B">
      <w:pPr>
        <w:pStyle w:val="2"/>
        <w:rPr>
          <w:rFonts w:hint="eastAsia"/>
        </w:rPr>
      </w:pPr>
      <w:r>
        <w:rPr>
          <w:rFonts w:hint="eastAsia"/>
        </w:rPr>
        <w:t>Copyright © 2026 The Authors. Published by Elsevier B.V. All rights reserved.</w:t>
      </w:r>
    </w:p>
    <w:p w14:paraId="6689E0B6">
      <w:pPr>
        <w:pStyle w:val="2"/>
        <w:rPr>
          <w:rFonts w:hint="eastAsia"/>
        </w:rPr>
      </w:pPr>
    </w:p>
    <w:p w14:paraId="08C4A283">
      <w:pPr>
        <w:pStyle w:val="2"/>
        <w:rPr>
          <w:rFonts w:hint="eastAsia"/>
        </w:rPr>
      </w:pPr>
      <w:r>
        <w:rPr>
          <w:rFonts w:hint="eastAsia"/>
        </w:rPr>
        <w:t>DOI: 10.1016/j.ijmmb.2026.101318</w:t>
      </w:r>
    </w:p>
    <w:p w14:paraId="7B7FD2F3">
      <w:pPr>
        <w:pStyle w:val="2"/>
        <w:rPr>
          <w:rFonts w:hint="eastAsia"/>
        </w:rPr>
      </w:pPr>
      <w:r>
        <w:rPr>
          <w:rFonts w:hint="eastAsia"/>
        </w:rPr>
        <w:t>PMID: 42863676</w:t>
      </w:r>
    </w:p>
    <w:p w14:paraId="351E028C">
      <w:pPr>
        <w:pStyle w:val="2"/>
        <w:rPr>
          <w:rFonts w:hint="eastAsia"/>
        </w:rPr>
      </w:pPr>
    </w:p>
    <w:p w14:paraId="29BD105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51</w:t>
      </w:r>
      <w:r>
        <w:rPr>
          <w:rFonts w:hint="eastAsia"/>
          <w:b/>
          <w:bCs/>
          <w:color w:val="FF0000"/>
        </w:rPr>
        <w:t>. Biomed Pharmacother. 2026 Oct 12;204:119984. doi: 10.1016/j.biopha.2026.119984. Online ahead of print.</w:t>
      </w:r>
    </w:p>
    <w:p w14:paraId="1B59F116">
      <w:pPr>
        <w:pStyle w:val="2"/>
        <w:rPr>
          <w:rFonts w:hint="eastAsia"/>
        </w:rPr>
      </w:pPr>
    </w:p>
    <w:p w14:paraId="42D118A1">
      <w:pPr>
        <w:pStyle w:val="2"/>
        <w:rPr>
          <w:rFonts w:hint="eastAsia"/>
        </w:rPr>
      </w:pPr>
      <w:r>
        <w:rPr>
          <w:rFonts w:hint="eastAsia"/>
        </w:rPr>
        <w:t xml:space="preserve">Dual targeting of cytochrome bd and bc(1)-aa(3) terminal oxidases eradicates </w:t>
      </w:r>
    </w:p>
    <w:p w14:paraId="49736E4B">
      <w:pPr>
        <w:pStyle w:val="2"/>
        <w:rPr>
          <w:rFonts w:hint="eastAsia"/>
        </w:rPr>
      </w:pPr>
      <w:r>
        <w:rPr>
          <w:rFonts w:hint="eastAsia"/>
        </w:rPr>
        <w:t>phenotypically diverse population of Mycobacterium tuberculosis.</w:t>
      </w:r>
    </w:p>
    <w:p w14:paraId="208D2BDA">
      <w:pPr>
        <w:pStyle w:val="2"/>
        <w:rPr>
          <w:rFonts w:hint="eastAsia"/>
        </w:rPr>
      </w:pPr>
    </w:p>
    <w:p w14:paraId="40FF1074">
      <w:pPr>
        <w:pStyle w:val="2"/>
        <w:rPr>
          <w:rFonts w:hint="eastAsia"/>
        </w:rPr>
      </w:pPr>
      <w:r>
        <w:rPr>
          <w:rFonts w:hint="eastAsia"/>
        </w:rPr>
        <w:t>Roy A(1), Sau S(1), Agnivesh PK(1), Parida KK(1), Kalia NP(2).</w:t>
      </w:r>
    </w:p>
    <w:p w14:paraId="00E3C856">
      <w:pPr>
        <w:pStyle w:val="2"/>
        <w:rPr>
          <w:rFonts w:hint="eastAsia"/>
        </w:rPr>
      </w:pPr>
    </w:p>
    <w:p w14:paraId="4D5FFE5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8195E4A">
      <w:pPr>
        <w:pStyle w:val="2"/>
        <w:rPr>
          <w:rFonts w:hint="eastAsia"/>
        </w:rPr>
      </w:pPr>
      <w:r>
        <w:rPr>
          <w:rFonts w:hint="eastAsia"/>
        </w:rPr>
        <w:t xml:space="preserve">(1)Department of Biological Sciences (Pharmacology and Toxicology), National </w:t>
      </w:r>
    </w:p>
    <w:p w14:paraId="18D9962F">
      <w:pPr>
        <w:pStyle w:val="2"/>
        <w:rPr>
          <w:rFonts w:hint="eastAsia"/>
        </w:rPr>
      </w:pPr>
      <w:r>
        <w:rPr>
          <w:rFonts w:hint="eastAsia"/>
        </w:rPr>
        <w:t xml:space="preserve">Institute of Pharmaceutical Education and Research (NIPER), Hyderabad, Telangana </w:t>
      </w:r>
    </w:p>
    <w:p w14:paraId="3786AD39">
      <w:pPr>
        <w:pStyle w:val="2"/>
        <w:rPr>
          <w:rFonts w:hint="eastAsia"/>
        </w:rPr>
      </w:pPr>
      <w:r>
        <w:rPr>
          <w:rFonts w:hint="eastAsia"/>
        </w:rPr>
        <w:t>500037, India.</w:t>
      </w:r>
    </w:p>
    <w:p w14:paraId="4D5908C2">
      <w:pPr>
        <w:pStyle w:val="2"/>
        <w:rPr>
          <w:rFonts w:hint="eastAsia"/>
        </w:rPr>
      </w:pPr>
      <w:r>
        <w:rPr>
          <w:rFonts w:hint="eastAsia"/>
        </w:rPr>
        <w:t xml:space="preserve">(2)Department of Biological Sciences (Pharmacology and Toxicology), National </w:t>
      </w:r>
    </w:p>
    <w:p w14:paraId="38655348">
      <w:pPr>
        <w:pStyle w:val="2"/>
        <w:rPr>
          <w:rFonts w:hint="eastAsia"/>
        </w:rPr>
      </w:pPr>
      <w:r>
        <w:rPr>
          <w:rFonts w:hint="eastAsia"/>
        </w:rPr>
        <w:t xml:space="preserve">Institute of Pharmaceutical Education and Research (NIPER), Hyderabad, Telangana </w:t>
      </w:r>
    </w:p>
    <w:p w14:paraId="33BC6A06">
      <w:pPr>
        <w:pStyle w:val="2"/>
        <w:rPr>
          <w:rFonts w:hint="eastAsia"/>
        </w:rPr>
      </w:pPr>
      <w:r>
        <w:rPr>
          <w:rFonts w:hint="eastAsia"/>
        </w:rPr>
        <w:t>500037, India. Electronic address: nitin.kalia@niperhyd.ac.in.</w:t>
      </w:r>
    </w:p>
    <w:p w14:paraId="2687A13C">
      <w:pPr>
        <w:pStyle w:val="2"/>
        <w:rPr>
          <w:rFonts w:hint="eastAsia"/>
        </w:rPr>
      </w:pPr>
    </w:p>
    <w:p w14:paraId="7023DF65">
      <w:pPr>
        <w:pStyle w:val="2"/>
        <w:rPr>
          <w:rFonts w:hint="eastAsia"/>
        </w:rPr>
      </w:pPr>
      <w:r>
        <w:rPr>
          <w:rFonts w:hint="eastAsia"/>
        </w:rPr>
        <w:t xml:space="preserve">Bedaquiline approval paved the way for the development of drug candidates </w:t>
      </w:r>
    </w:p>
    <w:p w14:paraId="1D211C8E">
      <w:pPr>
        <w:pStyle w:val="2"/>
        <w:rPr>
          <w:rFonts w:hint="eastAsia"/>
        </w:rPr>
      </w:pPr>
      <w:r>
        <w:rPr>
          <w:rFonts w:hint="eastAsia"/>
        </w:rPr>
        <w:t xml:space="preserve">against energy metabolism pathways of TB-causing organisms, and oxidative </w:t>
      </w:r>
    </w:p>
    <w:p w14:paraId="3BC5900E">
      <w:pPr>
        <w:pStyle w:val="2"/>
        <w:rPr>
          <w:rFonts w:hint="eastAsia"/>
        </w:rPr>
      </w:pPr>
      <w:r>
        <w:rPr>
          <w:rFonts w:hint="eastAsia"/>
        </w:rPr>
        <w:t xml:space="preserve">phosphorylation was proven to be a relevant target domain. While bedaquiline </w:t>
      </w:r>
    </w:p>
    <w:p w14:paraId="32F67F17">
      <w:pPr>
        <w:pStyle w:val="2"/>
        <w:rPr>
          <w:rFonts w:hint="eastAsia"/>
        </w:rPr>
      </w:pPr>
      <w:r>
        <w:rPr>
          <w:rFonts w:hint="eastAsia"/>
        </w:rPr>
        <w:t xml:space="preserve">acts on the F1F0 ATP synthase, Q203 targets the cytochrome bc1-aa3 terminal </w:t>
      </w:r>
    </w:p>
    <w:p w14:paraId="7CC26B00">
      <w:pPr>
        <w:pStyle w:val="2"/>
        <w:rPr>
          <w:rFonts w:hint="eastAsia"/>
        </w:rPr>
      </w:pPr>
      <w:r>
        <w:rPr>
          <w:rFonts w:hint="eastAsia"/>
        </w:rPr>
        <w:t xml:space="preserve">oxidase, which mediates electron transport to O2 in Mycobacterium tuberculosis. </w:t>
      </w:r>
    </w:p>
    <w:p w14:paraId="6647BF76">
      <w:pPr>
        <w:pStyle w:val="2"/>
        <w:rPr>
          <w:rFonts w:hint="eastAsia"/>
        </w:rPr>
      </w:pPr>
      <w:r>
        <w:rPr>
          <w:rFonts w:hint="eastAsia"/>
        </w:rPr>
        <w:t xml:space="preserve">However, due to functional redundancies between cytochrome bc1-aa3 and a second </w:t>
      </w:r>
    </w:p>
    <w:p w14:paraId="4098BEDF">
      <w:pPr>
        <w:pStyle w:val="2"/>
        <w:rPr>
          <w:rFonts w:hint="eastAsia"/>
        </w:rPr>
      </w:pPr>
      <w:r>
        <w:rPr>
          <w:rFonts w:hint="eastAsia"/>
        </w:rPr>
        <w:t xml:space="preserve">terminal oxidase, the cytochrome-bd, the sterilization effect of Q203 is </w:t>
      </w:r>
    </w:p>
    <w:p w14:paraId="66A146E1">
      <w:pPr>
        <w:pStyle w:val="2"/>
        <w:rPr>
          <w:rFonts w:hint="eastAsia"/>
        </w:rPr>
      </w:pPr>
      <w:r>
        <w:rPr>
          <w:rFonts w:hint="eastAsia"/>
        </w:rPr>
        <w:t xml:space="preserve">impaired. Here, we describe the identification of BD-2, a novel small molecule </w:t>
      </w:r>
    </w:p>
    <w:p w14:paraId="14BE30E8">
      <w:pPr>
        <w:pStyle w:val="2"/>
        <w:rPr>
          <w:rFonts w:hint="eastAsia"/>
        </w:rPr>
      </w:pPr>
      <w:r>
        <w:rPr>
          <w:rFonts w:hint="eastAsia"/>
        </w:rPr>
        <w:t xml:space="preserve">inhibitor of the cytochrome-bd in a cell-based screening campaign. Alone, BD-2 </w:t>
      </w:r>
    </w:p>
    <w:p w14:paraId="5622D911">
      <w:pPr>
        <w:pStyle w:val="2"/>
        <w:rPr>
          <w:rFonts w:hint="eastAsia"/>
        </w:rPr>
      </w:pPr>
      <w:r>
        <w:rPr>
          <w:rFonts w:hint="eastAsia"/>
        </w:rPr>
        <w:t xml:space="preserve">does not exhibit any significant activity. When paired with Q203, however, BD-2 </w:t>
      </w:r>
    </w:p>
    <w:p w14:paraId="33B01075">
      <w:pPr>
        <w:pStyle w:val="2"/>
        <w:rPr>
          <w:rFonts w:hint="eastAsia"/>
        </w:rPr>
      </w:pPr>
      <w:r>
        <w:rPr>
          <w:rFonts w:hint="eastAsia"/>
        </w:rPr>
        <w:t xml:space="preserve">strongly inhibits Mycobacterium tuberculosis respiratory chain function and ATP </w:t>
      </w:r>
    </w:p>
    <w:p w14:paraId="49D31A0C">
      <w:pPr>
        <w:pStyle w:val="2"/>
        <w:rPr>
          <w:rFonts w:hint="eastAsia"/>
        </w:rPr>
      </w:pPr>
      <w:r>
        <w:rPr>
          <w:rFonts w:hint="eastAsia"/>
        </w:rPr>
        <w:t xml:space="preserve">synthesis. Moreover, BD-2 combined with Q203 was shown to possess potent </w:t>
      </w:r>
    </w:p>
    <w:p w14:paraId="5AD472ED">
      <w:pPr>
        <w:pStyle w:val="2"/>
        <w:rPr>
          <w:rFonts w:hint="eastAsia"/>
        </w:rPr>
      </w:pPr>
      <w:r>
        <w:rPr>
          <w:rFonts w:hint="eastAsia"/>
        </w:rPr>
        <w:t xml:space="preserve">bactericidal effect on both replicating and nonreplicating Mycobacterium </w:t>
      </w:r>
    </w:p>
    <w:p w14:paraId="1C1E0ABB">
      <w:pPr>
        <w:pStyle w:val="2"/>
        <w:rPr>
          <w:rFonts w:hint="eastAsia"/>
        </w:rPr>
      </w:pPr>
      <w:r>
        <w:rPr>
          <w:rFonts w:hint="eastAsia"/>
        </w:rPr>
        <w:t xml:space="preserve">tuberculosis, including those living under nutrient starved and hypoxic </w:t>
      </w:r>
    </w:p>
    <w:p w14:paraId="0564D7AB">
      <w:pPr>
        <w:pStyle w:val="2"/>
        <w:rPr>
          <w:rFonts w:hint="eastAsia"/>
        </w:rPr>
      </w:pPr>
      <w:r>
        <w:rPr>
          <w:rFonts w:hint="eastAsia"/>
        </w:rPr>
        <w:t xml:space="preserve">conditions, representing the persistent forms found in granulomas of patients. </w:t>
      </w:r>
    </w:p>
    <w:p w14:paraId="1BBCEC91">
      <w:pPr>
        <w:pStyle w:val="2"/>
        <w:rPr>
          <w:rFonts w:hint="eastAsia"/>
        </w:rPr>
      </w:pPr>
      <w:r>
        <w:rPr>
          <w:rFonts w:hint="eastAsia"/>
        </w:rPr>
        <w:t xml:space="preserve">Mechanistic analysis included molecular docking studies using the known </w:t>
      </w:r>
    </w:p>
    <w:p w14:paraId="6AA99639">
      <w:pPr>
        <w:pStyle w:val="2"/>
        <w:rPr>
          <w:rFonts w:hint="eastAsia"/>
        </w:rPr>
      </w:pPr>
      <w:r>
        <w:rPr>
          <w:rFonts w:hint="eastAsia"/>
        </w:rPr>
        <w:t xml:space="preserve">structure of Mycobacterium tuberculosis cytochrome-bd, in vitro activity testing </w:t>
      </w:r>
    </w:p>
    <w:p w14:paraId="49AF94D5">
      <w:pPr>
        <w:pStyle w:val="2"/>
        <w:rPr>
          <w:rFonts w:hint="eastAsia"/>
        </w:rPr>
      </w:pPr>
      <w:r>
        <w:rPr>
          <w:rFonts w:hint="eastAsia"/>
        </w:rPr>
        <w:t xml:space="preserve">on purified enzyme, all of which confirmed that BD-2 is a direct cytochrome-bd </w:t>
      </w:r>
    </w:p>
    <w:p w14:paraId="3D7C9B8F">
      <w:pPr>
        <w:pStyle w:val="2"/>
        <w:rPr>
          <w:rFonts w:hint="eastAsia"/>
        </w:rPr>
      </w:pPr>
      <w:r>
        <w:rPr>
          <w:rFonts w:hint="eastAsia"/>
        </w:rPr>
        <w:t xml:space="preserve">inhibitor. Furthermore, the BD-2/Q203 combination was effective against </w:t>
      </w:r>
    </w:p>
    <w:p w14:paraId="0100629D">
      <w:pPr>
        <w:pStyle w:val="2"/>
        <w:rPr>
          <w:rFonts w:hint="eastAsia"/>
        </w:rPr>
      </w:pPr>
      <w:r>
        <w:rPr>
          <w:rFonts w:hint="eastAsia"/>
        </w:rPr>
        <w:t xml:space="preserve">intracellular bacteria in an in vitro macrophage infection model based on THP-1 </w:t>
      </w:r>
    </w:p>
    <w:p w14:paraId="59CB4DEB">
      <w:pPr>
        <w:pStyle w:val="2"/>
        <w:rPr>
          <w:rFonts w:hint="eastAsia"/>
        </w:rPr>
      </w:pPr>
      <w:r>
        <w:rPr>
          <w:rFonts w:hint="eastAsia"/>
        </w:rPr>
        <w:t xml:space="preserve">cells, with over 90% reduction in bacterial load achieved at clinically relevant </w:t>
      </w:r>
    </w:p>
    <w:p w14:paraId="0F1C35D1">
      <w:pPr>
        <w:pStyle w:val="2"/>
        <w:rPr>
          <w:rFonts w:hint="eastAsia"/>
        </w:rPr>
      </w:pPr>
      <w:r>
        <w:rPr>
          <w:rFonts w:hint="eastAsia"/>
        </w:rPr>
        <w:t xml:space="preserve">concentrations. This study supports the hypothesis of combining a cytochrome-bd </w:t>
      </w:r>
    </w:p>
    <w:p w14:paraId="1AFC75E5">
      <w:pPr>
        <w:pStyle w:val="2"/>
        <w:rPr>
          <w:rFonts w:hint="eastAsia"/>
        </w:rPr>
      </w:pPr>
      <w:r>
        <w:rPr>
          <w:rFonts w:hint="eastAsia"/>
        </w:rPr>
        <w:t xml:space="preserve">inhibitor and Q203 in tuberculosis therapy as a rational, mechanistically driven </w:t>
      </w:r>
    </w:p>
    <w:p w14:paraId="2B466354">
      <w:pPr>
        <w:pStyle w:val="2"/>
        <w:rPr>
          <w:rFonts w:hint="eastAsia"/>
        </w:rPr>
      </w:pPr>
      <w:r>
        <w:rPr>
          <w:rFonts w:hint="eastAsia"/>
        </w:rPr>
        <w:t xml:space="preserve">approach that might result in more efficient treatment and overcome antibiotic </w:t>
      </w:r>
    </w:p>
    <w:p w14:paraId="75073A2B">
      <w:pPr>
        <w:pStyle w:val="2"/>
        <w:rPr>
          <w:rFonts w:hint="eastAsia"/>
        </w:rPr>
      </w:pPr>
      <w:r>
        <w:rPr>
          <w:rFonts w:hint="eastAsia"/>
        </w:rPr>
        <w:t>tolerance.</w:t>
      </w:r>
    </w:p>
    <w:p w14:paraId="2E52030E">
      <w:pPr>
        <w:pStyle w:val="2"/>
        <w:rPr>
          <w:rFonts w:hint="eastAsia"/>
        </w:rPr>
      </w:pPr>
    </w:p>
    <w:p w14:paraId="084B413A">
      <w:pPr>
        <w:pStyle w:val="2"/>
        <w:rPr>
          <w:rFonts w:hint="eastAsia"/>
        </w:rPr>
      </w:pPr>
      <w:r>
        <w:rPr>
          <w:rFonts w:hint="eastAsia"/>
        </w:rPr>
        <w:t xml:space="preserve">Copyright © 2026 The Authors. Published by Elsevier Masson SAS.. All rights </w:t>
      </w:r>
    </w:p>
    <w:p w14:paraId="2A928DEA">
      <w:pPr>
        <w:pStyle w:val="2"/>
        <w:rPr>
          <w:rFonts w:hint="eastAsia"/>
        </w:rPr>
      </w:pPr>
      <w:r>
        <w:rPr>
          <w:rFonts w:hint="eastAsia"/>
        </w:rPr>
        <w:t>reserved.</w:t>
      </w:r>
    </w:p>
    <w:p w14:paraId="1B13A1B6">
      <w:pPr>
        <w:pStyle w:val="2"/>
        <w:rPr>
          <w:rFonts w:hint="eastAsia"/>
        </w:rPr>
      </w:pPr>
    </w:p>
    <w:p w14:paraId="7A411691">
      <w:pPr>
        <w:pStyle w:val="2"/>
        <w:rPr>
          <w:rFonts w:hint="eastAsia"/>
        </w:rPr>
      </w:pPr>
      <w:r>
        <w:rPr>
          <w:rFonts w:hint="eastAsia"/>
        </w:rPr>
        <w:t>DOI: 10.1016/j.biopha.2026.119984</w:t>
      </w:r>
    </w:p>
    <w:p w14:paraId="61FC9343">
      <w:pPr>
        <w:pStyle w:val="2"/>
        <w:rPr>
          <w:rFonts w:hint="eastAsia"/>
        </w:rPr>
      </w:pPr>
      <w:r>
        <w:rPr>
          <w:rFonts w:hint="eastAsia"/>
        </w:rPr>
        <w:t>PMID: 42863244</w:t>
      </w:r>
    </w:p>
    <w:p w14:paraId="5E4D4D05">
      <w:pPr>
        <w:pStyle w:val="2"/>
        <w:rPr>
          <w:rFonts w:hint="eastAsia"/>
        </w:rPr>
      </w:pPr>
    </w:p>
    <w:p w14:paraId="15AC78C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</w:t>
      </w:r>
      <w:r>
        <w:rPr>
          <w:rFonts w:hint="eastAsia"/>
          <w:b/>
          <w:bCs/>
          <w:color w:val="FF0000"/>
        </w:rPr>
        <w:t xml:space="preserve">2. PLoS Pathog. 2026 Oct 12;22(10):e1014679. doi: 10.1371/journal.ppat.1014679. </w:t>
      </w:r>
    </w:p>
    <w:p w14:paraId="691FBEB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08602266">
      <w:pPr>
        <w:pStyle w:val="2"/>
        <w:rPr>
          <w:rFonts w:hint="eastAsia"/>
        </w:rPr>
      </w:pPr>
    </w:p>
    <w:p w14:paraId="590A715D">
      <w:pPr>
        <w:pStyle w:val="2"/>
        <w:rPr>
          <w:rFonts w:hint="eastAsia"/>
        </w:rPr>
      </w:pPr>
      <w:r>
        <w:rPr>
          <w:rFonts w:hint="eastAsia"/>
        </w:rPr>
        <w:t xml:space="preserve">Toxin-mediated tRNATrp depletion drives Trp-codon-dependent reprogramming in </w:t>
      </w:r>
    </w:p>
    <w:p w14:paraId="3E2012E6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while selectively enriching the PDIM biosynthetic </w:t>
      </w:r>
    </w:p>
    <w:p w14:paraId="387B11F3">
      <w:pPr>
        <w:pStyle w:val="2"/>
        <w:rPr>
          <w:rFonts w:hint="eastAsia"/>
        </w:rPr>
      </w:pPr>
      <w:r>
        <w:rPr>
          <w:rFonts w:hint="eastAsia"/>
        </w:rPr>
        <w:t>machinery.</w:t>
      </w:r>
    </w:p>
    <w:p w14:paraId="796133DF">
      <w:pPr>
        <w:pStyle w:val="2"/>
        <w:rPr>
          <w:rFonts w:hint="eastAsia"/>
        </w:rPr>
      </w:pPr>
    </w:p>
    <w:p w14:paraId="4D31858D">
      <w:pPr>
        <w:pStyle w:val="2"/>
        <w:rPr>
          <w:rFonts w:hint="eastAsia"/>
        </w:rPr>
      </w:pPr>
      <w:r>
        <w:rPr>
          <w:rFonts w:hint="eastAsia"/>
        </w:rPr>
        <w:t xml:space="preserve">Sain S(1), Chauhan U(1), Barth VC Jr(2), Troian EA(1), Abbadi BL(1), Malakar </w:t>
      </w:r>
    </w:p>
    <w:p w14:paraId="17D18D23">
      <w:pPr>
        <w:pStyle w:val="2"/>
        <w:rPr>
          <w:rFonts w:hint="eastAsia"/>
        </w:rPr>
      </w:pPr>
      <w:r>
        <w:rPr>
          <w:rFonts w:hint="eastAsia"/>
        </w:rPr>
        <w:t>B(2), Husson RN(2), Woychik NA(1).</w:t>
      </w:r>
    </w:p>
    <w:p w14:paraId="6BFFA363">
      <w:pPr>
        <w:pStyle w:val="2"/>
        <w:rPr>
          <w:rFonts w:hint="eastAsia"/>
        </w:rPr>
      </w:pPr>
    </w:p>
    <w:p w14:paraId="55FF924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85D28C4">
      <w:pPr>
        <w:pStyle w:val="2"/>
        <w:rPr>
          <w:rFonts w:hint="eastAsia"/>
        </w:rPr>
      </w:pPr>
      <w:r>
        <w:rPr>
          <w:rFonts w:hint="eastAsia"/>
        </w:rPr>
        <w:t xml:space="preserve">(1)Department of Biochemistry and Molecular Biology, Rutgers Health, Robert Wood </w:t>
      </w:r>
    </w:p>
    <w:p w14:paraId="09974ADD">
      <w:pPr>
        <w:pStyle w:val="2"/>
        <w:rPr>
          <w:rFonts w:hint="eastAsia"/>
        </w:rPr>
      </w:pPr>
      <w:r>
        <w:rPr>
          <w:rFonts w:hint="eastAsia"/>
        </w:rPr>
        <w:t>Johnson Medical School, Piscataway, New Jersey, United States of America.</w:t>
      </w:r>
    </w:p>
    <w:p w14:paraId="172F9B43">
      <w:pPr>
        <w:pStyle w:val="2"/>
        <w:rPr>
          <w:rFonts w:hint="eastAsia"/>
        </w:rPr>
      </w:pPr>
      <w:r>
        <w:rPr>
          <w:rFonts w:hint="eastAsia"/>
        </w:rPr>
        <w:t xml:space="preserve">(2)Division of Infecti ous Diseases, Department of Pediatrics, Boston Children's </w:t>
      </w:r>
    </w:p>
    <w:p w14:paraId="2522C582">
      <w:pPr>
        <w:pStyle w:val="2"/>
        <w:rPr>
          <w:rFonts w:hint="eastAsia"/>
        </w:rPr>
      </w:pPr>
      <w:r>
        <w:rPr>
          <w:rFonts w:hint="eastAsia"/>
        </w:rPr>
        <w:t xml:space="preserve">Hospital, Harvard Medical School, Boston, Massachusetts, United States of </w:t>
      </w:r>
    </w:p>
    <w:p w14:paraId="707997FE">
      <w:pPr>
        <w:pStyle w:val="2"/>
        <w:rPr>
          <w:rFonts w:hint="eastAsia"/>
        </w:rPr>
      </w:pPr>
      <w:r>
        <w:rPr>
          <w:rFonts w:hint="eastAsia"/>
        </w:rPr>
        <w:t>America.</w:t>
      </w:r>
    </w:p>
    <w:p w14:paraId="48E2BCCE">
      <w:pPr>
        <w:pStyle w:val="2"/>
        <w:rPr>
          <w:rFonts w:hint="eastAsia"/>
        </w:rPr>
      </w:pPr>
    </w:p>
    <w:p w14:paraId="34927DAE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(Mtb) must adapt to host-imposed stresses that limit </w:t>
      </w:r>
    </w:p>
    <w:p w14:paraId="3DBA8BCC">
      <w:pPr>
        <w:pStyle w:val="2"/>
        <w:rPr>
          <w:rFonts w:hint="eastAsia"/>
        </w:rPr>
      </w:pPr>
      <w:r>
        <w:rPr>
          <w:rFonts w:hint="eastAsia"/>
        </w:rPr>
        <w:t xml:space="preserve">its growth and ability to establish an infection. One important immune-regulated </w:t>
      </w:r>
    </w:p>
    <w:p w14:paraId="72DB890D">
      <w:pPr>
        <w:pStyle w:val="2"/>
        <w:rPr>
          <w:rFonts w:hint="eastAsia"/>
        </w:rPr>
      </w:pPr>
      <w:r>
        <w:rPr>
          <w:rFonts w:hint="eastAsia"/>
        </w:rPr>
        <w:t xml:space="preserve">host defense mechanism involves competition between host and pathogen for </w:t>
      </w:r>
    </w:p>
    <w:p w14:paraId="452F7DB8">
      <w:pPr>
        <w:pStyle w:val="2"/>
        <w:rPr>
          <w:rFonts w:hint="eastAsia"/>
        </w:rPr>
      </w:pPr>
      <w:r>
        <w:rPr>
          <w:rFonts w:hint="eastAsia"/>
        </w:rPr>
        <w:t xml:space="preserve">tryptophan (Trp). Although Mtb is a Trp prototroph capable of synthesizing its </w:t>
      </w:r>
    </w:p>
    <w:p w14:paraId="7A9735FD">
      <w:pPr>
        <w:pStyle w:val="2"/>
        <w:rPr>
          <w:rFonts w:hint="eastAsia"/>
        </w:rPr>
      </w:pPr>
      <w:r>
        <w:rPr>
          <w:rFonts w:hint="eastAsia"/>
        </w:rPr>
        <w:t xml:space="preserve">own Trp, it normally acquires this amino acid from host macrophages because of </w:t>
      </w:r>
    </w:p>
    <w:p w14:paraId="1FA78F3B">
      <w:pPr>
        <w:pStyle w:val="2"/>
        <w:rPr>
          <w:rFonts w:hint="eastAsia"/>
        </w:rPr>
      </w:pPr>
      <w:r>
        <w:rPr>
          <w:rFonts w:hint="eastAsia"/>
        </w:rPr>
        <w:t xml:space="preserve">the high energetic cost of its synthesis. However, interferon-γ-activated </w:t>
      </w:r>
    </w:p>
    <w:p w14:paraId="66608FDB">
      <w:pPr>
        <w:pStyle w:val="2"/>
        <w:rPr>
          <w:rFonts w:hint="eastAsia"/>
        </w:rPr>
      </w:pPr>
      <w:r>
        <w:rPr>
          <w:rFonts w:hint="eastAsia"/>
        </w:rPr>
        <w:t xml:space="preserve">macrophages attempt to restrict Mtb growth by inducing indoleamine </w:t>
      </w:r>
    </w:p>
    <w:p w14:paraId="795052CD">
      <w:pPr>
        <w:pStyle w:val="2"/>
        <w:rPr>
          <w:rFonts w:hint="eastAsia"/>
        </w:rPr>
      </w:pPr>
      <w:r>
        <w:rPr>
          <w:rFonts w:hint="eastAsia"/>
        </w:rPr>
        <w:t xml:space="preserve">2,3-dioxygenase 1 (IDO1) that degrades Trp. In response, Mtb senses and adapts </w:t>
      </w:r>
    </w:p>
    <w:p w14:paraId="60E09533">
      <w:pPr>
        <w:pStyle w:val="2"/>
        <w:rPr>
          <w:rFonts w:hint="eastAsia"/>
        </w:rPr>
      </w:pPr>
      <w:r>
        <w:rPr>
          <w:rFonts w:hint="eastAsia"/>
        </w:rPr>
        <w:t xml:space="preserve">to limitation of this essential amino acid by inducing its own Trp biosynthetic </w:t>
      </w:r>
    </w:p>
    <w:p w14:paraId="45DA4E74">
      <w:pPr>
        <w:pStyle w:val="2"/>
        <w:rPr>
          <w:rFonts w:hint="eastAsia"/>
        </w:rPr>
      </w:pPr>
      <w:r>
        <w:rPr>
          <w:rFonts w:hint="eastAsia"/>
        </w:rPr>
        <w:t xml:space="preserve">pathway, although the mechanisms coupling Trp limitation and compensatory Trp </w:t>
      </w:r>
    </w:p>
    <w:p w14:paraId="5B67BE1F">
      <w:pPr>
        <w:pStyle w:val="2"/>
        <w:rPr>
          <w:rFonts w:hint="eastAsia"/>
        </w:rPr>
      </w:pPr>
      <w:r>
        <w:rPr>
          <w:rFonts w:hint="eastAsia"/>
        </w:rPr>
        <w:t xml:space="preserve">biosynthesis remain unknown. Here, we studied the Mtb VapC37 toxin and </w:t>
      </w:r>
    </w:p>
    <w:p w14:paraId="2A738B7B">
      <w:pPr>
        <w:pStyle w:val="2"/>
        <w:rPr>
          <w:rFonts w:hint="eastAsia"/>
        </w:rPr>
      </w:pPr>
      <w:r>
        <w:rPr>
          <w:rFonts w:hint="eastAsia"/>
        </w:rPr>
        <w:t xml:space="preserve">demonstrate that it arrests growth and is a highly selective tRNase that </w:t>
      </w:r>
    </w:p>
    <w:p w14:paraId="729A07A3">
      <w:pPr>
        <w:pStyle w:val="2"/>
        <w:rPr>
          <w:rFonts w:hint="eastAsia"/>
        </w:rPr>
      </w:pPr>
      <w:r>
        <w:rPr>
          <w:rFonts w:hint="eastAsia"/>
        </w:rPr>
        <w:t xml:space="preserve">exclusively depletes tRNATrp. Consequently, VapC37 triggers a state of perceived </w:t>
      </w:r>
    </w:p>
    <w:p w14:paraId="691E431D">
      <w:pPr>
        <w:pStyle w:val="2"/>
        <w:rPr>
          <w:rFonts w:hint="eastAsia"/>
        </w:rPr>
      </w:pPr>
      <w:r>
        <w:rPr>
          <w:rFonts w:hint="eastAsia"/>
        </w:rPr>
        <w:t xml:space="preserve">Trp starvation to upregulate production of Trp biosynthetic enzymes. Therefore, </w:t>
      </w:r>
    </w:p>
    <w:p w14:paraId="194C47AD">
      <w:pPr>
        <w:pStyle w:val="2"/>
        <w:rPr>
          <w:rFonts w:hint="eastAsia"/>
        </w:rPr>
      </w:pPr>
      <w:r>
        <w:rPr>
          <w:rFonts w:hint="eastAsia"/>
        </w:rPr>
        <w:t xml:space="preserve">this toxin appears to link intracellular Trp availability-a well-established </w:t>
      </w:r>
    </w:p>
    <w:p w14:paraId="131B0F7D">
      <w:pPr>
        <w:pStyle w:val="2"/>
        <w:rPr>
          <w:rFonts w:hint="eastAsia"/>
        </w:rPr>
      </w:pPr>
      <w:r>
        <w:rPr>
          <w:rFonts w:hint="eastAsia"/>
        </w:rPr>
        <w:t xml:space="preserve">regulator of Mtb growth-to a codon-dependent adaptive response to increase the </w:t>
      </w:r>
    </w:p>
    <w:p w14:paraId="153EB593">
      <w:pPr>
        <w:pStyle w:val="2"/>
        <w:rPr>
          <w:rFonts w:hint="eastAsia"/>
        </w:rPr>
      </w:pPr>
      <w:r>
        <w:rPr>
          <w:rFonts w:hint="eastAsia"/>
        </w:rPr>
        <w:t xml:space="preserve">Trp concentration. VapC37 also broadly reprograms the Mtb transcriptome and </w:t>
      </w:r>
    </w:p>
    <w:p w14:paraId="73E40830">
      <w:pPr>
        <w:pStyle w:val="2"/>
        <w:rPr>
          <w:rFonts w:hint="eastAsia"/>
        </w:rPr>
      </w:pPr>
      <w:r>
        <w:rPr>
          <w:rFonts w:hint="eastAsia"/>
        </w:rPr>
        <w:t xml:space="preserve">translatome toward synthesis of mRNAs and proteins with low or no Trp codons. </w:t>
      </w:r>
    </w:p>
    <w:p w14:paraId="793965BF">
      <w:pPr>
        <w:pStyle w:val="2"/>
        <w:rPr>
          <w:rFonts w:hint="eastAsia"/>
        </w:rPr>
      </w:pPr>
      <w:r>
        <w:rPr>
          <w:rFonts w:hint="eastAsia"/>
        </w:rPr>
        <w:t xml:space="preserve">However, there is one striking exception: key enzymes in the phthiocerol </w:t>
      </w:r>
    </w:p>
    <w:p w14:paraId="593B4800">
      <w:pPr>
        <w:pStyle w:val="2"/>
        <w:rPr>
          <w:rFonts w:hint="eastAsia"/>
        </w:rPr>
      </w:pPr>
      <w:r>
        <w:rPr>
          <w:rFonts w:hint="eastAsia"/>
        </w:rPr>
        <w:t xml:space="preserve">dimycocerosate (PDIM) biosynthetic pathway were robustly synthesized despite </w:t>
      </w:r>
    </w:p>
    <w:p w14:paraId="2B19FE3D">
      <w:pPr>
        <w:pStyle w:val="2"/>
        <w:rPr>
          <w:rFonts w:hint="eastAsia"/>
        </w:rPr>
      </w:pPr>
      <w:r>
        <w:rPr>
          <w:rFonts w:hint="eastAsia"/>
        </w:rPr>
        <w:t xml:space="preserve">being large and Trp-numerous, resulting in a &gt; 2-fold increase in PDIM lipid </w:t>
      </w:r>
    </w:p>
    <w:p w14:paraId="6EFB1451">
      <w:pPr>
        <w:pStyle w:val="2"/>
        <w:rPr>
          <w:rFonts w:hint="eastAsia"/>
        </w:rPr>
      </w:pPr>
      <w:r>
        <w:rPr>
          <w:rFonts w:hint="eastAsia"/>
        </w:rPr>
        <w:t xml:space="preserve">production upon VapC37 expression. Thus, Mtb selectively preserves PDIM </w:t>
      </w:r>
    </w:p>
    <w:p w14:paraId="6B26E11F">
      <w:pPr>
        <w:pStyle w:val="2"/>
        <w:rPr>
          <w:rFonts w:hint="eastAsia"/>
        </w:rPr>
      </w:pPr>
      <w:r>
        <w:rPr>
          <w:rFonts w:hint="eastAsia"/>
        </w:rPr>
        <w:t xml:space="preserve">production under conditions of tRNATrp limitation. Finally, VapBC37 and PDIM </w:t>
      </w:r>
    </w:p>
    <w:p w14:paraId="3AFB4659">
      <w:pPr>
        <w:pStyle w:val="2"/>
        <w:rPr>
          <w:rFonts w:hint="eastAsia"/>
        </w:rPr>
      </w:pPr>
      <w:r>
        <w:rPr>
          <w:rFonts w:hint="eastAsia"/>
        </w:rPr>
        <w:t xml:space="preserve">transcripts are upregulated in Mtb cells subjected to nitrosative stress and </w:t>
      </w:r>
    </w:p>
    <w:p w14:paraId="7D49E10C">
      <w:pPr>
        <w:pStyle w:val="2"/>
        <w:rPr>
          <w:rFonts w:hint="eastAsia"/>
        </w:rPr>
      </w:pPr>
      <w:r>
        <w:rPr>
          <w:rFonts w:hint="eastAsia"/>
        </w:rPr>
        <w:t xml:space="preserve">upon Mtb infection of THP-1 macrophage-like cells. This might implicate early </w:t>
      </w:r>
    </w:p>
    <w:p w14:paraId="29B8064B">
      <w:pPr>
        <w:pStyle w:val="2"/>
        <w:rPr>
          <w:rFonts w:hint="eastAsia"/>
        </w:rPr>
      </w:pPr>
      <w:r>
        <w:rPr>
          <w:rFonts w:hint="eastAsia"/>
        </w:rPr>
        <w:t xml:space="preserve">macrophage-associated stresses as activators of VapC37, possibly enabling this </w:t>
      </w:r>
    </w:p>
    <w:p w14:paraId="7F9E4B76">
      <w:pPr>
        <w:pStyle w:val="2"/>
        <w:rPr>
          <w:rFonts w:hint="eastAsia"/>
        </w:rPr>
      </w:pPr>
      <w:r>
        <w:rPr>
          <w:rFonts w:hint="eastAsia"/>
        </w:rPr>
        <w:t xml:space="preserve">toxin to reallocate metabolic priorities toward Trp biosynthesis while </w:t>
      </w:r>
    </w:p>
    <w:p w14:paraId="715BCA95">
      <w:pPr>
        <w:pStyle w:val="2"/>
        <w:rPr>
          <w:rFonts w:hint="eastAsia"/>
        </w:rPr>
      </w:pPr>
      <w:r>
        <w:rPr>
          <w:rFonts w:hint="eastAsia"/>
        </w:rPr>
        <w:t xml:space="preserve">selectively preserving PDIM production critical for Mtb early immune escape and </w:t>
      </w:r>
    </w:p>
    <w:p w14:paraId="63F6E8BF">
      <w:pPr>
        <w:pStyle w:val="2"/>
        <w:rPr>
          <w:rFonts w:hint="eastAsia"/>
        </w:rPr>
      </w:pPr>
      <w:r>
        <w:rPr>
          <w:rFonts w:hint="eastAsia"/>
        </w:rPr>
        <w:t>virulence.</w:t>
      </w:r>
    </w:p>
    <w:p w14:paraId="27950525">
      <w:pPr>
        <w:pStyle w:val="2"/>
        <w:rPr>
          <w:rFonts w:hint="eastAsia"/>
        </w:rPr>
      </w:pPr>
    </w:p>
    <w:p w14:paraId="5655C05B">
      <w:pPr>
        <w:pStyle w:val="2"/>
        <w:rPr>
          <w:rFonts w:hint="eastAsia"/>
        </w:rPr>
      </w:pPr>
      <w:r>
        <w:rPr>
          <w:rFonts w:hint="eastAsia"/>
        </w:rPr>
        <w:t xml:space="preserve">Copyright: © 2026 Sain et al. This is an open access article distributed under </w:t>
      </w:r>
    </w:p>
    <w:p w14:paraId="67AF005D">
      <w:pPr>
        <w:pStyle w:val="2"/>
        <w:rPr>
          <w:rFonts w:hint="eastAsia"/>
        </w:rPr>
      </w:pPr>
      <w:r>
        <w:rPr>
          <w:rFonts w:hint="eastAsia"/>
        </w:rPr>
        <w:t xml:space="preserve">the terms of the Creative Commons Attribution License, which permits </w:t>
      </w:r>
    </w:p>
    <w:p w14:paraId="593780C7">
      <w:pPr>
        <w:pStyle w:val="2"/>
        <w:rPr>
          <w:rFonts w:hint="eastAsia"/>
        </w:rPr>
      </w:pPr>
      <w:r>
        <w:rPr>
          <w:rFonts w:hint="eastAsia"/>
        </w:rPr>
        <w:t xml:space="preserve">unrestricted use, distribution, and reproduction in any medium, provided the </w:t>
      </w:r>
    </w:p>
    <w:p w14:paraId="358538BC">
      <w:pPr>
        <w:pStyle w:val="2"/>
        <w:rPr>
          <w:rFonts w:hint="eastAsia"/>
        </w:rPr>
      </w:pPr>
      <w:r>
        <w:rPr>
          <w:rFonts w:hint="eastAsia"/>
        </w:rPr>
        <w:t>original author and source are credited.</w:t>
      </w:r>
    </w:p>
    <w:p w14:paraId="565E6C0E">
      <w:pPr>
        <w:pStyle w:val="2"/>
        <w:rPr>
          <w:rFonts w:hint="eastAsia"/>
        </w:rPr>
      </w:pPr>
    </w:p>
    <w:p w14:paraId="0EFFB7DB">
      <w:pPr>
        <w:pStyle w:val="2"/>
        <w:rPr>
          <w:rFonts w:hint="eastAsia"/>
        </w:rPr>
      </w:pPr>
      <w:r>
        <w:rPr>
          <w:rFonts w:hint="eastAsia"/>
        </w:rPr>
        <w:t>DOI: 10.1371/journal.ppat.1014679</w:t>
      </w:r>
    </w:p>
    <w:p w14:paraId="03D83C80">
      <w:pPr>
        <w:pStyle w:val="2"/>
        <w:rPr>
          <w:rFonts w:hint="eastAsia"/>
        </w:rPr>
      </w:pPr>
      <w:r>
        <w:rPr>
          <w:rFonts w:hint="eastAsia"/>
        </w:rPr>
        <w:t>PMCID: PMC13657306</w:t>
      </w:r>
    </w:p>
    <w:p w14:paraId="7B65A6F9">
      <w:pPr>
        <w:pStyle w:val="2"/>
        <w:rPr>
          <w:rFonts w:hint="eastAsia"/>
        </w:rPr>
      </w:pPr>
      <w:r>
        <w:rPr>
          <w:rFonts w:hint="eastAsia"/>
        </w:rPr>
        <w:t>PMID: 42862836 [Indexed for MEDLINE]</w:t>
      </w:r>
    </w:p>
    <w:p w14:paraId="44ECC47D">
      <w:pPr>
        <w:pStyle w:val="2"/>
        <w:rPr>
          <w:rFonts w:hint="eastAsia"/>
        </w:rPr>
      </w:pPr>
    </w:p>
    <w:p w14:paraId="4D40B7C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53</w:t>
      </w:r>
      <w:r>
        <w:rPr>
          <w:rFonts w:hint="eastAsia"/>
          <w:b/>
          <w:bCs/>
          <w:color w:val="FF0000"/>
        </w:rPr>
        <w:t>. Braz J Microbiol. 2026 Oct 12;57(1):290. doi: 10.1007/s42770-026-02102-8.</w:t>
      </w:r>
    </w:p>
    <w:p w14:paraId="1E961491">
      <w:pPr>
        <w:pStyle w:val="2"/>
        <w:rPr>
          <w:rFonts w:hint="eastAsia"/>
        </w:rPr>
      </w:pPr>
    </w:p>
    <w:p w14:paraId="4DC2A8F1">
      <w:pPr>
        <w:pStyle w:val="2"/>
        <w:rPr>
          <w:rFonts w:hint="eastAsia"/>
        </w:rPr>
      </w:pPr>
      <w:r>
        <w:rPr>
          <w:rFonts w:hint="eastAsia"/>
        </w:rPr>
        <w:t xml:space="preserve">Novel insights on carbon source influence on azomycin production by Streptomyces </w:t>
      </w:r>
    </w:p>
    <w:p w14:paraId="7C5EBD3F">
      <w:pPr>
        <w:pStyle w:val="2"/>
        <w:rPr>
          <w:rFonts w:hint="eastAsia"/>
        </w:rPr>
      </w:pPr>
      <w:r>
        <w:rPr>
          <w:rFonts w:hint="eastAsia"/>
        </w:rPr>
        <w:t>eurocidicus.</w:t>
      </w:r>
    </w:p>
    <w:p w14:paraId="0545389A">
      <w:pPr>
        <w:pStyle w:val="2"/>
        <w:rPr>
          <w:rFonts w:hint="eastAsia"/>
        </w:rPr>
      </w:pPr>
    </w:p>
    <w:p w14:paraId="5BBD7BA9">
      <w:pPr>
        <w:pStyle w:val="2"/>
        <w:rPr>
          <w:rFonts w:hint="eastAsia"/>
        </w:rPr>
      </w:pPr>
      <w:r>
        <w:rPr>
          <w:rFonts w:hint="eastAsia"/>
        </w:rPr>
        <w:t xml:space="preserve">Robert JM(1), Lopes W(2), de Souza Costa AA(2), Padula de Miranda O(2), </w:t>
      </w:r>
    </w:p>
    <w:p w14:paraId="69DB7576">
      <w:pPr>
        <w:pStyle w:val="2"/>
        <w:rPr>
          <w:rFonts w:hint="eastAsia"/>
        </w:rPr>
      </w:pPr>
      <w:r>
        <w:rPr>
          <w:rFonts w:hint="eastAsia"/>
        </w:rPr>
        <w:t xml:space="preserve">Nascimento TA(3), Avelino Dias MDC(4), da Silva FSQ(4), Leineweber FV(2), </w:t>
      </w:r>
    </w:p>
    <w:p w14:paraId="59340DE1">
      <w:pPr>
        <w:pStyle w:val="2"/>
        <w:rPr>
          <w:rFonts w:hint="eastAsia"/>
        </w:rPr>
      </w:pPr>
      <w:r>
        <w:rPr>
          <w:rFonts w:hint="eastAsia"/>
        </w:rPr>
        <w:t>Pacheco GJ(5).</w:t>
      </w:r>
    </w:p>
    <w:p w14:paraId="4E7BA922">
      <w:pPr>
        <w:pStyle w:val="2"/>
        <w:rPr>
          <w:rFonts w:hint="eastAsia"/>
        </w:rPr>
      </w:pPr>
    </w:p>
    <w:p w14:paraId="21CC09F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7616A91">
      <w:pPr>
        <w:pStyle w:val="2"/>
        <w:rPr>
          <w:rFonts w:hint="eastAsia"/>
        </w:rPr>
      </w:pPr>
      <w:r>
        <w:rPr>
          <w:rFonts w:hint="eastAsia"/>
        </w:rPr>
        <w:t xml:space="preserve">(1)Bioprocess Laboratory, Institute of Drug Technology, Oswaldo Cruz Foundation, </w:t>
      </w:r>
    </w:p>
    <w:p w14:paraId="15B0427E">
      <w:pPr>
        <w:pStyle w:val="2"/>
        <w:rPr>
          <w:rFonts w:hint="eastAsia"/>
        </w:rPr>
      </w:pPr>
      <w:r>
        <w:rPr>
          <w:rFonts w:hint="eastAsia"/>
        </w:rPr>
        <w:t>Fiocruz, Rio de Janeiro, Brazil. julia.robert@fiocruz.br.</w:t>
      </w:r>
    </w:p>
    <w:p w14:paraId="62654CA5">
      <w:pPr>
        <w:pStyle w:val="2"/>
        <w:rPr>
          <w:rFonts w:hint="eastAsia"/>
        </w:rPr>
      </w:pPr>
      <w:r>
        <w:rPr>
          <w:rFonts w:hint="eastAsia"/>
        </w:rPr>
        <w:t xml:space="preserve">(2)Bioprocess Laboratory, Institute of Drug Technology, Oswaldo Cruz Foundation, </w:t>
      </w:r>
    </w:p>
    <w:p w14:paraId="4601890D">
      <w:pPr>
        <w:pStyle w:val="2"/>
        <w:rPr>
          <w:rFonts w:hint="eastAsia"/>
        </w:rPr>
      </w:pPr>
      <w:r>
        <w:rPr>
          <w:rFonts w:hint="eastAsia"/>
        </w:rPr>
        <w:t>Fiocruz, Rio de Janeiro, Brazil.</w:t>
      </w:r>
    </w:p>
    <w:p w14:paraId="41A7E15D">
      <w:pPr>
        <w:pStyle w:val="2"/>
        <w:rPr>
          <w:rFonts w:hint="eastAsia"/>
        </w:rPr>
      </w:pPr>
      <w:r>
        <w:rPr>
          <w:rFonts w:hint="eastAsia"/>
        </w:rPr>
        <w:t xml:space="preserve">(3)Integrated Laboratory of Simuliids and Onchocerciasis &amp; Medical and Forensic, </w:t>
      </w:r>
    </w:p>
    <w:p w14:paraId="1A099A43">
      <w:pPr>
        <w:pStyle w:val="2"/>
        <w:rPr>
          <w:rFonts w:hint="eastAsia"/>
        </w:rPr>
      </w:pPr>
      <w:r>
        <w:rPr>
          <w:rFonts w:hint="eastAsia"/>
        </w:rPr>
        <w:t xml:space="preserve">Oswaldo Cruz Institute, Oswaldo Cruz Foundation, Fiocruz, Rio de Janeiro, </w:t>
      </w:r>
    </w:p>
    <w:p w14:paraId="04616726">
      <w:pPr>
        <w:pStyle w:val="2"/>
        <w:rPr>
          <w:rFonts w:hint="eastAsia"/>
        </w:rPr>
      </w:pPr>
      <w:r>
        <w:rPr>
          <w:rFonts w:hint="eastAsia"/>
        </w:rPr>
        <w:t>Brazil.</w:t>
      </w:r>
    </w:p>
    <w:p w14:paraId="1CB82A30">
      <w:pPr>
        <w:pStyle w:val="2"/>
        <w:rPr>
          <w:rFonts w:hint="eastAsia"/>
        </w:rPr>
      </w:pPr>
      <w:r>
        <w:rPr>
          <w:rFonts w:hint="eastAsia"/>
        </w:rPr>
        <w:t xml:space="preserve">(4)Drug Synthesis Laboratory - Pharmacokinetics Unit, Institute of Drug </w:t>
      </w:r>
    </w:p>
    <w:p w14:paraId="7473782D">
      <w:pPr>
        <w:pStyle w:val="2"/>
        <w:rPr>
          <w:rFonts w:hint="eastAsia"/>
        </w:rPr>
      </w:pPr>
      <w:r>
        <w:rPr>
          <w:rFonts w:hint="eastAsia"/>
        </w:rPr>
        <w:t>Technology, Oswaldo Cruz Foundation, Fiocruz, Rio de Janeiro, Brazil.</w:t>
      </w:r>
    </w:p>
    <w:p w14:paraId="533FF37F">
      <w:pPr>
        <w:pStyle w:val="2"/>
        <w:rPr>
          <w:rFonts w:hint="eastAsia"/>
        </w:rPr>
      </w:pPr>
      <w:r>
        <w:rPr>
          <w:rFonts w:hint="eastAsia"/>
        </w:rPr>
        <w:t xml:space="preserve">(5)Bioprocess Laboratory, Institute of Drug Technology, Oswaldo Cruz Foundation, </w:t>
      </w:r>
    </w:p>
    <w:p w14:paraId="1D13D063">
      <w:pPr>
        <w:pStyle w:val="2"/>
        <w:rPr>
          <w:rFonts w:hint="eastAsia"/>
        </w:rPr>
      </w:pPr>
      <w:r>
        <w:rPr>
          <w:rFonts w:hint="eastAsia"/>
        </w:rPr>
        <w:t>Fiocruz, Rio de Janeiro, Brazil. graziela.pacheco@fiocruz.br.</w:t>
      </w:r>
    </w:p>
    <w:p w14:paraId="73E91067">
      <w:pPr>
        <w:pStyle w:val="2"/>
        <w:rPr>
          <w:rFonts w:hint="eastAsia"/>
        </w:rPr>
      </w:pPr>
    </w:p>
    <w:p w14:paraId="42C92479">
      <w:pPr>
        <w:pStyle w:val="2"/>
        <w:rPr>
          <w:rFonts w:hint="eastAsia"/>
        </w:rPr>
      </w:pPr>
      <w:r>
        <w:rPr>
          <w:rFonts w:hint="eastAsia"/>
        </w:rPr>
        <w:t xml:space="preserve">Azomycin (2-nitroimidazole), a compound synthesized by Streptomyces eurocidicus, </w:t>
      </w:r>
    </w:p>
    <w:p w14:paraId="05C879B5">
      <w:pPr>
        <w:pStyle w:val="2"/>
        <w:rPr>
          <w:rFonts w:hint="eastAsia"/>
        </w:rPr>
      </w:pPr>
      <w:r>
        <w:rPr>
          <w:rFonts w:hint="eastAsia"/>
        </w:rPr>
        <w:t xml:space="preserve">is medically significant as a build block for the drug applied in treatment for </w:t>
      </w:r>
    </w:p>
    <w:p w14:paraId="0323F443">
      <w:pPr>
        <w:pStyle w:val="2"/>
        <w:rPr>
          <w:rFonts w:hint="eastAsia"/>
        </w:rPr>
      </w:pPr>
      <w:r>
        <w:rPr>
          <w:rFonts w:hint="eastAsia"/>
        </w:rPr>
        <w:t xml:space="preserve">drug-resistant tuberculosis and Chagas disease, as well as tumor hypoxia </w:t>
      </w:r>
    </w:p>
    <w:p w14:paraId="74486CFC">
      <w:pPr>
        <w:pStyle w:val="2"/>
        <w:rPr>
          <w:rFonts w:hint="eastAsia"/>
        </w:rPr>
      </w:pPr>
      <w:r>
        <w:rPr>
          <w:rFonts w:hint="eastAsia"/>
        </w:rPr>
        <w:t xml:space="preserve">imaging. Despite its clinical value, the optimized bioprocess parameters for its </w:t>
      </w:r>
    </w:p>
    <w:p w14:paraId="65CA4139">
      <w:pPr>
        <w:pStyle w:val="2"/>
        <w:rPr>
          <w:rFonts w:hint="eastAsia"/>
        </w:rPr>
      </w:pPr>
      <w:r>
        <w:rPr>
          <w:rFonts w:hint="eastAsia"/>
        </w:rPr>
        <w:t xml:space="preserve">production remain largely unexplored. This study evaluated the influence of </w:t>
      </w:r>
    </w:p>
    <w:p w14:paraId="2B163D0E">
      <w:pPr>
        <w:pStyle w:val="2"/>
        <w:rPr>
          <w:rFonts w:hint="eastAsia"/>
        </w:rPr>
      </w:pPr>
      <w:r>
        <w:rPr>
          <w:rFonts w:hint="eastAsia"/>
        </w:rPr>
        <w:t xml:space="preserve">various carbon and nitrogen sources (specifically glucose, starch, soybean oil, </w:t>
      </w:r>
    </w:p>
    <w:p w14:paraId="65379BB7">
      <w:pPr>
        <w:pStyle w:val="2"/>
        <w:rPr>
          <w:rFonts w:hint="eastAsia"/>
        </w:rPr>
      </w:pPr>
      <w:r>
        <w:rPr>
          <w:rFonts w:hint="eastAsia"/>
        </w:rPr>
        <w:t xml:space="preserve">and casamino acids) on azomycin yields during submerged cultivation. Batch </w:t>
      </w:r>
    </w:p>
    <w:p w14:paraId="36456992">
      <w:pPr>
        <w:pStyle w:val="2"/>
        <w:rPr>
          <w:rFonts w:hint="eastAsia"/>
        </w:rPr>
      </w:pPr>
      <w:r>
        <w:rPr>
          <w:rFonts w:hint="eastAsia"/>
        </w:rPr>
        <w:t xml:space="preserve">fermentations revealed that azomycin biosynthesis is phase-shifted, initiating </w:t>
      </w:r>
    </w:p>
    <w:p w14:paraId="537C6424">
      <w:pPr>
        <w:pStyle w:val="2"/>
        <w:rPr>
          <w:rFonts w:hint="eastAsia"/>
        </w:rPr>
      </w:pPr>
      <w:r>
        <w:rPr>
          <w:rFonts w:hint="eastAsia"/>
        </w:rPr>
        <w:t xml:space="preserve">only after the primary carbon source is near depletion. Notably, although </w:t>
      </w:r>
    </w:p>
    <w:p w14:paraId="39E666C4">
      <w:pPr>
        <w:pStyle w:val="2"/>
        <w:rPr>
          <w:rFonts w:hint="eastAsia"/>
        </w:rPr>
      </w:pPr>
      <w:r>
        <w:rPr>
          <w:rFonts w:hint="eastAsia"/>
        </w:rPr>
        <w:t xml:space="preserve">soybean oil served as an excellent carbon source for biomass accumulation, it </w:t>
      </w:r>
    </w:p>
    <w:p w14:paraId="02E752F7">
      <w:pPr>
        <w:pStyle w:val="2"/>
        <w:rPr>
          <w:rFonts w:hint="eastAsia"/>
        </w:rPr>
      </w:pPr>
      <w:r>
        <w:rPr>
          <w:rFonts w:hint="eastAsia"/>
        </w:rPr>
        <w:t xml:space="preserve">yielded no detectable azomycin production. By contrast, supplementing the media </w:t>
      </w:r>
    </w:p>
    <w:p w14:paraId="06D40C14">
      <w:pPr>
        <w:pStyle w:val="2"/>
        <w:rPr>
          <w:rFonts w:hint="eastAsia"/>
        </w:rPr>
      </w:pPr>
      <w:r>
        <w:rPr>
          <w:rFonts w:hint="eastAsia"/>
        </w:rPr>
        <w:t xml:space="preserve">with free amino acids (casamino acids) substantially enhanced product synthesis. </w:t>
      </w:r>
    </w:p>
    <w:p w14:paraId="098A19B0">
      <w:pPr>
        <w:pStyle w:val="2"/>
        <w:rPr>
          <w:rFonts w:hint="eastAsia"/>
        </w:rPr>
      </w:pPr>
      <w:r>
        <w:rPr>
          <w:rFonts w:hint="eastAsia"/>
        </w:rPr>
        <w:t xml:space="preserve">Using an optimized semi-defined medium of glucose and casamino acids, a titer of </w:t>
      </w:r>
    </w:p>
    <w:p w14:paraId="46F050EC">
      <w:pPr>
        <w:pStyle w:val="2"/>
        <w:rPr>
          <w:rFonts w:hint="eastAsia"/>
        </w:rPr>
      </w:pPr>
      <w:r>
        <w:rPr>
          <w:rFonts w:hint="eastAsia"/>
        </w:rPr>
        <w:t xml:space="preserve">46.34 mg/L was achieved in 250 mL DASbox system. Scaling this configuration to </w:t>
      </w:r>
    </w:p>
    <w:p w14:paraId="2474335E">
      <w:pPr>
        <w:pStyle w:val="2"/>
        <w:rPr>
          <w:rFonts w:hint="eastAsia"/>
        </w:rPr>
      </w:pPr>
      <w:r>
        <w:rPr>
          <w:rFonts w:hint="eastAsia"/>
        </w:rPr>
        <w:t xml:space="preserve">an instrumented 3 L bioreactor resulted in a final concentration of 69.18 mg/L </w:t>
      </w:r>
    </w:p>
    <w:p w14:paraId="341FD531">
      <w:pPr>
        <w:pStyle w:val="2"/>
        <w:rPr>
          <w:rFonts w:hint="eastAsia"/>
        </w:rPr>
      </w:pPr>
      <w:r>
        <w:rPr>
          <w:rFonts w:hint="eastAsia"/>
        </w:rPr>
        <w:t xml:space="preserve">over 7 days, marking an 89% increase in the product-to-biomass yield (Yp/x) </w:t>
      </w:r>
    </w:p>
    <w:p w14:paraId="6C991CF2">
      <w:pPr>
        <w:pStyle w:val="2"/>
        <w:rPr>
          <w:rFonts w:hint="eastAsia"/>
        </w:rPr>
      </w:pPr>
      <w:r>
        <w:rPr>
          <w:rFonts w:hint="eastAsia"/>
        </w:rPr>
        <w:t xml:space="preserve">compared to the smaller scale tested. Liquid chromatography-mass spectrometry </w:t>
      </w:r>
    </w:p>
    <w:p w14:paraId="29EDF95B">
      <w:pPr>
        <w:pStyle w:val="2"/>
        <w:rPr>
          <w:rFonts w:hint="eastAsia"/>
        </w:rPr>
      </w:pPr>
      <w:r>
        <w:rPr>
          <w:rFonts w:hint="eastAsia"/>
        </w:rPr>
        <w:t xml:space="preserve">(LC-MS) verified the identity of the extracted 2-nitroimidazole. These findings </w:t>
      </w:r>
    </w:p>
    <w:p w14:paraId="17BACBC7">
      <w:pPr>
        <w:pStyle w:val="2"/>
        <w:rPr>
          <w:rFonts w:hint="eastAsia"/>
        </w:rPr>
      </w:pPr>
      <w:r>
        <w:rPr>
          <w:rFonts w:hint="eastAsia"/>
        </w:rPr>
        <w:t xml:space="preserve">demonstrate that the precision balancing of glucose and organic nitrogen is </w:t>
      </w:r>
    </w:p>
    <w:p w14:paraId="51476F7A">
      <w:pPr>
        <w:pStyle w:val="2"/>
        <w:rPr>
          <w:rFonts w:hint="eastAsia"/>
        </w:rPr>
      </w:pPr>
      <w:r>
        <w:rPr>
          <w:rFonts w:hint="eastAsia"/>
        </w:rPr>
        <w:t xml:space="preserve">essential to unlock and maximize the biosynthetic potential of wild-type S. </w:t>
      </w:r>
    </w:p>
    <w:p w14:paraId="2C3CAA86">
      <w:pPr>
        <w:pStyle w:val="2"/>
        <w:rPr>
          <w:rFonts w:hint="eastAsia"/>
        </w:rPr>
      </w:pPr>
      <w:r>
        <w:rPr>
          <w:rFonts w:hint="eastAsia"/>
        </w:rPr>
        <w:t>eurocidicus.</w:t>
      </w:r>
    </w:p>
    <w:p w14:paraId="1420C18F">
      <w:pPr>
        <w:pStyle w:val="2"/>
        <w:rPr>
          <w:rFonts w:hint="eastAsia"/>
        </w:rPr>
      </w:pPr>
    </w:p>
    <w:p w14:paraId="1FD96A6C">
      <w:pPr>
        <w:pStyle w:val="2"/>
        <w:rPr>
          <w:rFonts w:hint="eastAsia"/>
        </w:rPr>
      </w:pPr>
      <w:r>
        <w:rPr>
          <w:rFonts w:hint="eastAsia"/>
        </w:rPr>
        <w:t>© 2026. The Author(s).</w:t>
      </w:r>
    </w:p>
    <w:p w14:paraId="6F894171">
      <w:pPr>
        <w:pStyle w:val="2"/>
        <w:rPr>
          <w:rFonts w:hint="eastAsia"/>
        </w:rPr>
      </w:pPr>
    </w:p>
    <w:p w14:paraId="65A0A064">
      <w:pPr>
        <w:pStyle w:val="2"/>
        <w:rPr>
          <w:rFonts w:hint="eastAsia"/>
        </w:rPr>
      </w:pPr>
      <w:r>
        <w:rPr>
          <w:rFonts w:hint="eastAsia"/>
        </w:rPr>
        <w:t>DOI: 10.1007/s42770-026-02102-8</w:t>
      </w:r>
    </w:p>
    <w:p w14:paraId="3177D2D1">
      <w:pPr>
        <w:pStyle w:val="2"/>
        <w:rPr>
          <w:rFonts w:hint="eastAsia"/>
        </w:rPr>
      </w:pPr>
      <w:r>
        <w:rPr>
          <w:rFonts w:hint="eastAsia"/>
        </w:rPr>
        <w:t>PMCID: PMC13658643</w:t>
      </w:r>
    </w:p>
    <w:p w14:paraId="6F23F981">
      <w:pPr>
        <w:pStyle w:val="2"/>
        <w:rPr>
          <w:rFonts w:hint="eastAsia"/>
        </w:rPr>
      </w:pPr>
      <w:r>
        <w:rPr>
          <w:rFonts w:hint="eastAsia"/>
        </w:rPr>
        <w:t>PMID: 42862489 [Indexed for MEDLINE]</w:t>
      </w:r>
    </w:p>
    <w:p w14:paraId="72AA9635">
      <w:pPr>
        <w:pStyle w:val="2"/>
        <w:rPr>
          <w:rFonts w:hint="eastAsia"/>
        </w:rPr>
      </w:pPr>
    </w:p>
    <w:p w14:paraId="0077979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54</w:t>
      </w:r>
      <w:r>
        <w:rPr>
          <w:rFonts w:hint="eastAsia"/>
          <w:b/>
          <w:bCs/>
          <w:color w:val="FF0000"/>
        </w:rPr>
        <w:t xml:space="preserve">. Ir J Med Sci. 2026 Oct 12. doi: 10.1007/s11845-026-04655-x. Online ahead of </w:t>
      </w:r>
    </w:p>
    <w:p w14:paraId="7AD3E6A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print.</w:t>
      </w:r>
    </w:p>
    <w:p w14:paraId="5BA7B97B">
      <w:pPr>
        <w:pStyle w:val="2"/>
        <w:rPr>
          <w:rFonts w:hint="eastAsia"/>
        </w:rPr>
      </w:pPr>
    </w:p>
    <w:p w14:paraId="0F9DE686">
      <w:pPr>
        <w:pStyle w:val="2"/>
        <w:rPr>
          <w:rFonts w:hint="eastAsia"/>
        </w:rPr>
      </w:pPr>
      <w:r>
        <w:rPr>
          <w:rFonts w:hint="eastAsia"/>
        </w:rPr>
        <w:t xml:space="preserve">Paradoxical reactions during treatment of miliary tuberculosis: a 25-year </w:t>
      </w:r>
    </w:p>
    <w:p w14:paraId="677AA7F1">
      <w:pPr>
        <w:pStyle w:val="2"/>
        <w:rPr>
          <w:rFonts w:hint="eastAsia"/>
        </w:rPr>
      </w:pPr>
      <w:r>
        <w:rPr>
          <w:rFonts w:hint="eastAsia"/>
        </w:rPr>
        <w:t>single-centre case series and literature review.</w:t>
      </w:r>
    </w:p>
    <w:p w14:paraId="6E9636AB">
      <w:pPr>
        <w:pStyle w:val="2"/>
        <w:rPr>
          <w:rFonts w:hint="eastAsia"/>
        </w:rPr>
      </w:pPr>
    </w:p>
    <w:p w14:paraId="6D0F6489">
      <w:pPr>
        <w:pStyle w:val="2"/>
        <w:rPr>
          <w:rFonts w:hint="eastAsia"/>
        </w:rPr>
      </w:pPr>
      <w:r>
        <w:rPr>
          <w:rFonts w:hint="eastAsia"/>
        </w:rPr>
        <w:t>Kaya A(1), Mert A(2).</w:t>
      </w:r>
    </w:p>
    <w:p w14:paraId="7FBBEB1B">
      <w:pPr>
        <w:pStyle w:val="2"/>
        <w:rPr>
          <w:rFonts w:hint="eastAsia"/>
        </w:rPr>
      </w:pPr>
    </w:p>
    <w:p w14:paraId="46712D1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182927E">
      <w:pPr>
        <w:pStyle w:val="2"/>
        <w:rPr>
          <w:rFonts w:hint="eastAsia"/>
        </w:rPr>
      </w:pPr>
      <w:r>
        <w:rPr>
          <w:rFonts w:hint="eastAsia"/>
        </w:rPr>
        <w:t xml:space="preserve">(1)Department of Infectious Diseases, Istanbul Training and Research Hospital, </w:t>
      </w:r>
    </w:p>
    <w:p w14:paraId="15C74F3E">
      <w:pPr>
        <w:pStyle w:val="2"/>
        <w:rPr>
          <w:rFonts w:hint="eastAsia"/>
        </w:rPr>
      </w:pPr>
      <w:r>
        <w:rPr>
          <w:rFonts w:hint="eastAsia"/>
        </w:rPr>
        <w:t xml:space="preserve">Org. Abdurrahman Nafiz Gürman Cad. No:24, 34098, Fatih, Istanbul, Türkiye. </w:t>
      </w:r>
    </w:p>
    <w:p w14:paraId="1F7EE70C">
      <w:pPr>
        <w:pStyle w:val="2"/>
        <w:rPr>
          <w:rFonts w:hint="eastAsia"/>
        </w:rPr>
      </w:pPr>
      <w:r>
        <w:rPr>
          <w:rFonts w:hint="eastAsia"/>
        </w:rPr>
        <w:t>dr.abdkaya@hotmail.com.</w:t>
      </w:r>
    </w:p>
    <w:p w14:paraId="6A9DB1AB">
      <w:pPr>
        <w:pStyle w:val="2"/>
        <w:rPr>
          <w:rFonts w:hint="eastAsia"/>
        </w:rPr>
      </w:pPr>
      <w:r>
        <w:rPr>
          <w:rFonts w:hint="eastAsia"/>
        </w:rPr>
        <w:t xml:space="preserve">(2)Department of Infectious Diseases and Clinical Microbiology, Faculty of </w:t>
      </w:r>
    </w:p>
    <w:p w14:paraId="364B4BA5">
      <w:pPr>
        <w:pStyle w:val="2"/>
        <w:rPr>
          <w:rFonts w:hint="eastAsia"/>
        </w:rPr>
      </w:pPr>
      <w:r>
        <w:rPr>
          <w:rFonts w:hint="eastAsia"/>
        </w:rPr>
        <w:t>Medicine, Istanbul Medipol University, Istanbul, Türkiye.</w:t>
      </w:r>
    </w:p>
    <w:p w14:paraId="66E30AC5">
      <w:pPr>
        <w:pStyle w:val="2"/>
        <w:rPr>
          <w:rFonts w:hint="eastAsia"/>
        </w:rPr>
      </w:pPr>
    </w:p>
    <w:p w14:paraId="2D624A6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Paradoxical reactions during otherwise effective anti-tuberculosis </w:t>
      </w:r>
    </w:p>
    <w:p w14:paraId="34C22577">
      <w:pPr>
        <w:pStyle w:val="2"/>
        <w:rPr>
          <w:rFonts w:hint="eastAsia"/>
        </w:rPr>
      </w:pPr>
      <w:r>
        <w:rPr>
          <w:rFonts w:hint="eastAsia"/>
        </w:rPr>
        <w:t xml:space="preserve">treatment can resemble treatment failure or drug resistance. Their frequency and </w:t>
      </w:r>
    </w:p>
    <w:p w14:paraId="0C912D99">
      <w:pPr>
        <w:pStyle w:val="2"/>
        <w:rPr>
          <w:rFonts w:hint="eastAsia"/>
        </w:rPr>
      </w:pPr>
      <w:r>
        <w:rPr>
          <w:rFonts w:hint="eastAsia"/>
        </w:rPr>
        <w:t>clinical spectrum in miliary tuberculosis are incompletely characterised.</w:t>
      </w:r>
    </w:p>
    <w:p w14:paraId="6ACCD097">
      <w:pPr>
        <w:pStyle w:val="2"/>
        <w:rPr>
          <w:rFonts w:hint="eastAsia"/>
        </w:rPr>
      </w:pPr>
      <w:r>
        <w:rPr>
          <w:rFonts w:hint="eastAsia"/>
        </w:rPr>
        <w:t xml:space="preserve">AIMS: To describe the timing, manifestations, management and outcomes of </w:t>
      </w:r>
    </w:p>
    <w:p w14:paraId="02635C43">
      <w:pPr>
        <w:pStyle w:val="2"/>
        <w:rPr>
          <w:rFonts w:hint="eastAsia"/>
        </w:rPr>
      </w:pPr>
      <w:r>
        <w:rPr>
          <w:rFonts w:hint="eastAsia"/>
        </w:rPr>
        <w:t xml:space="preserve">paradoxical reactions identified in a defined cohort of patients with miliary </w:t>
      </w:r>
    </w:p>
    <w:p w14:paraId="1B2D182E">
      <w:pPr>
        <w:pStyle w:val="2"/>
        <w:rPr>
          <w:rFonts w:hint="eastAsia"/>
        </w:rPr>
      </w:pPr>
      <w:r>
        <w:rPr>
          <w:rFonts w:hint="eastAsia"/>
        </w:rPr>
        <w:t xml:space="preserve">tuberculosis and to place these events in the context of the published </w:t>
      </w:r>
    </w:p>
    <w:p w14:paraId="5E6E8321">
      <w:pPr>
        <w:pStyle w:val="2"/>
        <w:rPr>
          <w:rFonts w:hint="eastAsia"/>
        </w:rPr>
      </w:pPr>
      <w:r>
        <w:rPr>
          <w:rFonts w:hint="eastAsia"/>
        </w:rPr>
        <w:t>literature.</w:t>
      </w:r>
    </w:p>
    <w:p w14:paraId="5295426A">
      <w:pPr>
        <w:pStyle w:val="2"/>
        <w:rPr>
          <w:rFonts w:hint="eastAsia"/>
        </w:rPr>
      </w:pPr>
      <w:r>
        <w:rPr>
          <w:rFonts w:hint="eastAsia"/>
          <w:b/>
          <w:bCs/>
        </w:rPr>
        <w:t>METHODS: W</w:t>
      </w:r>
      <w:r>
        <w:rPr>
          <w:rFonts w:hint="eastAsia"/>
        </w:rPr>
        <w:t xml:space="preserve">e retrospectively reviewed the records of 63 patients with miliary </w:t>
      </w:r>
    </w:p>
    <w:p w14:paraId="3A062CDD">
      <w:pPr>
        <w:pStyle w:val="2"/>
        <w:rPr>
          <w:rFonts w:hint="eastAsia"/>
        </w:rPr>
      </w:pPr>
      <w:r>
        <w:rPr>
          <w:rFonts w:hint="eastAsia"/>
        </w:rPr>
        <w:t xml:space="preserve">tuberculosis managed at a single centre between 1981 and 2005. A paradoxical </w:t>
      </w:r>
    </w:p>
    <w:p w14:paraId="31FF80FC">
      <w:pPr>
        <w:pStyle w:val="2"/>
        <w:rPr>
          <w:rFonts w:hint="eastAsia"/>
        </w:rPr>
      </w:pPr>
      <w:r>
        <w:rPr>
          <w:rFonts w:hint="eastAsia"/>
        </w:rPr>
        <w:t xml:space="preserve">reaction was defined as clinical or radiological worsening of an initially </w:t>
      </w:r>
    </w:p>
    <w:p w14:paraId="683B8A1E">
      <w:pPr>
        <w:pStyle w:val="2"/>
        <w:rPr>
          <w:rFonts w:hint="eastAsia"/>
        </w:rPr>
      </w:pPr>
      <w:r>
        <w:rPr>
          <w:rFonts w:hint="eastAsia"/>
        </w:rPr>
        <w:t xml:space="preserve">improving lesion, or development of a new lesion during appropriate therapy, </w:t>
      </w:r>
    </w:p>
    <w:p w14:paraId="2FBB9CCA">
      <w:pPr>
        <w:pStyle w:val="2"/>
        <w:rPr>
          <w:rFonts w:hint="eastAsia"/>
        </w:rPr>
      </w:pPr>
      <w:r>
        <w:rPr>
          <w:rFonts w:hint="eastAsia"/>
        </w:rPr>
        <w:t xml:space="preserve">after reasonable exclusion of treatment failure, drug resistance and alternative </w:t>
      </w:r>
    </w:p>
    <w:p w14:paraId="4D7E81AF">
      <w:pPr>
        <w:pStyle w:val="2"/>
        <w:rPr>
          <w:rFonts w:hint="eastAsia"/>
        </w:rPr>
      </w:pPr>
      <w:r>
        <w:rPr>
          <w:rFonts w:hint="eastAsia"/>
        </w:rPr>
        <w:t>diagnoses.</w:t>
      </w:r>
    </w:p>
    <w:p w14:paraId="41E131A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Five of 63 patients (7.9%) developed six paradoxical reaction episodes. </w:t>
      </w:r>
    </w:p>
    <w:p w14:paraId="54C5F358">
      <w:pPr>
        <w:pStyle w:val="2"/>
        <w:rPr>
          <w:rFonts w:hint="eastAsia"/>
        </w:rPr>
      </w:pPr>
      <w:r>
        <w:rPr>
          <w:rFonts w:hint="eastAsia"/>
        </w:rPr>
        <w:t xml:space="preserve">Manifestations included multiple subcutaneous abscesses, two small-intestinal </w:t>
      </w:r>
    </w:p>
    <w:p w14:paraId="420BE3EC">
      <w:pPr>
        <w:pStyle w:val="2"/>
        <w:rPr>
          <w:rFonts w:hint="eastAsia"/>
        </w:rPr>
      </w:pPr>
      <w:r>
        <w:rPr>
          <w:rFonts w:hint="eastAsia"/>
        </w:rPr>
        <w:t xml:space="preserve">perforations, two spontaneous pneumothoraces and progression of miliary nodules </w:t>
      </w:r>
    </w:p>
    <w:p w14:paraId="7E2F527F">
      <w:pPr>
        <w:pStyle w:val="2"/>
        <w:rPr>
          <w:rFonts w:hint="eastAsia"/>
        </w:rPr>
      </w:pPr>
      <w:r>
        <w:rPr>
          <w:rFonts w:hint="eastAsia"/>
        </w:rPr>
        <w:t xml:space="preserve">with new cavitary lesions. Reactions occurred 10-240 days after treatment </w:t>
      </w:r>
    </w:p>
    <w:p w14:paraId="0C19C43E">
      <w:pPr>
        <w:pStyle w:val="2"/>
        <w:rPr>
          <w:rFonts w:hint="eastAsia"/>
        </w:rPr>
      </w:pPr>
      <w:r>
        <w:rPr>
          <w:rFonts w:hint="eastAsia"/>
        </w:rPr>
        <w:t xml:space="preserve">initiation (median, 108 days). Five episodes required surgical or interventional </w:t>
      </w:r>
    </w:p>
    <w:p w14:paraId="1C33B9DE">
      <w:pPr>
        <w:pStyle w:val="2"/>
        <w:rPr>
          <w:rFonts w:hint="eastAsia"/>
        </w:rPr>
      </w:pPr>
      <w:r>
        <w:rPr>
          <w:rFonts w:hint="eastAsia"/>
        </w:rPr>
        <w:t xml:space="preserve">management. The anti-tuberculosis regimen was continued without modification in </w:t>
      </w:r>
    </w:p>
    <w:p w14:paraId="3E367132">
      <w:pPr>
        <w:pStyle w:val="2"/>
        <w:rPr>
          <w:rFonts w:hint="eastAsia"/>
        </w:rPr>
      </w:pPr>
      <w:r>
        <w:rPr>
          <w:rFonts w:hint="eastAsia"/>
        </w:rPr>
        <w:t xml:space="preserve">every episode. One patient developed two reactions despite corticosteroid </w:t>
      </w:r>
    </w:p>
    <w:p w14:paraId="31A369FE">
      <w:pPr>
        <w:pStyle w:val="2"/>
        <w:rPr>
          <w:rFonts w:hint="eastAsia"/>
        </w:rPr>
      </w:pPr>
      <w:r>
        <w:rPr>
          <w:rFonts w:hint="eastAsia"/>
        </w:rPr>
        <w:t xml:space="preserve">treatment for systemic lupus erythematosus. All patients recovered, with no </w:t>
      </w:r>
    </w:p>
    <w:p w14:paraId="6D734121">
      <w:pPr>
        <w:pStyle w:val="2"/>
        <w:rPr>
          <w:rFonts w:hint="eastAsia"/>
        </w:rPr>
      </w:pPr>
      <w:r>
        <w:rPr>
          <w:rFonts w:hint="eastAsia"/>
        </w:rPr>
        <w:t>recurrence during 4-24 months of follow-up.</w:t>
      </w:r>
    </w:p>
    <w:p w14:paraId="17E115ED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Paradoxical reactions in miliary tuberculosis may be anatomically </w:t>
      </w:r>
    </w:p>
    <w:p w14:paraId="27885DDE">
      <w:pPr>
        <w:pStyle w:val="2"/>
        <w:rPr>
          <w:rFonts w:hint="eastAsia"/>
        </w:rPr>
      </w:pPr>
      <w:r>
        <w:rPr>
          <w:rFonts w:hint="eastAsia"/>
        </w:rPr>
        <w:t xml:space="preserve">diverse and life-threatening. Recognition of this pattern, together with careful </w:t>
      </w:r>
    </w:p>
    <w:p w14:paraId="5F5B755F">
      <w:pPr>
        <w:pStyle w:val="2"/>
        <w:rPr>
          <w:rFonts w:hint="eastAsia"/>
        </w:rPr>
      </w:pPr>
      <w:r>
        <w:rPr>
          <w:rFonts w:hint="eastAsia"/>
        </w:rPr>
        <w:t xml:space="preserve">exclusion of microbiological failure, can prevent unnecessary alteration of </w:t>
      </w:r>
    </w:p>
    <w:p w14:paraId="5A297F0C">
      <w:pPr>
        <w:pStyle w:val="2"/>
        <w:rPr>
          <w:rFonts w:hint="eastAsia"/>
        </w:rPr>
      </w:pPr>
      <w:r>
        <w:rPr>
          <w:rFonts w:hint="eastAsia"/>
        </w:rPr>
        <w:t xml:space="preserve">effective treatment while ensuring timely management of site-specific </w:t>
      </w:r>
    </w:p>
    <w:p w14:paraId="7849650A">
      <w:pPr>
        <w:pStyle w:val="2"/>
        <w:rPr>
          <w:rFonts w:hint="eastAsia"/>
        </w:rPr>
      </w:pPr>
      <w:r>
        <w:rPr>
          <w:rFonts w:hint="eastAsia"/>
        </w:rPr>
        <w:t>complications.</w:t>
      </w:r>
    </w:p>
    <w:p w14:paraId="67E0F742">
      <w:pPr>
        <w:pStyle w:val="2"/>
        <w:rPr>
          <w:rFonts w:hint="eastAsia"/>
        </w:rPr>
      </w:pPr>
    </w:p>
    <w:p w14:paraId="64C2B995">
      <w:pPr>
        <w:pStyle w:val="2"/>
        <w:rPr>
          <w:rFonts w:hint="eastAsia"/>
        </w:rPr>
      </w:pPr>
      <w:r>
        <w:rPr>
          <w:rFonts w:hint="eastAsia"/>
        </w:rPr>
        <w:t xml:space="preserve">© 2026. The Author(s), under exclusive licence to Royal Academy of Medicine in </w:t>
      </w:r>
    </w:p>
    <w:p w14:paraId="28C6D471">
      <w:pPr>
        <w:pStyle w:val="2"/>
        <w:rPr>
          <w:rFonts w:hint="eastAsia"/>
        </w:rPr>
      </w:pPr>
      <w:r>
        <w:rPr>
          <w:rFonts w:hint="eastAsia"/>
        </w:rPr>
        <w:t>Ireland.</w:t>
      </w:r>
    </w:p>
    <w:p w14:paraId="338D1183">
      <w:pPr>
        <w:pStyle w:val="2"/>
        <w:rPr>
          <w:rFonts w:hint="eastAsia"/>
        </w:rPr>
      </w:pPr>
    </w:p>
    <w:p w14:paraId="50A25628">
      <w:pPr>
        <w:pStyle w:val="2"/>
        <w:rPr>
          <w:rFonts w:hint="eastAsia"/>
        </w:rPr>
      </w:pPr>
      <w:r>
        <w:rPr>
          <w:rFonts w:hint="eastAsia"/>
        </w:rPr>
        <w:t>DOI: 10.1007/s11845-026-04655-x</w:t>
      </w:r>
    </w:p>
    <w:p w14:paraId="205B8170">
      <w:pPr>
        <w:pStyle w:val="2"/>
        <w:rPr>
          <w:rFonts w:hint="eastAsia"/>
        </w:rPr>
      </w:pPr>
      <w:r>
        <w:rPr>
          <w:rFonts w:hint="eastAsia"/>
        </w:rPr>
        <w:t>PMID: 42862445</w:t>
      </w:r>
    </w:p>
    <w:p w14:paraId="4A09228E">
      <w:pPr>
        <w:pStyle w:val="2"/>
        <w:rPr>
          <w:rFonts w:hint="eastAsia"/>
        </w:rPr>
      </w:pPr>
    </w:p>
    <w:p w14:paraId="399ECDE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55</w:t>
      </w:r>
      <w:r>
        <w:rPr>
          <w:rFonts w:hint="eastAsia"/>
          <w:b/>
          <w:bCs/>
          <w:color w:val="FF0000"/>
        </w:rPr>
        <w:t>. J Clin Microbiol. 2026 Oct 12:e0155925. doi: 10.1128/jcm.01559-25. Online ahead of print.</w:t>
      </w:r>
    </w:p>
    <w:p w14:paraId="2FF09C90">
      <w:pPr>
        <w:pStyle w:val="2"/>
        <w:rPr>
          <w:rFonts w:hint="eastAsia"/>
        </w:rPr>
      </w:pPr>
    </w:p>
    <w:p w14:paraId="688042C5">
      <w:pPr>
        <w:pStyle w:val="2"/>
        <w:rPr>
          <w:rFonts w:hint="eastAsia"/>
        </w:rPr>
      </w:pPr>
      <w:r>
        <w:rPr>
          <w:rFonts w:hint="eastAsia"/>
        </w:rPr>
        <w:t xml:space="preserve">Nanoparticle capture of urinary lipoarabinomannan for diagnosing childhood </w:t>
      </w:r>
    </w:p>
    <w:p w14:paraId="527D6482">
      <w:pPr>
        <w:pStyle w:val="2"/>
        <w:rPr>
          <w:rFonts w:hint="eastAsia"/>
        </w:rPr>
      </w:pPr>
      <w:r>
        <w:rPr>
          <w:rFonts w:hint="eastAsia"/>
        </w:rPr>
        <w:t>tuberculosis.</w:t>
      </w:r>
    </w:p>
    <w:p w14:paraId="38C38E1D">
      <w:pPr>
        <w:pStyle w:val="2"/>
        <w:rPr>
          <w:rFonts w:hint="eastAsia"/>
        </w:rPr>
      </w:pPr>
    </w:p>
    <w:p w14:paraId="458FBF44">
      <w:pPr>
        <w:pStyle w:val="2"/>
        <w:rPr>
          <w:rFonts w:hint="eastAsia"/>
        </w:rPr>
      </w:pPr>
      <w:r>
        <w:rPr>
          <w:rFonts w:hint="eastAsia"/>
        </w:rPr>
        <w:t>Ahmed K(#)(1), Mullen BT(#)(2)(3), Iqbal NT(1), Thomas TA(4).</w:t>
      </w:r>
    </w:p>
    <w:p w14:paraId="29F3B526">
      <w:pPr>
        <w:pStyle w:val="2"/>
        <w:rPr>
          <w:rFonts w:hint="eastAsia"/>
        </w:rPr>
      </w:pPr>
    </w:p>
    <w:p w14:paraId="0B83E872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506189B">
      <w:pPr>
        <w:pStyle w:val="2"/>
        <w:rPr>
          <w:rFonts w:hint="eastAsia"/>
        </w:rPr>
      </w:pPr>
      <w:r>
        <w:rPr>
          <w:rFonts w:hint="eastAsia"/>
        </w:rPr>
        <w:t xml:space="preserve">(1)Department of Paediatrics and Child Health, Aga Khan University, Karachi, </w:t>
      </w:r>
    </w:p>
    <w:p w14:paraId="6F13E9B6">
      <w:pPr>
        <w:pStyle w:val="2"/>
        <w:rPr>
          <w:rFonts w:hint="eastAsia"/>
        </w:rPr>
      </w:pPr>
      <w:r>
        <w:rPr>
          <w:rFonts w:hint="eastAsia"/>
        </w:rPr>
        <w:t>Pakistan.</w:t>
      </w:r>
    </w:p>
    <w:p w14:paraId="366552F7">
      <w:pPr>
        <w:pStyle w:val="2"/>
        <w:rPr>
          <w:rFonts w:hint="eastAsia"/>
        </w:rPr>
      </w:pPr>
      <w:r>
        <w:rPr>
          <w:rFonts w:hint="eastAsia"/>
        </w:rPr>
        <w:t xml:space="preserve">(2)Department of Internal Medicine, University of Virginia, Charlottesville, </w:t>
      </w:r>
    </w:p>
    <w:p w14:paraId="08390C9B">
      <w:pPr>
        <w:pStyle w:val="2"/>
        <w:rPr>
          <w:rFonts w:hint="eastAsia"/>
        </w:rPr>
      </w:pPr>
      <w:r>
        <w:rPr>
          <w:rFonts w:hint="eastAsia"/>
        </w:rPr>
        <w:t>Virginia, USA.</w:t>
      </w:r>
    </w:p>
    <w:p w14:paraId="6AD9E29C">
      <w:pPr>
        <w:pStyle w:val="2"/>
        <w:rPr>
          <w:rFonts w:hint="eastAsia"/>
        </w:rPr>
      </w:pPr>
      <w:r>
        <w:rPr>
          <w:rFonts w:hint="eastAsia"/>
        </w:rPr>
        <w:t xml:space="preserve">(3)Department of Medicine, Division of Allergy and Infectious Diseases, </w:t>
      </w:r>
    </w:p>
    <w:p w14:paraId="08BEB632">
      <w:pPr>
        <w:pStyle w:val="2"/>
        <w:rPr>
          <w:rFonts w:hint="eastAsia"/>
        </w:rPr>
      </w:pPr>
      <w:r>
        <w:rPr>
          <w:rFonts w:hint="eastAsia"/>
        </w:rPr>
        <w:t>University of Washington, Seattle, Washington, USA.</w:t>
      </w:r>
    </w:p>
    <w:p w14:paraId="2ED0D7EE">
      <w:pPr>
        <w:pStyle w:val="2"/>
        <w:rPr>
          <w:rFonts w:hint="eastAsia"/>
        </w:rPr>
      </w:pPr>
      <w:r>
        <w:rPr>
          <w:rFonts w:hint="eastAsia"/>
        </w:rPr>
        <w:t xml:space="preserve">(4)Division of Infectious Diseases and International Health, University of </w:t>
      </w:r>
    </w:p>
    <w:p w14:paraId="72F543FA">
      <w:pPr>
        <w:pStyle w:val="2"/>
        <w:rPr>
          <w:rFonts w:hint="eastAsia"/>
        </w:rPr>
      </w:pPr>
      <w:r>
        <w:rPr>
          <w:rFonts w:hint="eastAsia"/>
        </w:rPr>
        <w:t>Virginia, Charlottesville, Virginia, USA.</w:t>
      </w:r>
    </w:p>
    <w:p w14:paraId="21A93E0D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70B46B93">
      <w:pPr>
        <w:pStyle w:val="2"/>
        <w:rPr>
          <w:rFonts w:hint="eastAsia"/>
        </w:rPr>
      </w:pPr>
    </w:p>
    <w:p w14:paraId="49C0252D">
      <w:pPr>
        <w:pStyle w:val="2"/>
        <w:rPr>
          <w:rFonts w:hint="eastAsia"/>
        </w:rPr>
      </w:pPr>
      <w:r>
        <w:rPr>
          <w:rFonts w:hint="eastAsia"/>
        </w:rPr>
        <w:t xml:space="preserve">Urinary assays detecting lipoarabinomannan (LAM) as a diagnostic test for </w:t>
      </w:r>
    </w:p>
    <w:p w14:paraId="2CB38E44">
      <w:pPr>
        <w:pStyle w:val="2"/>
        <w:rPr>
          <w:rFonts w:hint="eastAsia"/>
        </w:rPr>
      </w:pPr>
      <w:r>
        <w:rPr>
          <w:rFonts w:hint="eastAsia"/>
        </w:rPr>
        <w:t xml:space="preserve">tuberculosis (TB) have limited sensitivity in pediatric populations. We aimed to </w:t>
      </w:r>
    </w:p>
    <w:p w14:paraId="2258BF47">
      <w:pPr>
        <w:pStyle w:val="2"/>
        <w:rPr>
          <w:rFonts w:hint="eastAsia"/>
        </w:rPr>
      </w:pPr>
      <w:r>
        <w:rPr>
          <w:rFonts w:hint="eastAsia"/>
        </w:rPr>
        <w:t xml:space="preserve">evaluate the Ceres TB-Nanotrap to concentrate LAM and augment detection in urine </w:t>
      </w:r>
    </w:p>
    <w:p w14:paraId="679AD738">
      <w:pPr>
        <w:pStyle w:val="2"/>
        <w:rPr>
          <w:rFonts w:hint="eastAsia"/>
        </w:rPr>
      </w:pPr>
      <w:r>
        <w:rPr>
          <w:rFonts w:hint="eastAsia"/>
        </w:rPr>
        <w:t xml:space="preserve">using the Alere lateral flow assay (LF-LAM). This case-control study recruited </w:t>
      </w:r>
    </w:p>
    <w:p w14:paraId="1E77E0A8">
      <w:pPr>
        <w:pStyle w:val="2"/>
        <w:rPr>
          <w:rFonts w:hint="eastAsia"/>
        </w:rPr>
      </w:pPr>
      <w:r>
        <w:rPr>
          <w:rFonts w:hint="eastAsia"/>
        </w:rPr>
        <w:t xml:space="preserve">32 children with and without TB aged 1-18 years in Karachi, Pakistan, with </w:t>
      </w:r>
    </w:p>
    <w:p w14:paraId="4A14AA71">
      <w:pPr>
        <w:pStyle w:val="2"/>
        <w:rPr>
          <w:rFonts w:hint="eastAsia"/>
        </w:rPr>
      </w:pPr>
      <w:r>
        <w:rPr>
          <w:rFonts w:hint="eastAsia"/>
        </w:rPr>
        <w:t xml:space="preserve">banked urine specimens. TB case participants were classified as confirmed or </w:t>
      </w:r>
    </w:p>
    <w:p w14:paraId="1F21ED90">
      <w:pPr>
        <w:pStyle w:val="2"/>
        <w:rPr>
          <w:rFonts w:hint="eastAsia"/>
        </w:rPr>
      </w:pPr>
      <w:r>
        <w:rPr>
          <w:rFonts w:hint="eastAsia"/>
        </w:rPr>
        <w:t xml:space="preserve">unconfirmed TB using modified National Institutes of Health (NIH) consensus </w:t>
      </w:r>
    </w:p>
    <w:p w14:paraId="4120B526">
      <w:pPr>
        <w:pStyle w:val="2"/>
        <w:rPr>
          <w:rFonts w:hint="eastAsia"/>
        </w:rPr>
      </w:pPr>
      <w:r>
        <w:rPr>
          <w:rFonts w:hint="eastAsia"/>
        </w:rPr>
        <w:t xml:space="preserve">criteria. The LF-LAM test was performed before and after concentrating 5 mL of </w:t>
      </w:r>
    </w:p>
    <w:p w14:paraId="0414623A">
      <w:pPr>
        <w:pStyle w:val="2"/>
        <w:rPr>
          <w:rFonts w:hint="eastAsia"/>
        </w:rPr>
      </w:pPr>
      <w:r>
        <w:rPr>
          <w:rFonts w:hint="eastAsia"/>
        </w:rPr>
        <w:t xml:space="preserve">urine with TB-Nanotrap particles. Band intensity was measured via visual grading </w:t>
      </w:r>
    </w:p>
    <w:p w14:paraId="0D5CCD8E">
      <w:pPr>
        <w:pStyle w:val="2"/>
        <w:rPr>
          <w:rFonts w:hint="eastAsia"/>
        </w:rPr>
      </w:pPr>
      <w:r>
        <w:rPr>
          <w:rFonts w:hint="eastAsia"/>
        </w:rPr>
        <w:t xml:space="preserve">and digital quantification. Urine LAM sensitivity by visual grading was 4.5% </w:t>
      </w:r>
    </w:p>
    <w:p w14:paraId="036B82AC">
      <w:pPr>
        <w:pStyle w:val="2"/>
        <w:rPr>
          <w:rFonts w:hint="eastAsia"/>
        </w:rPr>
      </w:pPr>
      <w:r>
        <w:rPr>
          <w:rFonts w:hint="eastAsia"/>
        </w:rPr>
        <w:t xml:space="preserve">(95% confidence interval [CI] 0.3-18.5) pre-concentration and 50.0% (95% CI </w:t>
      </w:r>
    </w:p>
    <w:p w14:paraId="1F930C98">
      <w:pPr>
        <w:pStyle w:val="2"/>
        <w:rPr>
          <w:rFonts w:hint="eastAsia"/>
        </w:rPr>
      </w:pPr>
      <w:r>
        <w:rPr>
          <w:rFonts w:hint="eastAsia"/>
        </w:rPr>
        <w:t xml:space="preserve">30.0-70.0) post-concentration. Sensitivity by digital quantification was 0.0% </w:t>
      </w:r>
    </w:p>
    <w:p w14:paraId="182A23B0">
      <w:pPr>
        <w:pStyle w:val="2"/>
        <w:rPr>
          <w:rFonts w:hint="eastAsia"/>
        </w:rPr>
      </w:pPr>
      <w:r>
        <w:rPr>
          <w:rFonts w:hint="eastAsia"/>
        </w:rPr>
        <w:t xml:space="preserve">(95% CI 0.0-15.4) pre-concentration and 63.9% (95% CI 42.8-81.4) </w:t>
      </w:r>
    </w:p>
    <w:p w14:paraId="6A2C086C">
      <w:pPr>
        <w:pStyle w:val="2"/>
        <w:rPr>
          <w:rFonts w:hint="eastAsia"/>
        </w:rPr>
      </w:pPr>
      <w:r>
        <w:rPr>
          <w:rFonts w:hint="eastAsia"/>
        </w:rPr>
        <w:t xml:space="preserve">post-concentration. Specificity was high with both methods (visual grading: </w:t>
      </w:r>
    </w:p>
    <w:p w14:paraId="4A7CD455">
      <w:pPr>
        <w:pStyle w:val="2"/>
        <w:rPr>
          <w:rFonts w:hint="eastAsia"/>
        </w:rPr>
      </w:pPr>
      <w:r>
        <w:rPr>
          <w:rFonts w:hint="eastAsia"/>
        </w:rPr>
        <w:t xml:space="preserve">90.0% [95% CI 62.8-99.4] pre-concentration and 90.0% [95% CI 62.8-99.4] </w:t>
      </w:r>
    </w:p>
    <w:p w14:paraId="4C1C657F">
      <w:pPr>
        <w:pStyle w:val="2"/>
        <w:rPr>
          <w:rFonts w:hint="eastAsia"/>
        </w:rPr>
      </w:pPr>
      <w:r>
        <w:rPr>
          <w:rFonts w:hint="eastAsia"/>
        </w:rPr>
        <w:t xml:space="preserve">post-concentration; digital analysis: 80.0% [95% CI 44.4-97.5] and 90.0% [95% CI </w:t>
      </w:r>
    </w:p>
    <w:p w14:paraId="73DD9031">
      <w:pPr>
        <w:pStyle w:val="2"/>
        <w:rPr>
          <w:rFonts w:hint="eastAsia"/>
        </w:rPr>
      </w:pPr>
      <w:r>
        <w:rPr>
          <w:rFonts w:hint="eastAsia"/>
        </w:rPr>
        <w:t xml:space="preserve">62.8-99.4], respectively). For cases, digital analysis showed an increase in </w:t>
      </w:r>
    </w:p>
    <w:p w14:paraId="20EBBC6C">
      <w:pPr>
        <w:pStyle w:val="2"/>
        <w:rPr>
          <w:rFonts w:hint="eastAsia"/>
        </w:rPr>
      </w:pPr>
      <w:r>
        <w:rPr>
          <w:rFonts w:hint="eastAsia"/>
        </w:rPr>
        <w:t xml:space="preserve">median LF-LAM band intensity from 0.0 arbitrary units (AU) (interquartile range </w:t>
      </w:r>
    </w:p>
    <w:p w14:paraId="74675502">
      <w:pPr>
        <w:pStyle w:val="2"/>
        <w:rPr>
          <w:rFonts w:hint="eastAsia"/>
        </w:rPr>
      </w:pPr>
      <w:r>
        <w:rPr>
          <w:rFonts w:hint="eastAsia"/>
        </w:rPr>
        <w:t xml:space="preserve">[IQR] 0.00-32.5) in unconcentrated samples to 98.4 AU (IQR 34.9-212.2) in </w:t>
      </w:r>
    </w:p>
    <w:p w14:paraId="09331564">
      <w:pPr>
        <w:pStyle w:val="2"/>
        <w:rPr>
          <w:rFonts w:hint="eastAsia"/>
        </w:rPr>
      </w:pPr>
      <w:r>
        <w:rPr>
          <w:rFonts w:hint="eastAsia"/>
        </w:rPr>
        <w:t xml:space="preserve">concentrated samples. Concentration with TB-Nanotrap greatly increased </w:t>
      </w:r>
    </w:p>
    <w:p w14:paraId="375B31AA">
      <w:pPr>
        <w:pStyle w:val="2"/>
        <w:rPr>
          <w:rFonts w:hint="eastAsia"/>
        </w:rPr>
      </w:pPr>
      <w:r>
        <w:rPr>
          <w:rFonts w:hint="eastAsia"/>
        </w:rPr>
        <w:t xml:space="preserve">sensitivity of urine LAM detection without a change in specificity. Use of </w:t>
      </w:r>
    </w:p>
    <w:p w14:paraId="528F15AA">
      <w:pPr>
        <w:pStyle w:val="2"/>
        <w:rPr>
          <w:rFonts w:hint="eastAsia"/>
        </w:rPr>
      </w:pPr>
      <w:r>
        <w:rPr>
          <w:rFonts w:hint="eastAsia"/>
        </w:rPr>
        <w:t xml:space="preserve">TB-Nanotrap and digital quantitative analysis of urine LAM improved the </w:t>
      </w:r>
    </w:p>
    <w:p w14:paraId="787AE0D1">
      <w:pPr>
        <w:pStyle w:val="2"/>
        <w:rPr>
          <w:rFonts w:hint="eastAsia"/>
        </w:rPr>
      </w:pPr>
      <w:r>
        <w:rPr>
          <w:rFonts w:hint="eastAsia"/>
        </w:rPr>
        <w:t xml:space="preserve">diagnostic accuracy of the LF-LAM assay in this pediatric population and should </w:t>
      </w:r>
    </w:p>
    <w:p w14:paraId="516E3AD4">
      <w:pPr>
        <w:pStyle w:val="2"/>
        <w:rPr>
          <w:rFonts w:hint="eastAsia"/>
        </w:rPr>
      </w:pPr>
      <w:r>
        <w:rPr>
          <w:rFonts w:hint="eastAsia"/>
        </w:rPr>
        <w:t xml:space="preserve">be validated in larger studies.IMPORTANCEDiagnosing TB in children is </w:t>
      </w:r>
    </w:p>
    <w:p w14:paraId="470F1276">
      <w:pPr>
        <w:pStyle w:val="2"/>
        <w:rPr>
          <w:rFonts w:hint="eastAsia"/>
        </w:rPr>
      </w:pPr>
      <w:r>
        <w:rPr>
          <w:rFonts w:hint="eastAsia"/>
        </w:rPr>
        <w:t xml:space="preserve">challenging due to a lack of accurate and accessible diagnostic tests. In this </w:t>
      </w:r>
    </w:p>
    <w:p w14:paraId="583E8E53">
      <w:pPr>
        <w:pStyle w:val="2"/>
        <w:rPr>
          <w:rFonts w:hint="eastAsia"/>
        </w:rPr>
      </w:pPr>
      <w:r>
        <w:rPr>
          <w:rFonts w:hint="eastAsia"/>
        </w:rPr>
        <w:t xml:space="preserve">study, we evaluated two methods of improving detection of TB in children using a </w:t>
      </w:r>
    </w:p>
    <w:p w14:paraId="08AD2C8B">
      <w:pPr>
        <w:pStyle w:val="2"/>
        <w:rPr>
          <w:rFonts w:hint="eastAsia"/>
        </w:rPr>
      </w:pPr>
      <w:r>
        <w:rPr>
          <w:rFonts w:hint="eastAsia"/>
        </w:rPr>
        <w:t xml:space="preserve">commercially available urine test. First, we processed the urine to concentrate </w:t>
      </w:r>
    </w:p>
    <w:p w14:paraId="79951706">
      <w:pPr>
        <w:pStyle w:val="2"/>
        <w:rPr>
          <w:rFonts w:hint="eastAsia"/>
        </w:rPr>
      </w:pPr>
      <w:r>
        <w:rPr>
          <w:rFonts w:hint="eastAsia"/>
        </w:rPr>
        <w:t xml:space="preserve">any available TB antigens. Second, we included a digital reader to interpret the </w:t>
      </w:r>
    </w:p>
    <w:p w14:paraId="14A2D5DE">
      <w:pPr>
        <w:pStyle w:val="2"/>
        <w:rPr>
          <w:rFonts w:hint="eastAsia"/>
        </w:rPr>
      </w:pPr>
      <w:r>
        <w:rPr>
          <w:rFonts w:hint="eastAsia"/>
        </w:rPr>
        <w:t xml:space="preserve">test results. We found that concentrating urine and using a digital reader led </w:t>
      </w:r>
    </w:p>
    <w:p w14:paraId="4A2C765F">
      <w:pPr>
        <w:pStyle w:val="2"/>
        <w:rPr>
          <w:rFonts w:hint="eastAsia"/>
        </w:rPr>
      </w:pPr>
      <w:r>
        <w:rPr>
          <w:rFonts w:hint="eastAsia"/>
        </w:rPr>
        <w:t xml:space="preserve">to an increase in TB detection among children who had been diagnosed with TB, </w:t>
      </w:r>
    </w:p>
    <w:p w14:paraId="79FBB4E9">
      <w:pPr>
        <w:pStyle w:val="2"/>
        <w:rPr>
          <w:rFonts w:hint="eastAsia"/>
        </w:rPr>
      </w:pPr>
      <w:r>
        <w:rPr>
          <w:rFonts w:hint="eastAsia"/>
        </w:rPr>
        <w:t>while minimizing false-positive results among children who did not have TB.</w:t>
      </w:r>
    </w:p>
    <w:p w14:paraId="0F51170F">
      <w:pPr>
        <w:pStyle w:val="2"/>
        <w:rPr>
          <w:rFonts w:hint="eastAsia"/>
        </w:rPr>
      </w:pPr>
    </w:p>
    <w:p w14:paraId="06F7DFBC">
      <w:pPr>
        <w:pStyle w:val="2"/>
        <w:rPr>
          <w:rFonts w:hint="eastAsia"/>
        </w:rPr>
      </w:pPr>
      <w:r>
        <w:rPr>
          <w:rFonts w:hint="eastAsia"/>
        </w:rPr>
        <w:t>DOI: 10.1128/jcm.01559-25</w:t>
      </w:r>
    </w:p>
    <w:p w14:paraId="2E0275FF">
      <w:pPr>
        <w:pStyle w:val="2"/>
        <w:rPr>
          <w:rFonts w:hint="eastAsia"/>
        </w:rPr>
      </w:pPr>
      <w:r>
        <w:rPr>
          <w:rFonts w:hint="eastAsia"/>
        </w:rPr>
        <w:t>PMID: 42861958</w:t>
      </w:r>
    </w:p>
    <w:p w14:paraId="0E6B0963">
      <w:pPr>
        <w:pStyle w:val="2"/>
        <w:rPr>
          <w:rFonts w:hint="eastAsia"/>
        </w:rPr>
      </w:pPr>
    </w:p>
    <w:p w14:paraId="2C5B2C9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56</w:t>
      </w:r>
      <w:r>
        <w:rPr>
          <w:rFonts w:hint="eastAsia"/>
          <w:b/>
          <w:bCs/>
          <w:color w:val="FF0000"/>
        </w:rPr>
        <w:t>. J Clin Lab Anal. 2026 Oct 12:e70380. doi: 10.1002/jcla.70380. Online ahead of print.</w:t>
      </w:r>
    </w:p>
    <w:p w14:paraId="354C85CE">
      <w:pPr>
        <w:pStyle w:val="2"/>
        <w:rPr>
          <w:rFonts w:hint="eastAsia"/>
        </w:rPr>
      </w:pPr>
    </w:p>
    <w:p w14:paraId="6D86D213">
      <w:pPr>
        <w:pStyle w:val="2"/>
        <w:rPr>
          <w:rFonts w:hint="eastAsia"/>
        </w:rPr>
      </w:pPr>
      <w:r>
        <w:rPr>
          <w:rFonts w:hint="eastAsia"/>
        </w:rPr>
        <w:t xml:space="preserve">Comparative Diagnostic Performance of Three Commercial Real-Time PCR Assays for </w:t>
      </w:r>
    </w:p>
    <w:p w14:paraId="4D30470B">
      <w:pPr>
        <w:pStyle w:val="2"/>
        <w:rPr>
          <w:rFonts w:hint="eastAsia"/>
        </w:rPr>
      </w:pPr>
      <w:r>
        <w:rPr>
          <w:rFonts w:hint="eastAsia"/>
        </w:rPr>
        <w:t xml:space="preserve">the Detection of Mycobacterium tuberculosis Complex in Bronchial Washing </w:t>
      </w:r>
    </w:p>
    <w:p w14:paraId="4A2F7F1C">
      <w:pPr>
        <w:pStyle w:val="2"/>
        <w:rPr>
          <w:rFonts w:hint="eastAsia"/>
        </w:rPr>
      </w:pPr>
      <w:r>
        <w:rPr>
          <w:rFonts w:hint="eastAsia"/>
        </w:rPr>
        <w:t>Specimens: A Large Retrospective Study.</w:t>
      </w:r>
    </w:p>
    <w:p w14:paraId="01BD2C03">
      <w:pPr>
        <w:pStyle w:val="2"/>
        <w:rPr>
          <w:rFonts w:hint="eastAsia"/>
        </w:rPr>
      </w:pPr>
    </w:p>
    <w:p w14:paraId="4C385C11">
      <w:pPr>
        <w:pStyle w:val="2"/>
        <w:rPr>
          <w:rFonts w:hint="eastAsia"/>
        </w:rPr>
      </w:pPr>
      <w:r>
        <w:rPr>
          <w:rFonts w:hint="eastAsia"/>
        </w:rPr>
        <w:t>Kim J(1), Park Y(1)(2).</w:t>
      </w:r>
    </w:p>
    <w:p w14:paraId="70624821">
      <w:pPr>
        <w:pStyle w:val="2"/>
        <w:rPr>
          <w:rFonts w:hint="eastAsia"/>
        </w:rPr>
      </w:pPr>
    </w:p>
    <w:p w14:paraId="4DA3C8A2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FDD896C">
      <w:pPr>
        <w:pStyle w:val="2"/>
        <w:rPr>
          <w:rFonts w:hint="eastAsia"/>
        </w:rPr>
      </w:pPr>
      <w:r>
        <w:rPr>
          <w:rFonts w:hint="eastAsia"/>
        </w:rPr>
        <w:t xml:space="preserve">(1)Department of Laboratory Medicine, Chungnam National University Hospital, </w:t>
      </w:r>
    </w:p>
    <w:p w14:paraId="52A1D699">
      <w:pPr>
        <w:pStyle w:val="2"/>
        <w:rPr>
          <w:rFonts w:hint="eastAsia"/>
        </w:rPr>
      </w:pPr>
      <w:r>
        <w:rPr>
          <w:rFonts w:hint="eastAsia"/>
        </w:rPr>
        <w:t>Daejeon, Republic of Korea.</w:t>
      </w:r>
    </w:p>
    <w:p w14:paraId="62E67AB7">
      <w:pPr>
        <w:pStyle w:val="2"/>
        <w:rPr>
          <w:rFonts w:hint="eastAsia"/>
        </w:rPr>
      </w:pPr>
      <w:r>
        <w:rPr>
          <w:rFonts w:hint="eastAsia"/>
        </w:rPr>
        <w:t xml:space="preserve">(2)Department of Laboratory Medicine, College of Medicine, Chungnam National </w:t>
      </w:r>
    </w:p>
    <w:p w14:paraId="38DD7CC9">
      <w:pPr>
        <w:pStyle w:val="2"/>
        <w:rPr>
          <w:rFonts w:hint="eastAsia"/>
        </w:rPr>
      </w:pPr>
      <w:r>
        <w:rPr>
          <w:rFonts w:hint="eastAsia"/>
        </w:rPr>
        <w:t>University, Daejeon, Republic of Korea.</w:t>
      </w:r>
    </w:p>
    <w:p w14:paraId="7454D45E">
      <w:pPr>
        <w:pStyle w:val="2"/>
        <w:rPr>
          <w:rFonts w:hint="eastAsia"/>
        </w:rPr>
      </w:pPr>
    </w:p>
    <w:p w14:paraId="679C3F66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Molecular assays are essential for the rapid detection of </w:t>
      </w:r>
    </w:p>
    <w:p w14:paraId="4617CE85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complex (MTBC). However, head-to-head comparisons of </w:t>
      </w:r>
    </w:p>
    <w:p w14:paraId="47FE624F">
      <w:pPr>
        <w:pStyle w:val="2"/>
        <w:rPr>
          <w:rFonts w:hint="eastAsia"/>
        </w:rPr>
      </w:pPr>
      <w:r>
        <w:rPr>
          <w:rFonts w:hint="eastAsia"/>
        </w:rPr>
        <w:t xml:space="preserve">widely used commercial assays remain limited. This study compared the diagnostic </w:t>
      </w:r>
    </w:p>
    <w:p w14:paraId="4E35C77D">
      <w:pPr>
        <w:pStyle w:val="2"/>
        <w:rPr>
          <w:rFonts w:hint="eastAsia"/>
        </w:rPr>
      </w:pPr>
      <w:r>
        <w:rPr>
          <w:rFonts w:hint="eastAsia"/>
        </w:rPr>
        <w:t xml:space="preserve">performance of three real-time PCR assays-AdvanSure TB/NTM, Cobas MTB, and Xpert </w:t>
      </w:r>
    </w:p>
    <w:p w14:paraId="4D8E2148">
      <w:pPr>
        <w:pStyle w:val="2"/>
        <w:rPr>
          <w:rFonts w:hint="eastAsia"/>
        </w:rPr>
      </w:pPr>
      <w:r>
        <w:rPr>
          <w:rFonts w:hint="eastAsia"/>
        </w:rPr>
        <w:t>MTB/RIF-using bronchial washing specimens.</w:t>
      </w:r>
    </w:p>
    <w:p w14:paraId="2CD845BD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retrospectively analyzed molecular assay results from 3348 bronchial </w:t>
      </w:r>
    </w:p>
    <w:p w14:paraId="57A22415">
      <w:pPr>
        <w:pStyle w:val="2"/>
        <w:rPr>
          <w:rFonts w:hint="eastAsia"/>
        </w:rPr>
      </w:pPr>
      <w:r>
        <w:rPr>
          <w:rFonts w:hint="eastAsia"/>
        </w:rPr>
        <w:t xml:space="preserve">washing specimens obtained between January 2021 and May 2024. Among them, 740 </w:t>
      </w:r>
    </w:p>
    <w:p w14:paraId="24E259C8">
      <w:pPr>
        <w:pStyle w:val="2"/>
        <w:rPr>
          <w:rFonts w:hint="eastAsia"/>
        </w:rPr>
      </w:pPr>
      <w:r>
        <w:rPr>
          <w:rFonts w:hint="eastAsia"/>
        </w:rPr>
        <w:t xml:space="preserve">specimens were included in a head-to-head comparison of the three assays. </w:t>
      </w:r>
    </w:p>
    <w:p w14:paraId="0AD106B0">
      <w:pPr>
        <w:pStyle w:val="2"/>
        <w:rPr>
          <w:rFonts w:hint="eastAsia"/>
        </w:rPr>
      </w:pPr>
      <w:r>
        <w:rPr>
          <w:rFonts w:hint="eastAsia"/>
        </w:rPr>
        <w:t xml:space="preserve">Diagnostic performance was evaluated using culture-confirmed MTBC as the </w:t>
      </w:r>
    </w:p>
    <w:p w14:paraId="0CA84D5D">
      <w:pPr>
        <w:pStyle w:val="2"/>
        <w:rPr>
          <w:rFonts w:hint="eastAsia"/>
        </w:rPr>
      </w:pPr>
      <w:r>
        <w:rPr>
          <w:rFonts w:hint="eastAsia"/>
        </w:rPr>
        <w:t>reference standard.</w:t>
      </w:r>
    </w:p>
    <w:p w14:paraId="1D70F8F4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In the head-to-head comparison (n = 740), the overall concordance rate </w:t>
      </w:r>
    </w:p>
    <w:p w14:paraId="334A324E">
      <w:pPr>
        <w:pStyle w:val="2"/>
        <w:rPr>
          <w:rFonts w:hint="eastAsia"/>
        </w:rPr>
      </w:pPr>
      <w:r>
        <w:rPr>
          <w:rFonts w:hint="eastAsia"/>
        </w:rPr>
        <w:t xml:space="preserve">was 93.6%. Using culture-confirmed MTBC as the reference standard, the </w:t>
      </w:r>
    </w:p>
    <w:p w14:paraId="77171411">
      <w:pPr>
        <w:pStyle w:val="2"/>
        <w:rPr>
          <w:rFonts w:hint="eastAsia"/>
        </w:rPr>
      </w:pPr>
      <w:r>
        <w:rPr>
          <w:rFonts w:hint="eastAsia"/>
        </w:rPr>
        <w:t xml:space="preserve">sensitivities of the AdvanSure, Cobas, and Xpert assays were 49.1%, 96.2%, and </w:t>
      </w:r>
    </w:p>
    <w:p w14:paraId="06BC5287">
      <w:pPr>
        <w:pStyle w:val="2"/>
        <w:rPr>
          <w:rFonts w:hint="eastAsia"/>
        </w:rPr>
      </w:pPr>
      <w:r>
        <w:rPr>
          <w:rFonts w:hint="eastAsia"/>
        </w:rPr>
        <w:t xml:space="preserve">90.6%, respectively. In smear-negative cases (n = 713), AdvanSure showed </w:t>
      </w:r>
    </w:p>
    <w:p w14:paraId="492B03E0">
      <w:pPr>
        <w:pStyle w:val="2"/>
        <w:rPr>
          <w:rFonts w:hint="eastAsia"/>
        </w:rPr>
      </w:pPr>
      <w:r>
        <w:rPr>
          <w:rFonts w:hint="eastAsia"/>
        </w:rPr>
        <w:t xml:space="preserve">markedly lower sensitivity (30.8%) than the Cobas (94.9%) and Xpert (87.2%). </w:t>
      </w:r>
    </w:p>
    <w:p w14:paraId="019E9178">
      <w:pPr>
        <w:pStyle w:val="2"/>
        <w:rPr>
          <w:rFonts w:hint="eastAsia"/>
        </w:rPr>
      </w:pPr>
      <w:r>
        <w:rPr>
          <w:rFonts w:hint="eastAsia"/>
        </w:rPr>
        <w:t xml:space="preserve">AdvanSure showed the highest overall specificity (98.7%), followed by Cobas </w:t>
      </w:r>
    </w:p>
    <w:p w14:paraId="2962B515">
      <w:pPr>
        <w:pStyle w:val="2"/>
        <w:rPr>
          <w:rFonts w:hint="eastAsia"/>
        </w:rPr>
      </w:pPr>
      <w:r>
        <w:rPr>
          <w:rFonts w:hint="eastAsia"/>
        </w:rPr>
        <w:t xml:space="preserve">(96.9%) and Xpert (96.4%). The Xpert MTB/RIF assay demonstrated complete </w:t>
      </w:r>
    </w:p>
    <w:p w14:paraId="3BDA8C80">
      <w:pPr>
        <w:pStyle w:val="2"/>
        <w:rPr>
          <w:rFonts w:hint="eastAsia"/>
        </w:rPr>
      </w:pPr>
      <w:r>
        <w:rPr>
          <w:rFonts w:hint="eastAsia"/>
        </w:rPr>
        <w:t xml:space="preserve">concordance with drug susceptibility testing for detecting rifampicin </w:t>
      </w:r>
    </w:p>
    <w:p w14:paraId="73688AE3">
      <w:pPr>
        <w:pStyle w:val="2"/>
        <w:rPr>
          <w:rFonts w:hint="eastAsia"/>
        </w:rPr>
      </w:pPr>
      <w:r>
        <w:rPr>
          <w:rFonts w:hint="eastAsia"/>
        </w:rPr>
        <w:t xml:space="preserve">resistance, with a sensitivity of 100% (95% CI, 59.0%-100.0%) and a specificity </w:t>
      </w:r>
    </w:p>
    <w:p w14:paraId="6FE2813C">
      <w:pPr>
        <w:pStyle w:val="2"/>
        <w:rPr>
          <w:rFonts w:hint="eastAsia"/>
        </w:rPr>
      </w:pPr>
      <w:r>
        <w:rPr>
          <w:rFonts w:hint="eastAsia"/>
        </w:rPr>
        <w:t>of 100% (95% CI, 97.3%-100.0%).</w:t>
      </w:r>
    </w:p>
    <w:p w14:paraId="280981FC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 I</w:t>
      </w:r>
      <w:r>
        <w:rPr>
          <w:rFonts w:hint="eastAsia"/>
        </w:rPr>
        <w:t xml:space="preserve">n this real-world cohort with a high proportion of smear-negative </w:t>
      </w:r>
    </w:p>
    <w:p w14:paraId="628D8117">
      <w:pPr>
        <w:pStyle w:val="2"/>
        <w:rPr>
          <w:rFonts w:hint="eastAsia"/>
        </w:rPr>
      </w:pPr>
      <w:r>
        <w:rPr>
          <w:rFonts w:hint="eastAsia"/>
        </w:rPr>
        <w:t xml:space="preserve">cases, the Cobas and Xpert assays exhibited significantly higher sensitivity for </w:t>
      </w:r>
    </w:p>
    <w:p w14:paraId="727EBE16">
      <w:pPr>
        <w:pStyle w:val="2"/>
        <w:rPr>
          <w:rFonts w:hint="eastAsia"/>
        </w:rPr>
      </w:pPr>
      <w:r>
        <w:rPr>
          <w:rFonts w:hint="eastAsia"/>
        </w:rPr>
        <w:t xml:space="preserve">MTBC detection than the AdvanSure assay. These findings highlight the importance </w:t>
      </w:r>
    </w:p>
    <w:p w14:paraId="221ECD62">
      <w:pPr>
        <w:pStyle w:val="2"/>
        <w:rPr>
          <w:rFonts w:hint="eastAsia"/>
        </w:rPr>
      </w:pPr>
      <w:r>
        <w:rPr>
          <w:rFonts w:hint="eastAsia"/>
        </w:rPr>
        <w:t xml:space="preserve">of highly sensitive molecular assays for the early diagnosis of pulmonary </w:t>
      </w:r>
    </w:p>
    <w:p w14:paraId="3E685C5F">
      <w:pPr>
        <w:pStyle w:val="2"/>
        <w:rPr>
          <w:rFonts w:hint="eastAsia"/>
        </w:rPr>
      </w:pPr>
      <w:r>
        <w:rPr>
          <w:rFonts w:hint="eastAsia"/>
        </w:rPr>
        <w:t>tuberculosis, particularly in patients with low bacillary burden.</w:t>
      </w:r>
    </w:p>
    <w:p w14:paraId="4FB3DD7B">
      <w:pPr>
        <w:pStyle w:val="2"/>
        <w:rPr>
          <w:rFonts w:hint="eastAsia"/>
        </w:rPr>
      </w:pPr>
    </w:p>
    <w:p w14:paraId="1F60C8AB">
      <w:pPr>
        <w:pStyle w:val="2"/>
        <w:rPr>
          <w:rFonts w:hint="eastAsia"/>
        </w:rPr>
      </w:pPr>
      <w:r>
        <w:rPr>
          <w:rFonts w:hint="eastAsia"/>
        </w:rPr>
        <w:t xml:space="preserve">© 2026 The Author(s). Journal of Clinical Laboratory Analysis published by Wiley </w:t>
      </w:r>
    </w:p>
    <w:p w14:paraId="54D8F1FD">
      <w:pPr>
        <w:pStyle w:val="2"/>
        <w:rPr>
          <w:rFonts w:hint="eastAsia"/>
        </w:rPr>
      </w:pPr>
      <w:r>
        <w:rPr>
          <w:rFonts w:hint="eastAsia"/>
        </w:rPr>
        <w:t>Periodicals LLC.</w:t>
      </w:r>
    </w:p>
    <w:p w14:paraId="003E30FB">
      <w:pPr>
        <w:pStyle w:val="2"/>
        <w:rPr>
          <w:rFonts w:hint="eastAsia"/>
        </w:rPr>
      </w:pPr>
    </w:p>
    <w:p w14:paraId="4916B95D">
      <w:pPr>
        <w:pStyle w:val="2"/>
        <w:rPr>
          <w:rFonts w:hint="eastAsia"/>
        </w:rPr>
      </w:pPr>
      <w:r>
        <w:rPr>
          <w:rFonts w:hint="eastAsia"/>
        </w:rPr>
        <w:t>DOI: 10.1002/jcla.70380</w:t>
      </w:r>
    </w:p>
    <w:p w14:paraId="699520EA">
      <w:pPr>
        <w:pStyle w:val="2"/>
        <w:rPr>
          <w:rFonts w:hint="eastAsia"/>
        </w:rPr>
      </w:pPr>
      <w:r>
        <w:rPr>
          <w:rFonts w:hint="eastAsia"/>
        </w:rPr>
        <w:t>PMCID: PMC13656069</w:t>
      </w:r>
    </w:p>
    <w:p w14:paraId="19F3C302">
      <w:pPr>
        <w:pStyle w:val="2"/>
        <w:rPr>
          <w:rFonts w:hint="eastAsia"/>
        </w:rPr>
      </w:pPr>
      <w:r>
        <w:rPr>
          <w:rFonts w:hint="eastAsia"/>
        </w:rPr>
        <w:t>PMID: 42861575</w:t>
      </w:r>
    </w:p>
    <w:p w14:paraId="64D8AF97">
      <w:pPr>
        <w:pStyle w:val="2"/>
        <w:rPr>
          <w:rFonts w:hint="eastAsia"/>
        </w:rPr>
      </w:pPr>
    </w:p>
    <w:p w14:paraId="603A35A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57</w:t>
      </w:r>
      <w:r>
        <w:rPr>
          <w:rFonts w:hint="eastAsia"/>
          <w:b/>
          <w:bCs/>
          <w:color w:val="FF0000"/>
        </w:rPr>
        <w:t>. Ann Afr Med. 2026 Oct 13. doi: 10.4103/aam.aam_672_26. Online ahead of print.</w:t>
      </w:r>
    </w:p>
    <w:p w14:paraId="2CACFF68">
      <w:pPr>
        <w:pStyle w:val="2"/>
        <w:rPr>
          <w:rFonts w:hint="eastAsia"/>
        </w:rPr>
      </w:pPr>
    </w:p>
    <w:p w14:paraId="5141198A">
      <w:pPr>
        <w:pStyle w:val="2"/>
        <w:rPr>
          <w:rFonts w:hint="eastAsia"/>
        </w:rPr>
      </w:pPr>
      <w:r>
        <w:rPr>
          <w:rFonts w:hint="eastAsia"/>
        </w:rPr>
        <w:t xml:space="preserve">Nutritional and Biochemical Correlates of Disease Severity and Hospitalization </w:t>
      </w:r>
    </w:p>
    <w:p w14:paraId="4A465089">
      <w:pPr>
        <w:pStyle w:val="2"/>
        <w:rPr>
          <w:rFonts w:hint="eastAsia"/>
        </w:rPr>
      </w:pPr>
      <w:r>
        <w:rPr>
          <w:rFonts w:hint="eastAsia"/>
        </w:rPr>
        <w:t xml:space="preserve">in Adults with Drug-resistant Tuberculosis: A Prospective Study from North </w:t>
      </w:r>
    </w:p>
    <w:p w14:paraId="5A463D57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1BE159E8">
      <w:pPr>
        <w:pStyle w:val="2"/>
        <w:rPr>
          <w:rFonts w:hint="eastAsia"/>
        </w:rPr>
      </w:pPr>
    </w:p>
    <w:p w14:paraId="63AE1EDD">
      <w:pPr>
        <w:pStyle w:val="2"/>
        <w:rPr>
          <w:rFonts w:hint="eastAsia"/>
        </w:rPr>
      </w:pPr>
      <w:r>
        <w:rPr>
          <w:rFonts w:hint="eastAsia"/>
        </w:rPr>
        <w:t>[Article in English, French; Abstract available in French from the publisher]</w:t>
      </w:r>
    </w:p>
    <w:p w14:paraId="0DC30731">
      <w:pPr>
        <w:pStyle w:val="2"/>
        <w:rPr>
          <w:rFonts w:hint="eastAsia"/>
        </w:rPr>
      </w:pPr>
    </w:p>
    <w:p w14:paraId="31E62FD9">
      <w:pPr>
        <w:pStyle w:val="2"/>
        <w:rPr>
          <w:rFonts w:hint="eastAsia"/>
        </w:rPr>
      </w:pPr>
      <w:r>
        <w:rPr>
          <w:rFonts w:hint="eastAsia"/>
        </w:rPr>
        <w:t xml:space="preserve">Kumar P(1), Vohra V(1), Shastry S(2), Singla N(3), Yadav A(4), Rajput J(1), Modi </w:t>
      </w:r>
    </w:p>
    <w:p w14:paraId="58CF26B9">
      <w:pPr>
        <w:pStyle w:val="2"/>
        <w:rPr>
          <w:rFonts w:hint="eastAsia"/>
        </w:rPr>
      </w:pPr>
      <w:r>
        <w:rPr>
          <w:rFonts w:hint="eastAsia"/>
        </w:rPr>
        <w:t>S(5), Narasimharao IVP(6).</w:t>
      </w:r>
    </w:p>
    <w:p w14:paraId="0331459D">
      <w:pPr>
        <w:pStyle w:val="2"/>
        <w:rPr>
          <w:rFonts w:hint="eastAsia"/>
        </w:rPr>
      </w:pPr>
    </w:p>
    <w:p w14:paraId="6A8783E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176AB8A">
      <w:pPr>
        <w:pStyle w:val="2"/>
        <w:rPr>
          <w:rFonts w:hint="eastAsia"/>
        </w:rPr>
      </w:pPr>
      <w:r>
        <w:rPr>
          <w:rFonts w:hint="eastAsia"/>
        </w:rPr>
        <w:t xml:space="preserve">(1)Department of Respiratory Medicine, National Institute of Tuberculosis and </w:t>
      </w:r>
    </w:p>
    <w:p w14:paraId="29C67BC3">
      <w:pPr>
        <w:pStyle w:val="2"/>
        <w:rPr>
          <w:rFonts w:hint="eastAsia"/>
        </w:rPr>
      </w:pPr>
      <w:r>
        <w:rPr>
          <w:rFonts w:hint="eastAsia"/>
        </w:rPr>
        <w:t>Respiratory Diseases, New Delhi, India.</w:t>
      </w:r>
    </w:p>
    <w:p w14:paraId="6E199011">
      <w:pPr>
        <w:pStyle w:val="2"/>
        <w:rPr>
          <w:rFonts w:hint="eastAsia"/>
        </w:rPr>
      </w:pPr>
      <w:r>
        <w:rPr>
          <w:rFonts w:hint="eastAsia"/>
        </w:rPr>
        <w:t xml:space="preserve">(2)Department of Respiratory Medicine, PD Hinduja Hospital, Mumbai, Maharashtra, </w:t>
      </w:r>
    </w:p>
    <w:p w14:paraId="3492222A">
      <w:pPr>
        <w:pStyle w:val="2"/>
        <w:rPr>
          <w:rFonts w:hint="eastAsia"/>
        </w:rPr>
      </w:pPr>
      <w:r>
        <w:rPr>
          <w:rFonts w:hint="eastAsia"/>
        </w:rPr>
        <w:t>India.</w:t>
      </w:r>
    </w:p>
    <w:p w14:paraId="104964F1">
      <w:pPr>
        <w:pStyle w:val="2"/>
        <w:rPr>
          <w:rFonts w:hint="eastAsia"/>
        </w:rPr>
      </w:pPr>
      <w:r>
        <w:rPr>
          <w:rFonts w:hint="eastAsia"/>
        </w:rPr>
        <w:t xml:space="preserve">(3)Department of Epidemiology and Public Health, National Institute of </w:t>
      </w:r>
    </w:p>
    <w:p w14:paraId="19544FEA">
      <w:pPr>
        <w:pStyle w:val="2"/>
        <w:rPr>
          <w:rFonts w:hint="eastAsia"/>
        </w:rPr>
      </w:pPr>
      <w:r>
        <w:rPr>
          <w:rFonts w:hint="eastAsia"/>
        </w:rPr>
        <w:t>Tuberculosis and Respiratory Diseases, New Delhi, India.</w:t>
      </w:r>
    </w:p>
    <w:p w14:paraId="76527313">
      <w:pPr>
        <w:pStyle w:val="2"/>
        <w:rPr>
          <w:rFonts w:hint="eastAsia"/>
        </w:rPr>
      </w:pPr>
      <w:r>
        <w:rPr>
          <w:rFonts w:hint="eastAsia"/>
        </w:rPr>
        <w:t xml:space="preserve">(4)Department of Pediatrics, National Institute of Tuberculosis and Respiratory </w:t>
      </w:r>
    </w:p>
    <w:p w14:paraId="257A58F7">
      <w:pPr>
        <w:pStyle w:val="2"/>
        <w:rPr>
          <w:rFonts w:hint="eastAsia"/>
        </w:rPr>
      </w:pPr>
      <w:r>
        <w:rPr>
          <w:rFonts w:hint="eastAsia"/>
        </w:rPr>
        <w:t>Diseases, New Delhi, India.</w:t>
      </w:r>
    </w:p>
    <w:p w14:paraId="38B0F6DA">
      <w:pPr>
        <w:pStyle w:val="2"/>
        <w:rPr>
          <w:rFonts w:hint="eastAsia"/>
        </w:rPr>
      </w:pPr>
      <w:r>
        <w:rPr>
          <w:rFonts w:hint="eastAsia"/>
        </w:rPr>
        <w:t>(5)Department of Pulmonary Medicine, SCBMCH, Cuttack, Odisha, India.</w:t>
      </w:r>
    </w:p>
    <w:p w14:paraId="5A81BD3B">
      <w:pPr>
        <w:pStyle w:val="2"/>
        <w:rPr>
          <w:rFonts w:hint="eastAsia"/>
        </w:rPr>
      </w:pPr>
      <w:r>
        <w:rPr>
          <w:rFonts w:hint="eastAsia"/>
        </w:rPr>
        <w:t>(6)Department of Pulmonary Medicine, GMC, Chandigarh, India.</w:t>
      </w:r>
    </w:p>
    <w:p w14:paraId="17B78259">
      <w:pPr>
        <w:pStyle w:val="2"/>
        <w:rPr>
          <w:rFonts w:hint="eastAsia"/>
        </w:rPr>
      </w:pPr>
    </w:p>
    <w:p w14:paraId="271E3B87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Drug-resistant tuberculosis (DR-TB) remains a major public health </w:t>
      </w:r>
    </w:p>
    <w:p w14:paraId="5A8A9F2F">
      <w:pPr>
        <w:pStyle w:val="2"/>
        <w:rPr>
          <w:rFonts w:hint="eastAsia"/>
        </w:rPr>
      </w:pPr>
      <w:r>
        <w:rPr>
          <w:rFonts w:hint="eastAsia"/>
        </w:rPr>
        <w:t xml:space="preserve">challenge in high-burden countries. While microbiological diagnosis is central </w:t>
      </w:r>
    </w:p>
    <w:p w14:paraId="7D97C246">
      <w:pPr>
        <w:pStyle w:val="2"/>
        <w:rPr>
          <w:rFonts w:hint="eastAsia"/>
        </w:rPr>
      </w:pPr>
      <w:r>
        <w:rPr>
          <w:rFonts w:hint="eastAsia"/>
        </w:rPr>
        <w:t xml:space="preserve">to management, factors determining disease severity and hospitalization at </w:t>
      </w:r>
    </w:p>
    <w:p w14:paraId="5B2594C2">
      <w:pPr>
        <w:pStyle w:val="2"/>
        <w:rPr>
          <w:rFonts w:hint="eastAsia"/>
        </w:rPr>
      </w:pPr>
      <w:r>
        <w:rPr>
          <w:rFonts w:hint="eastAsia"/>
        </w:rPr>
        <w:t xml:space="preserve">presentation are less well characterized, particularly simple clinical and </w:t>
      </w:r>
    </w:p>
    <w:p w14:paraId="39DF57E4">
      <w:pPr>
        <w:pStyle w:val="2"/>
        <w:rPr>
          <w:rFonts w:hint="eastAsia"/>
        </w:rPr>
      </w:pPr>
      <w:r>
        <w:rPr>
          <w:rFonts w:hint="eastAsia"/>
        </w:rPr>
        <w:t>biochemical markers that may aid early risk stratification.</w:t>
      </w:r>
    </w:p>
    <w:p w14:paraId="2E47E324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OBJECTIVES: </w:t>
      </w:r>
      <w:r>
        <w:rPr>
          <w:rFonts w:hint="eastAsia"/>
        </w:rPr>
        <w:t xml:space="preserve">To evaluate the clinical, nutritional, radiological, and biochemical </w:t>
      </w:r>
    </w:p>
    <w:p w14:paraId="3B5F363A">
      <w:pPr>
        <w:pStyle w:val="2"/>
        <w:rPr>
          <w:rFonts w:hint="eastAsia"/>
        </w:rPr>
      </w:pPr>
      <w:r>
        <w:rPr>
          <w:rFonts w:hint="eastAsia"/>
        </w:rPr>
        <w:t xml:space="preserve">profile of adults with confirmed DR-TB and to identify factors associated with </w:t>
      </w:r>
    </w:p>
    <w:p w14:paraId="7A846686">
      <w:pPr>
        <w:pStyle w:val="2"/>
        <w:rPr>
          <w:rFonts w:hint="eastAsia"/>
        </w:rPr>
      </w:pPr>
      <w:r>
        <w:rPr>
          <w:rFonts w:hint="eastAsia"/>
        </w:rPr>
        <w:t>disease severity, bacillary burden, and hospitalization.</w:t>
      </w:r>
    </w:p>
    <w:p w14:paraId="6E92B867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This prospective observational study enrolled adults (&gt;14 years) with </w:t>
      </w:r>
    </w:p>
    <w:p w14:paraId="3E630FDC">
      <w:pPr>
        <w:pStyle w:val="2"/>
        <w:rPr>
          <w:rFonts w:hint="eastAsia"/>
        </w:rPr>
      </w:pPr>
      <w:r>
        <w:rPr>
          <w:rFonts w:hint="eastAsia"/>
        </w:rPr>
        <w:t xml:space="preserve">confirmed DR-TB treated at a tertiary care DR-TB center in New Delhi between </w:t>
      </w:r>
    </w:p>
    <w:p w14:paraId="63891840">
      <w:pPr>
        <w:pStyle w:val="2"/>
        <w:rPr>
          <w:rFonts w:hint="eastAsia"/>
        </w:rPr>
      </w:pPr>
      <w:r>
        <w:rPr>
          <w:rFonts w:hint="eastAsia"/>
        </w:rPr>
        <w:t xml:space="preserve">April and December 2022. Demographic, clinical, nutritional, biochemical, </w:t>
      </w:r>
    </w:p>
    <w:p w14:paraId="7011D1FF">
      <w:pPr>
        <w:pStyle w:val="2"/>
        <w:rPr>
          <w:rFonts w:hint="eastAsia"/>
        </w:rPr>
      </w:pPr>
      <w:r>
        <w:rPr>
          <w:rFonts w:hint="eastAsia"/>
        </w:rPr>
        <w:t xml:space="preserve">radiological, and microbiological data were collected at baseline. Disease </w:t>
      </w:r>
    </w:p>
    <w:p w14:paraId="10D83639">
      <w:pPr>
        <w:pStyle w:val="2"/>
        <w:rPr>
          <w:rFonts w:hint="eastAsia"/>
        </w:rPr>
      </w:pPr>
      <w:r>
        <w:rPr>
          <w:rFonts w:hint="eastAsia"/>
        </w:rPr>
        <w:t xml:space="preserve">severity was assessed using chest radiograph extent and sputum smear grading. </w:t>
      </w:r>
    </w:p>
    <w:p w14:paraId="33715E4F">
      <w:pPr>
        <w:pStyle w:val="2"/>
        <w:rPr>
          <w:rFonts w:hint="eastAsia"/>
        </w:rPr>
      </w:pPr>
      <w:r>
        <w:rPr>
          <w:rFonts w:hint="eastAsia"/>
        </w:rPr>
        <w:t xml:space="preserve">Associations were analyzed using correlation and comparative statistical </w:t>
      </w:r>
    </w:p>
    <w:p w14:paraId="01FCCADB">
      <w:pPr>
        <w:pStyle w:val="2"/>
        <w:rPr>
          <w:rFonts w:hint="eastAsia"/>
        </w:rPr>
      </w:pPr>
      <w:r>
        <w:rPr>
          <w:rFonts w:hint="eastAsia"/>
        </w:rPr>
        <w:t>methods.</w:t>
      </w:r>
    </w:p>
    <w:p w14:paraId="4D54991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A total of 55 patients were included (mean age: 26.6 ± 13.3 years), </w:t>
      </w:r>
    </w:p>
    <w:p w14:paraId="7B1366B9">
      <w:pPr>
        <w:pStyle w:val="2"/>
        <w:rPr>
          <w:rFonts w:hint="eastAsia"/>
        </w:rPr>
      </w:pPr>
      <w:r>
        <w:rPr>
          <w:rFonts w:hint="eastAsia"/>
        </w:rPr>
        <w:t xml:space="preserve">with a female predominance (52.7%). Undernutrition was common, with a mean body </w:t>
      </w:r>
    </w:p>
    <w:p w14:paraId="627F3147">
      <w:pPr>
        <w:pStyle w:val="2"/>
        <w:rPr>
          <w:rFonts w:hint="eastAsia"/>
        </w:rPr>
      </w:pPr>
      <w:r>
        <w:rPr>
          <w:rFonts w:hint="eastAsia"/>
        </w:rPr>
        <w:t xml:space="preserve">mass index of 17.3 ± 2.7 kg/m2 and 63.6% of patients underweight. Greater </w:t>
      </w:r>
    </w:p>
    <w:p w14:paraId="44615FD7">
      <w:pPr>
        <w:pStyle w:val="2"/>
        <w:rPr>
          <w:rFonts w:hint="eastAsia"/>
        </w:rPr>
      </w:pPr>
      <w:r>
        <w:rPr>
          <w:rFonts w:hint="eastAsia"/>
        </w:rPr>
        <w:t xml:space="preserve">radiographic severity correlated with lower body mass index (BMI), higher </w:t>
      </w:r>
    </w:p>
    <w:p w14:paraId="6FA6A779">
      <w:pPr>
        <w:pStyle w:val="2"/>
        <w:rPr>
          <w:rFonts w:hint="eastAsia"/>
        </w:rPr>
      </w:pPr>
      <w:r>
        <w:rPr>
          <w:rFonts w:hint="eastAsia"/>
        </w:rPr>
        <w:t xml:space="preserve">symptom burden, and higher sputum smear grades (P &lt; 0.01). Elevated alkaline </w:t>
      </w:r>
    </w:p>
    <w:p w14:paraId="48D932BF">
      <w:pPr>
        <w:pStyle w:val="2"/>
        <w:rPr>
          <w:rFonts w:hint="eastAsia"/>
        </w:rPr>
      </w:pPr>
      <w:r>
        <w:rPr>
          <w:rFonts w:hint="eastAsia"/>
        </w:rPr>
        <w:t xml:space="preserve">phosphatase (ALP) levels were consistently associated with cough severity, </w:t>
      </w:r>
    </w:p>
    <w:p w14:paraId="5C9C4857">
      <w:pPr>
        <w:pStyle w:val="2"/>
        <w:rPr>
          <w:rFonts w:hint="eastAsia"/>
        </w:rPr>
      </w:pPr>
      <w:r>
        <w:rPr>
          <w:rFonts w:hint="eastAsia"/>
        </w:rPr>
        <w:t xml:space="preserve">dyspnea, radiographic extent, higher smear grades, and need for hospitalization. </w:t>
      </w:r>
    </w:p>
    <w:p w14:paraId="0151CAC0">
      <w:pPr>
        <w:pStyle w:val="2"/>
        <w:rPr>
          <w:rFonts w:hint="eastAsia"/>
        </w:rPr>
      </w:pPr>
      <w:r>
        <w:rPr>
          <w:rFonts w:hint="eastAsia"/>
        </w:rPr>
        <w:t xml:space="preserve">Lower serum protein and magnesium levels were associated with higher bacillary </w:t>
      </w:r>
    </w:p>
    <w:p w14:paraId="53898BA0">
      <w:pPr>
        <w:pStyle w:val="2"/>
        <w:rPr>
          <w:rFonts w:hint="eastAsia"/>
        </w:rPr>
      </w:pPr>
      <w:r>
        <w:rPr>
          <w:rFonts w:hint="eastAsia"/>
        </w:rPr>
        <w:t xml:space="preserve">burden. Nearly half of the patients (47.3%) required hospitalization at </w:t>
      </w:r>
    </w:p>
    <w:p w14:paraId="1B2674D4">
      <w:pPr>
        <w:pStyle w:val="2"/>
        <w:rPr>
          <w:rFonts w:hint="eastAsia"/>
        </w:rPr>
      </w:pPr>
      <w:r>
        <w:rPr>
          <w:rFonts w:hint="eastAsia"/>
        </w:rPr>
        <w:t xml:space="preserve">diagnosis, which was significantly associated with lower BMI, hypoproteinemia, </w:t>
      </w:r>
    </w:p>
    <w:p w14:paraId="07733A78">
      <w:pPr>
        <w:pStyle w:val="2"/>
        <w:rPr>
          <w:rFonts w:hint="eastAsia"/>
        </w:rPr>
      </w:pPr>
      <w:r>
        <w:rPr>
          <w:rFonts w:hint="eastAsia"/>
        </w:rPr>
        <w:t>and elevated ALP levels.</w:t>
      </w:r>
    </w:p>
    <w:p w14:paraId="73D0503B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In adults with DR-TB, disease severity and hospitalization at </w:t>
      </w:r>
    </w:p>
    <w:p w14:paraId="3F8C22D6">
      <w:pPr>
        <w:pStyle w:val="2"/>
        <w:rPr>
          <w:rFonts w:hint="eastAsia"/>
        </w:rPr>
      </w:pPr>
      <w:r>
        <w:rPr>
          <w:rFonts w:hint="eastAsia"/>
        </w:rPr>
        <w:t xml:space="preserve">presentation are closely associated with nutritional depletion and biochemical </w:t>
      </w:r>
    </w:p>
    <w:p w14:paraId="5BD3FF68">
      <w:pPr>
        <w:pStyle w:val="2"/>
        <w:rPr>
          <w:rFonts w:hint="eastAsia"/>
        </w:rPr>
      </w:pPr>
      <w:r>
        <w:rPr>
          <w:rFonts w:hint="eastAsia"/>
        </w:rPr>
        <w:t xml:space="preserve">derangements in addition to microbiological burden. Simple, routinely available </w:t>
      </w:r>
    </w:p>
    <w:p w14:paraId="6921972E">
      <w:pPr>
        <w:pStyle w:val="2"/>
        <w:rPr>
          <w:rFonts w:hint="eastAsia"/>
        </w:rPr>
      </w:pPr>
      <w:r>
        <w:rPr>
          <w:rFonts w:hint="eastAsia"/>
        </w:rPr>
        <w:t xml:space="preserve">parameters such as BMI, serum protein, ALP, and magnesium may help identify </w:t>
      </w:r>
    </w:p>
    <w:p w14:paraId="002373F8">
      <w:pPr>
        <w:pStyle w:val="2"/>
        <w:rPr>
          <w:rFonts w:hint="eastAsia"/>
        </w:rPr>
      </w:pPr>
      <w:r>
        <w:rPr>
          <w:rFonts w:hint="eastAsia"/>
        </w:rPr>
        <w:t xml:space="preserve">high-risk patients early and support triage and management decisions in </w:t>
      </w:r>
    </w:p>
    <w:p w14:paraId="7CA8ACB1">
      <w:pPr>
        <w:pStyle w:val="2"/>
        <w:rPr>
          <w:rFonts w:hint="eastAsia"/>
        </w:rPr>
      </w:pPr>
      <w:r>
        <w:rPr>
          <w:rFonts w:hint="eastAsia"/>
        </w:rPr>
        <w:t>resource-limited settings.</w:t>
      </w:r>
    </w:p>
    <w:p w14:paraId="69158C87">
      <w:pPr>
        <w:pStyle w:val="2"/>
        <w:rPr>
          <w:rFonts w:hint="eastAsia"/>
        </w:rPr>
      </w:pPr>
    </w:p>
    <w:p w14:paraId="27CE47CE">
      <w:pPr>
        <w:pStyle w:val="2"/>
        <w:rPr>
          <w:rFonts w:hint="eastAsia"/>
        </w:rPr>
      </w:pPr>
      <w:r>
        <w:rPr>
          <w:rFonts w:hint="eastAsia"/>
        </w:rPr>
        <w:t>Copyright © 2026 Annals of African Medicine.</w:t>
      </w:r>
    </w:p>
    <w:p w14:paraId="66DE8F21">
      <w:pPr>
        <w:pStyle w:val="2"/>
        <w:rPr>
          <w:rFonts w:hint="eastAsia"/>
        </w:rPr>
      </w:pPr>
    </w:p>
    <w:p w14:paraId="1B8EB0F5">
      <w:pPr>
        <w:pStyle w:val="2"/>
        <w:rPr>
          <w:rFonts w:hint="eastAsia"/>
        </w:rPr>
      </w:pPr>
      <w:r>
        <w:rPr>
          <w:rFonts w:hint="eastAsia"/>
        </w:rPr>
        <w:t>DOI: 10.4103/aam.aam_672_26</w:t>
      </w:r>
    </w:p>
    <w:p w14:paraId="1EBD5BFA">
      <w:pPr>
        <w:pStyle w:val="2"/>
        <w:rPr>
          <w:rFonts w:hint="eastAsia"/>
        </w:rPr>
      </w:pPr>
      <w:r>
        <w:rPr>
          <w:rFonts w:hint="eastAsia"/>
        </w:rPr>
        <w:t>PMID: 42861420</w:t>
      </w:r>
    </w:p>
    <w:p w14:paraId="6A50FEA1">
      <w:pPr>
        <w:rPr>
          <w:rFonts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A6F777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5</w:t>
      </w:r>
      <w:r>
        <w:rPr>
          <w:rFonts w:hint="eastAsia"/>
          <w:b/>
          <w:bCs/>
          <w:color w:val="FF0000"/>
          <w:lang w:val="en-US" w:eastAsia="zh-CN"/>
        </w:rPr>
        <w:t>8</w:t>
      </w:r>
      <w:r>
        <w:rPr>
          <w:rFonts w:hint="eastAsia"/>
          <w:b/>
          <w:bCs/>
          <w:color w:val="FF0000"/>
        </w:rPr>
        <w:t>. Transbound Emerg Dis. 2026;2026(1):e9279622. doi: 10.1155/tbed/9279622.</w:t>
      </w:r>
    </w:p>
    <w:p w14:paraId="0B1DF52A">
      <w:pPr>
        <w:pStyle w:val="2"/>
        <w:rPr>
          <w:rFonts w:hint="eastAsia"/>
        </w:rPr>
      </w:pPr>
    </w:p>
    <w:p w14:paraId="52C9B4C2">
      <w:pPr>
        <w:pStyle w:val="2"/>
        <w:rPr>
          <w:rFonts w:hint="eastAsia"/>
        </w:rPr>
      </w:pPr>
      <w:r>
        <w:rPr>
          <w:rFonts w:hint="eastAsia"/>
        </w:rPr>
        <w:t xml:space="preserve">Immune Responsiveness Induced by Administration of Heat-Inactivated M. bovis and </w:t>
      </w:r>
    </w:p>
    <w:p w14:paraId="04093F59">
      <w:pPr>
        <w:pStyle w:val="2"/>
        <w:rPr>
          <w:rFonts w:hint="eastAsia"/>
        </w:rPr>
      </w:pPr>
      <w:r>
        <w:rPr>
          <w:rFonts w:hint="eastAsia"/>
        </w:rPr>
        <w:t>BCG Prior to Experimental Infection in African Buffalo.</w:t>
      </w:r>
    </w:p>
    <w:p w14:paraId="50B8AFBC">
      <w:pPr>
        <w:pStyle w:val="2"/>
        <w:rPr>
          <w:rFonts w:hint="eastAsia"/>
        </w:rPr>
      </w:pPr>
    </w:p>
    <w:p w14:paraId="77B2051C">
      <w:pPr>
        <w:pStyle w:val="2"/>
        <w:rPr>
          <w:rFonts w:hint="eastAsia"/>
        </w:rPr>
      </w:pPr>
      <w:r>
        <w:rPr>
          <w:rFonts w:hint="eastAsia"/>
        </w:rPr>
        <w:t xml:space="preserve">Hewlett JM(1)(2), de Klerk Lorist LM(3), Mitchell EP(2)(4), Nupen LJ(5), Sevilla </w:t>
      </w:r>
    </w:p>
    <w:p w14:paraId="63991822">
      <w:pPr>
        <w:pStyle w:val="2"/>
        <w:rPr>
          <w:rFonts w:hint="eastAsia"/>
        </w:rPr>
      </w:pPr>
      <w:r>
        <w:rPr>
          <w:rFonts w:hint="eastAsia"/>
        </w:rPr>
        <w:t>IA(6), Gortazar C(7), Rutten VPMG(1)(8), Juste R(6), Michel AL(1)(2).</w:t>
      </w:r>
    </w:p>
    <w:p w14:paraId="5A60E108">
      <w:pPr>
        <w:pStyle w:val="2"/>
        <w:rPr>
          <w:rFonts w:hint="eastAsia"/>
        </w:rPr>
      </w:pPr>
    </w:p>
    <w:p w14:paraId="430C954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71BA94A">
      <w:pPr>
        <w:pStyle w:val="2"/>
        <w:rPr>
          <w:rFonts w:hint="eastAsia"/>
        </w:rPr>
      </w:pPr>
      <w:r>
        <w:rPr>
          <w:rFonts w:hint="eastAsia"/>
        </w:rPr>
        <w:t xml:space="preserve">(1)Department of Veterinary Tropical Diseases, Faculty of Veterinary Science, </w:t>
      </w:r>
    </w:p>
    <w:p w14:paraId="663E9F43">
      <w:pPr>
        <w:pStyle w:val="2"/>
        <w:rPr>
          <w:rFonts w:hint="eastAsia"/>
        </w:rPr>
      </w:pPr>
      <w:r>
        <w:rPr>
          <w:rFonts w:hint="eastAsia"/>
        </w:rPr>
        <w:t xml:space="preserve">University of Pretoria, Gauteng P/Bag X04, Pretoria, 0110, South Africa, </w:t>
      </w:r>
    </w:p>
    <w:p w14:paraId="609A27C6">
      <w:pPr>
        <w:pStyle w:val="2"/>
        <w:rPr>
          <w:rFonts w:hint="eastAsia"/>
        </w:rPr>
      </w:pPr>
      <w:r>
        <w:rPr>
          <w:rFonts w:hint="eastAsia"/>
        </w:rPr>
        <w:t>up.ac.za.</w:t>
      </w:r>
    </w:p>
    <w:p w14:paraId="72E12318">
      <w:pPr>
        <w:pStyle w:val="2"/>
        <w:rPr>
          <w:rFonts w:hint="eastAsia"/>
        </w:rPr>
      </w:pPr>
      <w:r>
        <w:rPr>
          <w:rFonts w:hint="eastAsia"/>
        </w:rPr>
        <w:t xml:space="preserve">(2)Centre: Veterinary Wildlife Studies, Faculty of Veterinary Science, </w:t>
      </w:r>
    </w:p>
    <w:p w14:paraId="5D43DF61">
      <w:pPr>
        <w:pStyle w:val="2"/>
        <w:rPr>
          <w:rFonts w:hint="eastAsia"/>
        </w:rPr>
      </w:pPr>
      <w:r>
        <w:rPr>
          <w:rFonts w:hint="eastAsia"/>
        </w:rPr>
        <w:t>University of Pretoria, Pretoria, South Africa, up.ac.za.</w:t>
      </w:r>
    </w:p>
    <w:p w14:paraId="4E94F611">
      <w:pPr>
        <w:pStyle w:val="2"/>
        <w:rPr>
          <w:rFonts w:hint="eastAsia"/>
        </w:rPr>
      </w:pPr>
      <w:r>
        <w:rPr>
          <w:rFonts w:hint="eastAsia"/>
        </w:rPr>
        <w:t xml:space="preserve">(3)Department of Agriculture, Land Reform and Rural Development, Skukuza, South </w:t>
      </w:r>
    </w:p>
    <w:p w14:paraId="24DC0BD1">
      <w:pPr>
        <w:pStyle w:val="2"/>
        <w:rPr>
          <w:rFonts w:hint="eastAsia"/>
        </w:rPr>
      </w:pPr>
      <w:r>
        <w:rPr>
          <w:rFonts w:hint="eastAsia"/>
        </w:rPr>
        <w:t>Africa.</w:t>
      </w:r>
    </w:p>
    <w:p w14:paraId="4D13CEF5">
      <w:pPr>
        <w:pStyle w:val="2"/>
        <w:rPr>
          <w:rFonts w:hint="eastAsia"/>
        </w:rPr>
      </w:pPr>
      <w:r>
        <w:rPr>
          <w:rFonts w:hint="eastAsia"/>
        </w:rPr>
        <w:t xml:space="preserve">(4)Department of Paraclinical Sciences, Faculty of Veterinary Science, </w:t>
      </w:r>
    </w:p>
    <w:p w14:paraId="3CAB5954">
      <w:pPr>
        <w:pStyle w:val="2"/>
        <w:rPr>
          <w:rFonts w:hint="eastAsia"/>
        </w:rPr>
      </w:pPr>
      <w:r>
        <w:rPr>
          <w:rFonts w:hint="eastAsia"/>
        </w:rPr>
        <w:t>University of Pretoria, Pretoria, South Africa, up.ac.za.</w:t>
      </w:r>
    </w:p>
    <w:p w14:paraId="40E24AE3">
      <w:pPr>
        <w:pStyle w:val="2"/>
        <w:rPr>
          <w:rFonts w:hint="eastAsia"/>
        </w:rPr>
      </w:pPr>
      <w:r>
        <w:rPr>
          <w:rFonts w:hint="eastAsia"/>
        </w:rPr>
        <w:t xml:space="preserve">(5)Department of Zoology and Entomology, University of Pretoria, Pretoria, South </w:t>
      </w:r>
    </w:p>
    <w:p w14:paraId="1ED02786">
      <w:pPr>
        <w:pStyle w:val="2"/>
        <w:rPr>
          <w:rFonts w:hint="eastAsia"/>
        </w:rPr>
      </w:pPr>
      <w:r>
        <w:rPr>
          <w:rFonts w:hint="eastAsia"/>
        </w:rPr>
        <w:t>Africa, up.ac.za.</w:t>
      </w:r>
    </w:p>
    <w:p w14:paraId="0939D62F">
      <w:pPr>
        <w:pStyle w:val="2"/>
        <w:rPr>
          <w:rFonts w:hint="eastAsia"/>
        </w:rPr>
      </w:pPr>
      <w:r>
        <w:rPr>
          <w:rFonts w:hint="eastAsia"/>
        </w:rPr>
        <w:t>(6)Department of Animal Health, Neiker, Derio, Bizkaia, Spain.</w:t>
      </w:r>
    </w:p>
    <w:p w14:paraId="2E3D8BCB">
      <w:pPr>
        <w:pStyle w:val="2"/>
        <w:rPr>
          <w:rFonts w:hint="eastAsia"/>
        </w:rPr>
      </w:pPr>
      <w:r>
        <w:rPr>
          <w:rFonts w:hint="eastAsia"/>
        </w:rPr>
        <w:t xml:space="preserve">(7)SaBio Instituto de Investigación en Recursos Cinegéticos (IREC), CSIC, JCCM, </w:t>
      </w:r>
    </w:p>
    <w:p w14:paraId="17FBF98D">
      <w:pPr>
        <w:pStyle w:val="2"/>
        <w:rPr>
          <w:rFonts w:hint="eastAsia"/>
        </w:rPr>
      </w:pPr>
      <w:r>
        <w:rPr>
          <w:rFonts w:hint="eastAsia"/>
        </w:rPr>
        <w:t>Universidad de Castilla La Mancha, Ciudad Real, Spain, uclm.es.</w:t>
      </w:r>
    </w:p>
    <w:p w14:paraId="0EE09DE1">
      <w:pPr>
        <w:pStyle w:val="2"/>
        <w:rPr>
          <w:rFonts w:hint="eastAsia"/>
        </w:rPr>
      </w:pPr>
      <w:r>
        <w:rPr>
          <w:rFonts w:hint="eastAsia"/>
        </w:rPr>
        <w:t xml:space="preserve">(8)Department Biomolecular Health Sciences, Division Infectious Diseases and </w:t>
      </w:r>
    </w:p>
    <w:p w14:paraId="022C3260">
      <w:pPr>
        <w:pStyle w:val="2"/>
        <w:rPr>
          <w:rFonts w:hint="eastAsia"/>
        </w:rPr>
      </w:pPr>
      <w:r>
        <w:rPr>
          <w:rFonts w:hint="eastAsia"/>
        </w:rPr>
        <w:t xml:space="preserve">Immunology, Section Immunology, Faculty of Veterinary Medicine, Utrecht </w:t>
      </w:r>
    </w:p>
    <w:p w14:paraId="5E300C55">
      <w:pPr>
        <w:pStyle w:val="2"/>
        <w:rPr>
          <w:rFonts w:hint="eastAsia"/>
        </w:rPr>
      </w:pPr>
      <w:r>
        <w:rPr>
          <w:rFonts w:hint="eastAsia"/>
        </w:rPr>
        <w:t>University, Utrecht, Netherlands, uu.nl.</w:t>
      </w:r>
    </w:p>
    <w:p w14:paraId="675490AF">
      <w:pPr>
        <w:pStyle w:val="2"/>
        <w:rPr>
          <w:rFonts w:hint="eastAsia"/>
        </w:rPr>
      </w:pPr>
    </w:p>
    <w:p w14:paraId="6AE2F1FF">
      <w:pPr>
        <w:pStyle w:val="2"/>
        <w:rPr>
          <w:rFonts w:hint="eastAsia"/>
        </w:rPr>
      </w:pPr>
      <w:r>
        <w:rPr>
          <w:rFonts w:hint="eastAsia"/>
        </w:rPr>
        <w:t xml:space="preserve">African buffalo (Syncerus caffer) are the primary wildlife reservoir for bovine </w:t>
      </w:r>
    </w:p>
    <w:p w14:paraId="595ADD2B">
      <w:pPr>
        <w:pStyle w:val="2"/>
        <w:rPr>
          <w:rFonts w:hint="eastAsia"/>
        </w:rPr>
      </w:pPr>
      <w:r>
        <w:rPr>
          <w:rFonts w:hint="eastAsia"/>
        </w:rPr>
        <w:t xml:space="preserve">tuberculosis (BTB) in Africa. Infected buffalo populations spread BTB to </w:t>
      </w:r>
    </w:p>
    <w:p w14:paraId="4353ECD6">
      <w:pPr>
        <w:pStyle w:val="2"/>
        <w:rPr>
          <w:rFonts w:hint="eastAsia"/>
        </w:rPr>
      </w:pPr>
      <w:r>
        <w:rPr>
          <w:rFonts w:hint="eastAsia"/>
        </w:rPr>
        <w:t xml:space="preserve">numerous species in conservation areas as well as to cattle at park boundaries. </w:t>
      </w:r>
    </w:p>
    <w:p w14:paraId="25819F09">
      <w:pPr>
        <w:pStyle w:val="2"/>
        <w:rPr>
          <w:rFonts w:hint="eastAsia"/>
        </w:rPr>
      </w:pPr>
      <w:r>
        <w:rPr>
          <w:rFonts w:hint="eastAsia"/>
        </w:rPr>
        <w:t xml:space="preserve">Quarantine requirements for BTB complicate wild animal metapopulation </w:t>
      </w:r>
    </w:p>
    <w:p w14:paraId="590969EF">
      <w:pPr>
        <w:pStyle w:val="2"/>
        <w:rPr>
          <w:rFonts w:hint="eastAsia"/>
        </w:rPr>
      </w:pPr>
      <w:r>
        <w:rPr>
          <w:rFonts w:hint="eastAsia"/>
        </w:rPr>
        <w:t xml:space="preserve">management. Considerable interest has arisen in the vaccination of cattle and </w:t>
      </w:r>
    </w:p>
    <w:p w14:paraId="7BF31A67">
      <w:pPr>
        <w:pStyle w:val="2"/>
        <w:rPr>
          <w:rFonts w:hint="eastAsia"/>
        </w:rPr>
      </w:pPr>
      <w:r>
        <w:rPr>
          <w:rFonts w:hint="eastAsia"/>
        </w:rPr>
        <w:t xml:space="preserve">indigenous wildlife species against BTB as an additional control strategy. This </w:t>
      </w:r>
    </w:p>
    <w:p w14:paraId="3AE7B666">
      <w:pPr>
        <w:pStyle w:val="2"/>
        <w:rPr>
          <w:rFonts w:hint="eastAsia"/>
        </w:rPr>
      </w:pPr>
      <w:r>
        <w:rPr>
          <w:rFonts w:hint="eastAsia"/>
        </w:rPr>
        <w:t xml:space="preserve">pilot trial aimed to evaluate cell-mediated and humoral immune responses in </w:t>
      </w:r>
    </w:p>
    <w:p w14:paraId="411F93B0">
      <w:pPr>
        <w:pStyle w:val="2"/>
        <w:rPr>
          <w:rFonts w:hint="eastAsia"/>
        </w:rPr>
      </w:pPr>
      <w:r>
        <w:rPr>
          <w:rFonts w:hint="eastAsia"/>
        </w:rPr>
        <w:t xml:space="preserve">African buffalo immunised against BTB. Twenty-one sub-adult African buffalo were </w:t>
      </w:r>
    </w:p>
    <w:p w14:paraId="39D4F8BA">
      <w:pPr>
        <w:pStyle w:val="2"/>
        <w:rPr>
          <w:rFonts w:hint="eastAsia"/>
        </w:rPr>
      </w:pPr>
      <w:r>
        <w:rPr>
          <w:rFonts w:hint="eastAsia"/>
        </w:rPr>
        <w:t xml:space="preserve">divided into four treatment groups, and received either Bacillus Calmette-Guérin </w:t>
      </w:r>
    </w:p>
    <w:p w14:paraId="3E809468">
      <w:pPr>
        <w:pStyle w:val="2"/>
        <w:rPr>
          <w:rFonts w:hint="eastAsia"/>
        </w:rPr>
      </w:pPr>
      <w:r>
        <w:rPr>
          <w:rFonts w:hint="eastAsia"/>
        </w:rPr>
        <w:t xml:space="preserve">(BCG; 106 CFU) intra-muscularly, a heat-inactivated Mycobacterium bovis vaccine </w:t>
      </w:r>
    </w:p>
    <w:p w14:paraId="1FD7B3FD">
      <w:pPr>
        <w:pStyle w:val="2"/>
        <w:rPr>
          <w:rFonts w:hint="eastAsia"/>
        </w:rPr>
      </w:pPr>
      <w:r>
        <w:rPr>
          <w:rFonts w:hint="eastAsia"/>
        </w:rPr>
        <w:t xml:space="preserve">intra-muscularly (HIMB-IM; 107 CFUs; followed by a boost after 4 months) or </w:t>
      </w:r>
    </w:p>
    <w:p w14:paraId="34A70921">
      <w:pPr>
        <w:pStyle w:val="2"/>
        <w:rPr>
          <w:rFonts w:hint="eastAsia"/>
        </w:rPr>
      </w:pPr>
      <w:r>
        <w:rPr>
          <w:rFonts w:hint="eastAsia"/>
        </w:rPr>
        <w:t xml:space="preserve">orally (HIMB-O; 107-108 CFU), or 1 mL phosphate-buffered saline (PBS) </w:t>
      </w:r>
    </w:p>
    <w:p w14:paraId="524A160A">
      <w:pPr>
        <w:pStyle w:val="2"/>
        <w:rPr>
          <w:rFonts w:hint="eastAsia"/>
        </w:rPr>
      </w:pPr>
      <w:r>
        <w:rPr>
          <w:rFonts w:hint="eastAsia"/>
        </w:rPr>
        <w:t xml:space="preserve">intra-muscularly (control group). 7 months after immunisation, all animals were </w:t>
      </w:r>
    </w:p>
    <w:p w14:paraId="6264A409">
      <w:pPr>
        <w:pStyle w:val="2"/>
        <w:rPr>
          <w:rFonts w:hint="eastAsia"/>
        </w:rPr>
      </w:pPr>
      <w:r>
        <w:rPr>
          <w:rFonts w:hint="eastAsia"/>
        </w:rPr>
        <w:t xml:space="preserve">intratracheally challenged with M. bovis (2 × 105 CFU). Monthly Bovigam </w:t>
      </w:r>
    </w:p>
    <w:p w14:paraId="7294352F">
      <w:pPr>
        <w:pStyle w:val="2"/>
        <w:rPr>
          <w:rFonts w:hint="eastAsia"/>
        </w:rPr>
      </w:pPr>
      <w:r>
        <w:rPr>
          <w:rFonts w:hint="eastAsia"/>
        </w:rPr>
        <w:t xml:space="preserve">interferon-gamma (IFNγ) assays and M. bovis-specific ELISAs were conducted and </w:t>
      </w:r>
    </w:p>
    <w:p w14:paraId="1418AC1A">
      <w:pPr>
        <w:pStyle w:val="2"/>
        <w:rPr>
          <w:rFonts w:hint="eastAsia"/>
        </w:rPr>
      </w:pPr>
      <w:r>
        <w:rPr>
          <w:rFonts w:hint="eastAsia"/>
        </w:rPr>
        <w:t xml:space="preserve">in addition, comparative intra-dermal tuberculin testings (CITTs) were performed </w:t>
      </w:r>
    </w:p>
    <w:p w14:paraId="4B73E41C">
      <w:pPr>
        <w:pStyle w:val="2"/>
        <w:rPr>
          <w:rFonts w:hint="eastAsia"/>
        </w:rPr>
      </w:pPr>
      <w:r>
        <w:rPr>
          <w:rFonts w:hint="eastAsia"/>
        </w:rPr>
        <w:t xml:space="preserve">at study start and termination 5 months after experimental infection. Over the </w:t>
      </w:r>
    </w:p>
    <w:p w14:paraId="5375BE11">
      <w:pPr>
        <w:pStyle w:val="2"/>
        <w:rPr>
          <w:rFonts w:hint="eastAsia"/>
        </w:rPr>
      </w:pPr>
      <w:r>
        <w:rPr>
          <w:rFonts w:hint="eastAsia"/>
        </w:rPr>
        <w:t xml:space="preserve">study period, each treatment group showed distinct cell-mediated responses which </w:t>
      </w:r>
    </w:p>
    <w:p w14:paraId="3D79B106">
      <w:pPr>
        <w:pStyle w:val="2"/>
        <w:rPr>
          <w:rFonts w:hint="eastAsia"/>
        </w:rPr>
      </w:pPr>
      <w:r>
        <w:rPr>
          <w:rFonts w:hint="eastAsia"/>
        </w:rPr>
        <w:t xml:space="preserve">differed in strength and temporal dynamics. In the post-immunisation stage, </w:t>
      </w:r>
    </w:p>
    <w:p w14:paraId="291D8832">
      <w:pPr>
        <w:pStyle w:val="2"/>
        <w:rPr>
          <w:rFonts w:hint="eastAsia"/>
        </w:rPr>
      </w:pPr>
      <w:r>
        <w:rPr>
          <w:rFonts w:hint="eastAsia"/>
        </w:rPr>
        <w:t xml:space="preserve">HIMB-IM animals produced a strong increase in bovine-avian purified protein </w:t>
      </w:r>
    </w:p>
    <w:p w14:paraId="08FE3D28">
      <w:pPr>
        <w:pStyle w:val="2"/>
        <w:rPr>
          <w:rFonts w:hint="eastAsia"/>
        </w:rPr>
      </w:pPr>
      <w:r>
        <w:rPr>
          <w:rFonts w:hint="eastAsia"/>
        </w:rPr>
        <w:t xml:space="preserve">derivative (PPD) IFNγ release after booster immunisation while HIMB-O and BCG </w:t>
      </w:r>
    </w:p>
    <w:p w14:paraId="7C2CD0D2">
      <w:pPr>
        <w:pStyle w:val="2"/>
        <w:rPr>
          <w:rFonts w:hint="eastAsia"/>
        </w:rPr>
      </w:pPr>
      <w:r>
        <w:rPr>
          <w:rFonts w:hint="eastAsia"/>
        </w:rPr>
        <w:t xml:space="preserve">groups showed relatively fewer numbers of positive responses. The experimental </w:t>
      </w:r>
    </w:p>
    <w:p w14:paraId="6D032205">
      <w:pPr>
        <w:pStyle w:val="2"/>
        <w:rPr>
          <w:rFonts w:hint="eastAsia"/>
        </w:rPr>
      </w:pPr>
      <w:r>
        <w:rPr>
          <w:rFonts w:hint="eastAsia"/>
        </w:rPr>
        <w:t xml:space="preserve">infection triggered significant elevations in bovine-avian PPD IFNγ release in </w:t>
      </w:r>
    </w:p>
    <w:p w14:paraId="50EF4063">
      <w:pPr>
        <w:pStyle w:val="2"/>
        <w:rPr>
          <w:rFonts w:hint="eastAsia"/>
        </w:rPr>
      </w:pPr>
      <w:r>
        <w:rPr>
          <w:rFonts w:hint="eastAsia"/>
        </w:rPr>
        <w:t xml:space="preserve">all treatment groups. All animals were converted to bovine reactors. Both HIMB </w:t>
      </w:r>
    </w:p>
    <w:p w14:paraId="778ACDCA">
      <w:pPr>
        <w:pStyle w:val="2"/>
        <w:rPr>
          <w:rFonts w:hint="eastAsia"/>
        </w:rPr>
      </w:pPr>
      <w:r>
        <w:rPr>
          <w:rFonts w:hint="eastAsia"/>
        </w:rPr>
        <w:t xml:space="preserve">groups showed stronger IFNγ responses compared to the BCG and control groups in </w:t>
      </w:r>
    </w:p>
    <w:p w14:paraId="1E969E53">
      <w:pPr>
        <w:pStyle w:val="2"/>
        <w:rPr>
          <w:rFonts w:hint="eastAsia"/>
        </w:rPr>
      </w:pPr>
      <w:r>
        <w:rPr>
          <w:rFonts w:hint="eastAsia"/>
        </w:rPr>
        <w:t xml:space="preserve">the early post-infection period, suggesting superior immune priming. Antibody </w:t>
      </w:r>
    </w:p>
    <w:p w14:paraId="2BC37DB2">
      <w:pPr>
        <w:pStyle w:val="2"/>
        <w:rPr>
          <w:rFonts w:hint="eastAsia"/>
        </w:rPr>
      </w:pPr>
      <w:r>
        <w:rPr>
          <w:rFonts w:hint="eastAsia"/>
        </w:rPr>
        <w:t xml:space="preserve">responses showed marked individual variation, episodic interference from </w:t>
      </w:r>
    </w:p>
    <w:p w14:paraId="41291E2C">
      <w:pPr>
        <w:pStyle w:val="2"/>
        <w:rPr>
          <w:rFonts w:hint="eastAsia"/>
        </w:rPr>
      </w:pPr>
      <w:r>
        <w:rPr>
          <w:rFonts w:hint="eastAsia"/>
        </w:rPr>
        <w:t xml:space="preserve">non-tuberculous mycobacterial (NTM) species and low test sensitivity and </w:t>
      </w:r>
    </w:p>
    <w:p w14:paraId="0F6BA03D">
      <w:pPr>
        <w:pStyle w:val="2"/>
        <w:rPr>
          <w:rFonts w:hint="eastAsia"/>
        </w:rPr>
      </w:pPr>
      <w:r>
        <w:rPr>
          <w:rFonts w:hint="eastAsia"/>
        </w:rPr>
        <w:t>specificity.</w:t>
      </w:r>
    </w:p>
    <w:p w14:paraId="00251901">
      <w:pPr>
        <w:pStyle w:val="2"/>
        <w:rPr>
          <w:rFonts w:hint="eastAsia"/>
        </w:rPr>
      </w:pPr>
    </w:p>
    <w:p w14:paraId="339ABD70">
      <w:pPr>
        <w:pStyle w:val="2"/>
        <w:rPr>
          <w:rFonts w:hint="eastAsia"/>
        </w:rPr>
      </w:pPr>
      <w:r>
        <w:rPr>
          <w:rFonts w:hint="eastAsia"/>
        </w:rPr>
        <w:t xml:space="preserve">Copyright © 2026 J. M. Hewlett et al. Transboundary and Emerging Diseases </w:t>
      </w:r>
    </w:p>
    <w:p w14:paraId="2D3F8D75">
      <w:pPr>
        <w:pStyle w:val="2"/>
        <w:rPr>
          <w:rFonts w:hint="eastAsia"/>
        </w:rPr>
      </w:pPr>
      <w:r>
        <w:rPr>
          <w:rFonts w:hint="eastAsia"/>
        </w:rPr>
        <w:t>published by John Wiley &amp; Sons Ltd.</w:t>
      </w:r>
    </w:p>
    <w:p w14:paraId="72A1CC52">
      <w:pPr>
        <w:pStyle w:val="2"/>
        <w:rPr>
          <w:rFonts w:hint="eastAsia"/>
        </w:rPr>
      </w:pPr>
    </w:p>
    <w:p w14:paraId="3D1612E8">
      <w:pPr>
        <w:pStyle w:val="2"/>
        <w:rPr>
          <w:rFonts w:hint="eastAsia"/>
        </w:rPr>
      </w:pPr>
      <w:r>
        <w:rPr>
          <w:rFonts w:hint="eastAsia"/>
        </w:rPr>
        <w:t>DOI: 10.1155/tbed/9279622</w:t>
      </w:r>
    </w:p>
    <w:p w14:paraId="7339B888">
      <w:pPr>
        <w:pStyle w:val="2"/>
        <w:rPr>
          <w:rFonts w:hint="eastAsia"/>
        </w:rPr>
      </w:pPr>
      <w:r>
        <w:rPr>
          <w:rFonts w:hint="eastAsia"/>
        </w:rPr>
        <w:t>PMID: 42891566 [Indexed for MEDLINE]</w:t>
      </w:r>
    </w:p>
    <w:p w14:paraId="0833DFAF">
      <w:pPr>
        <w:pStyle w:val="2"/>
        <w:rPr>
          <w:rFonts w:hint="eastAsia"/>
        </w:rPr>
      </w:pPr>
    </w:p>
    <w:p w14:paraId="158A15E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59</w:t>
      </w:r>
      <w:r>
        <w:rPr>
          <w:rFonts w:hint="eastAsia"/>
          <w:b/>
          <w:bCs/>
          <w:color w:val="FF0000"/>
        </w:rPr>
        <w:t xml:space="preserve">. J Med Ultrasound. 2026 Sep 28;34(3):293-298. doi: 10.4103/jmu.JMU-D-25-00194. </w:t>
      </w:r>
    </w:p>
    <w:p w14:paraId="7D35236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Jul-Sep.</w:t>
      </w:r>
    </w:p>
    <w:p w14:paraId="39DC95F5">
      <w:pPr>
        <w:pStyle w:val="2"/>
        <w:rPr>
          <w:rFonts w:hint="eastAsia"/>
        </w:rPr>
      </w:pPr>
    </w:p>
    <w:p w14:paraId="585ECF2C">
      <w:pPr>
        <w:pStyle w:val="2"/>
        <w:rPr>
          <w:rFonts w:hint="eastAsia"/>
        </w:rPr>
      </w:pPr>
      <w:r>
        <w:rPr>
          <w:rFonts w:hint="eastAsia"/>
        </w:rPr>
        <w:t xml:space="preserve">Ultrasonographic Features and Diagnostic Challenges of Hepatic Tuberculosis: </w:t>
      </w:r>
    </w:p>
    <w:p w14:paraId="06F25ABA">
      <w:pPr>
        <w:pStyle w:val="2"/>
        <w:rPr>
          <w:rFonts w:hint="eastAsia"/>
        </w:rPr>
      </w:pPr>
      <w:r>
        <w:rPr>
          <w:rFonts w:hint="eastAsia"/>
        </w:rPr>
        <w:t>Insights from Taiwan and Southeast Asia.</w:t>
      </w:r>
    </w:p>
    <w:p w14:paraId="3246EDC6">
      <w:pPr>
        <w:pStyle w:val="2"/>
        <w:rPr>
          <w:rFonts w:hint="eastAsia"/>
        </w:rPr>
      </w:pPr>
    </w:p>
    <w:p w14:paraId="1B9C4D3F">
      <w:pPr>
        <w:pStyle w:val="2"/>
        <w:rPr>
          <w:rFonts w:hint="eastAsia"/>
        </w:rPr>
      </w:pPr>
      <w:r>
        <w:rPr>
          <w:rFonts w:hint="eastAsia"/>
        </w:rPr>
        <w:t>Chen BY(1), Chen HY(1), Yang SS(1)(2), Hu JT(1)(2).</w:t>
      </w:r>
    </w:p>
    <w:p w14:paraId="5D514BB2">
      <w:pPr>
        <w:pStyle w:val="2"/>
        <w:rPr>
          <w:rFonts w:hint="eastAsia"/>
        </w:rPr>
      </w:pPr>
    </w:p>
    <w:p w14:paraId="73777DC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0A728D9">
      <w:pPr>
        <w:pStyle w:val="2"/>
        <w:rPr>
          <w:rFonts w:hint="eastAsia"/>
        </w:rPr>
      </w:pPr>
      <w:r>
        <w:rPr>
          <w:rFonts w:hint="eastAsia"/>
        </w:rPr>
        <w:t>(1)Division of Digestive Medicine, Cathay General Hospital, Taipei, Taiwan.</w:t>
      </w:r>
    </w:p>
    <w:p w14:paraId="428DF875">
      <w:pPr>
        <w:pStyle w:val="2"/>
        <w:rPr>
          <w:rFonts w:hint="eastAsia"/>
        </w:rPr>
      </w:pPr>
      <w:r>
        <w:rPr>
          <w:rFonts w:hint="eastAsia"/>
        </w:rPr>
        <w:t xml:space="preserve">(2)Department of Medicine, School of Medicine, Fu-Jen Catholic University, New </w:t>
      </w:r>
    </w:p>
    <w:p w14:paraId="2A60790D">
      <w:pPr>
        <w:pStyle w:val="2"/>
        <w:rPr>
          <w:rFonts w:hint="eastAsia"/>
        </w:rPr>
      </w:pPr>
      <w:r>
        <w:rPr>
          <w:rFonts w:hint="eastAsia"/>
        </w:rPr>
        <w:t>Taipei, Taiwan.</w:t>
      </w:r>
    </w:p>
    <w:p w14:paraId="0A80697B">
      <w:pPr>
        <w:pStyle w:val="2"/>
        <w:rPr>
          <w:rFonts w:hint="eastAsia"/>
        </w:rPr>
      </w:pPr>
    </w:p>
    <w:p w14:paraId="0ED66BA1">
      <w:pPr>
        <w:pStyle w:val="2"/>
        <w:rPr>
          <w:rFonts w:hint="eastAsia"/>
        </w:rPr>
      </w:pPr>
      <w:r>
        <w:rPr>
          <w:rFonts w:hint="eastAsia"/>
        </w:rPr>
        <w:t xml:space="preserve">Hepatic tuberculosis (HTB) is a rare manifestation of extrapulmonary </w:t>
      </w:r>
    </w:p>
    <w:p w14:paraId="22EC9D85">
      <w:pPr>
        <w:pStyle w:val="2"/>
        <w:rPr>
          <w:rFonts w:hint="eastAsia"/>
        </w:rPr>
      </w:pPr>
      <w:r>
        <w:rPr>
          <w:rFonts w:hint="eastAsia"/>
        </w:rPr>
        <w:t xml:space="preserve">tuberculosis (TB) and represents fewer than 1% of all tuberculosis cases. From </w:t>
      </w:r>
    </w:p>
    <w:p w14:paraId="03033B21">
      <w:pPr>
        <w:pStyle w:val="2"/>
        <w:rPr>
          <w:rFonts w:hint="eastAsia"/>
        </w:rPr>
      </w:pPr>
      <w:r>
        <w:rPr>
          <w:rFonts w:hint="eastAsia"/>
        </w:rPr>
        <w:t xml:space="preserve">an imaging perspective, HTB poses a significant diagnostic challenge because its </w:t>
      </w:r>
    </w:p>
    <w:p w14:paraId="3F55FE87">
      <w:pPr>
        <w:pStyle w:val="2"/>
        <w:rPr>
          <w:rFonts w:hint="eastAsia"/>
        </w:rPr>
      </w:pPr>
      <w:r>
        <w:rPr>
          <w:rFonts w:hint="eastAsia"/>
        </w:rPr>
        <w:t xml:space="preserve">ultrasonographic appearances are highly variable and frequently mimic hepatic </w:t>
      </w:r>
    </w:p>
    <w:p w14:paraId="1718F381">
      <w:pPr>
        <w:pStyle w:val="2"/>
        <w:rPr>
          <w:rFonts w:hint="eastAsia"/>
        </w:rPr>
      </w:pPr>
      <w:r>
        <w:rPr>
          <w:rFonts w:hint="eastAsia"/>
        </w:rPr>
        <w:t xml:space="preserve">malignancy or pyogenic abscess, often resulting in delayed or incorrect </w:t>
      </w:r>
    </w:p>
    <w:p w14:paraId="7BB2D9C2">
      <w:pPr>
        <w:pStyle w:val="2"/>
        <w:rPr>
          <w:rFonts w:hint="eastAsia"/>
        </w:rPr>
      </w:pPr>
      <w:r>
        <w:rPr>
          <w:rFonts w:hint="eastAsia"/>
        </w:rPr>
        <w:t xml:space="preserve">diagnosis. This review focuses on the ultrasonographic features of hepatic and </w:t>
      </w:r>
    </w:p>
    <w:p w14:paraId="04DE6ADA">
      <w:pPr>
        <w:pStyle w:val="2"/>
        <w:rPr>
          <w:rFonts w:hint="eastAsia"/>
        </w:rPr>
      </w:pPr>
      <w:r>
        <w:rPr>
          <w:rFonts w:hint="eastAsia"/>
        </w:rPr>
        <w:t xml:space="preserve">hepatobiliary TB, with reference to the epidemiologic data from Southeast Asia </w:t>
      </w:r>
    </w:p>
    <w:p w14:paraId="30A60EF8">
      <w:pPr>
        <w:pStyle w:val="2"/>
        <w:rPr>
          <w:rFonts w:hint="eastAsia"/>
        </w:rPr>
      </w:pPr>
      <w:r>
        <w:rPr>
          <w:rFonts w:hint="eastAsia"/>
        </w:rPr>
        <w:t xml:space="preserve">and Taiwan. Ultrasonography remains the most commonly used first-line imaging </w:t>
      </w:r>
    </w:p>
    <w:p w14:paraId="2FB7AB18">
      <w:pPr>
        <w:pStyle w:val="2"/>
        <w:rPr>
          <w:rFonts w:hint="eastAsia"/>
        </w:rPr>
      </w:pPr>
      <w:r>
        <w:rPr>
          <w:rFonts w:hint="eastAsia"/>
        </w:rPr>
        <w:t xml:space="preserve">modality and typically demonstrates five morphologic patterns: nodular, </w:t>
      </w:r>
    </w:p>
    <w:p w14:paraId="64017DD4">
      <w:pPr>
        <w:pStyle w:val="2"/>
        <w:rPr>
          <w:rFonts w:hint="eastAsia"/>
        </w:rPr>
      </w:pPr>
      <w:r>
        <w:rPr>
          <w:rFonts w:hint="eastAsia"/>
        </w:rPr>
        <w:t xml:space="preserve">abscess-like, infiltrative or diffuse, biliary, and miliary. However, none of </w:t>
      </w:r>
    </w:p>
    <w:p w14:paraId="20699276">
      <w:pPr>
        <w:pStyle w:val="2"/>
        <w:rPr>
          <w:rFonts w:hint="eastAsia"/>
        </w:rPr>
      </w:pPr>
      <w:r>
        <w:rPr>
          <w:rFonts w:hint="eastAsia"/>
        </w:rPr>
        <w:t xml:space="preserve">these patterns are specific and substantial overlap exists with malignant and </w:t>
      </w:r>
    </w:p>
    <w:p w14:paraId="624CE6CB">
      <w:pPr>
        <w:pStyle w:val="2"/>
        <w:rPr>
          <w:rFonts w:hint="eastAsia"/>
        </w:rPr>
      </w:pPr>
      <w:r>
        <w:rPr>
          <w:rFonts w:hint="eastAsia"/>
        </w:rPr>
        <w:t xml:space="preserve">inflammatory hepatic conditions. Awareness of these sonographic patterns, in </w:t>
      </w:r>
    </w:p>
    <w:p w14:paraId="5A736593">
      <w:pPr>
        <w:pStyle w:val="2"/>
        <w:rPr>
          <w:rFonts w:hint="eastAsia"/>
        </w:rPr>
      </w:pPr>
      <w:r>
        <w:rPr>
          <w:rFonts w:hint="eastAsia"/>
        </w:rPr>
        <w:t xml:space="preserve">conjunction with clinical context and risk factors, is therefore essential for </w:t>
      </w:r>
    </w:p>
    <w:p w14:paraId="3B513E70">
      <w:pPr>
        <w:pStyle w:val="2"/>
        <w:rPr>
          <w:rFonts w:hint="eastAsia"/>
        </w:rPr>
      </w:pPr>
      <w:r>
        <w:rPr>
          <w:rFonts w:hint="eastAsia"/>
        </w:rPr>
        <w:t xml:space="preserve">raising the suspicion of HTB. Given the limitations of imaging alone, definitive </w:t>
      </w:r>
    </w:p>
    <w:p w14:paraId="4E504260">
      <w:pPr>
        <w:pStyle w:val="2"/>
        <w:rPr>
          <w:rFonts w:hint="eastAsia"/>
        </w:rPr>
      </w:pPr>
      <w:r>
        <w:rPr>
          <w:rFonts w:hint="eastAsia"/>
        </w:rPr>
        <w:t xml:space="preserve">diagnosis requires histopathologic confirmation and microbiologic or molecular </w:t>
      </w:r>
    </w:p>
    <w:p w14:paraId="48D38FAD">
      <w:pPr>
        <w:pStyle w:val="2"/>
        <w:rPr>
          <w:rFonts w:hint="eastAsia"/>
        </w:rPr>
      </w:pPr>
      <w:r>
        <w:rPr>
          <w:rFonts w:hint="eastAsia"/>
        </w:rPr>
        <w:t xml:space="preserve">testing. For ultrasound practitioners, early recognition of atypical or </w:t>
      </w:r>
    </w:p>
    <w:p w14:paraId="40AC045A">
      <w:pPr>
        <w:pStyle w:val="2"/>
        <w:rPr>
          <w:rFonts w:hint="eastAsia"/>
        </w:rPr>
      </w:pPr>
      <w:r>
        <w:rPr>
          <w:rFonts w:hint="eastAsia"/>
        </w:rPr>
        <w:t xml:space="preserve">malignancy-like hepatic lesions and timely recommendation for liver biopsy play </w:t>
      </w:r>
    </w:p>
    <w:p w14:paraId="06335A23">
      <w:pPr>
        <w:pStyle w:val="2"/>
        <w:rPr>
          <w:rFonts w:hint="eastAsia"/>
        </w:rPr>
      </w:pPr>
      <w:r>
        <w:rPr>
          <w:rFonts w:hint="eastAsia"/>
        </w:rPr>
        <w:t xml:space="preserve">a pivotal role in reducing diagnostic delay. Improved awareness of HTB among </w:t>
      </w:r>
    </w:p>
    <w:p w14:paraId="70C1523A">
      <w:pPr>
        <w:pStyle w:val="2"/>
        <w:rPr>
          <w:rFonts w:hint="eastAsia"/>
        </w:rPr>
      </w:pPr>
      <w:r>
        <w:rPr>
          <w:rFonts w:hint="eastAsia"/>
        </w:rPr>
        <w:t xml:space="preserve">clinicians and radiologists, particularly in regions affected by population </w:t>
      </w:r>
    </w:p>
    <w:p w14:paraId="1213468D">
      <w:pPr>
        <w:pStyle w:val="2"/>
        <w:rPr>
          <w:rFonts w:hint="eastAsia"/>
        </w:rPr>
      </w:pPr>
      <w:r>
        <w:rPr>
          <w:rFonts w:hint="eastAsia"/>
        </w:rPr>
        <w:t xml:space="preserve">mobility from TB-endemic areas, may facilitate earlier diagnosis and more </w:t>
      </w:r>
    </w:p>
    <w:p w14:paraId="5D1E022C">
      <w:pPr>
        <w:pStyle w:val="2"/>
        <w:rPr>
          <w:rFonts w:hint="eastAsia"/>
        </w:rPr>
      </w:pPr>
      <w:r>
        <w:rPr>
          <w:rFonts w:hint="eastAsia"/>
        </w:rPr>
        <w:t>appropriate management.</w:t>
      </w:r>
    </w:p>
    <w:p w14:paraId="2DCD0F75">
      <w:pPr>
        <w:pStyle w:val="2"/>
        <w:rPr>
          <w:rFonts w:hint="eastAsia"/>
        </w:rPr>
      </w:pPr>
    </w:p>
    <w:p w14:paraId="3B494A45">
      <w:pPr>
        <w:pStyle w:val="2"/>
        <w:rPr>
          <w:rFonts w:hint="eastAsia"/>
        </w:rPr>
      </w:pPr>
      <w:r>
        <w:rPr>
          <w:rFonts w:hint="eastAsia"/>
        </w:rPr>
        <w:t>Copyright: © 2026 Journal of Medical Ultrasound.</w:t>
      </w:r>
    </w:p>
    <w:p w14:paraId="2427BBCF">
      <w:pPr>
        <w:pStyle w:val="2"/>
        <w:rPr>
          <w:rFonts w:hint="eastAsia"/>
        </w:rPr>
      </w:pPr>
    </w:p>
    <w:p w14:paraId="0FCF65CE">
      <w:pPr>
        <w:pStyle w:val="2"/>
        <w:rPr>
          <w:rFonts w:hint="eastAsia"/>
        </w:rPr>
      </w:pPr>
      <w:r>
        <w:rPr>
          <w:rFonts w:hint="eastAsia"/>
        </w:rPr>
        <w:t>DOI: 10.4103/jmu.JMU-D-25-00194</w:t>
      </w:r>
    </w:p>
    <w:p w14:paraId="21D1A1D5">
      <w:pPr>
        <w:pStyle w:val="2"/>
        <w:rPr>
          <w:rFonts w:hint="eastAsia"/>
        </w:rPr>
      </w:pPr>
      <w:r>
        <w:rPr>
          <w:rFonts w:hint="eastAsia"/>
        </w:rPr>
        <w:t>PMCID: PMC13674896</w:t>
      </w:r>
    </w:p>
    <w:p w14:paraId="2664E5DA">
      <w:pPr>
        <w:pStyle w:val="2"/>
        <w:rPr>
          <w:rFonts w:hint="eastAsia"/>
        </w:rPr>
      </w:pPr>
      <w:r>
        <w:rPr>
          <w:rFonts w:hint="eastAsia"/>
        </w:rPr>
        <w:t>PMID: 42891413</w:t>
      </w:r>
    </w:p>
    <w:p w14:paraId="56056F09">
      <w:pPr>
        <w:pStyle w:val="2"/>
        <w:rPr>
          <w:rFonts w:hint="eastAsia"/>
        </w:rPr>
      </w:pPr>
    </w:p>
    <w:p w14:paraId="0C4B86F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60</w:t>
      </w:r>
      <w:r>
        <w:rPr>
          <w:rFonts w:hint="eastAsia"/>
          <w:b/>
          <w:bCs/>
          <w:color w:val="FF0000"/>
        </w:rPr>
        <w:t>. Cureus. 2026 Sep 16;18(9):e116346. doi: 10.7759/cureus.116346. eCollection 2026 Sep.</w:t>
      </w:r>
    </w:p>
    <w:p w14:paraId="45EA268E">
      <w:pPr>
        <w:pStyle w:val="2"/>
        <w:rPr>
          <w:rFonts w:hint="eastAsia"/>
        </w:rPr>
      </w:pPr>
    </w:p>
    <w:p w14:paraId="67A18433">
      <w:pPr>
        <w:pStyle w:val="2"/>
        <w:rPr>
          <w:rFonts w:hint="eastAsia"/>
        </w:rPr>
      </w:pPr>
      <w:r>
        <w:rPr>
          <w:rFonts w:hint="eastAsia"/>
        </w:rPr>
        <w:t xml:space="preserve">Social Determinants of Health and Behavioral Risk Factors in the </w:t>
      </w:r>
    </w:p>
    <w:p w14:paraId="34344C25">
      <w:pPr>
        <w:pStyle w:val="2"/>
        <w:rPr>
          <w:rFonts w:hint="eastAsia"/>
        </w:rPr>
      </w:pPr>
      <w:r>
        <w:rPr>
          <w:rFonts w:hint="eastAsia"/>
        </w:rPr>
        <w:t>Tuberculosis-Type 2 Diabetes Syndemic: A Narrative Review.</w:t>
      </w:r>
    </w:p>
    <w:p w14:paraId="0043D9EA">
      <w:pPr>
        <w:pStyle w:val="2"/>
        <w:rPr>
          <w:rFonts w:hint="eastAsia"/>
        </w:rPr>
      </w:pPr>
    </w:p>
    <w:p w14:paraId="79E82DCE">
      <w:pPr>
        <w:pStyle w:val="2"/>
        <w:rPr>
          <w:rFonts w:hint="eastAsia"/>
        </w:rPr>
      </w:pPr>
      <w:r>
        <w:rPr>
          <w:rFonts w:hint="eastAsia"/>
        </w:rPr>
        <w:t>Banda A(1), Pedrigal K(1), Jayne S(1), Chawla J(2).</w:t>
      </w:r>
    </w:p>
    <w:p w14:paraId="1B45D4F4">
      <w:pPr>
        <w:pStyle w:val="2"/>
        <w:rPr>
          <w:rFonts w:hint="eastAsia"/>
        </w:rPr>
      </w:pPr>
    </w:p>
    <w:p w14:paraId="7EA3326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7CA8B209">
      <w:pPr>
        <w:pStyle w:val="2"/>
        <w:rPr>
          <w:rFonts w:hint="eastAsia"/>
        </w:rPr>
      </w:pPr>
      <w:r>
        <w:rPr>
          <w:rFonts w:hint="eastAsia"/>
        </w:rPr>
        <w:t xml:space="preserve">(1)Osteopathic Medicine, Nova Southeastern University Dr. Kiran C. Patel College </w:t>
      </w:r>
    </w:p>
    <w:p w14:paraId="722BE232">
      <w:pPr>
        <w:pStyle w:val="2"/>
        <w:rPr>
          <w:rFonts w:hint="eastAsia"/>
        </w:rPr>
      </w:pPr>
      <w:r>
        <w:rPr>
          <w:rFonts w:hint="eastAsia"/>
        </w:rPr>
        <w:t>of Osteopathic Medicine, Clearwater, USA.</w:t>
      </w:r>
    </w:p>
    <w:p w14:paraId="58FB04C8">
      <w:pPr>
        <w:pStyle w:val="2"/>
        <w:rPr>
          <w:rFonts w:hint="eastAsia"/>
        </w:rPr>
      </w:pPr>
      <w:r>
        <w:rPr>
          <w:rFonts w:hint="eastAsia"/>
        </w:rPr>
        <w:t xml:space="preserve">(2)Foundational Sciences, Nova Southeastern University Dr. Kiran C. Patel </w:t>
      </w:r>
    </w:p>
    <w:p w14:paraId="5DF96EEE">
      <w:pPr>
        <w:pStyle w:val="2"/>
        <w:rPr>
          <w:rFonts w:hint="eastAsia"/>
        </w:rPr>
      </w:pPr>
      <w:r>
        <w:rPr>
          <w:rFonts w:hint="eastAsia"/>
        </w:rPr>
        <w:t>College of Osteopathic Medicine, Clearwater, USA.</w:t>
      </w:r>
    </w:p>
    <w:p w14:paraId="113DDEF6">
      <w:pPr>
        <w:pStyle w:val="2"/>
        <w:rPr>
          <w:rFonts w:hint="eastAsia"/>
        </w:rPr>
      </w:pPr>
    </w:p>
    <w:p w14:paraId="272569C9">
      <w:pPr>
        <w:pStyle w:val="2"/>
        <w:rPr>
          <w:rFonts w:hint="eastAsia"/>
        </w:rPr>
      </w:pPr>
      <w:r>
        <w:rPr>
          <w:rFonts w:hint="eastAsia"/>
        </w:rPr>
        <w:t xml:space="preserve">The co-occurrence of tuberculosis (TB) and type 2 diabetes mellitus (T2DM) </w:t>
      </w:r>
    </w:p>
    <w:p w14:paraId="16FBD226">
      <w:pPr>
        <w:pStyle w:val="2"/>
        <w:rPr>
          <w:rFonts w:hint="eastAsia"/>
        </w:rPr>
      </w:pPr>
      <w:r>
        <w:rPr>
          <w:rFonts w:hint="eastAsia"/>
        </w:rPr>
        <w:t xml:space="preserve">represents a growing global syndemic that disproportionately affects populations </w:t>
      </w:r>
    </w:p>
    <w:p w14:paraId="2BB1B74F">
      <w:pPr>
        <w:pStyle w:val="2"/>
        <w:rPr>
          <w:rFonts w:hint="eastAsia"/>
        </w:rPr>
      </w:pPr>
      <w:r>
        <w:rPr>
          <w:rFonts w:hint="eastAsia"/>
        </w:rPr>
        <w:t xml:space="preserve">with limited access to healthcare and preventive resources. T2DM is an </w:t>
      </w:r>
    </w:p>
    <w:p w14:paraId="6369AE8A">
      <w:pPr>
        <w:pStyle w:val="2"/>
        <w:rPr>
          <w:rFonts w:hint="eastAsia"/>
        </w:rPr>
      </w:pPr>
      <w:r>
        <w:rPr>
          <w:rFonts w:hint="eastAsia"/>
        </w:rPr>
        <w:t xml:space="preserve">established independent risk factor for TB, while social determinants of health </w:t>
      </w:r>
    </w:p>
    <w:p w14:paraId="1FA6F3CD">
      <w:pPr>
        <w:pStyle w:val="2"/>
        <w:rPr>
          <w:rFonts w:hint="eastAsia"/>
        </w:rPr>
      </w:pPr>
      <w:r>
        <w:rPr>
          <w:rFonts w:hint="eastAsia"/>
        </w:rPr>
        <w:t xml:space="preserve">(SDoH) further contribute to disease susceptibility, delayed diagnosis, and poor </w:t>
      </w:r>
    </w:p>
    <w:p w14:paraId="356145A2">
      <w:pPr>
        <w:pStyle w:val="2"/>
        <w:rPr>
          <w:rFonts w:hint="eastAsia"/>
        </w:rPr>
      </w:pPr>
      <w:r>
        <w:rPr>
          <w:rFonts w:hint="eastAsia"/>
        </w:rPr>
        <w:t xml:space="preserve">clinical outcomes. This narrative literature review examines the impact of SDoH </w:t>
      </w:r>
    </w:p>
    <w:p w14:paraId="53920F91">
      <w:pPr>
        <w:pStyle w:val="2"/>
        <w:rPr>
          <w:rFonts w:hint="eastAsia"/>
        </w:rPr>
      </w:pPr>
      <w:r>
        <w:rPr>
          <w:rFonts w:hint="eastAsia"/>
        </w:rPr>
        <w:t xml:space="preserve">and modifiable lifestyle factors on the TB-T2DM syndemic and highlights </w:t>
      </w:r>
    </w:p>
    <w:p w14:paraId="163BA3D7">
      <w:pPr>
        <w:pStyle w:val="2"/>
        <w:rPr>
          <w:rFonts w:hint="eastAsia"/>
        </w:rPr>
      </w:pPr>
      <w:r>
        <w:rPr>
          <w:rFonts w:hint="eastAsia"/>
        </w:rPr>
        <w:t xml:space="preserve">opportunities for intervention. A literature review was conducted using PubMed </w:t>
      </w:r>
    </w:p>
    <w:p w14:paraId="7DAA653E">
      <w:pPr>
        <w:pStyle w:val="2"/>
        <w:rPr>
          <w:rFonts w:hint="eastAsia"/>
        </w:rPr>
      </w:pPr>
      <w:r>
        <w:rPr>
          <w:rFonts w:hint="eastAsia"/>
        </w:rPr>
        <w:t xml:space="preserve">and Google Scholar with keywords including "Type 2 Diabetes," "Tuberculosis," </w:t>
      </w:r>
    </w:p>
    <w:p w14:paraId="2ACFCDD6">
      <w:pPr>
        <w:pStyle w:val="2"/>
        <w:rPr>
          <w:rFonts w:hint="eastAsia"/>
        </w:rPr>
      </w:pPr>
      <w:r>
        <w:rPr>
          <w:rFonts w:hint="eastAsia"/>
        </w:rPr>
        <w:t xml:space="preserve">"Social Determinants of Health," "health literacy," "access to healthcare," </w:t>
      </w:r>
    </w:p>
    <w:p w14:paraId="00F7614E">
      <w:pPr>
        <w:pStyle w:val="2"/>
        <w:rPr>
          <w:rFonts w:hint="eastAsia"/>
        </w:rPr>
      </w:pPr>
      <w:r>
        <w:rPr>
          <w:rFonts w:hint="eastAsia"/>
        </w:rPr>
        <w:t xml:space="preserve">"smoking," and "diet." Existing literature demonstrates that health literacy, </w:t>
      </w:r>
    </w:p>
    <w:p w14:paraId="38E6B14C">
      <w:pPr>
        <w:pStyle w:val="2"/>
        <w:rPr>
          <w:rFonts w:hint="eastAsia"/>
        </w:rPr>
      </w:pPr>
      <w:r>
        <w:rPr>
          <w:rFonts w:hint="eastAsia"/>
        </w:rPr>
        <w:t xml:space="preserve">socioeconomic status, nutrition, and healthcare accessibility are major </w:t>
      </w:r>
    </w:p>
    <w:p w14:paraId="18F5A573">
      <w:pPr>
        <w:pStyle w:val="2"/>
        <w:rPr>
          <w:rFonts w:hint="eastAsia"/>
        </w:rPr>
      </w:pPr>
      <w:r>
        <w:rPr>
          <w:rFonts w:hint="eastAsia"/>
        </w:rPr>
        <w:t xml:space="preserve">contributors to the dual disease burden. Smoking has been associated with </w:t>
      </w:r>
    </w:p>
    <w:p w14:paraId="72AA9D87">
      <w:pPr>
        <w:pStyle w:val="2"/>
        <w:rPr>
          <w:rFonts w:hint="eastAsia"/>
        </w:rPr>
      </w:pPr>
      <w:r>
        <w:rPr>
          <w:rFonts w:hint="eastAsia"/>
        </w:rPr>
        <w:t xml:space="preserve">impaired beta-cell function, worsened glycemic control, and increased </w:t>
      </w:r>
    </w:p>
    <w:p w14:paraId="06C286A2">
      <w:pPr>
        <w:pStyle w:val="2"/>
        <w:rPr>
          <w:rFonts w:hint="eastAsia"/>
        </w:rPr>
      </w:pPr>
      <w:r>
        <w:rPr>
          <w:rFonts w:hint="eastAsia"/>
        </w:rPr>
        <w:t xml:space="preserve">susceptibility to TB infection and recurrence. In contrast, Mediterranean </w:t>
      </w:r>
    </w:p>
    <w:p w14:paraId="1B02C10D">
      <w:pPr>
        <w:pStyle w:val="2"/>
        <w:rPr>
          <w:rFonts w:hint="eastAsia"/>
        </w:rPr>
      </w:pPr>
      <w:r>
        <w:rPr>
          <w:rFonts w:hint="eastAsia"/>
        </w:rPr>
        <w:t xml:space="preserve">dietary patterns, structured exercise, and lifestyle modification have been </w:t>
      </w:r>
    </w:p>
    <w:p w14:paraId="6EED7B15">
      <w:pPr>
        <w:pStyle w:val="2"/>
        <w:rPr>
          <w:rFonts w:hint="eastAsia"/>
        </w:rPr>
      </w:pPr>
      <w:r>
        <w:rPr>
          <w:rFonts w:hint="eastAsia"/>
        </w:rPr>
        <w:t xml:space="preserve">shown to improve glycemic control and reduce systemic inflammation. Populations </w:t>
      </w:r>
    </w:p>
    <w:p w14:paraId="610254AE">
      <w:pPr>
        <w:pStyle w:val="2"/>
        <w:rPr>
          <w:rFonts w:hint="eastAsia"/>
        </w:rPr>
      </w:pPr>
      <w:r>
        <w:rPr>
          <w:rFonts w:hint="eastAsia"/>
        </w:rPr>
        <w:t xml:space="preserve">from lower socioeconomic backgrounds remain particularly vulnerable because of </w:t>
      </w:r>
    </w:p>
    <w:p w14:paraId="1B02BB2F">
      <w:pPr>
        <w:pStyle w:val="2"/>
        <w:rPr>
          <w:rFonts w:hint="eastAsia"/>
        </w:rPr>
      </w:pPr>
      <w:r>
        <w:rPr>
          <w:rFonts w:hint="eastAsia"/>
        </w:rPr>
        <w:t xml:space="preserve">compounding barriers, including malnutrition, overcrowding, and limited </w:t>
      </w:r>
    </w:p>
    <w:p w14:paraId="4764340D">
      <w:pPr>
        <w:pStyle w:val="2"/>
        <w:rPr>
          <w:rFonts w:hint="eastAsia"/>
        </w:rPr>
      </w:pPr>
      <w:r>
        <w:rPr>
          <w:rFonts w:hint="eastAsia"/>
        </w:rPr>
        <w:t xml:space="preserve">healthcare access. Addressing behavioral risk factors and SDoH through early </w:t>
      </w:r>
    </w:p>
    <w:p w14:paraId="307C51F9">
      <w:pPr>
        <w:pStyle w:val="2"/>
        <w:rPr>
          <w:rFonts w:hint="eastAsia"/>
        </w:rPr>
      </w:pPr>
      <w:r>
        <w:rPr>
          <w:rFonts w:hint="eastAsia"/>
        </w:rPr>
        <w:t xml:space="preserve">detection, patient education, and public health interventions is essential to </w:t>
      </w:r>
    </w:p>
    <w:p w14:paraId="7E37FDF3">
      <w:pPr>
        <w:pStyle w:val="2"/>
        <w:rPr>
          <w:rFonts w:hint="eastAsia"/>
        </w:rPr>
      </w:pPr>
      <w:r>
        <w:rPr>
          <w:rFonts w:hint="eastAsia"/>
        </w:rPr>
        <w:t xml:space="preserve">mitigating the TB-T2DM syndemic. An interdisciplinary approach integrating </w:t>
      </w:r>
    </w:p>
    <w:p w14:paraId="15D5345A">
      <w:pPr>
        <w:pStyle w:val="2"/>
        <w:rPr>
          <w:rFonts w:hint="eastAsia"/>
        </w:rPr>
      </w:pPr>
      <w:r>
        <w:rPr>
          <w:rFonts w:hint="eastAsia"/>
        </w:rPr>
        <w:t xml:space="preserve">clinical care, preventive medicine, and global health policy is critical to </w:t>
      </w:r>
    </w:p>
    <w:p w14:paraId="1001429C">
      <w:pPr>
        <w:pStyle w:val="2"/>
        <w:rPr>
          <w:rFonts w:hint="eastAsia"/>
        </w:rPr>
      </w:pPr>
      <w:r>
        <w:rPr>
          <w:rFonts w:hint="eastAsia"/>
        </w:rPr>
        <w:t>improving long-term outcomes in affected populations.</w:t>
      </w:r>
    </w:p>
    <w:p w14:paraId="67692B87">
      <w:pPr>
        <w:pStyle w:val="2"/>
        <w:rPr>
          <w:rFonts w:hint="eastAsia"/>
        </w:rPr>
      </w:pPr>
    </w:p>
    <w:p w14:paraId="3F2B3655">
      <w:pPr>
        <w:pStyle w:val="2"/>
        <w:rPr>
          <w:rFonts w:hint="eastAsia"/>
        </w:rPr>
      </w:pPr>
      <w:r>
        <w:rPr>
          <w:rFonts w:hint="eastAsia"/>
        </w:rPr>
        <w:t>Copyright © 2026, Banda et al.</w:t>
      </w:r>
    </w:p>
    <w:p w14:paraId="77239611">
      <w:pPr>
        <w:pStyle w:val="2"/>
        <w:rPr>
          <w:rFonts w:hint="eastAsia"/>
        </w:rPr>
      </w:pPr>
    </w:p>
    <w:p w14:paraId="342544F5">
      <w:pPr>
        <w:pStyle w:val="2"/>
        <w:rPr>
          <w:rFonts w:hint="eastAsia"/>
        </w:rPr>
      </w:pPr>
      <w:r>
        <w:rPr>
          <w:rFonts w:hint="eastAsia"/>
        </w:rPr>
        <w:t>DOI: 10.7759/cureus.116346</w:t>
      </w:r>
    </w:p>
    <w:p w14:paraId="76023B11">
      <w:pPr>
        <w:pStyle w:val="2"/>
        <w:rPr>
          <w:rFonts w:hint="eastAsia"/>
        </w:rPr>
      </w:pPr>
      <w:r>
        <w:rPr>
          <w:rFonts w:hint="eastAsia"/>
        </w:rPr>
        <w:t>PMCID: PMC13674046</w:t>
      </w:r>
    </w:p>
    <w:p w14:paraId="380ED7D9">
      <w:pPr>
        <w:pStyle w:val="2"/>
        <w:rPr>
          <w:rFonts w:hint="eastAsia"/>
        </w:rPr>
      </w:pPr>
      <w:r>
        <w:rPr>
          <w:rFonts w:hint="eastAsia"/>
        </w:rPr>
        <w:t>PMID: 42891248</w:t>
      </w:r>
    </w:p>
    <w:p w14:paraId="14CB9622">
      <w:pPr>
        <w:pStyle w:val="2"/>
        <w:rPr>
          <w:rFonts w:hint="eastAsia"/>
        </w:rPr>
      </w:pPr>
    </w:p>
    <w:p w14:paraId="62310E3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61</w:t>
      </w:r>
      <w:r>
        <w:rPr>
          <w:rFonts w:hint="eastAsia"/>
          <w:b/>
          <w:bCs/>
          <w:color w:val="FF0000"/>
        </w:rPr>
        <w:t>. Lancet Reg Health Afr. 2026 Oct;8:None. doi: 10.1016/j.lanafr.2026.100061.</w:t>
      </w:r>
    </w:p>
    <w:p w14:paraId="265E3885">
      <w:pPr>
        <w:pStyle w:val="2"/>
        <w:rPr>
          <w:rFonts w:hint="eastAsia"/>
        </w:rPr>
      </w:pPr>
    </w:p>
    <w:p w14:paraId="409086B6">
      <w:pPr>
        <w:pStyle w:val="2"/>
        <w:rPr>
          <w:rFonts w:hint="eastAsia"/>
        </w:rPr>
      </w:pPr>
      <w:r>
        <w:rPr>
          <w:rFonts w:hint="eastAsia"/>
        </w:rPr>
        <w:t xml:space="preserve">Treatment outcomes and post-treatment mortality among people with </w:t>
      </w:r>
    </w:p>
    <w:p w14:paraId="02030D81">
      <w:pPr>
        <w:pStyle w:val="2"/>
        <w:rPr>
          <w:rFonts w:hint="eastAsia"/>
        </w:rPr>
      </w:pPr>
      <w:r>
        <w:rPr>
          <w:rFonts w:hint="eastAsia"/>
        </w:rPr>
        <w:t xml:space="preserve">multidrug/rifampicin-resistant tuberculosis in Sierra Leone: a national cohort </w:t>
      </w:r>
    </w:p>
    <w:p w14:paraId="2FBD9A5D">
      <w:pPr>
        <w:pStyle w:val="2"/>
        <w:rPr>
          <w:rFonts w:hint="eastAsia"/>
        </w:rPr>
      </w:pPr>
      <w:r>
        <w:rPr>
          <w:rFonts w:hint="eastAsia"/>
        </w:rPr>
        <w:t>study.</w:t>
      </w:r>
    </w:p>
    <w:p w14:paraId="3B7C6632">
      <w:pPr>
        <w:pStyle w:val="2"/>
        <w:rPr>
          <w:rFonts w:hint="eastAsia"/>
        </w:rPr>
      </w:pPr>
    </w:p>
    <w:p w14:paraId="753D36EA">
      <w:pPr>
        <w:pStyle w:val="2"/>
        <w:rPr>
          <w:rFonts w:hint="eastAsia"/>
        </w:rPr>
      </w:pPr>
      <w:r>
        <w:rPr>
          <w:rFonts w:hint="eastAsia"/>
        </w:rPr>
        <w:t xml:space="preserve">Greenwood F(1), Kamara RF(2), Harding R(2)(3), Conteh O(4), Foray L(2), Saunders </w:t>
      </w:r>
    </w:p>
    <w:p w14:paraId="6D083168">
      <w:pPr>
        <w:pStyle w:val="2"/>
        <w:rPr>
          <w:rFonts w:hint="eastAsia"/>
        </w:rPr>
      </w:pPr>
      <w:r>
        <w:rPr>
          <w:rFonts w:hint="eastAsia"/>
        </w:rPr>
        <w:t>MJ(5)(6), Wingfield T(7)(8)(9).</w:t>
      </w:r>
    </w:p>
    <w:p w14:paraId="30C7E32D">
      <w:pPr>
        <w:pStyle w:val="2"/>
        <w:rPr>
          <w:rFonts w:hint="eastAsia"/>
        </w:rPr>
      </w:pPr>
    </w:p>
    <w:p w14:paraId="6E4C11A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9D33534">
      <w:pPr>
        <w:pStyle w:val="2"/>
        <w:rPr>
          <w:rFonts w:hint="eastAsia"/>
        </w:rPr>
      </w:pPr>
      <w:r>
        <w:rPr>
          <w:rFonts w:hint="eastAsia"/>
        </w:rPr>
        <w:t>(1)Liverpool School of Tropical Medicine, Liverpool, UK.</w:t>
      </w:r>
    </w:p>
    <w:p w14:paraId="15A3CEB6">
      <w:pPr>
        <w:pStyle w:val="2"/>
        <w:rPr>
          <w:rFonts w:hint="eastAsia"/>
        </w:rPr>
      </w:pPr>
      <w:r>
        <w:rPr>
          <w:rFonts w:hint="eastAsia"/>
        </w:rPr>
        <w:t>(2)Ministry of Health and Sanitation, Freetown, Sierra Leone.</w:t>
      </w:r>
    </w:p>
    <w:p w14:paraId="03503A2E">
      <w:pPr>
        <w:pStyle w:val="2"/>
        <w:rPr>
          <w:rFonts w:hint="eastAsia"/>
        </w:rPr>
      </w:pPr>
      <w:r>
        <w:rPr>
          <w:rFonts w:hint="eastAsia"/>
        </w:rPr>
        <w:t>(3)Lakka Hospital, Freetown, Sierra Leone.</w:t>
      </w:r>
    </w:p>
    <w:p w14:paraId="0358683E">
      <w:pPr>
        <w:pStyle w:val="2"/>
        <w:rPr>
          <w:rFonts w:hint="eastAsia"/>
        </w:rPr>
      </w:pPr>
      <w:r>
        <w:rPr>
          <w:rFonts w:hint="eastAsia"/>
        </w:rPr>
        <w:t>(4)Njala University, Freetown, Sierra Leone.</w:t>
      </w:r>
    </w:p>
    <w:p w14:paraId="506F6779">
      <w:pPr>
        <w:pStyle w:val="2"/>
        <w:rPr>
          <w:rFonts w:hint="eastAsia"/>
        </w:rPr>
      </w:pPr>
      <w:r>
        <w:rPr>
          <w:rFonts w:hint="eastAsia"/>
        </w:rPr>
        <w:t xml:space="preserve">(5)Institute for Infection and Immunity, City St George's, University of London, </w:t>
      </w:r>
    </w:p>
    <w:p w14:paraId="2B5D3CAC">
      <w:pPr>
        <w:pStyle w:val="2"/>
        <w:rPr>
          <w:rFonts w:hint="eastAsia"/>
        </w:rPr>
      </w:pPr>
      <w:r>
        <w:rPr>
          <w:rFonts w:hint="eastAsia"/>
        </w:rPr>
        <w:t>London, UK.</w:t>
      </w:r>
    </w:p>
    <w:p w14:paraId="7893A318">
      <w:pPr>
        <w:pStyle w:val="2"/>
        <w:rPr>
          <w:rFonts w:hint="eastAsia"/>
        </w:rPr>
      </w:pPr>
      <w:r>
        <w:rPr>
          <w:rFonts w:hint="eastAsia"/>
        </w:rPr>
        <w:t xml:space="preserve">(6)Faculty of Public Health and Policy, London School of Hygiene &amp; Tropical </w:t>
      </w:r>
    </w:p>
    <w:p w14:paraId="4EC2B773">
      <w:pPr>
        <w:pStyle w:val="2"/>
        <w:rPr>
          <w:rFonts w:hint="eastAsia"/>
        </w:rPr>
      </w:pPr>
      <w:r>
        <w:rPr>
          <w:rFonts w:hint="eastAsia"/>
        </w:rPr>
        <w:t>Medicine, London, UK.</w:t>
      </w:r>
    </w:p>
    <w:p w14:paraId="5C2300E8">
      <w:pPr>
        <w:pStyle w:val="2"/>
        <w:rPr>
          <w:rFonts w:hint="eastAsia"/>
        </w:rPr>
      </w:pPr>
      <w:r>
        <w:rPr>
          <w:rFonts w:hint="eastAsia"/>
        </w:rPr>
        <w:t xml:space="preserve">(7)Centre for Tuberculosis Research, Department of Clinical Sciences and </w:t>
      </w:r>
    </w:p>
    <w:p w14:paraId="29DE9CA0">
      <w:pPr>
        <w:pStyle w:val="2"/>
        <w:rPr>
          <w:rFonts w:hint="eastAsia"/>
        </w:rPr>
      </w:pPr>
      <w:r>
        <w:rPr>
          <w:rFonts w:hint="eastAsia"/>
        </w:rPr>
        <w:t xml:space="preserve">International Public Health, Liverpool School of Tropical Medicine, Liverpool, </w:t>
      </w:r>
    </w:p>
    <w:p w14:paraId="4BAABEC0">
      <w:pPr>
        <w:pStyle w:val="2"/>
        <w:rPr>
          <w:rFonts w:hint="eastAsia"/>
        </w:rPr>
      </w:pPr>
      <w:r>
        <w:rPr>
          <w:rFonts w:hint="eastAsia"/>
        </w:rPr>
        <w:t>UK.</w:t>
      </w:r>
    </w:p>
    <w:p w14:paraId="5B20E7C0">
      <w:pPr>
        <w:pStyle w:val="2"/>
        <w:rPr>
          <w:rFonts w:hint="eastAsia"/>
        </w:rPr>
      </w:pPr>
      <w:r>
        <w:rPr>
          <w:rFonts w:hint="eastAsia"/>
        </w:rPr>
        <w:t xml:space="preserve">(8)Tropical and Infectious Diseases Unit, University Hospitals Liverpool, </w:t>
      </w:r>
    </w:p>
    <w:p w14:paraId="789510A7">
      <w:pPr>
        <w:pStyle w:val="2"/>
        <w:rPr>
          <w:rFonts w:hint="eastAsia"/>
        </w:rPr>
      </w:pPr>
      <w:r>
        <w:rPr>
          <w:rFonts w:hint="eastAsia"/>
        </w:rPr>
        <w:t>Liverpool, UK.</w:t>
      </w:r>
    </w:p>
    <w:p w14:paraId="61434915">
      <w:pPr>
        <w:pStyle w:val="2"/>
        <w:rPr>
          <w:rFonts w:hint="eastAsia"/>
        </w:rPr>
      </w:pPr>
      <w:r>
        <w:rPr>
          <w:rFonts w:hint="eastAsia"/>
        </w:rPr>
        <w:t>(9)Department of Global Public Health, Karolinska Institutet, Stockholm, Sweden.</w:t>
      </w:r>
    </w:p>
    <w:p w14:paraId="302255D9">
      <w:pPr>
        <w:pStyle w:val="2"/>
        <w:rPr>
          <w:rFonts w:hint="eastAsia"/>
        </w:rPr>
      </w:pPr>
    </w:p>
    <w:p w14:paraId="27BAC171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Evidence on biosocial factors driving adverse outcomes in </w:t>
      </w:r>
    </w:p>
    <w:p w14:paraId="2ED13FF3">
      <w:pPr>
        <w:pStyle w:val="2"/>
        <w:rPr>
          <w:rFonts w:hint="eastAsia"/>
        </w:rPr>
      </w:pPr>
      <w:r>
        <w:rPr>
          <w:rFonts w:hint="eastAsia"/>
        </w:rPr>
        <w:t xml:space="preserve">multidrug/rifampicin-resistant tuberculosis (MDR/RR-TB) can inform design of </w:t>
      </w:r>
    </w:p>
    <w:p w14:paraId="35186BEC">
      <w:pPr>
        <w:pStyle w:val="2"/>
        <w:rPr>
          <w:rFonts w:hint="eastAsia"/>
        </w:rPr>
      </w:pPr>
      <w:r>
        <w:rPr>
          <w:rFonts w:hint="eastAsia"/>
        </w:rPr>
        <w:t xml:space="preserve">person-centred interventions. We evaluated treatment outcomes, post-treatment </w:t>
      </w:r>
    </w:p>
    <w:p w14:paraId="2F18465A">
      <w:pPr>
        <w:pStyle w:val="2"/>
        <w:rPr>
          <w:rFonts w:hint="eastAsia"/>
        </w:rPr>
      </w:pPr>
      <w:r>
        <w:rPr>
          <w:rFonts w:hint="eastAsia"/>
        </w:rPr>
        <w:t xml:space="preserve">mortality, and their associated risk factors among people with </w:t>
      </w:r>
    </w:p>
    <w:p w14:paraId="38336269">
      <w:pPr>
        <w:pStyle w:val="2"/>
        <w:rPr>
          <w:rFonts w:hint="eastAsia"/>
        </w:rPr>
      </w:pPr>
      <w:r>
        <w:rPr>
          <w:rFonts w:hint="eastAsia"/>
        </w:rPr>
        <w:t>multidrug/rifampicin-resistant tuberculosis (MDR/RR-TB) in Sierra Leone.</w:t>
      </w:r>
    </w:p>
    <w:p w14:paraId="48659CD0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did a national cohort study of people with MDR/RR-TB in Lakka </w:t>
      </w:r>
    </w:p>
    <w:p w14:paraId="01B7FFF9">
      <w:pPr>
        <w:pStyle w:val="2"/>
        <w:rPr>
          <w:rFonts w:hint="eastAsia"/>
        </w:rPr>
      </w:pPr>
      <w:r>
        <w:rPr>
          <w:rFonts w:hint="eastAsia"/>
        </w:rPr>
        <w:t xml:space="preserve">Hospital, Freetown, 2017-2022. Treatment was with WHO-recommended short (9-11 </w:t>
      </w:r>
    </w:p>
    <w:p w14:paraId="2688BD6E">
      <w:pPr>
        <w:pStyle w:val="2"/>
        <w:rPr>
          <w:rFonts w:hint="eastAsia"/>
        </w:rPr>
      </w:pPr>
      <w:r>
        <w:rPr>
          <w:rFonts w:hint="eastAsia"/>
        </w:rPr>
        <w:t xml:space="preserve">month) or long (18-24 month) regimens, with adverse treatment outcome (death or </w:t>
      </w:r>
    </w:p>
    <w:p w14:paraId="640B506A">
      <w:pPr>
        <w:pStyle w:val="2"/>
        <w:rPr>
          <w:rFonts w:hint="eastAsia"/>
        </w:rPr>
      </w:pPr>
      <w:r>
        <w:rPr>
          <w:rFonts w:hint="eastAsia"/>
        </w:rPr>
        <w:t xml:space="preserve">loss to follow-up before or during treatment, or treatment failure) following </w:t>
      </w:r>
    </w:p>
    <w:p w14:paraId="1D3AA9A9">
      <w:pPr>
        <w:pStyle w:val="2"/>
        <w:rPr>
          <w:rFonts w:hint="eastAsia"/>
        </w:rPr>
      </w:pPr>
      <w:r>
        <w:rPr>
          <w:rFonts w:hint="eastAsia"/>
        </w:rPr>
        <w:t xml:space="preserve">WHO definitions. Participants with treatment success had 12-months follow-up to </w:t>
      </w:r>
    </w:p>
    <w:p w14:paraId="6457FD90">
      <w:pPr>
        <w:pStyle w:val="2"/>
        <w:rPr>
          <w:rFonts w:hint="eastAsia"/>
        </w:rPr>
      </w:pPr>
      <w:r>
        <w:rPr>
          <w:rFonts w:hint="eastAsia"/>
        </w:rPr>
        <w:t xml:space="preserve">ascertain post-treatment mortality. We used directed acyclical graph-informed </w:t>
      </w:r>
    </w:p>
    <w:p w14:paraId="1D911561">
      <w:pPr>
        <w:pStyle w:val="2"/>
        <w:rPr>
          <w:rFonts w:hint="eastAsia"/>
        </w:rPr>
      </w:pPr>
      <w:r>
        <w:rPr>
          <w:rFonts w:hint="eastAsia"/>
        </w:rPr>
        <w:t xml:space="preserve">logistic regression to investigate biosocial factors associated with adverse </w:t>
      </w:r>
    </w:p>
    <w:p w14:paraId="147E74C4">
      <w:pPr>
        <w:pStyle w:val="2"/>
        <w:rPr>
          <w:rFonts w:hint="eastAsia"/>
        </w:rPr>
      </w:pPr>
      <w:r>
        <w:rPr>
          <w:rFonts w:hint="eastAsia"/>
        </w:rPr>
        <w:t>treatment outcome and post-treatment mortality.</w:t>
      </w:r>
    </w:p>
    <w:p w14:paraId="369FE4A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FINDINGS: </w:t>
      </w:r>
      <w:r>
        <w:rPr>
          <w:rFonts w:hint="eastAsia"/>
        </w:rPr>
        <w:t xml:space="preserve">We recruited 739 people with MDR/RR-TB, median age 34-years (IQR: </w:t>
      </w:r>
    </w:p>
    <w:p w14:paraId="7D60A369">
      <w:pPr>
        <w:pStyle w:val="2"/>
        <w:rPr>
          <w:rFonts w:hint="eastAsia"/>
        </w:rPr>
      </w:pPr>
      <w:r>
        <w:rPr>
          <w:rFonts w:hint="eastAsia"/>
        </w:rPr>
        <w:t xml:space="preserve">25-45), 70% (517/739) male and 22% (160/734) HIV-positive. 22% (161/739) had </w:t>
      </w:r>
    </w:p>
    <w:p w14:paraId="0DE015E7">
      <w:pPr>
        <w:pStyle w:val="2"/>
        <w:rPr>
          <w:rFonts w:hint="eastAsia"/>
        </w:rPr>
      </w:pPr>
      <w:r>
        <w:rPr>
          <w:rFonts w:hint="eastAsia"/>
        </w:rPr>
        <w:t xml:space="preserve">adverse treatment outcome, with 18% (134/739) dying before or during treatment. </w:t>
      </w:r>
    </w:p>
    <w:p w14:paraId="696CEFD5">
      <w:pPr>
        <w:pStyle w:val="2"/>
        <w:rPr>
          <w:rFonts w:hint="eastAsia"/>
        </w:rPr>
      </w:pPr>
      <w:r>
        <w:rPr>
          <w:rFonts w:hint="eastAsia"/>
        </w:rPr>
        <w:t xml:space="preserve">Adverse treatment outcome was associated with age ≥45-years versus 25-44-years </w:t>
      </w:r>
    </w:p>
    <w:p w14:paraId="5C5A88AD">
      <w:pPr>
        <w:pStyle w:val="2"/>
        <w:rPr>
          <w:rFonts w:hint="eastAsia"/>
        </w:rPr>
      </w:pPr>
      <w:r>
        <w:rPr>
          <w:rFonts w:hint="eastAsia"/>
        </w:rPr>
        <w:t xml:space="preserve">(adjusted odds ratio [aOR] = 1.9; 95% confidence interval: 1.1-3.2); </w:t>
      </w:r>
    </w:p>
    <w:p w14:paraId="54A04281">
      <w:pPr>
        <w:pStyle w:val="2"/>
        <w:rPr>
          <w:rFonts w:hint="eastAsia"/>
        </w:rPr>
      </w:pPr>
      <w:r>
        <w:rPr>
          <w:rFonts w:hint="eastAsia"/>
        </w:rPr>
        <w:t xml:space="preserve">unemployment (aOR = 2.9; 1.8-4.8); HIV (aOR = 1.8; 1.1-2.7); chronic lung </w:t>
      </w:r>
    </w:p>
    <w:p w14:paraId="69AEE8EC">
      <w:pPr>
        <w:pStyle w:val="2"/>
        <w:rPr>
          <w:rFonts w:hint="eastAsia"/>
        </w:rPr>
      </w:pPr>
      <w:r>
        <w:rPr>
          <w:rFonts w:hint="eastAsia"/>
        </w:rPr>
        <w:t xml:space="preserve">disease (aOR = 1.7; 1.0-2.9); renal impairment (aOR = 4.8; 1.8-12.9); </w:t>
      </w:r>
    </w:p>
    <w:p w14:paraId="197533FD">
      <w:pPr>
        <w:pStyle w:val="2"/>
        <w:rPr>
          <w:rFonts w:hint="eastAsia"/>
        </w:rPr>
      </w:pPr>
      <w:r>
        <w:rPr>
          <w:rFonts w:hint="eastAsia"/>
        </w:rPr>
        <w:t xml:space="preserve">underweight (aOR = 1.6; 1.1-2.4); and long regimen (aOR = 2.0; 1.3-3.2). Among </w:t>
      </w:r>
    </w:p>
    <w:p w14:paraId="56C2DDFD">
      <w:pPr>
        <w:pStyle w:val="2"/>
        <w:rPr>
          <w:rFonts w:hint="eastAsia"/>
        </w:rPr>
      </w:pPr>
      <w:r>
        <w:rPr>
          <w:rFonts w:hint="eastAsia"/>
        </w:rPr>
        <w:t xml:space="preserve">those with treatment success, 9.9% (57/578) had post-treatment mortality. This </w:t>
      </w:r>
    </w:p>
    <w:p w14:paraId="4818814F">
      <w:pPr>
        <w:pStyle w:val="2"/>
        <w:rPr>
          <w:rFonts w:hint="eastAsia"/>
        </w:rPr>
      </w:pPr>
      <w:r>
        <w:rPr>
          <w:rFonts w:hint="eastAsia"/>
        </w:rPr>
        <w:t xml:space="preserve">was associated with HIV (aOR = 2.0, 1.0-3.9), smoking (aOR = 2.7, 1.3-5.5), </w:t>
      </w:r>
    </w:p>
    <w:p w14:paraId="78023BAB">
      <w:pPr>
        <w:pStyle w:val="2"/>
        <w:rPr>
          <w:rFonts w:hint="eastAsia"/>
        </w:rPr>
      </w:pPr>
      <w:r>
        <w:rPr>
          <w:rFonts w:hint="eastAsia"/>
        </w:rPr>
        <w:t xml:space="preserve">chronic lung disease (aOR = 2.2, 1.1-4.7), previous loss-to-follow-up (aOR = </w:t>
      </w:r>
    </w:p>
    <w:p w14:paraId="04D75B37">
      <w:pPr>
        <w:pStyle w:val="2"/>
        <w:rPr>
          <w:rFonts w:hint="eastAsia"/>
        </w:rPr>
      </w:pPr>
      <w:r>
        <w:rPr>
          <w:rFonts w:hint="eastAsia"/>
        </w:rPr>
        <w:t xml:space="preserve">3.1, 1.1-8.7) and severe TB on their original chest radiography (aOR = 2.4, </w:t>
      </w:r>
    </w:p>
    <w:p w14:paraId="78FCCB21">
      <w:pPr>
        <w:pStyle w:val="2"/>
        <w:rPr>
          <w:rFonts w:hint="eastAsia"/>
        </w:rPr>
      </w:pPr>
      <w:r>
        <w:rPr>
          <w:rFonts w:hint="eastAsia"/>
        </w:rPr>
        <w:t>1.2-4.5).</w:t>
      </w:r>
    </w:p>
    <w:p w14:paraId="18A4288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INTERPRETATION: </w:t>
      </w:r>
      <w:r>
        <w:rPr>
          <w:rFonts w:hint="eastAsia"/>
        </w:rPr>
        <w:t xml:space="preserve">Adverse outcomes, including death after treatment success, were </w:t>
      </w:r>
    </w:p>
    <w:p w14:paraId="48061DFA">
      <w:pPr>
        <w:pStyle w:val="2"/>
        <w:rPr>
          <w:rFonts w:hint="eastAsia"/>
        </w:rPr>
      </w:pPr>
      <w:r>
        <w:rPr>
          <w:rFonts w:hint="eastAsia"/>
        </w:rPr>
        <w:t xml:space="preserve">common among people with MDR/RR-TB in Sierra Leone and associated with </w:t>
      </w:r>
    </w:p>
    <w:p w14:paraId="04F4B00A">
      <w:pPr>
        <w:pStyle w:val="2"/>
        <w:rPr>
          <w:rFonts w:hint="eastAsia"/>
        </w:rPr>
      </w:pPr>
      <w:r>
        <w:rPr>
          <w:rFonts w:hint="eastAsia"/>
        </w:rPr>
        <w:t xml:space="preserve">modifiable risk factors, highlighting the urgent need for holistic, </w:t>
      </w:r>
    </w:p>
    <w:p w14:paraId="40A171FA">
      <w:pPr>
        <w:pStyle w:val="2"/>
        <w:rPr>
          <w:rFonts w:hint="eastAsia"/>
        </w:rPr>
      </w:pPr>
      <w:r>
        <w:rPr>
          <w:rFonts w:hint="eastAsia"/>
        </w:rPr>
        <w:t xml:space="preserve">person-centred biosocial interventions for people with MDR/RR-TB throughout and </w:t>
      </w:r>
    </w:p>
    <w:p w14:paraId="68BBD80B">
      <w:pPr>
        <w:pStyle w:val="2"/>
        <w:rPr>
          <w:rFonts w:hint="eastAsia"/>
        </w:rPr>
      </w:pPr>
      <w:r>
        <w:rPr>
          <w:rFonts w:hint="eastAsia"/>
        </w:rPr>
        <w:t>beyond treatment.</w:t>
      </w:r>
    </w:p>
    <w:p w14:paraId="14BF1861">
      <w:pPr>
        <w:pStyle w:val="2"/>
        <w:rPr>
          <w:rFonts w:hint="eastAsia"/>
        </w:rPr>
      </w:pPr>
      <w:r>
        <w:rPr>
          <w:rFonts w:hint="eastAsia"/>
        </w:rPr>
        <w:t xml:space="preserve">FUNDING: Medical Research Council-MR/Y503216/1; Medical Research </w:t>
      </w:r>
    </w:p>
    <w:p w14:paraId="120E2188">
      <w:pPr>
        <w:pStyle w:val="2"/>
        <w:rPr>
          <w:rFonts w:hint="eastAsia"/>
        </w:rPr>
      </w:pPr>
      <w:r>
        <w:rPr>
          <w:rFonts w:hint="eastAsia"/>
        </w:rPr>
        <w:t>Foundation-MRF-131-0006-RG-KHOS-C0942.</w:t>
      </w:r>
    </w:p>
    <w:p w14:paraId="2E102B00">
      <w:pPr>
        <w:pStyle w:val="2"/>
        <w:rPr>
          <w:rFonts w:hint="eastAsia"/>
        </w:rPr>
      </w:pPr>
    </w:p>
    <w:p w14:paraId="45087291">
      <w:pPr>
        <w:pStyle w:val="2"/>
        <w:rPr>
          <w:rFonts w:hint="eastAsia"/>
        </w:rPr>
      </w:pPr>
      <w:r>
        <w:rPr>
          <w:rFonts w:hint="eastAsia"/>
        </w:rPr>
        <w:t>© 2026 The Author(s).</w:t>
      </w:r>
    </w:p>
    <w:p w14:paraId="1ED3FA54">
      <w:pPr>
        <w:pStyle w:val="2"/>
        <w:rPr>
          <w:rFonts w:hint="eastAsia"/>
        </w:rPr>
      </w:pPr>
    </w:p>
    <w:p w14:paraId="17847B80">
      <w:pPr>
        <w:pStyle w:val="2"/>
        <w:rPr>
          <w:rFonts w:hint="eastAsia"/>
        </w:rPr>
      </w:pPr>
      <w:r>
        <w:rPr>
          <w:rFonts w:hint="eastAsia"/>
        </w:rPr>
        <w:t>DOI: 10.1016/j.lanafr.2026.100061</w:t>
      </w:r>
    </w:p>
    <w:p w14:paraId="088B0266">
      <w:pPr>
        <w:pStyle w:val="2"/>
        <w:rPr>
          <w:rFonts w:hint="eastAsia"/>
        </w:rPr>
      </w:pPr>
      <w:r>
        <w:rPr>
          <w:rFonts w:hint="eastAsia"/>
        </w:rPr>
        <w:t>PMCID: PMC13672282</w:t>
      </w:r>
    </w:p>
    <w:p w14:paraId="72723E21">
      <w:pPr>
        <w:pStyle w:val="2"/>
        <w:rPr>
          <w:rFonts w:hint="eastAsia"/>
        </w:rPr>
      </w:pPr>
      <w:r>
        <w:rPr>
          <w:rFonts w:hint="eastAsia"/>
        </w:rPr>
        <w:t>PMID: 42890781</w:t>
      </w:r>
    </w:p>
    <w:p w14:paraId="6C38E034">
      <w:pPr>
        <w:pStyle w:val="2"/>
        <w:rPr>
          <w:rFonts w:hint="eastAsia"/>
        </w:rPr>
      </w:pPr>
    </w:p>
    <w:p w14:paraId="4EF1ED3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62</w:t>
      </w:r>
      <w:r>
        <w:rPr>
          <w:rFonts w:hint="eastAsia"/>
          <w:b/>
          <w:bCs/>
          <w:color w:val="FF0000"/>
        </w:rPr>
        <w:t xml:space="preserve">. Front Public Health. 2026 Oct 2;14:1828161. doi: 10.3389/fpubh.2026.1828161. </w:t>
      </w:r>
    </w:p>
    <w:p w14:paraId="6ED4085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3A0A5AC8">
      <w:pPr>
        <w:pStyle w:val="2"/>
        <w:rPr>
          <w:rFonts w:hint="eastAsia"/>
        </w:rPr>
      </w:pPr>
    </w:p>
    <w:p w14:paraId="309B35E7">
      <w:pPr>
        <w:pStyle w:val="2"/>
        <w:rPr>
          <w:rFonts w:hint="eastAsia"/>
        </w:rPr>
      </w:pPr>
      <w:r>
        <w:rPr>
          <w:rFonts w:hint="eastAsia"/>
        </w:rPr>
        <w:t xml:space="preserve">Pathways and barriers to tuberculosis care for refugees in Taraba State, </w:t>
      </w:r>
    </w:p>
    <w:p w14:paraId="34E177FB">
      <w:pPr>
        <w:pStyle w:val="2"/>
        <w:rPr>
          <w:rFonts w:hint="eastAsia"/>
        </w:rPr>
      </w:pPr>
      <w:r>
        <w:rPr>
          <w:rFonts w:hint="eastAsia"/>
        </w:rPr>
        <w:t>Nigeria.</w:t>
      </w:r>
    </w:p>
    <w:p w14:paraId="4205007B">
      <w:pPr>
        <w:pStyle w:val="2"/>
        <w:rPr>
          <w:rFonts w:hint="eastAsia"/>
        </w:rPr>
      </w:pPr>
    </w:p>
    <w:p w14:paraId="1E431C97">
      <w:pPr>
        <w:pStyle w:val="2"/>
        <w:rPr>
          <w:rFonts w:hint="eastAsia"/>
        </w:rPr>
      </w:pPr>
      <w:r>
        <w:rPr>
          <w:rFonts w:hint="eastAsia"/>
        </w:rPr>
        <w:t>Versfeld A(1)(2), Abdulkarim S(3), John S(4), Abdulkarim A(5), Smyth C(2).</w:t>
      </w:r>
    </w:p>
    <w:p w14:paraId="2BD74FCF">
      <w:pPr>
        <w:pStyle w:val="2"/>
        <w:rPr>
          <w:rFonts w:hint="eastAsia"/>
        </w:rPr>
      </w:pPr>
    </w:p>
    <w:p w14:paraId="7E3E0E8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0161035">
      <w:pPr>
        <w:pStyle w:val="2"/>
        <w:rPr>
          <w:rFonts w:hint="eastAsia"/>
        </w:rPr>
      </w:pPr>
      <w:r>
        <w:rPr>
          <w:rFonts w:hint="eastAsia"/>
        </w:rPr>
        <w:t xml:space="preserve">(1)Department of Sociology and Anthropology, Nelson Mandela University, </w:t>
      </w:r>
    </w:p>
    <w:p w14:paraId="669A5AE2">
      <w:pPr>
        <w:pStyle w:val="2"/>
        <w:rPr>
          <w:rFonts w:hint="eastAsia"/>
        </w:rPr>
      </w:pPr>
      <w:r>
        <w:rPr>
          <w:rFonts w:hint="eastAsia"/>
        </w:rPr>
        <w:t>Gqeberha, South Africa.</w:t>
      </w:r>
    </w:p>
    <w:p w14:paraId="119F63CF">
      <w:pPr>
        <w:pStyle w:val="2"/>
        <w:rPr>
          <w:rFonts w:hint="eastAsia"/>
        </w:rPr>
      </w:pPr>
      <w:r>
        <w:rPr>
          <w:rFonts w:hint="eastAsia"/>
        </w:rPr>
        <w:t>(2)Stop TB Partnership, Geneva, Switzerland.</w:t>
      </w:r>
    </w:p>
    <w:p w14:paraId="2911C866">
      <w:pPr>
        <w:pStyle w:val="2"/>
        <w:rPr>
          <w:rFonts w:hint="eastAsia"/>
        </w:rPr>
      </w:pPr>
      <w:r>
        <w:rPr>
          <w:rFonts w:hint="eastAsia"/>
        </w:rPr>
        <w:t>(3)Sufabel Community Development Initiative, Gombe, Nigeria.</w:t>
      </w:r>
    </w:p>
    <w:p w14:paraId="7657974C">
      <w:pPr>
        <w:pStyle w:val="2"/>
        <w:rPr>
          <w:rFonts w:hint="eastAsia"/>
        </w:rPr>
      </w:pPr>
      <w:r>
        <w:rPr>
          <w:rFonts w:hint="eastAsia"/>
        </w:rPr>
        <w:t>(4)Janna Health Foundation, Yola, Nigeria.</w:t>
      </w:r>
    </w:p>
    <w:p w14:paraId="3197A75A">
      <w:pPr>
        <w:pStyle w:val="2"/>
        <w:rPr>
          <w:rFonts w:hint="eastAsia"/>
        </w:rPr>
      </w:pPr>
      <w:r>
        <w:rPr>
          <w:rFonts w:hint="eastAsia"/>
        </w:rPr>
        <w:t>(5)Independent Consultant, Gombe, Nigeria.</w:t>
      </w:r>
    </w:p>
    <w:p w14:paraId="576CDE58">
      <w:pPr>
        <w:pStyle w:val="2"/>
        <w:rPr>
          <w:rFonts w:hint="eastAsia"/>
        </w:rPr>
      </w:pPr>
    </w:p>
    <w:p w14:paraId="3B66905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INTRODUCTION: </w:t>
      </w:r>
      <w:r>
        <w:rPr>
          <w:rFonts w:hint="eastAsia"/>
        </w:rPr>
        <w:t xml:space="preserve">Refugee and displaced populations experience high tuberculosis </w:t>
      </w:r>
    </w:p>
    <w:p w14:paraId="5E148851">
      <w:pPr>
        <w:pStyle w:val="2"/>
        <w:rPr>
          <w:rFonts w:hint="eastAsia"/>
        </w:rPr>
      </w:pPr>
      <w:r>
        <w:rPr>
          <w:rFonts w:hint="eastAsia"/>
        </w:rPr>
        <w:t xml:space="preserve">(TB) burdens and face substantial barriers to accessing diagnosis and treatment. </w:t>
      </w:r>
    </w:p>
    <w:p w14:paraId="6DF5927C">
      <w:pPr>
        <w:pStyle w:val="2"/>
        <w:rPr>
          <w:rFonts w:hint="eastAsia"/>
        </w:rPr>
      </w:pPr>
      <w:r>
        <w:rPr>
          <w:rFonts w:hint="eastAsia"/>
        </w:rPr>
        <w:t xml:space="preserve">Taraba State in north-eastern Nigeria hosts approximately 80,000 refugees, </w:t>
      </w:r>
    </w:p>
    <w:p w14:paraId="2A11922C">
      <w:pPr>
        <w:pStyle w:val="2"/>
        <w:rPr>
          <w:rFonts w:hint="eastAsia"/>
        </w:rPr>
      </w:pPr>
      <w:r>
        <w:rPr>
          <w:rFonts w:hint="eastAsia"/>
        </w:rPr>
        <w:t xml:space="preserve">primarily from Cameroon, many living in remote areas with limited TB services. </w:t>
      </w:r>
    </w:p>
    <w:p w14:paraId="6E39B324">
      <w:pPr>
        <w:pStyle w:val="2"/>
        <w:rPr>
          <w:rFonts w:hint="eastAsia"/>
        </w:rPr>
      </w:pPr>
      <w:r>
        <w:rPr>
          <w:rFonts w:hint="eastAsia"/>
        </w:rPr>
        <w:t xml:space="preserve">Evidence on how refugees access TB care in this setting remains limited. This </w:t>
      </w:r>
    </w:p>
    <w:p w14:paraId="25E90B38">
      <w:pPr>
        <w:pStyle w:val="2"/>
        <w:rPr>
          <w:rFonts w:hint="eastAsia"/>
        </w:rPr>
      </w:pPr>
      <w:r>
        <w:rPr>
          <w:rFonts w:hint="eastAsia"/>
        </w:rPr>
        <w:t xml:space="preserve">study examined the pathways refugees follow from symptom onset to TB diagnosis </w:t>
      </w:r>
    </w:p>
    <w:p w14:paraId="782452BC">
      <w:pPr>
        <w:pStyle w:val="2"/>
        <w:rPr>
          <w:rFonts w:hint="eastAsia"/>
        </w:rPr>
      </w:pPr>
      <w:r>
        <w:rPr>
          <w:rFonts w:hint="eastAsia"/>
        </w:rPr>
        <w:t>and identified barriers to accessing and sustaining care.</w:t>
      </w:r>
    </w:p>
    <w:p w14:paraId="375816D0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 mixed-methods study was conducted between May 2022 and December 2023 </w:t>
      </w:r>
    </w:p>
    <w:p w14:paraId="13D992F1">
      <w:pPr>
        <w:pStyle w:val="2"/>
        <w:rPr>
          <w:rFonts w:hint="eastAsia"/>
        </w:rPr>
      </w:pPr>
      <w:r>
        <w:rPr>
          <w:rFonts w:hint="eastAsia"/>
        </w:rPr>
        <w:t xml:space="preserve">in Sardauna, Gashaka, and Kurmi Local Government Areas of Taraba State. </w:t>
      </w:r>
    </w:p>
    <w:p w14:paraId="02D9F301">
      <w:pPr>
        <w:pStyle w:val="2"/>
        <w:rPr>
          <w:rFonts w:hint="eastAsia"/>
        </w:rPr>
      </w:pPr>
      <w:r>
        <w:rPr>
          <w:rFonts w:hint="eastAsia"/>
        </w:rPr>
        <w:t xml:space="preserve">Qualitative data included semi-structured interviews with 41 people receiving TB </w:t>
      </w:r>
    </w:p>
    <w:p w14:paraId="1C3B97C3">
      <w:pPr>
        <w:pStyle w:val="2"/>
        <w:rPr>
          <w:rFonts w:hint="eastAsia"/>
        </w:rPr>
      </w:pPr>
      <w:r>
        <w:rPr>
          <w:rFonts w:hint="eastAsia"/>
        </w:rPr>
        <w:t xml:space="preserve">treatment, eight family members, eight community and religious leaders, and </w:t>
      </w:r>
    </w:p>
    <w:p w14:paraId="3CD97BB9">
      <w:pPr>
        <w:pStyle w:val="2"/>
        <w:rPr>
          <w:rFonts w:hint="eastAsia"/>
        </w:rPr>
      </w:pPr>
      <w:r>
        <w:rPr>
          <w:rFonts w:hint="eastAsia"/>
        </w:rPr>
        <w:t xml:space="preserve">eight facilitated discussions with healthcare workers and people affected by TB. </w:t>
      </w:r>
    </w:p>
    <w:p w14:paraId="5989AFC2">
      <w:pPr>
        <w:pStyle w:val="2"/>
        <w:rPr>
          <w:rFonts w:hint="eastAsia"/>
        </w:rPr>
      </w:pPr>
      <w:r>
        <w:rPr>
          <w:rFonts w:hint="eastAsia"/>
        </w:rPr>
        <w:t xml:space="preserve">Quantitative data were collected through a 15-item Likert-scale questionnaire </w:t>
      </w:r>
    </w:p>
    <w:p w14:paraId="7EFA6B62">
      <w:pPr>
        <w:pStyle w:val="2"/>
        <w:rPr>
          <w:rFonts w:hint="eastAsia"/>
        </w:rPr>
      </w:pPr>
      <w:r>
        <w:rPr>
          <w:rFonts w:hint="eastAsia"/>
        </w:rPr>
        <w:t xml:space="preserve">administered to 130 people receiving TB treatment. Qualitative data were </w:t>
      </w:r>
    </w:p>
    <w:p w14:paraId="7BAB7D17">
      <w:pPr>
        <w:pStyle w:val="2"/>
        <w:rPr>
          <w:rFonts w:hint="eastAsia"/>
        </w:rPr>
      </w:pPr>
      <w:r>
        <w:rPr>
          <w:rFonts w:hint="eastAsia"/>
        </w:rPr>
        <w:t>thematically analyzed, while quantitative data were analyzed descriptively.</w:t>
      </w:r>
    </w:p>
    <w:p w14:paraId="7E2B4A9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Refugees described prolonged and complex pathways to TB diagnosis. </w:t>
      </w:r>
    </w:p>
    <w:p w14:paraId="2958E270">
      <w:pPr>
        <w:pStyle w:val="2"/>
        <w:rPr>
          <w:rFonts w:hint="eastAsia"/>
        </w:rPr>
      </w:pPr>
      <w:r>
        <w:rPr>
          <w:rFonts w:hint="eastAsia"/>
        </w:rPr>
        <w:t xml:space="preserve">Symptoms were often initially attributed to common illnesses, leading most </w:t>
      </w:r>
    </w:p>
    <w:p w14:paraId="12596585">
      <w:pPr>
        <w:pStyle w:val="2"/>
        <w:rPr>
          <w:rFonts w:hint="eastAsia"/>
        </w:rPr>
      </w:pPr>
      <w:r>
        <w:rPr>
          <w:rFonts w:hint="eastAsia"/>
        </w:rPr>
        <w:t xml:space="preserve">participants to first seek care from patent medicine vendors or traditional </w:t>
      </w:r>
    </w:p>
    <w:p w14:paraId="79C1E764">
      <w:pPr>
        <w:pStyle w:val="2"/>
        <w:rPr>
          <w:rFonts w:hint="eastAsia"/>
        </w:rPr>
      </w:pPr>
      <w:r>
        <w:rPr>
          <w:rFonts w:hint="eastAsia"/>
        </w:rPr>
        <w:t xml:space="preserve">providers. Misdiagnoses across sectors contributed to substantial delays, with a </w:t>
      </w:r>
    </w:p>
    <w:p w14:paraId="4B20327E">
      <w:pPr>
        <w:pStyle w:val="2"/>
        <w:rPr>
          <w:rFonts w:hint="eastAsia"/>
        </w:rPr>
      </w:pPr>
      <w:r>
        <w:rPr>
          <w:rFonts w:hint="eastAsia"/>
        </w:rPr>
        <w:t xml:space="preserve">median time to diagnosis of 7 months and longer delays among women. Participants </w:t>
      </w:r>
    </w:p>
    <w:p w14:paraId="5E862B58">
      <w:pPr>
        <w:pStyle w:val="2"/>
        <w:rPr>
          <w:rFonts w:hint="eastAsia"/>
        </w:rPr>
      </w:pPr>
      <w:r>
        <w:rPr>
          <w:rFonts w:hint="eastAsia"/>
        </w:rPr>
        <w:t xml:space="preserve">reported high out-of-pocket expenditures before diagnosis. Our sample focused on </w:t>
      </w:r>
    </w:p>
    <w:p w14:paraId="7693490B">
      <w:pPr>
        <w:pStyle w:val="2"/>
        <w:rPr>
          <w:rFonts w:hint="eastAsia"/>
        </w:rPr>
      </w:pPr>
      <w:r>
        <w:rPr>
          <w:rFonts w:hint="eastAsia"/>
        </w:rPr>
        <w:t xml:space="preserve">people who received a TB diagnosis. The tenacity, resources, and resilience for </w:t>
      </w:r>
    </w:p>
    <w:p w14:paraId="1F50E40F">
      <w:pPr>
        <w:pStyle w:val="2"/>
        <w:rPr>
          <w:rFonts w:hint="eastAsia"/>
        </w:rPr>
      </w:pPr>
      <w:r>
        <w:rPr>
          <w:rFonts w:hint="eastAsia"/>
        </w:rPr>
        <w:t xml:space="preserve">diagnosis they described suggest that many others likely went undiagnosed. Major </w:t>
      </w:r>
    </w:p>
    <w:p w14:paraId="7C53BC1C">
      <w:pPr>
        <w:pStyle w:val="2"/>
        <w:rPr>
          <w:rFonts w:hint="eastAsia"/>
        </w:rPr>
      </w:pPr>
      <w:r>
        <w:rPr>
          <w:rFonts w:hint="eastAsia"/>
        </w:rPr>
        <w:t xml:space="preserve">barriers to accessing and sustaining care included food insecurity, transport </w:t>
      </w:r>
    </w:p>
    <w:p w14:paraId="3291330F">
      <w:pPr>
        <w:pStyle w:val="2"/>
        <w:rPr>
          <w:rFonts w:hint="eastAsia"/>
        </w:rPr>
      </w:pPr>
      <w:r>
        <w:rPr>
          <w:rFonts w:hint="eastAsia"/>
        </w:rPr>
        <w:t xml:space="preserve">and healthcare costs, anticipated stigma, language barriers, long distances to </w:t>
      </w:r>
    </w:p>
    <w:p w14:paraId="14A62C26">
      <w:pPr>
        <w:pStyle w:val="2"/>
        <w:rPr>
          <w:rFonts w:hint="eastAsia"/>
        </w:rPr>
      </w:pPr>
      <w:r>
        <w:rPr>
          <w:rFonts w:hint="eastAsia"/>
        </w:rPr>
        <w:t xml:space="preserve">facilities, poor facility conditions, and negative experiences with healthcare </w:t>
      </w:r>
    </w:p>
    <w:p w14:paraId="601F0AB0">
      <w:pPr>
        <w:pStyle w:val="2"/>
        <w:rPr>
          <w:rFonts w:hint="eastAsia"/>
        </w:rPr>
      </w:pPr>
      <w:r>
        <w:rPr>
          <w:rFonts w:hint="eastAsia"/>
        </w:rPr>
        <w:t>providers.</w:t>
      </w:r>
    </w:p>
    <w:p w14:paraId="3A247912">
      <w:pPr>
        <w:pStyle w:val="2"/>
        <w:rPr>
          <w:rFonts w:hint="eastAsia"/>
        </w:rPr>
      </w:pPr>
      <w:r>
        <w:rPr>
          <w:rFonts w:hint="eastAsia"/>
          <w:b/>
          <w:bCs/>
        </w:rPr>
        <w:t>DISCUSSION:</w:t>
      </w:r>
      <w:r>
        <w:rPr>
          <w:rFonts w:hint="eastAsia"/>
        </w:rPr>
        <w:t xml:space="preserve"> Refugees in Taraba State navigate long, costly, and often arduous </w:t>
      </w:r>
    </w:p>
    <w:p w14:paraId="3D00EC9F">
      <w:pPr>
        <w:pStyle w:val="2"/>
        <w:rPr>
          <w:rFonts w:hint="eastAsia"/>
        </w:rPr>
      </w:pPr>
      <w:r>
        <w:rPr>
          <w:rFonts w:hint="eastAsia"/>
        </w:rPr>
        <w:t xml:space="preserve">journeys before receiving a TB diagnosis, frequently consulting multiple </w:t>
      </w:r>
    </w:p>
    <w:p w14:paraId="7A75C0F5">
      <w:pPr>
        <w:pStyle w:val="2"/>
        <w:rPr>
          <w:rFonts w:hint="eastAsia"/>
        </w:rPr>
      </w:pPr>
      <w:r>
        <w:rPr>
          <w:rFonts w:hint="eastAsia"/>
        </w:rPr>
        <w:t xml:space="preserve">providers and exhausting scarce resources in the process. Multiple, gendered </w:t>
      </w:r>
    </w:p>
    <w:p w14:paraId="44E7D687">
      <w:pPr>
        <w:pStyle w:val="2"/>
        <w:rPr>
          <w:rFonts w:hint="eastAsia"/>
        </w:rPr>
      </w:pPr>
      <w:r>
        <w:rPr>
          <w:rFonts w:hint="eastAsia"/>
        </w:rPr>
        <w:t xml:space="preserve">barriers to care make continued care access an ongoing challenge. These findings </w:t>
      </w:r>
    </w:p>
    <w:p w14:paraId="73542F11">
      <w:pPr>
        <w:pStyle w:val="2"/>
        <w:rPr>
          <w:rFonts w:hint="eastAsia"/>
        </w:rPr>
      </w:pPr>
      <w:r>
        <w:rPr>
          <w:rFonts w:hint="eastAsia"/>
        </w:rPr>
        <w:t xml:space="preserve">underscore both the persistence of people seeking care and the systemic barriers </w:t>
      </w:r>
    </w:p>
    <w:p w14:paraId="532A0E28">
      <w:pPr>
        <w:pStyle w:val="2"/>
        <w:rPr>
          <w:rFonts w:hint="eastAsia"/>
        </w:rPr>
      </w:pPr>
      <w:r>
        <w:rPr>
          <w:rFonts w:hint="eastAsia"/>
        </w:rPr>
        <w:t xml:space="preserve">that shape access to TB services. Without addressing these structural </w:t>
      </w:r>
    </w:p>
    <w:p w14:paraId="05A4FBD7">
      <w:pPr>
        <w:pStyle w:val="2"/>
        <w:rPr>
          <w:rFonts w:hint="eastAsia"/>
        </w:rPr>
      </w:pPr>
      <w:r>
        <w:rPr>
          <w:rFonts w:hint="eastAsia"/>
        </w:rPr>
        <w:t xml:space="preserve">constraints, earlier diagnosis and equitable TB care for displaced populations </w:t>
      </w:r>
    </w:p>
    <w:p w14:paraId="0426B85E">
      <w:pPr>
        <w:pStyle w:val="2"/>
        <w:rPr>
          <w:rFonts w:hint="eastAsia"/>
        </w:rPr>
      </w:pPr>
      <w:r>
        <w:rPr>
          <w:rFonts w:hint="eastAsia"/>
        </w:rPr>
        <w:t>will remain difficult to achieve.</w:t>
      </w:r>
    </w:p>
    <w:p w14:paraId="72B14C6C">
      <w:pPr>
        <w:pStyle w:val="2"/>
        <w:rPr>
          <w:rFonts w:hint="eastAsia"/>
        </w:rPr>
      </w:pPr>
    </w:p>
    <w:p w14:paraId="3525A929">
      <w:pPr>
        <w:pStyle w:val="2"/>
        <w:rPr>
          <w:rFonts w:hint="eastAsia"/>
        </w:rPr>
      </w:pPr>
      <w:r>
        <w:rPr>
          <w:rFonts w:hint="eastAsia"/>
        </w:rPr>
        <w:t>Copyright © 2026 Versfeld, Abdulkarim, John, Abdulkarim and Smyth.</w:t>
      </w:r>
    </w:p>
    <w:p w14:paraId="3C72A4E4">
      <w:pPr>
        <w:pStyle w:val="2"/>
        <w:rPr>
          <w:rFonts w:hint="eastAsia"/>
        </w:rPr>
      </w:pPr>
    </w:p>
    <w:p w14:paraId="248C0554">
      <w:pPr>
        <w:pStyle w:val="2"/>
        <w:rPr>
          <w:rFonts w:hint="eastAsia"/>
        </w:rPr>
      </w:pPr>
      <w:r>
        <w:rPr>
          <w:rFonts w:hint="eastAsia"/>
        </w:rPr>
        <w:t>DOI: 10.3389/fpubh.2026.1828161</w:t>
      </w:r>
    </w:p>
    <w:p w14:paraId="679CE572">
      <w:pPr>
        <w:pStyle w:val="2"/>
        <w:rPr>
          <w:rFonts w:hint="eastAsia"/>
        </w:rPr>
      </w:pPr>
      <w:r>
        <w:rPr>
          <w:rFonts w:hint="eastAsia"/>
        </w:rPr>
        <w:t>PMCID: PMC13672008</w:t>
      </w:r>
    </w:p>
    <w:p w14:paraId="0D8FF068">
      <w:pPr>
        <w:pStyle w:val="2"/>
        <w:rPr>
          <w:rFonts w:hint="eastAsia"/>
        </w:rPr>
      </w:pPr>
      <w:r>
        <w:rPr>
          <w:rFonts w:hint="eastAsia"/>
        </w:rPr>
        <w:t>PMID: 42890662 [Indexed for MEDLINE]</w:t>
      </w:r>
    </w:p>
    <w:p w14:paraId="3AEEE122">
      <w:pPr>
        <w:pStyle w:val="2"/>
        <w:rPr>
          <w:rFonts w:hint="eastAsia"/>
        </w:rPr>
      </w:pPr>
    </w:p>
    <w:p w14:paraId="1C92D93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63</w:t>
      </w:r>
      <w:r>
        <w:rPr>
          <w:rFonts w:hint="eastAsia"/>
          <w:b/>
          <w:bCs/>
          <w:color w:val="FF0000"/>
        </w:rPr>
        <w:t xml:space="preserve">. Front Immunol. 2026 Oct 2;17:1954262. doi: 10.3389/fimmu.2026.1954262. </w:t>
      </w:r>
    </w:p>
    <w:p w14:paraId="49E63CC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00DA9088">
      <w:pPr>
        <w:pStyle w:val="2"/>
        <w:rPr>
          <w:rFonts w:hint="eastAsia"/>
        </w:rPr>
      </w:pPr>
    </w:p>
    <w:p w14:paraId="6271FF15">
      <w:pPr>
        <w:pStyle w:val="2"/>
        <w:rPr>
          <w:rFonts w:hint="eastAsia"/>
        </w:rPr>
      </w:pPr>
      <w:r>
        <w:rPr>
          <w:rFonts w:hint="eastAsia"/>
        </w:rPr>
        <w:t xml:space="preserve">Comparative serum cytokine and chemokine profiles across tuberculosis, latent </w:t>
      </w:r>
    </w:p>
    <w:p w14:paraId="476B4B66">
      <w:pPr>
        <w:pStyle w:val="2"/>
        <w:rPr>
          <w:rFonts w:hint="eastAsia"/>
        </w:rPr>
      </w:pPr>
      <w:r>
        <w:rPr>
          <w:rFonts w:hint="eastAsia"/>
        </w:rPr>
        <w:t>TB, HIV, and COVID-19 infections in Namibian adults.</w:t>
      </w:r>
    </w:p>
    <w:p w14:paraId="28241D31">
      <w:pPr>
        <w:pStyle w:val="2"/>
        <w:rPr>
          <w:rFonts w:hint="eastAsia"/>
        </w:rPr>
      </w:pPr>
    </w:p>
    <w:p w14:paraId="54F6C5DC">
      <w:pPr>
        <w:pStyle w:val="2"/>
        <w:rPr>
          <w:rFonts w:hint="eastAsia"/>
        </w:rPr>
      </w:pPr>
      <w:r>
        <w:rPr>
          <w:rFonts w:hint="eastAsia"/>
        </w:rPr>
        <w:t xml:space="preserve">Katali OKH(1)(2), Hertz D(3), Claassens M(2), Kapewangolo P(1), Woldetsadik </w:t>
      </w:r>
    </w:p>
    <w:p w14:paraId="174A4BAF">
      <w:pPr>
        <w:pStyle w:val="2"/>
        <w:rPr>
          <w:rFonts w:hint="eastAsia"/>
        </w:rPr>
      </w:pPr>
      <w:r>
        <w:rPr>
          <w:rFonts w:hint="eastAsia"/>
        </w:rPr>
        <w:t xml:space="preserve">TK(4), Modongo C(5), Niemann S(#)(2)(6)(7)(8)(9), Schneider BE(#)(3), Nepolo </w:t>
      </w:r>
    </w:p>
    <w:p w14:paraId="2FBA34BB">
      <w:pPr>
        <w:pStyle w:val="2"/>
        <w:rPr>
          <w:rFonts w:hint="eastAsia"/>
        </w:rPr>
      </w:pPr>
      <w:r>
        <w:rPr>
          <w:rFonts w:hint="eastAsia"/>
        </w:rPr>
        <w:t>E(#)(2).</w:t>
      </w:r>
    </w:p>
    <w:p w14:paraId="03DA7AAC">
      <w:pPr>
        <w:pStyle w:val="2"/>
        <w:rPr>
          <w:rFonts w:hint="eastAsia"/>
        </w:rPr>
      </w:pPr>
    </w:p>
    <w:p w14:paraId="2ABCA1D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F6A864F">
      <w:pPr>
        <w:pStyle w:val="2"/>
        <w:rPr>
          <w:rFonts w:hint="eastAsia"/>
        </w:rPr>
      </w:pPr>
      <w:r>
        <w:rPr>
          <w:rFonts w:hint="eastAsia"/>
        </w:rPr>
        <w:t xml:space="preserve">(1)Department of Biochemistry, Microbiology and Biotechnology, University of </w:t>
      </w:r>
    </w:p>
    <w:p w14:paraId="2D64D7CA">
      <w:pPr>
        <w:pStyle w:val="2"/>
        <w:rPr>
          <w:rFonts w:hint="eastAsia"/>
        </w:rPr>
      </w:pPr>
      <w:r>
        <w:rPr>
          <w:rFonts w:hint="eastAsia"/>
        </w:rPr>
        <w:t>Namibia, Windhoek, Namibia.</w:t>
      </w:r>
    </w:p>
    <w:p w14:paraId="283D8DEF">
      <w:pPr>
        <w:pStyle w:val="2"/>
        <w:rPr>
          <w:rFonts w:hint="eastAsia"/>
        </w:rPr>
      </w:pPr>
      <w:r>
        <w:rPr>
          <w:rFonts w:hint="eastAsia"/>
        </w:rPr>
        <w:t xml:space="preserve">(2)Department of Human, Biological &amp; Translational Medical Sciences, University </w:t>
      </w:r>
    </w:p>
    <w:p w14:paraId="0D1B2582">
      <w:pPr>
        <w:pStyle w:val="2"/>
        <w:rPr>
          <w:rFonts w:hint="eastAsia"/>
        </w:rPr>
      </w:pPr>
      <w:r>
        <w:rPr>
          <w:rFonts w:hint="eastAsia"/>
        </w:rPr>
        <w:t>of Namibia, Windhoek, Namibia.</w:t>
      </w:r>
    </w:p>
    <w:p w14:paraId="32DDE17C">
      <w:pPr>
        <w:pStyle w:val="2"/>
        <w:rPr>
          <w:rFonts w:hint="eastAsia"/>
        </w:rPr>
      </w:pPr>
      <w:r>
        <w:rPr>
          <w:rFonts w:hint="eastAsia"/>
        </w:rPr>
        <w:t xml:space="preserve">(3)Host Determinants in Lung Infections, Research Center Borstel, Leibniz Lung </w:t>
      </w:r>
    </w:p>
    <w:p w14:paraId="7A334A91">
      <w:pPr>
        <w:pStyle w:val="2"/>
        <w:rPr>
          <w:rFonts w:hint="eastAsia"/>
        </w:rPr>
      </w:pPr>
      <w:r>
        <w:rPr>
          <w:rFonts w:hint="eastAsia"/>
        </w:rPr>
        <w:t>Center, Borstel, Germany.</w:t>
      </w:r>
    </w:p>
    <w:p w14:paraId="3DA7AA17">
      <w:pPr>
        <w:pStyle w:val="2"/>
        <w:rPr>
          <w:rFonts w:hint="eastAsia"/>
        </w:rPr>
      </w:pPr>
      <w:r>
        <w:rPr>
          <w:rFonts w:hint="eastAsia"/>
        </w:rPr>
        <w:t>(4)Health Poverty Action, London, United Kingdom.</w:t>
      </w:r>
    </w:p>
    <w:p w14:paraId="1CF2D6EE">
      <w:pPr>
        <w:pStyle w:val="2"/>
        <w:rPr>
          <w:rFonts w:hint="eastAsia"/>
        </w:rPr>
      </w:pPr>
      <w:r>
        <w:rPr>
          <w:rFonts w:hint="eastAsia"/>
        </w:rPr>
        <w:t>(5)Victus Global Botswana Organisation, Gaborone, Botswana.</w:t>
      </w:r>
    </w:p>
    <w:p w14:paraId="21FEC98B">
      <w:pPr>
        <w:pStyle w:val="2"/>
        <w:rPr>
          <w:rFonts w:hint="eastAsia"/>
        </w:rPr>
      </w:pPr>
      <w:r>
        <w:rPr>
          <w:rFonts w:hint="eastAsia"/>
        </w:rPr>
        <w:t xml:space="preserve">(6)Molecular and Experimental Mycobacteriology, Research Center Borstel, Leibniz </w:t>
      </w:r>
    </w:p>
    <w:p w14:paraId="79BE4358">
      <w:pPr>
        <w:pStyle w:val="2"/>
        <w:rPr>
          <w:rFonts w:hint="eastAsia"/>
        </w:rPr>
      </w:pPr>
      <w:r>
        <w:rPr>
          <w:rFonts w:hint="eastAsia"/>
        </w:rPr>
        <w:t>Lung Center, Borstel, Germany.</w:t>
      </w:r>
    </w:p>
    <w:p w14:paraId="177F6C48">
      <w:pPr>
        <w:pStyle w:val="2"/>
        <w:rPr>
          <w:rFonts w:hint="eastAsia"/>
        </w:rPr>
      </w:pPr>
      <w:r>
        <w:rPr>
          <w:rFonts w:hint="eastAsia"/>
        </w:rPr>
        <w:t xml:space="preserve">(7)German Center for Infection Research (DZIF), Partner Site </w:t>
      </w:r>
    </w:p>
    <w:p w14:paraId="464DC0EB">
      <w:pPr>
        <w:pStyle w:val="2"/>
        <w:rPr>
          <w:rFonts w:hint="eastAsia"/>
        </w:rPr>
      </w:pPr>
      <w:r>
        <w:rPr>
          <w:rFonts w:hint="eastAsia"/>
        </w:rPr>
        <w:t>Hamburg-Lübeck-Borstel-Riems, Borstel, Germany.</w:t>
      </w:r>
    </w:p>
    <w:p w14:paraId="4FFCA499">
      <w:pPr>
        <w:pStyle w:val="2"/>
        <w:rPr>
          <w:rFonts w:hint="eastAsia"/>
        </w:rPr>
      </w:pPr>
      <w:r>
        <w:rPr>
          <w:rFonts w:hint="eastAsia"/>
        </w:rPr>
        <w:t xml:space="preserve">(8)Phylogenomics, Phylodynamics and Host-Pathogen Interactions team, EPHE, PSL </w:t>
      </w:r>
    </w:p>
    <w:p w14:paraId="01D1D3A4">
      <w:pPr>
        <w:pStyle w:val="2"/>
        <w:rPr>
          <w:rFonts w:hint="eastAsia"/>
        </w:rPr>
      </w:pPr>
      <w:r>
        <w:rPr>
          <w:rFonts w:hint="eastAsia"/>
        </w:rPr>
        <w:t>University, Paris, France.</w:t>
      </w:r>
    </w:p>
    <w:p w14:paraId="69192F0A">
      <w:pPr>
        <w:pStyle w:val="2"/>
        <w:rPr>
          <w:rFonts w:hint="eastAsia"/>
        </w:rPr>
      </w:pPr>
      <w:r>
        <w:rPr>
          <w:rFonts w:hint="eastAsia"/>
        </w:rPr>
        <w:t xml:space="preserve">(9)Institut de Systématique, Evolution, Biodiversité (ISYEB), MNHN, CNRS, SU, </w:t>
      </w:r>
    </w:p>
    <w:p w14:paraId="4312F03D">
      <w:pPr>
        <w:pStyle w:val="2"/>
        <w:rPr>
          <w:rFonts w:hint="eastAsia"/>
        </w:rPr>
      </w:pPr>
      <w:r>
        <w:rPr>
          <w:rFonts w:hint="eastAsia"/>
        </w:rPr>
        <w:t>UA, EPHE, Paris, France.</w:t>
      </w:r>
    </w:p>
    <w:p w14:paraId="5E79BB2B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4C351B88">
      <w:pPr>
        <w:pStyle w:val="2"/>
        <w:rPr>
          <w:rFonts w:hint="eastAsia"/>
        </w:rPr>
      </w:pPr>
    </w:p>
    <w:p w14:paraId="01C5577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The devastating pandemic of coronavirus disease 2019 (COVID-19) </w:t>
      </w:r>
    </w:p>
    <w:p w14:paraId="62DC3724">
      <w:pPr>
        <w:pStyle w:val="2"/>
        <w:rPr>
          <w:rFonts w:hint="eastAsia"/>
        </w:rPr>
      </w:pPr>
      <w:r>
        <w:rPr>
          <w:rFonts w:hint="eastAsia"/>
        </w:rPr>
        <w:t xml:space="preserve">highlighted the importance of early detection and global collaboration in </w:t>
      </w:r>
    </w:p>
    <w:p w14:paraId="2B026AF6">
      <w:pPr>
        <w:pStyle w:val="2"/>
        <w:rPr>
          <w:rFonts w:hint="eastAsia"/>
        </w:rPr>
      </w:pPr>
      <w:r>
        <w:rPr>
          <w:rFonts w:hint="eastAsia"/>
        </w:rPr>
        <w:t xml:space="preserve">combating infectious diseases. Namibia is one of the countries that bears a high </w:t>
      </w:r>
    </w:p>
    <w:p w14:paraId="23CBF7AA">
      <w:pPr>
        <w:pStyle w:val="2"/>
        <w:rPr>
          <w:rFonts w:hint="eastAsia"/>
        </w:rPr>
      </w:pPr>
      <w:r>
        <w:rPr>
          <w:rFonts w:hint="eastAsia"/>
        </w:rPr>
        <w:t xml:space="preserve">burden of tuberculosis (TB) and human immunodeficiency virus (HIV) infection. </w:t>
      </w:r>
    </w:p>
    <w:p w14:paraId="61AAF5CA">
      <w:pPr>
        <w:pStyle w:val="2"/>
        <w:rPr>
          <w:rFonts w:hint="eastAsia"/>
        </w:rPr>
      </w:pPr>
      <w:r>
        <w:rPr>
          <w:rFonts w:hint="eastAsia"/>
        </w:rPr>
        <w:t xml:space="preserve">The overlap of these diseases underscores the need to better understand host </w:t>
      </w:r>
    </w:p>
    <w:p w14:paraId="394294B1">
      <w:pPr>
        <w:pStyle w:val="2"/>
        <w:rPr>
          <w:rFonts w:hint="eastAsia"/>
        </w:rPr>
      </w:pPr>
      <w:r>
        <w:rPr>
          <w:rFonts w:hint="eastAsia"/>
        </w:rPr>
        <w:t xml:space="preserve">immune responses, which play a critical role in disease pathogenesis and may </w:t>
      </w:r>
    </w:p>
    <w:p w14:paraId="61BC5CF4">
      <w:pPr>
        <w:pStyle w:val="2"/>
        <w:rPr>
          <w:rFonts w:hint="eastAsia"/>
        </w:rPr>
      </w:pPr>
      <w:r>
        <w:rPr>
          <w:rFonts w:hint="eastAsia"/>
        </w:rPr>
        <w:t xml:space="preserve">differ across infections. This study aimed to profile selected cytokines and </w:t>
      </w:r>
    </w:p>
    <w:p w14:paraId="7F4B7FA1">
      <w:pPr>
        <w:pStyle w:val="2"/>
        <w:rPr>
          <w:rFonts w:hint="eastAsia"/>
        </w:rPr>
      </w:pPr>
      <w:r>
        <w:rPr>
          <w:rFonts w:hint="eastAsia"/>
        </w:rPr>
        <w:t xml:space="preserve">chemokines among Namibian individuals with TB, latent TB infection (LTBI), </w:t>
      </w:r>
    </w:p>
    <w:p w14:paraId="08C26923">
      <w:pPr>
        <w:pStyle w:val="2"/>
        <w:rPr>
          <w:rFonts w:hint="eastAsia"/>
        </w:rPr>
      </w:pPr>
      <w:r>
        <w:rPr>
          <w:rFonts w:hint="eastAsia"/>
        </w:rPr>
        <w:t>COVID-19, and HIV infection.</w:t>
      </w:r>
    </w:p>
    <w:p w14:paraId="5C337754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A cross-sectional study was conducted between August 2022 and May 2023 </w:t>
      </w:r>
    </w:p>
    <w:p w14:paraId="76361F8E">
      <w:pPr>
        <w:pStyle w:val="2"/>
        <w:rPr>
          <w:rFonts w:hint="eastAsia"/>
        </w:rPr>
      </w:pPr>
      <w:r>
        <w:rPr>
          <w:rFonts w:hint="eastAsia"/>
        </w:rPr>
        <w:t xml:space="preserve">among adults (≥18 years) recruited from two clinics in Namibia. 222 participants </w:t>
      </w:r>
    </w:p>
    <w:p w14:paraId="2196DCBA">
      <w:pPr>
        <w:pStyle w:val="2"/>
        <w:rPr>
          <w:rFonts w:hint="eastAsia"/>
        </w:rPr>
      </w:pPr>
      <w:r>
        <w:rPr>
          <w:rFonts w:hint="eastAsia"/>
        </w:rPr>
        <w:t xml:space="preserve">were categorized into multiple clinical groups, including mono- and </w:t>
      </w:r>
    </w:p>
    <w:p w14:paraId="445EE8FE">
      <w:pPr>
        <w:pStyle w:val="2"/>
        <w:rPr>
          <w:rFonts w:hint="eastAsia"/>
        </w:rPr>
      </w:pPr>
      <w:r>
        <w:rPr>
          <w:rFonts w:hint="eastAsia"/>
        </w:rPr>
        <w:t xml:space="preserve">co-infections of COVID-19, active TB, LTBI, HIV, and control participants. Serum </w:t>
      </w:r>
    </w:p>
    <w:p w14:paraId="79932703">
      <w:pPr>
        <w:pStyle w:val="2"/>
        <w:rPr>
          <w:rFonts w:hint="eastAsia"/>
        </w:rPr>
      </w:pPr>
      <w:r>
        <w:rPr>
          <w:rFonts w:hint="eastAsia"/>
        </w:rPr>
        <w:t xml:space="preserve">concentrations of 23 cytokines and chemokines were measured using the </w:t>
      </w:r>
    </w:p>
    <w:p w14:paraId="0880754F">
      <w:pPr>
        <w:pStyle w:val="2"/>
        <w:rPr>
          <w:rFonts w:hint="eastAsia"/>
        </w:rPr>
      </w:pPr>
      <w:r>
        <w:rPr>
          <w:rFonts w:hint="eastAsia"/>
        </w:rPr>
        <w:t xml:space="preserve">LEGENDPlex™ multiplex immunoassay. Differences, discriminations and correlations </w:t>
      </w:r>
    </w:p>
    <w:p w14:paraId="2B4BD495">
      <w:pPr>
        <w:pStyle w:val="2"/>
        <w:rPr>
          <w:rFonts w:hint="eastAsia"/>
        </w:rPr>
      </w:pPr>
      <w:r>
        <w:rPr>
          <w:rFonts w:hint="eastAsia"/>
        </w:rPr>
        <w:t xml:space="preserve">in biomarker levels between groups were analysed using non-parametric </w:t>
      </w:r>
    </w:p>
    <w:p w14:paraId="3D371C90">
      <w:pPr>
        <w:pStyle w:val="2"/>
        <w:rPr>
          <w:rFonts w:hint="eastAsia"/>
        </w:rPr>
      </w:pPr>
      <w:r>
        <w:rPr>
          <w:rFonts w:hint="eastAsia"/>
        </w:rPr>
        <w:t xml:space="preserve">statistical tests with adjustment for multiple comparisons. Statistical </w:t>
      </w:r>
    </w:p>
    <w:p w14:paraId="21B0B4B1">
      <w:pPr>
        <w:pStyle w:val="2"/>
        <w:rPr>
          <w:rFonts w:hint="eastAsia"/>
        </w:rPr>
      </w:pPr>
      <w:r>
        <w:rPr>
          <w:rFonts w:hint="eastAsia"/>
        </w:rPr>
        <w:t>significance was defined as an adjusted p &lt; 0.05.</w:t>
      </w:r>
    </w:p>
    <w:p w14:paraId="7C870C81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RESULTS: </w:t>
      </w:r>
      <w:r>
        <w:rPr>
          <w:rFonts w:hint="eastAsia"/>
        </w:rPr>
        <w:t xml:space="preserve">MCP-1 demonstrated consistent upregulation across active TB, COVID-19, </w:t>
      </w:r>
    </w:p>
    <w:p w14:paraId="4EDD29EF">
      <w:pPr>
        <w:pStyle w:val="2"/>
        <w:rPr>
          <w:rFonts w:hint="eastAsia"/>
        </w:rPr>
      </w:pPr>
      <w:r>
        <w:rPr>
          <w:rFonts w:hint="eastAsia"/>
        </w:rPr>
        <w:t xml:space="preserve">COVID-19/LTBI, and HIV/LTBI groups. In contrast, free active transforming growth </w:t>
      </w:r>
    </w:p>
    <w:p w14:paraId="19DE7616">
      <w:pPr>
        <w:pStyle w:val="2"/>
        <w:rPr>
          <w:rFonts w:hint="eastAsia"/>
        </w:rPr>
      </w:pPr>
      <w:r>
        <w:rPr>
          <w:rFonts w:hint="eastAsia"/>
        </w:rPr>
        <w:t xml:space="preserve">factor beta 1 (TGF-β1) was significantly downregulated in both TB and LTBI </w:t>
      </w:r>
    </w:p>
    <w:p w14:paraId="291C43EF">
      <w:pPr>
        <w:pStyle w:val="2"/>
        <w:rPr>
          <w:rFonts w:hint="eastAsia"/>
        </w:rPr>
      </w:pPr>
      <w:r>
        <w:rPr>
          <w:rFonts w:hint="eastAsia"/>
        </w:rPr>
        <w:t xml:space="preserve">participants. Individuals with TB exhibited elevated MCP-1 and macrophage </w:t>
      </w:r>
    </w:p>
    <w:p w14:paraId="2DA4C18C">
      <w:pPr>
        <w:pStyle w:val="2"/>
        <w:rPr>
          <w:rFonts w:hint="eastAsia"/>
        </w:rPr>
      </w:pPr>
      <w:r>
        <w:rPr>
          <w:rFonts w:hint="eastAsia"/>
        </w:rPr>
        <w:t xml:space="preserve">migration inhibitory factor (MIF) levels compared to those with LTBI, with both </w:t>
      </w:r>
    </w:p>
    <w:p w14:paraId="1CE20FFD">
      <w:pPr>
        <w:pStyle w:val="2"/>
        <w:rPr>
          <w:rFonts w:hint="eastAsia"/>
        </w:rPr>
      </w:pPr>
      <w:r>
        <w:rPr>
          <w:rFonts w:hint="eastAsia"/>
        </w:rPr>
        <w:t xml:space="preserve">analytes demonstrating discriminatory performance between TB and LTBI. Multiple </w:t>
      </w:r>
    </w:p>
    <w:p w14:paraId="733A5338">
      <w:pPr>
        <w:pStyle w:val="2"/>
        <w:rPr>
          <w:rFonts w:hint="eastAsia"/>
        </w:rPr>
      </w:pPr>
      <w:r>
        <w:rPr>
          <w:rFonts w:hint="eastAsia"/>
        </w:rPr>
        <w:t xml:space="preserve">moderate and weak positive correlations among inflammatory markers were observed </w:t>
      </w:r>
    </w:p>
    <w:p w14:paraId="0A5BEA2A">
      <w:pPr>
        <w:pStyle w:val="2"/>
        <w:rPr>
          <w:rFonts w:hint="eastAsia"/>
        </w:rPr>
      </w:pPr>
      <w:r>
        <w:rPr>
          <w:rFonts w:hint="eastAsia"/>
        </w:rPr>
        <w:t xml:space="preserve">in individuals with LTBI and HIV/LTBI but were absent in active TB and </w:t>
      </w:r>
    </w:p>
    <w:p w14:paraId="3791D9DA">
      <w:pPr>
        <w:pStyle w:val="2"/>
        <w:rPr>
          <w:rFonts w:hint="eastAsia"/>
        </w:rPr>
      </w:pPr>
      <w:r>
        <w:rPr>
          <w:rFonts w:hint="eastAsia"/>
        </w:rPr>
        <w:t>COVID-19/LTBI participants.</w:t>
      </w:r>
    </w:p>
    <w:p w14:paraId="59B7B843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Our findings demonstrate distinct serum cytokines and chemokines </w:t>
      </w:r>
    </w:p>
    <w:p w14:paraId="5C7E7012">
      <w:pPr>
        <w:pStyle w:val="2"/>
        <w:rPr>
          <w:rFonts w:hint="eastAsia"/>
        </w:rPr>
      </w:pPr>
      <w:r>
        <w:rPr>
          <w:rFonts w:hint="eastAsia"/>
        </w:rPr>
        <w:t xml:space="preserve">across TB, LTBI, HIV, and COVID-19 in a Namibian cohort. MCP-1 emerged as a </w:t>
      </w:r>
    </w:p>
    <w:p w14:paraId="37D03B1C">
      <w:pPr>
        <w:pStyle w:val="2"/>
        <w:rPr>
          <w:rFonts w:hint="eastAsia"/>
        </w:rPr>
      </w:pPr>
      <w:r>
        <w:rPr>
          <w:rFonts w:hint="eastAsia"/>
        </w:rPr>
        <w:t xml:space="preserve">consistent marker associated with inflammation. MIF was detected as a potential </w:t>
      </w:r>
    </w:p>
    <w:p w14:paraId="70A444E9">
      <w:pPr>
        <w:pStyle w:val="2"/>
        <w:rPr>
          <w:rFonts w:hint="eastAsia"/>
        </w:rPr>
      </w:pPr>
      <w:r>
        <w:rPr>
          <w:rFonts w:hint="eastAsia"/>
        </w:rPr>
        <w:t xml:space="preserve">differentiating marker for TB and LTBI. Larger studies are needed to evaluate </w:t>
      </w:r>
    </w:p>
    <w:p w14:paraId="342B23CA">
      <w:pPr>
        <w:pStyle w:val="2"/>
        <w:rPr>
          <w:rFonts w:hint="eastAsia"/>
        </w:rPr>
      </w:pPr>
      <w:r>
        <w:rPr>
          <w:rFonts w:hint="eastAsia"/>
        </w:rPr>
        <w:t xml:space="preserve">the diagnostic potential of these biomarkers and their incorporation into </w:t>
      </w:r>
    </w:p>
    <w:p w14:paraId="7B26FB82">
      <w:pPr>
        <w:pStyle w:val="2"/>
        <w:rPr>
          <w:rFonts w:hint="eastAsia"/>
        </w:rPr>
      </w:pPr>
      <w:r>
        <w:rPr>
          <w:rFonts w:hint="eastAsia"/>
        </w:rPr>
        <w:t xml:space="preserve">clinical diagnostic algorithms. The results also suggest a possible role for </w:t>
      </w:r>
    </w:p>
    <w:p w14:paraId="4ECC83F9">
      <w:pPr>
        <w:pStyle w:val="2"/>
        <w:rPr>
          <w:rFonts w:hint="eastAsia"/>
        </w:rPr>
      </w:pPr>
      <w:r>
        <w:rPr>
          <w:rFonts w:hint="eastAsia"/>
        </w:rPr>
        <w:t xml:space="preserve">LTBI-associated immune activation in HIV co-infection, which warrants further </w:t>
      </w:r>
    </w:p>
    <w:p w14:paraId="6A526890">
      <w:pPr>
        <w:pStyle w:val="2"/>
        <w:rPr>
          <w:rFonts w:hint="eastAsia"/>
        </w:rPr>
      </w:pPr>
      <w:r>
        <w:rPr>
          <w:rFonts w:hint="eastAsia"/>
        </w:rPr>
        <w:t>investigation.</w:t>
      </w:r>
    </w:p>
    <w:p w14:paraId="22EE617E">
      <w:pPr>
        <w:pStyle w:val="2"/>
        <w:rPr>
          <w:rFonts w:hint="eastAsia"/>
        </w:rPr>
      </w:pPr>
    </w:p>
    <w:p w14:paraId="3B8C709A">
      <w:pPr>
        <w:pStyle w:val="2"/>
        <w:rPr>
          <w:rFonts w:hint="eastAsia"/>
        </w:rPr>
      </w:pPr>
      <w:r>
        <w:rPr>
          <w:rFonts w:hint="eastAsia"/>
        </w:rPr>
        <w:t xml:space="preserve">Copyright © 2026 Katali, Hertz, Claassens, Kapewangolo, Woldetsadik, Modongo, </w:t>
      </w:r>
    </w:p>
    <w:p w14:paraId="11CB294F">
      <w:pPr>
        <w:pStyle w:val="2"/>
        <w:rPr>
          <w:rFonts w:hint="eastAsia"/>
        </w:rPr>
      </w:pPr>
      <w:r>
        <w:rPr>
          <w:rFonts w:hint="eastAsia"/>
        </w:rPr>
        <w:t>Niemann, Schneider and Nepolo.</w:t>
      </w:r>
    </w:p>
    <w:p w14:paraId="4E44A433">
      <w:pPr>
        <w:pStyle w:val="2"/>
        <w:rPr>
          <w:rFonts w:hint="eastAsia"/>
        </w:rPr>
      </w:pPr>
    </w:p>
    <w:p w14:paraId="32114D74">
      <w:pPr>
        <w:pStyle w:val="2"/>
        <w:rPr>
          <w:rFonts w:hint="eastAsia"/>
        </w:rPr>
      </w:pPr>
      <w:r>
        <w:rPr>
          <w:rFonts w:hint="eastAsia"/>
        </w:rPr>
        <w:t>DOI: 10.3389/fimmu.2026.1954262</w:t>
      </w:r>
    </w:p>
    <w:p w14:paraId="0142AF62">
      <w:pPr>
        <w:pStyle w:val="2"/>
        <w:rPr>
          <w:rFonts w:hint="eastAsia"/>
        </w:rPr>
      </w:pPr>
      <w:r>
        <w:rPr>
          <w:rFonts w:hint="eastAsia"/>
        </w:rPr>
        <w:t>PMCID: PMC13672220</w:t>
      </w:r>
    </w:p>
    <w:p w14:paraId="1A8CDEF6">
      <w:pPr>
        <w:pStyle w:val="2"/>
        <w:rPr>
          <w:rFonts w:hint="eastAsia"/>
        </w:rPr>
      </w:pPr>
      <w:r>
        <w:rPr>
          <w:rFonts w:hint="eastAsia"/>
        </w:rPr>
        <w:t>PMID: 42890148 [Indexed for MEDLINE]</w:t>
      </w:r>
    </w:p>
    <w:p w14:paraId="745D4781">
      <w:pPr>
        <w:pStyle w:val="2"/>
        <w:rPr>
          <w:rFonts w:hint="eastAsia"/>
        </w:rPr>
      </w:pPr>
    </w:p>
    <w:p w14:paraId="4A59EDD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64</w:t>
      </w:r>
      <w:r>
        <w:rPr>
          <w:rFonts w:hint="eastAsia"/>
          <w:b/>
          <w:bCs/>
          <w:color w:val="FF0000"/>
        </w:rPr>
        <w:t>. Front Tuberc. 2026 Oct 2;4:1937953. doi: 10.3389/ftubr.2026.1937953. eCollection 2026.</w:t>
      </w:r>
    </w:p>
    <w:p w14:paraId="4F2BFCA9">
      <w:pPr>
        <w:pStyle w:val="2"/>
        <w:rPr>
          <w:rFonts w:hint="eastAsia"/>
        </w:rPr>
      </w:pPr>
    </w:p>
    <w:p w14:paraId="7812D934">
      <w:pPr>
        <w:pStyle w:val="2"/>
        <w:rPr>
          <w:rFonts w:hint="eastAsia"/>
        </w:rPr>
      </w:pPr>
      <w:r>
        <w:rPr>
          <w:rFonts w:hint="eastAsia"/>
        </w:rPr>
        <w:t xml:space="preserve">High-throughput screening to identify inhibitors of the MTB CARD•RNA polymerase </w:t>
      </w:r>
    </w:p>
    <w:p w14:paraId="2A3EB4C6">
      <w:pPr>
        <w:pStyle w:val="2"/>
        <w:rPr>
          <w:rFonts w:hint="eastAsia"/>
        </w:rPr>
      </w:pPr>
      <w:r>
        <w:rPr>
          <w:rFonts w:hint="eastAsia"/>
        </w:rPr>
        <w:t>protein-protein interaction.</w:t>
      </w:r>
    </w:p>
    <w:p w14:paraId="4E0DBC81">
      <w:pPr>
        <w:pStyle w:val="2"/>
        <w:rPr>
          <w:rFonts w:hint="eastAsia"/>
        </w:rPr>
      </w:pPr>
    </w:p>
    <w:p w14:paraId="2F81AC5B">
      <w:pPr>
        <w:pStyle w:val="2"/>
        <w:rPr>
          <w:rFonts w:hint="eastAsia"/>
        </w:rPr>
      </w:pPr>
      <w:r>
        <w:rPr>
          <w:rFonts w:hint="eastAsia"/>
        </w:rPr>
        <w:t xml:space="preserve">Velazquez GM(1), Sexton JZ(1), Franzblau SG(2), Shetye GS(2), Hossain A(2), </w:t>
      </w:r>
    </w:p>
    <w:p w14:paraId="296F7ACE">
      <w:pPr>
        <w:pStyle w:val="2"/>
        <w:rPr>
          <w:rFonts w:hint="eastAsia"/>
        </w:rPr>
      </w:pPr>
      <w:r>
        <w:rPr>
          <w:rFonts w:hint="eastAsia"/>
        </w:rPr>
        <w:t>Garcia GA(1).</w:t>
      </w:r>
    </w:p>
    <w:p w14:paraId="47A35C3C">
      <w:pPr>
        <w:pStyle w:val="2"/>
        <w:rPr>
          <w:rFonts w:hint="eastAsia"/>
        </w:rPr>
      </w:pPr>
    </w:p>
    <w:p w14:paraId="1CD1398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AD7A076">
      <w:pPr>
        <w:pStyle w:val="2"/>
        <w:rPr>
          <w:rFonts w:hint="eastAsia"/>
        </w:rPr>
      </w:pPr>
      <w:r>
        <w:rPr>
          <w:rFonts w:hint="eastAsia"/>
        </w:rPr>
        <w:t xml:space="preserve">(1)Department of Medicinal Chemistry, University of Michigan, Ann Arbor, MI, </w:t>
      </w:r>
    </w:p>
    <w:p w14:paraId="2190936D">
      <w:pPr>
        <w:pStyle w:val="2"/>
        <w:rPr>
          <w:rFonts w:hint="eastAsia"/>
        </w:rPr>
      </w:pPr>
      <w:r>
        <w:rPr>
          <w:rFonts w:hint="eastAsia"/>
        </w:rPr>
        <w:t>United States.</w:t>
      </w:r>
    </w:p>
    <w:p w14:paraId="4496ADC9">
      <w:pPr>
        <w:pStyle w:val="2"/>
        <w:rPr>
          <w:rFonts w:hint="eastAsia"/>
        </w:rPr>
      </w:pPr>
      <w:r>
        <w:rPr>
          <w:rFonts w:hint="eastAsia"/>
        </w:rPr>
        <w:t xml:space="preserve">(2)Institute for Tuberculosis Research, University of Illinois, Chicago, IL, </w:t>
      </w:r>
    </w:p>
    <w:p w14:paraId="07EA9D37">
      <w:pPr>
        <w:pStyle w:val="2"/>
        <w:rPr>
          <w:rFonts w:hint="eastAsia"/>
        </w:rPr>
      </w:pPr>
      <w:r>
        <w:rPr>
          <w:rFonts w:hint="eastAsia"/>
        </w:rPr>
        <w:t>United States.</w:t>
      </w:r>
    </w:p>
    <w:p w14:paraId="69C6CF83">
      <w:pPr>
        <w:pStyle w:val="2"/>
        <w:rPr>
          <w:rFonts w:hint="eastAsia"/>
        </w:rPr>
      </w:pPr>
    </w:p>
    <w:p w14:paraId="66CF5CAB">
      <w:pPr>
        <w:pStyle w:val="2"/>
        <w:rPr>
          <w:rFonts w:hint="eastAsia"/>
        </w:rPr>
      </w:pPr>
      <w:r>
        <w:rPr>
          <w:rFonts w:hint="eastAsia"/>
        </w:rPr>
        <w:t xml:space="preserve">In 2023, tuberculosis (TB) once again became the world's deadliest infectious </w:t>
      </w:r>
    </w:p>
    <w:p w14:paraId="629DE98C">
      <w:pPr>
        <w:pStyle w:val="2"/>
        <w:rPr>
          <w:rFonts w:hint="eastAsia"/>
        </w:rPr>
      </w:pPr>
      <w:r>
        <w:rPr>
          <w:rFonts w:hint="eastAsia"/>
        </w:rPr>
        <w:t xml:space="preserve">disease, overtaking COVID-19 as the leading cause of death from a single </w:t>
      </w:r>
    </w:p>
    <w:p w14:paraId="350E7DC1">
      <w:pPr>
        <w:pStyle w:val="2"/>
        <w:rPr>
          <w:rFonts w:hint="eastAsia"/>
        </w:rPr>
      </w:pPr>
      <w:r>
        <w:rPr>
          <w:rFonts w:hint="eastAsia"/>
        </w:rPr>
        <w:t xml:space="preserve">infectious agent, Mycobacterium tuberculosis (MTB). The World Health </w:t>
      </w:r>
    </w:p>
    <w:p w14:paraId="31BD9A22">
      <w:pPr>
        <w:pStyle w:val="2"/>
        <w:rPr>
          <w:rFonts w:hint="eastAsia"/>
        </w:rPr>
      </w:pPr>
      <w:r>
        <w:rPr>
          <w:rFonts w:hint="eastAsia"/>
        </w:rPr>
        <w:t xml:space="preserve">Organization (WHO) reports that the COVID-19 pandemic has reversed years of </w:t>
      </w:r>
    </w:p>
    <w:p w14:paraId="38200D17">
      <w:pPr>
        <w:pStyle w:val="2"/>
        <w:rPr>
          <w:rFonts w:hint="eastAsia"/>
        </w:rPr>
      </w:pPr>
      <w:r>
        <w:rPr>
          <w:rFonts w:hint="eastAsia"/>
        </w:rPr>
        <w:t xml:space="preserve">progress in providing essential TB services and reducing TB disease burden. In </w:t>
      </w:r>
    </w:p>
    <w:p w14:paraId="6A469A10">
      <w:pPr>
        <w:pStyle w:val="2"/>
        <w:rPr>
          <w:rFonts w:hint="eastAsia"/>
        </w:rPr>
      </w:pPr>
      <w:r>
        <w:rPr>
          <w:rFonts w:hint="eastAsia"/>
        </w:rPr>
        <w:t xml:space="preserve">2025, TB was responsible for an estimated 1.23 million deaths globally (95% </w:t>
      </w:r>
    </w:p>
    <w:p w14:paraId="24ABBFE8">
      <w:pPr>
        <w:pStyle w:val="2"/>
        <w:rPr>
          <w:rFonts w:hint="eastAsia"/>
        </w:rPr>
      </w:pPr>
      <w:r>
        <w:rPr>
          <w:rFonts w:hint="eastAsia"/>
        </w:rPr>
        <w:t xml:space="preserve">uncertainty interval: 1.13-1.33 million), and there were 400 K cases of </w:t>
      </w:r>
    </w:p>
    <w:p w14:paraId="70E32E58">
      <w:pPr>
        <w:pStyle w:val="2"/>
        <w:rPr>
          <w:rFonts w:hint="eastAsia"/>
        </w:rPr>
      </w:pPr>
      <w:r>
        <w:rPr>
          <w:rFonts w:hint="eastAsia"/>
        </w:rPr>
        <w:t xml:space="preserve">rifamycin resistant/multidrug resistant TB (RR, RIFR, MDR). While treatment </w:t>
      </w:r>
    </w:p>
    <w:p w14:paraId="7B2703FE">
      <w:pPr>
        <w:pStyle w:val="2"/>
        <w:rPr>
          <w:rFonts w:hint="eastAsia"/>
        </w:rPr>
      </w:pPr>
      <w:r>
        <w:rPr>
          <w:rFonts w:hint="eastAsia"/>
        </w:rPr>
        <w:t xml:space="preserve">success for drug susceptible TB remains high (88%), outcomes for MDR/RR-TB are </w:t>
      </w:r>
    </w:p>
    <w:p w14:paraId="46CE04E6">
      <w:pPr>
        <w:pStyle w:val="2"/>
        <w:rPr>
          <w:rFonts w:hint="eastAsia"/>
        </w:rPr>
      </w:pPr>
      <w:r>
        <w:rPr>
          <w:rFonts w:hint="eastAsia"/>
        </w:rPr>
        <w:t xml:space="preserve">lower but improving, reaching 71% globally. Clearly, there is a critical unmet </w:t>
      </w:r>
    </w:p>
    <w:p w14:paraId="50F65E82">
      <w:pPr>
        <w:pStyle w:val="2"/>
        <w:rPr>
          <w:rFonts w:hint="eastAsia"/>
        </w:rPr>
      </w:pPr>
      <w:r>
        <w:rPr>
          <w:rFonts w:hint="eastAsia"/>
        </w:rPr>
        <w:t xml:space="preserve">need for novel antibiotics against MTB, exacerbated now due to COVID-19. The </w:t>
      </w:r>
    </w:p>
    <w:p w14:paraId="7A7BC1CC">
      <w:pPr>
        <w:pStyle w:val="2"/>
        <w:rPr>
          <w:rFonts w:hint="eastAsia"/>
        </w:rPr>
      </w:pPr>
      <w:r>
        <w:rPr>
          <w:rFonts w:hint="eastAsia"/>
        </w:rPr>
        <w:t xml:space="preserve">limited success in pursuing novel targets underscores the urgent need to revisit </w:t>
      </w:r>
    </w:p>
    <w:p w14:paraId="784C2804">
      <w:pPr>
        <w:pStyle w:val="2"/>
        <w:rPr>
          <w:rFonts w:hint="eastAsia"/>
        </w:rPr>
      </w:pPr>
      <w:r>
        <w:rPr>
          <w:rFonts w:hint="eastAsia"/>
        </w:rPr>
        <w:t xml:space="preserve">and reevaluate the mechanisms of action behind existing and once effective </w:t>
      </w:r>
    </w:p>
    <w:p w14:paraId="4E71177C">
      <w:pPr>
        <w:pStyle w:val="2"/>
        <w:rPr>
          <w:rFonts w:hint="eastAsia"/>
        </w:rPr>
      </w:pPr>
      <w:r>
        <w:rPr>
          <w:rFonts w:hint="eastAsia"/>
        </w:rPr>
        <w:t xml:space="preserve">drugs, a strategy that may hold untapped potential in the fight against growing </w:t>
      </w:r>
    </w:p>
    <w:p w14:paraId="38A1E704">
      <w:pPr>
        <w:pStyle w:val="2"/>
        <w:rPr>
          <w:rFonts w:hint="eastAsia"/>
        </w:rPr>
      </w:pPr>
      <w:r>
        <w:rPr>
          <w:rFonts w:hint="eastAsia"/>
        </w:rPr>
        <w:t xml:space="preserve">antibiotic-resistant TB. The MTB RNA polymerase (RNAP) is a proven target for TB </w:t>
      </w:r>
    </w:p>
    <w:p w14:paraId="57E6C070">
      <w:pPr>
        <w:pStyle w:val="2"/>
        <w:rPr>
          <w:rFonts w:hint="eastAsia"/>
        </w:rPr>
      </w:pPr>
      <w:r>
        <w:rPr>
          <w:rFonts w:hint="eastAsia"/>
        </w:rPr>
        <w:t xml:space="preserve">treatment by rifampin (RMP), which kills both active and latent MTB. However, </w:t>
      </w:r>
    </w:p>
    <w:p w14:paraId="15FA57AD">
      <w:pPr>
        <w:pStyle w:val="2"/>
        <w:rPr>
          <w:rFonts w:hint="eastAsia"/>
        </w:rPr>
      </w:pPr>
      <w:r>
        <w:rPr>
          <w:rFonts w:hint="eastAsia"/>
        </w:rPr>
        <w:t xml:space="preserve">RMP suffers from several drawbacks including: long treatment times, activation </w:t>
      </w:r>
    </w:p>
    <w:p w14:paraId="5A8345CC">
      <w:pPr>
        <w:pStyle w:val="2"/>
        <w:rPr>
          <w:rFonts w:hint="eastAsia"/>
        </w:rPr>
      </w:pPr>
      <w:r>
        <w:rPr>
          <w:rFonts w:hint="eastAsia"/>
        </w:rPr>
        <w:t xml:space="preserve">of hPXR (inducing Cyp3A4 which is problematic for HIV-TB coinfection), and </w:t>
      </w:r>
    </w:p>
    <w:p w14:paraId="1212BDA6">
      <w:pPr>
        <w:pStyle w:val="2"/>
        <w:rPr>
          <w:rFonts w:hint="eastAsia"/>
        </w:rPr>
      </w:pPr>
      <w:r>
        <w:rPr>
          <w:rFonts w:hint="eastAsia"/>
        </w:rPr>
        <w:t xml:space="preserve">resistant mutations within RNAP. Two newer treatments with novel mechanisms of </w:t>
      </w:r>
    </w:p>
    <w:p w14:paraId="72722397">
      <w:pPr>
        <w:pStyle w:val="2"/>
        <w:rPr>
          <w:rFonts w:hint="eastAsia"/>
        </w:rPr>
      </w:pPr>
      <w:r>
        <w:rPr>
          <w:rFonts w:hint="eastAsia"/>
        </w:rPr>
        <w:t xml:space="preserve">action include bedaquiline and delamanid, the former has been approved by the </w:t>
      </w:r>
    </w:p>
    <w:p w14:paraId="2DB9F7C9">
      <w:pPr>
        <w:pStyle w:val="2"/>
        <w:rPr>
          <w:rFonts w:hint="eastAsia"/>
        </w:rPr>
      </w:pPr>
      <w:r>
        <w:rPr>
          <w:rFonts w:hint="eastAsia"/>
        </w:rPr>
        <w:t xml:space="preserve">FDA for the treatment of multiple-drug resistant tuberculosis (MDR-MTB); </w:t>
      </w:r>
    </w:p>
    <w:p w14:paraId="63D519AB">
      <w:pPr>
        <w:pStyle w:val="2"/>
        <w:rPr>
          <w:rFonts w:hint="eastAsia"/>
        </w:rPr>
      </w:pPr>
      <w:r>
        <w:rPr>
          <w:rFonts w:hint="eastAsia"/>
        </w:rPr>
        <w:t xml:space="preserve">however, even these new drugs already have incidences of acquired resistance. </w:t>
      </w:r>
    </w:p>
    <w:p w14:paraId="1E46DF07">
      <w:pPr>
        <w:pStyle w:val="2"/>
        <w:rPr>
          <w:rFonts w:hint="eastAsia"/>
        </w:rPr>
      </w:pPr>
      <w:r>
        <w:rPr>
          <w:rFonts w:hint="eastAsia"/>
        </w:rPr>
        <w:t xml:space="preserve">Our goal is to develop novel drug candidates for TB treatment that: target RNAP, </w:t>
      </w:r>
    </w:p>
    <w:p w14:paraId="287244A4">
      <w:pPr>
        <w:pStyle w:val="2"/>
        <w:rPr>
          <w:rFonts w:hint="eastAsia"/>
        </w:rPr>
      </w:pPr>
      <w:r>
        <w:rPr>
          <w:rFonts w:hint="eastAsia"/>
        </w:rPr>
        <w:t xml:space="preserve">have the potential to shorten treatment times, and have activity against RIFR </w:t>
      </w:r>
    </w:p>
    <w:p w14:paraId="438A6FC9">
      <w:pPr>
        <w:pStyle w:val="2"/>
        <w:rPr>
          <w:rFonts w:hint="eastAsia"/>
        </w:rPr>
      </w:pPr>
      <w:r>
        <w:rPr>
          <w:rFonts w:hint="eastAsia"/>
        </w:rPr>
        <w:t xml:space="preserve">mutants. Our approach, orthogonal to the rifamycins, is to target the </w:t>
      </w:r>
    </w:p>
    <w:p w14:paraId="75F31209">
      <w:pPr>
        <w:pStyle w:val="2"/>
        <w:rPr>
          <w:rFonts w:hint="eastAsia"/>
        </w:rPr>
      </w:pPr>
      <w:r>
        <w:rPr>
          <w:rFonts w:hint="eastAsia"/>
        </w:rPr>
        <w:t xml:space="preserve">interaction of MTB RNAP with the required transcription factor CarD. We have </w:t>
      </w:r>
    </w:p>
    <w:p w14:paraId="463F5E92">
      <w:pPr>
        <w:pStyle w:val="2"/>
        <w:rPr>
          <w:rFonts w:hint="eastAsia"/>
        </w:rPr>
      </w:pPr>
      <w:r>
        <w:rPr>
          <w:rFonts w:hint="eastAsia"/>
        </w:rPr>
        <w:t xml:space="preserve">previously labeled CarD with the BODIPY-FL fluorophore via engineered cysteine </w:t>
      </w:r>
    </w:p>
    <w:p w14:paraId="339EC293">
      <w:pPr>
        <w:pStyle w:val="2"/>
        <w:rPr>
          <w:rFonts w:hint="eastAsia"/>
        </w:rPr>
      </w:pPr>
      <w:r>
        <w:rPr>
          <w:rFonts w:hint="eastAsia"/>
        </w:rPr>
        <w:t xml:space="preserve">mutations and developed a fluorescence polarization assay to monitor its </w:t>
      </w:r>
    </w:p>
    <w:p w14:paraId="4E059CE7">
      <w:pPr>
        <w:pStyle w:val="2"/>
        <w:rPr>
          <w:rFonts w:hint="eastAsia"/>
        </w:rPr>
      </w:pPr>
      <w:r>
        <w:rPr>
          <w:rFonts w:hint="eastAsia"/>
        </w:rPr>
        <w:t xml:space="preserve">interaction with RNAP and promoter DNA. Leveraging this target, we screened a </w:t>
      </w:r>
    </w:p>
    <w:p w14:paraId="0C981A9C">
      <w:pPr>
        <w:pStyle w:val="2"/>
        <w:rPr>
          <w:rFonts w:hint="eastAsia"/>
        </w:rPr>
      </w:pPr>
      <w:r>
        <w:rPr>
          <w:rFonts w:hint="eastAsia"/>
        </w:rPr>
        <w:t xml:space="preserve">24 K small molecule library against CarD binding to MTB RNAP. We have now </w:t>
      </w:r>
    </w:p>
    <w:p w14:paraId="6B4AAE6C">
      <w:pPr>
        <w:pStyle w:val="2"/>
        <w:rPr>
          <w:rFonts w:hint="eastAsia"/>
        </w:rPr>
      </w:pPr>
      <w:r>
        <w:rPr>
          <w:rFonts w:hint="eastAsia"/>
        </w:rPr>
        <w:t>extended this screening to∼88,000 additional molecules.</w:t>
      </w:r>
    </w:p>
    <w:p w14:paraId="729F5EF3">
      <w:pPr>
        <w:pStyle w:val="2"/>
        <w:rPr>
          <w:rFonts w:hint="eastAsia"/>
        </w:rPr>
      </w:pPr>
    </w:p>
    <w:p w14:paraId="795E70CF">
      <w:pPr>
        <w:pStyle w:val="2"/>
        <w:rPr>
          <w:rFonts w:hint="eastAsia"/>
        </w:rPr>
      </w:pPr>
      <w:r>
        <w:rPr>
          <w:rFonts w:hint="eastAsia"/>
        </w:rPr>
        <w:t>© 2026 Velazquez, Sexton, Franzblau, Shetye, Hossain and Garcia.</w:t>
      </w:r>
    </w:p>
    <w:p w14:paraId="0E9940F1">
      <w:pPr>
        <w:pStyle w:val="2"/>
        <w:rPr>
          <w:rFonts w:hint="eastAsia"/>
        </w:rPr>
      </w:pPr>
    </w:p>
    <w:p w14:paraId="2D7AAD8F">
      <w:pPr>
        <w:pStyle w:val="2"/>
        <w:rPr>
          <w:rFonts w:hint="eastAsia"/>
        </w:rPr>
      </w:pPr>
      <w:r>
        <w:rPr>
          <w:rFonts w:hint="eastAsia"/>
        </w:rPr>
        <w:t>DOI: 10.3389/ftubr.2026.1937953</w:t>
      </w:r>
    </w:p>
    <w:p w14:paraId="2A0020E9">
      <w:pPr>
        <w:pStyle w:val="2"/>
        <w:rPr>
          <w:rFonts w:hint="eastAsia"/>
        </w:rPr>
      </w:pPr>
      <w:r>
        <w:rPr>
          <w:rFonts w:hint="eastAsia"/>
        </w:rPr>
        <w:t>PMCID: PMC13672193</w:t>
      </w:r>
    </w:p>
    <w:p w14:paraId="510C82DA">
      <w:pPr>
        <w:pStyle w:val="2"/>
        <w:rPr>
          <w:rFonts w:hint="eastAsia"/>
        </w:rPr>
      </w:pPr>
      <w:r>
        <w:rPr>
          <w:rFonts w:hint="eastAsia"/>
        </w:rPr>
        <w:t>PMID: 42890137</w:t>
      </w:r>
    </w:p>
    <w:p w14:paraId="358EC9CF">
      <w:pPr>
        <w:pStyle w:val="2"/>
        <w:rPr>
          <w:rFonts w:hint="eastAsia"/>
        </w:rPr>
      </w:pPr>
    </w:p>
    <w:p w14:paraId="1AEEB53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65</w:t>
      </w:r>
      <w:r>
        <w:rPr>
          <w:rFonts w:hint="eastAsia"/>
          <w:b/>
          <w:bCs/>
          <w:color w:val="FF0000"/>
        </w:rPr>
        <w:t xml:space="preserve">. Front Med (Lausanne). 2026 Oct 2;13:1908921. doi: 10.3389/fmed.2026.1908921. </w:t>
      </w:r>
    </w:p>
    <w:p w14:paraId="6F3C913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7E3A38E1">
      <w:pPr>
        <w:pStyle w:val="2"/>
        <w:rPr>
          <w:rFonts w:hint="eastAsia"/>
        </w:rPr>
      </w:pPr>
    </w:p>
    <w:p w14:paraId="33C4EBB8">
      <w:pPr>
        <w:pStyle w:val="2"/>
        <w:rPr>
          <w:rFonts w:hint="eastAsia"/>
        </w:rPr>
      </w:pPr>
      <w:r>
        <w:rPr>
          <w:rFonts w:hint="eastAsia"/>
        </w:rPr>
        <w:t xml:space="preserve">Assessing early therapeutic response in extrapulmonary tuberculosis using </w:t>
      </w:r>
    </w:p>
    <w:p w14:paraId="78844AB8">
      <w:pPr>
        <w:pStyle w:val="2"/>
        <w:rPr>
          <w:rFonts w:hint="eastAsia"/>
        </w:rPr>
      </w:pPr>
      <w:r>
        <w:rPr>
          <w:rFonts w:hint="eastAsia"/>
        </w:rPr>
        <w:t>[18F]FDG-PET/CT imaging.</w:t>
      </w:r>
    </w:p>
    <w:p w14:paraId="5B34228F">
      <w:pPr>
        <w:pStyle w:val="2"/>
        <w:rPr>
          <w:rFonts w:hint="eastAsia"/>
        </w:rPr>
      </w:pPr>
    </w:p>
    <w:p w14:paraId="086B46BE">
      <w:pPr>
        <w:pStyle w:val="2"/>
        <w:rPr>
          <w:rFonts w:hint="eastAsia"/>
        </w:rPr>
      </w:pPr>
      <w:r>
        <w:rPr>
          <w:rFonts w:hint="eastAsia"/>
        </w:rPr>
        <w:t xml:space="preserve">Kartan D(1)(2), Farahani ZA(3), Hess S(3)(4), Søndergaard R(3), Gerke O(3)(4), </w:t>
      </w:r>
    </w:p>
    <w:p w14:paraId="39CB4F6C">
      <w:pPr>
        <w:pStyle w:val="2"/>
        <w:rPr>
          <w:rFonts w:hint="eastAsia"/>
        </w:rPr>
      </w:pPr>
      <w:r>
        <w:rPr>
          <w:rFonts w:hint="eastAsia"/>
        </w:rPr>
        <w:t>Johansen IS(1)(5).</w:t>
      </w:r>
    </w:p>
    <w:p w14:paraId="04E39922">
      <w:pPr>
        <w:pStyle w:val="2"/>
        <w:rPr>
          <w:rFonts w:hint="eastAsia"/>
        </w:rPr>
      </w:pPr>
    </w:p>
    <w:p w14:paraId="65D084E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9D299AC">
      <w:pPr>
        <w:pStyle w:val="2"/>
        <w:rPr>
          <w:rFonts w:hint="eastAsia"/>
        </w:rPr>
      </w:pPr>
      <w:r>
        <w:rPr>
          <w:rFonts w:hint="eastAsia"/>
        </w:rPr>
        <w:t xml:space="preserve">(1)Department of Infectious Diseases, Odense University Hospital, Odense, </w:t>
      </w:r>
    </w:p>
    <w:p w14:paraId="60D2F070">
      <w:pPr>
        <w:pStyle w:val="2"/>
        <w:rPr>
          <w:rFonts w:hint="eastAsia"/>
        </w:rPr>
      </w:pPr>
      <w:r>
        <w:rPr>
          <w:rFonts w:hint="eastAsia"/>
        </w:rPr>
        <w:t>Denmark.</w:t>
      </w:r>
    </w:p>
    <w:p w14:paraId="211D81CB">
      <w:pPr>
        <w:pStyle w:val="2"/>
        <w:rPr>
          <w:rFonts w:hint="eastAsia"/>
        </w:rPr>
      </w:pPr>
      <w:r>
        <w:rPr>
          <w:rFonts w:hint="eastAsia"/>
        </w:rPr>
        <w:t>(2)Lewis Katz School of Medicine, Philadelphia, PA, United States.</w:t>
      </w:r>
    </w:p>
    <w:p w14:paraId="7E4D174D">
      <w:pPr>
        <w:pStyle w:val="2"/>
        <w:rPr>
          <w:rFonts w:hint="eastAsia"/>
        </w:rPr>
      </w:pPr>
      <w:r>
        <w:rPr>
          <w:rFonts w:hint="eastAsia"/>
        </w:rPr>
        <w:t>(3)Department of Nuclear Medicine, Odense University Hospital, Odense, Denmark.</w:t>
      </w:r>
    </w:p>
    <w:p w14:paraId="7B30214A">
      <w:pPr>
        <w:pStyle w:val="2"/>
        <w:rPr>
          <w:rFonts w:hint="eastAsia"/>
        </w:rPr>
      </w:pPr>
      <w:r>
        <w:rPr>
          <w:rFonts w:hint="eastAsia"/>
        </w:rPr>
        <w:t xml:space="preserve">(4)Research Unit of Nuclear Medicine, Department of Clinical Research, </w:t>
      </w:r>
    </w:p>
    <w:p w14:paraId="40EE2902">
      <w:pPr>
        <w:pStyle w:val="2"/>
        <w:rPr>
          <w:rFonts w:hint="eastAsia"/>
        </w:rPr>
      </w:pPr>
      <w:r>
        <w:rPr>
          <w:rFonts w:hint="eastAsia"/>
        </w:rPr>
        <w:t>University of Southern Denmark, Odense, Denmark.</w:t>
      </w:r>
    </w:p>
    <w:p w14:paraId="118A58E1">
      <w:pPr>
        <w:pStyle w:val="2"/>
        <w:rPr>
          <w:rFonts w:hint="eastAsia"/>
        </w:rPr>
      </w:pPr>
      <w:r>
        <w:rPr>
          <w:rFonts w:hint="eastAsia"/>
        </w:rPr>
        <w:t xml:space="preserve">(5)Research Unit of Infectious Diseases, Department of Clinical Research, </w:t>
      </w:r>
    </w:p>
    <w:p w14:paraId="769718D9">
      <w:pPr>
        <w:pStyle w:val="2"/>
        <w:rPr>
          <w:rFonts w:hint="eastAsia"/>
        </w:rPr>
      </w:pPr>
      <w:r>
        <w:rPr>
          <w:rFonts w:hint="eastAsia"/>
        </w:rPr>
        <w:t>University of Southern Denmark, Odense, Denmark.</w:t>
      </w:r>
    </w:p>
    <w:p w14:paraId="67ACB8EC">
      <w:pPr>
        <w:pStyle w:val="2"/>
        <w:rPr>
          <w:rFonts w:hint="eastAsia"/>
        </w:rPr>
      </w:pPr>
    </w:p>
    <w:p w14:paraId="750B1AFE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INTRODUCTION:</w:t>
      </w:r>
      <w:r>
        <w:rPr>
          <w:rFonts w:hint="eastAsia"/>
        </w:rPr>
        <w:t xml:space="preserve"> Monitoring treatment response in extrapulmonary tuberculosis </w:t>
      </w:r>
    </w:p>
    <w:p w14:paraId="1501D49D">
      <w:pPr>
        <w:pStyle w:val="2"/>
        <w:rPr>
          <w:rFonts w:hint="eastAsia"/>
        </w:rPr>
      </w:pPr>
      <w:r>
        <w:rPr>
          <w:rFonts w:hint="eastAsia"/>
        </w:rPr>
        <w:t xml:space="preserve">(EPTB) remains challenging due to limited microbiological accessibility and the </w:t>
      </w:r>
    </w:p>
    <w:p w14:paraId="5F9CFF96">
      <w:pPr>
        <w:pStyle w:val="2"/>
        <w:rPr>
          <w:rFonts w:hint="eastAsia"/>
        </w:rPr>
      </w:pPr>
      <w:r>
        <w:rPr>
          <w:rFonts w:hint="eastAsia"/>
        </w:rPr>
        <w:t xml:space="preserve">lack of validated biomarkers. [18F]FDG positron emission tomography/computed </w:t>
      </w:r>
    </w:p>
    <w:p w14:paraId="27C03037">
      <w:pPr>
        <w:pStyle w:val="2"/>
        <w:rPr>
          <w:rFonts w:hint="eastAsia"/>
        </w:rPr>
      </w:pPr>
      <w:r>
        <w:rPr>
          <w:rFonts w:hint="eastAsia"/>
        </w:rPr>
        <w:t xml:space="preserve">tomography [(18F)FDG-PET/CT] enables assessment of metabolic disease activity </w:t>
      </w:r>
    </w:p>
    <w:p w14:paraId="709D8873">
      <w:pPr>
        <w:pStyle w:val="2"/>
        <w:rPr>
          <w:rFonts w:hint="eastAsia"/>
        </w:rPr>
      </w:pPr>
      <w:r>
        <w:rPr>
          <w:rFonts w:hint="eastAsia"/>
        </w:rPr>
        <w:t xml:space="preserve">and has been explored in infectious diseases, but evidence supporting its use in </w:t>
      </w:r>
    </w:p>
    <w:p w14:paraId="1286250C">
      <w:pPr>
        <w:pStyle w:val="2"/>
        <w:rPr>
          <w:rFonts w:hint="eastAsia"/>
        </w:rPr>
      </w:pPr>
      <w:r>
        <w:rPr>
          <w:rFonts w:hint="eastAsia"/>
        </w:rPr>
        <w:t>EPTB is limited.</w:t>
      </w:r>
    </w:p>
    <w:p w14:paraId="6601297C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conducted a prospective observational study including adults </w:t>
      </w:r>
    </w:p>
    <w:p w14:paraId="03F3CD7D">
      <w:pPr>
        <w:pStyle w:val="2"/>
        <w:rPr>
          <w:rFonts w:hint="eastAsia"/>
        </w:rPr>
      </w:pPr>
      <w:r>
        <w:rPr>
          <w:rFonts w:hint="eastAsia"/>
        </w:rPr>
        <w:t xml:space="preserve">diagnosed with EPTB at a tertiary referral center in Denmark between 2016 and </w:t>
      </w:r>
    </w:p>
    <w:p w14:paraId="1781C66D">
      <w:pPr>
        <w:pStyle w:val="2"/>
        <w:rPr>
          <w:rFonts w:hint="eastAsia"/>
        </w:rPr>
      </w:pPr>
      <w:r>
        <w:rPr>
          <w:rFonts w:hint="eastAsia"/>
        </w:rPr>
        <w:t xml:space="preserve">2018. Participants underwent baseline and follow-up [18F]FDG-PET/CT imaging </w:t>
      </w:r>
    </w:p>
    <w:p w14:paraId="3E53DC7F">
      <w:pPr>
        <w:pStyle w:val="2"/>
        <w:rPr>
          <w:rFonts w:hint="eastAsia"/>
        </w:rPr>
      </w:pPr>
      <w:r>
        <w:rPr>
          <w:rFonts w:hint="eastAsia"/>
        </w:rPr>
        <w:t xml:space="preserve">after completion of the intensive treatment phase. Clinical data and laboratory </w:t>
      </w:r>
    </w:p>
    <w:p w14:paraId="43A3C504">
      <w:pPr>
        <w:pStyle w:val="2"/>
        <w:rPr>
          <w:rFonts w:hint="eastAsia"/>
        </w:rPr>
      </w:pPr>
      <w:r>
        <w:rPr>
          <w:rFonts w:hint="eastAsia"/>
        </w:rPr>
        <w:t xml:space="preserve">parameters, including C-reactive protein (CRP), hemoglobin, leukocytes, albumin, </w:t>
      </w:r>
    </w:p>
    <w:p w14:paraId="725B4683">
      <w:pPr>
        <w:pStyle w:val="2"/>
        <w:rPr>
          <w:rFonts w:hint="eastAsia"/>
        </w:rPr>
      </w:pPr>
      <w:r>
        <w:rPr>
          <w:rFonts w:hint="eastAsia"/>
        </w:rPr>
        <w:t xml:space="preserve">and alanine aminotransferase were collected at baseline and during follow-up. </w:t>
      </w:r>
    </w:p>
    <w:p w14:paraId="5D393947">
      <w:pPr>
        <w:pStyle w:val="2"/>
        <w:rPr>
          <w:rFonts w:hint="eastAsia"/>
        </w:rPr>
      </w:pPr>
      <w:r>
        <w:rPr>
          <w:rFonts w:hint="eastAsia"/>
        </w:rPr>
        <w:t xml:space="preserve">Changes in standardized uptake values (SUVmax) and laboratory markers were </w:t>
      </w:r>
    </w:p>
    <w:p w14:paraId="1AF5B726">
      <w:pPr>
        <w:pStyle w:val="2"/>
        <w:rPr>
          <w:rFonts w:hint="eastAsia"/>
        </w:rPr>
      </w:pPr>
      <w:r>
        <w:rPr>
          <w:rFonts w:hint="eastAsia"/>
        </w:rPr>
        <w:t>analyzed descriptively.</w:t>
      </w:r>
    </w:p>
    <w:p w14:paraId="5FEECFDB">
      <w:pPr>
        <w:pStyle w:val="2"/>
        <w:rPr>
          <w:rFonts w:hint="eastAsia"/>
        </w:rPr>
      </w:pPr>
      <w:r>
        <w:rPr>
          <w:rFonts w:hint="eastAsia"/>
          <w:b/>
          <w:bCs/>
        </w:rPr>
        <w:t>RESULTS</w:t>
      </w:r>
      <w:r>
        <w:rPr>
          <w:rFonts w:hint="eastAsia"/>
        </w:rPr>
        <w:t xml:space="preserve">: Seventeen patients were included. Metabolically active disease was </w:t>
      </w:r>
    </w:p>
    <w:p w14:paraId="2FFDB043">
      <w:pPr>
        <w:pStyle w:val="2"/>
        <w:rPr>
          <w:rFonts w:hint="eastAsia"/>
        </w:rPr>
      </w:pPr>
      <w:r>
        <w:rPr>
          <w:rFonts w:hint="eastAsia"/>
        </w:rPr>
        <w:t xml:space="preserve">detected in all participants at baseline. Most patients (11 out of 14) </w:t>
      </w:r>
    </w:p>
    <w:p w14:paraId="4010DEB6">
      <w:pPr>
        <w:pStyle w:val="2"/>
        <w:rPr>
          <w:rFonts w:hint="eastAsia"/>
        </w:rPr>
      </w:pPr>
      <w:r>
        <w:rPr>
          <w:rFonts w:hint="eastAsia"/>
        </w:rPr>
        <w:t xml:space="preserve">demonstrated a reduction in lesion number and SUVmax at follow-up, indicating a </w:t>
      </w:r>
    </w:p>
    <w:p w14:paraId="55101B49">
      <w:pPr>
        <w:pStyle w:val="2"/>
        <w:rPr>
          <w:rFonts w:hint="eastAsia"/>
        </w:rPr>
      </w:pPr>
      <w:r>
        <w:rPr>
          <w:rFonts w:hint="eastAsia"/>
        </w:rPr>
        <w:t xml:space="preserve">metabolic response to therapy. However, persistent [18F]FDG uptake was observed </w:t>
      </w:r>
    </w:p>
    <w:p w14:paraId="43BA667A">
      <w:pPr>
        <w:pStyle w:val="2"/>
        <w:rPr>
          <w:rFonts w:hint="eastAsia"/>
        </w:rPr>
      </w:pPr>
      <w:r>
        <w:rPr>
          <w:rFonts w:hint="eastAsia"/>
        </w:rPr>
        <w:t xml:space="preserve">in a subset of patients (3 out of 14). Median CRP levels declined from 12 mg/L </w:t>
      </w:r>
    </w:p>
    <w:p w14:paraId="0DE02B92">
      <w:pPr>
        <w:pStyle w:val="2"/>
        <w:rPr>
          <w:rFonts w:hint="eastAsia"/>
        </w:rPr>
      </w:pPr>
      <w:r>
        <w:rPr>
          <w:rFonts w:hint="eastAsia"/>
        </w:rPr>
        <w:t xml:space="preserve">(range: 0.3-190) at baseline to 3.6 mg/L (range: 0.9-20) at week 8 and remained </w:t>
      </w:r>
    </w:p>
    <w:p w14:paraId="31ECB344">
      <w:pPr>
        <w:pStyle w:val="2"/>
        <w:rPr>
          <w:rFonts w:hint="eastAsia"/>
        </w:rPr>
      </w:pPr>
      <w:r>
        <w:rPr>
          <w:rFonts w:hint="eastAsia"/>
        </w:rPr>
        <w:t xml:space="preserve">low thereafter, broadly paralleling PET/CT findings. In several cases, residual </w:t>
      </w:r>
    </w:p>
    <w:p w14:paraId="6E9ED66A">
      <w:pPr>
        <w:pStyle w:val="2"/>
        <w:rPr>
          <w:rFonts w:hint="eastAsia"/>
        </w:rPr>
      </w:pPr>
      <w:r>
        <w:rPr>
          <w:rFonts w:hint="eastAsia"/>
        </w:rPr>
        <w:t>metabolic activity did not result in treatment prolongation.</w:t>
      </w:r>
    </w:p>
    <w:p w14:paraId="49BFD0E8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DISCUSSION: </w:t>
      </w:r>
      <w:r>
        <w:rPr>
          <w:rFonts w:hint="eastAsia"/>
        </w:rPr>
        <w:t xml:space="preserve">Serial [18F]FDG-PET/CT demonstrated changes in metabolic activity </w:t>
      </w:r>
    </w:p>
    <w:p w14:paraId="6F4AF5B9">
      <w:pPr>
        <w:pStyle w:val="2"/>
        <w:rPr>
          <w:rFonts w:hint="eastAsia"/>
        </w:rPr>
      </w:pPr>
      <w:r>
        <w:rPr>
          <w:rFonts w:hint="eastAsia"/>
        </w:rPr>
        <w:t xml:space="preserve">during treatment with reductions in lesion number and SUVmax in most patients. </w:t>
      </w:r>
    </w:p>
    <w:p w14:paraId="52A43808">
      <w:pPr>
        <w:pStyle w:val="2"/>
        <w:rPr>
          <w:rFonts w:hint="eastAsia"/>
        </w:rPr>
      </w:pPr>
      <w:r>
        <w:rPr>
          <w:rFonts w:hint="eastAsia"/>
        </w:rPr>
        <w:t xml:space="preserve">However, SUVmax reflects focal metabolic activity rather than total disease </w:t>
      </w:r>
    </w:p>
    <w:p w14:paraId="01C7A24F">
      <w:pPr>
        <w:pStyle w:val="2"/>
        <w:rPr>
          <w:rFonts w:hint="eastAsia"/>
        </w:rPr>
      </w:pPr>
      <w:r>
        <w:rPr>
          <w:rFonts w:hint="eastAsia"/>
        </w:rPr>
        <w:t xml:space="preserve">burden, and persistent uptake after the intensive treatment phase was observed </w:t>
      </w:r>
    </w:p>
    <w:p w14:paraId="3F68893D">
      <w:pPr>
        <w:pStyle w:val="2"/>
        <w:rPr>
          <w:rFonts w:hint="eastAsia"/>
        </w:rPr>
      </w:pPr>
      <w:r>
        <w:rPr>
          <w:rFonts w:hint="eastAsia"/>
        </w:rPr>
        <w:t xml:space="preserve">in some patients. Larger prospective studies incorporating standardized response </w:t>
      </w:r>
    </w:p>
    <w:p w14:paraId="102B2DAF">
      <w:pPr>
        <w:pStyle w:val="2"/>
        <w:rPr>
          <w:rFonts w:hint="eastAsia"/>
        </w:rPr>
      </w:pPr>
      <w:r>
        <w:rPr>
          <w:rFonts w:hint="eastAsia"/>
        </w:rPr>
        <w:t xml:space="preserve">criteria and volumetric PET measures are needed before [18F]FDG-PET/CT can be </w:t>
      </w:r>
    </w:p>
    <w:p w14:paraId="13A06C85">
      <w:pPr>
        <w:pStyle w:val="2"/>
        <w:rPr>
          <w:rFonts w:hint="eastAsia"/>
        </w:rPr>
      </w:pPr>
      <w:r>
        <w:rPr>
          <w:rFonts w:hint="eastAsia"/>
        </w:rPr>
        <w:t>implemented as a routine biomarker for treatment response in EPTB.</w:t>
      </w:r>
    </w:p>
    <w:p w14:paraId="1D136EFE">
      <w:pPr>
        <w:pStyle w:val="2"/>
        <w:rPr>
          <w:rFonts w:hint="eastAsia"/>
        </w:rPr>
      </w:pPr>
    </w:p>
    <w:p w14:paraId="30953D2F">
      <w:pPr>
        <w:pStyle w:val="2"/>
        <w:rPr>
          <w:rFonts w:hint="eastAsia"/>
        </w:rPr>
      </w:pPr>
      <w:r>
        <w:rPr>
          <w:rFonts w:hint="eastAsia"/>
        </w:rPr>
        <w:t>© 2026 Kartan, Farahani, Hess, Søndergaard, Gerke and Johansen.</w:t>
      </w:r>
    </w:p>
    <w:p w14:paraId="222C7718">
      <w:pPr>
        <w:pStyle w:val="2"/>
        <w:rPr>
          <w:rFonts w:hint="eastAsia"/>
        </w:rPr>
      </w:pPr>
    </w:p>
    <w:p w14:paraId="40BCA82C">
      <w:pPr>
        <w:pStyle w:val="2"/>
        <w:rPr>
          <w:rFonts w:hint="eastAsia"/>
        </w:rPr>
      </w:pPr>
      <w:r>
        <w:rPr>
          <w:rFonts w:hint="eastAsia"/>
        </w:rPr>
        <w:t>DOI: 10.3389/fmed.2026.1908921</w:t>
      </w:r>
    </w:p>
    <w:p w14:paraId="0CB19509">
      <w:pPr>
        <w:pStyle w:val="2"/>
        <w:rPr>
          <w:rFonts w:hint="eastAsia"/>
        </w:rPr>
      </w:pPr>
      <w:r>
        <w:rPr>
          <w:rFonts w:hint="eastAsia"/>
        </w:rPr>
        <w:t>PMCID: PMC13671963</w:t>
      </w:r>
    </w:p>
    <w:p w14:paraId="1F2EAA1E">
      <w:pPr>
        <w:pStyle w:val="2"/>
        <w:rPr>
          <w:rFonts w:hint="eastAsia"/>
        </w:rPr>
      </w:pPr>
      <w:r>
        <w:rPr>
          <w:rFonts w:hint="eastAsia"/>
        </w:rPr>
        <w:t>PMID: 42890025</w:t>
      </w:r>
    </w:p>
    <w:p w14:paraId="7542D1B1">
      <w:pPr>
        <w:pStyle w:val="2"/>
        <w:rPr>
          <w:rFonts w:hint="eastAsia"/>
        </w:rPr>
      </w:pPr>
    </w:p>
    <w:p w14:paraId="1982D95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66</w:t>
      </w:r>
      <w:r>
        <w:rPr>
          <w:rFonts w:hint="eastAsia"/>
          <w:b/>
          <w:bCs/>
          <w:color w:val="FF0000"/>
        </w:rPr>
        <w:t xml:space="preserve">. Front Cell Infect Microbiol. 2026 Oct 1;16:1918557. doi: </w:t>
      </w:r>
    </w:p>
    <w:p w14:paraId="7C65668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10.3389/fcimb.2026.1918557. eCollection 2026.</w:t>
      </w:r>
    </w:p>
    <w:p w14:paraId="248E1D02">
      <w:pPr>
        <w:pStyle w:val="2"/>
        <w:rPr>
          <w:rFonts w:hint="eastAsia"/>
        </w:rPr>
      </w:pPr>
    </w:p>
    <w:p w14:paraId="620F7C1B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complex Lineage 8 causes drug resistant pulmonary </w:t>
      </w:r>
    </w:p>
    <w:p w14:paraId="3D7236C7">
      <w:pPr>
        <w:pStyle w:val="2"/>
        <w:rPr>
          <w:rFonts w:hint="eastAsia"/>
        </w:rPr>
      </w:pPr>
      <w:r>
        <w:rPr>
          <w:rFonts w:hint="eastAsia"/>
        </w:rPr>
        <w:t>tuberculosis also in South Kivu, Eastern Democratic Republic of Congo.</w:t>
      </w:r>
    </w:p>
    <w:p w14:paraId="365990CE">
      <w:pPr>
        <w:pStyle w:val="2"/>
        <w:rPr>
          <w:rFonts w:hint="eastAsia"/>
        </w:rPr>
      </w:pPr>
    </w:p>
    <w:p w14:paraId="657A9905">
      <w:pPr>
        <w:pStyle w:val="2"/>
        <w:rPr>
          <w:rFonts w:hint="eastAsia"/>
        </w:rPr>
      </w:pPr>
      <w:r>
        <w:rPr>
          <w:rFonts w:hint="eastAsia"/>
        </w:rPr>
        <w:t xml:space="preserve">Bisimwa BC(1)(2)(3)(4), Bahizire E(1)(5)(6), Martin IC(3), Rigouts L(3), Mulders </w:t>
      </w:r>
    </w:p>
    <w:p w14:paraId="40742EE0">
      <w:pPr>
        <w:pStyle w:val="2"/>
        <w:rPr>
          <w:rFonts w:hint="eastAsia"/>
        </w:rPr>
      </w:pPr>
      <w:r>
        <w:rPr>
          <w:rFonts w:hint="eastAsia"/>
        </w:rPr>
        <w:t xml:space="preserve">W(3), Hakizayezu F(7), Byela V(1)(4), Niyompano H(7), Kamanzi E(7), Birembano </w:t>
      </w:r>
    </w:p>
    <w:p w14:paraId="65D708F8">
      <w:pPr>
        <w:pStyle w:val="2"/>
        <w:rPr>
          <w:rFonts w:hint="eastAsia"/>
        </w:rPr>
      </w:pPr>
      <w:r>
        <w:rPr>
          <w:rFonts w:hint="eastAsia"/>
        </w:rPr>
        <w:t>F(8), Callens S(2)(9), Ngabonziza JCS(10)(11), Meehan CJ(3)(12), de Jong BC(3).</w:t>
      </w:r>
    </w:p>
    <w:p w14:paraId="0F279169">
      <w:pPr>
        <w:pStyle w:val="2"/>
        <w:rPr>
          <w:rFonts w:hint="eastAsia"/>
        </w:rPr>
      </w:pPr>
    </w:p>
    <w:p w14:paraId="31CFE2E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C55F894">
      <w:pPr>
        <w:pStyle w:val="2"/>
        <w:rPr>
          <w:rFonts w:hint="eastAsia"/>
        </w:rPr>
      </w:pPr>
      <w:r>
        <w:rPr>
          <w:rFonts w:hint="eastAsia"/>
        </w:rPr>
        <w:t xml:space="preserve">(1)Centre for tropical diseases and global health, Université Catholique de </w:t>
      </w:r>
    </w:p>
    <w:p w14:paraId="498FE91E">
      <w:pPr>
        <w:pStyle w:val="2"/>
        <w:rPr>
          <w:rFonts w:hint="eastAsia"/>
        </w:rPr>
      </w:pPr>
      <w:r>
        <w:rPr>
          <w:rFonts w:hint="eastAsia"/>
        </w:rPr>
        <w:t>Bukavu, Bukavu, Democratic Republic of Congo.</w:t>
      </w:r>
    </w:p>
    <w:p w14:paraId="2E4713ED">
      <w:pPr>
        <w:pStyle w:val="2"/>
        <w:rPr>
          <w:rFonts w:hint="eastAsia"/>
        </w:rPr>
      </w:pPr>
      <w:r>
        <w:rPr>
          <w:rFonts w:hint="eastAsia"/>
        </w:rPr>
        <w:t>(2)Faculty of medicine and health sciences, Ghent University, Ghent, Belgium.</w:t>
      </w:r>
    </w:p>
    <w:p w14:paraId="1C326B37">
      <w:pPr>
        <w:pStyle w:val="2"/>
        <w:rPr>
          <w:rFonts w:hint="eastAsia"/>
        </w:rPr>
      </w:pPr>
      <w:r>
        <w:rPr>
          <w:rFonts w:hint="eastAsia"/>
        </w:rPr>
        <w:t>(3)Mycobacteriology unit, Institute of tropical medicine, Antwerp, Belgium.</w:t>
      </w:r>
    </w:p>
    <w:p w14:paraId="6F0BA100">
      <w:pPr>
        <w:pStyle w:val="2"/>
        <w:rPr>
          <w:rFonts w:hint="eastAsia"/>
        </w:rPr>
      </w:pPr>
      <w:r>
        <w:rPr>
          <w:rFonts w:hint="eastAsia"/>
        </w:rPr>
        <w:t xml:space="preserve">(4)Institut Supérieur des Techniques Médicales de Bukavu, Bukavu, Democratic </w:t>
      </w:r>
    </w:p>
    <w:p w14:paraId="2DFE5E70">
      <w:pPr>
        <w:pStyle w:val="2"/>
        <w:rPr>
          <w:rFonts w:hint="eastAsia"/>
        </w:rPr>
      </w:pPr>
      <w:r>
        <w:rPr>
          <w:rFonts w:hint="eastAsia"/>
        </w:rPr>
        <w:t>Republic of Congo.</w:t>
      </w:r>
    </w:p>
    <w:p w14:paraId="707B1260">
      <w:pPr>
        <w:pStyle w:val="2"/>
        <w:rPr>
          <w:rFonts w:hint="eastAsia"/>
        </w:rPr>
      </w:pPr>
      <w:r>
        <w:rPr>
          <w:rFonts w:hint="eastAsia"/>
        </w:rPr>
        <w:t>(5)Department of microbiology, University of Nairobi, Nairobi, Kenya.</w:t>
      </w:r>
    </w:p>
    <w:p w14:paraId="2568146B">
      <w:pPr>
        <w:pStyle w:val="2"/>
        <w:rPr>
          <w:rFonts w:hint="eastAsia"/>
        </w:rPr>
      </w:pPr>
      <w:r>
        <w:rPr>
          <w:rFonts w:hint="eastAsia"/>
        </w:rPr>
        <w:t xml:space="preserve">(6)Centre de Recherche en Sciences Naturelles, Lwirho, Democratic Republic of </w:t>
      </w:r>
    </w:p>
    <w:p w14:paraId="0B8023FD">
      <w:pPr>
        <w:pStyle w:val="2"/>
        <w:rPr>
          <w:rFonts w:hint="eastAsia"/>
        </w:rPr>
      </w:pPr>
      <w:r>
        <w:rPr>
          <w:rFonts w:hint="eastAsia"/>
        </w:rPr>
        <w:t>Congo.</w:t>
      </w:r>
    </w:p>
    <w:p w14:paraId="7A849DD7">
      <w:pPr>
        <w:pStyle w:val="2"/>
        <w:rPr>
          <w:rFonts w:hint="eastAsia"/>
        </w:rPr>
      </w:pPr>
      <w:r>
        <w:rPr>
          <w:rFonts w:hint="eastAsia"/>
        </w:rPr>
        <w:t xml:space="preserve">(7)National Reference Laboratory Division, Rwanda Biomedical Centre, </w:t>
      </w:r>
    </w:p>
    <w:p w14:paraId="7FB6B482">
      <w:pPr>
        <w:pStyle w:val="2"/>
        <w:rPr>
          <w:rFonts w:hint="eastAsia"/>
        </w:rPr>
      </w:pPr>
      <w:r>
        <w:rPr>
          <w:rFonts w:hint="eastAsia"/>
        </w:rPr>
        <w:t>Kigali, Rwanda.</w:t>
      </w:r>
    </w:p>
    <w:p w14:paraId="25D3E8A1">
      <w:pPr>
        <w:pStyle w:val="2"/>
        <w:rPr>
          <w:rFonts w:hint="eastAsia"/>
        </w:rPr>
      </w:pPr>
      <w:r>
        <w:rPr>
          <w:rFonts w:hint="eastAsia"/>
        </w:rPr>
        <w:t>(8)National Tuberculosis Program, Kinshasa, Democratic Republic of Congo.</w:t>
      </w:r>
    </w:p>
    <w:p w14:paraId="419696DB">
      <w:pPr>
        <w:pStyle w:val="2"/>
        <w:rPr>
          <w:rFonts w:hint="eastAsia"/>
        </w:rPr>
      </w:pPr>
      <w:r>
        <w:rPr>
          <w:rFonts w:hint="eastAsia"/>
        </w:rPr>
        <w:t>(9)Department of internal medicine, Ghent University Hospital, Ghent, Belgium.</w:t>
      </w:r>
    </w:p>
    <w:p w14:paraId="5172C2B0">
      <w:pPr>
        <w:pStyle w:val="2"/>
        <w:rPr>
          <w:rFonts w:hint="eastAsia"/>
        </w:rPr>
      </w:pPr>
      <w:r>
        <w:rPr>
          <w:rFonts w:hint="eastAsia"/>
        </w:rPr>
        <w:t xml:space="preserve">(10)Research, Innovation and Data Science Division, Rwanda Biomedical Centre, </w:t>
      </w:r>
    </w:p>
    <w:p w14:paraId="68558131">
      <w:pPr>
        <w:pStyle w:val="2"/>
        <w:rPr>
          <w:rFonts w:hint="eastAsia"/>
        </w:rPr>
      </w:pPr>
      <w:r>
        <w:rPr>
          <w:rFonts w:hint="eastAsia"/>
        </w:rPr>
        <w:t>Kigali, Rwanda.</w:t>
      </w:r>
    </w:p>
    <w:p w14:paraId="149FBFBF">
      <w:pPr>
        <w:pStyle w:val="2"/>
        <w:rPr>
          <w:rFonts w:hint="eastAsia"/>
        </w:rPr>
      </w:pPr>
      <w:r>
        <w:rPr>
          <w:rFonts w:hint="eastAsia"/>
        </w:rPr>
        <w:t>(11)Department of Clinical Biology, University of Rwanda, Kigali, Rwanda.</w:t>
      </w:r>
    </w:p>
    <w:p w14:paraId="7D148CE1">
      <w:pPr>
        <w:pStyle w:val="2"/>
        <w:rPr>
          <w:rFonts w:hint="eastAsia"/>
        </w:rPr>
      </w:pPr>
      <w:r>
        <w:rPr>
          <w:rFonts w:hint="eastAsia"/>
        </w:rPr>
        <w:t xml:space="preserve">(12)Centre for Systems Health and Integrated Metabolic Research, Nottingham </w:t>
      </w:r>
    </w:p>
    <w:p w14:paraId="4AF61AFA">
      <w:pPr>
        <w:pStyle w:val="2"/>
        <w:rPr>
          <w:rFonts w:hint="eastAsia"/>
        </w:rPr>
      </w:pPr>
      <w:r>
        <w:rPr>
          <w:rFonts w:hint="eastAsia"/>
        </w:rPr>
        <w:t>Trent University, Nottingham, United Kingdom.</w:t>
      </w:r>
    </w:p>
    <w:p w14:paraId="5CE6DA7D">
      <w:pPr>
        <w:pStyle w:val="2"/>
        <w:rPr>
          <w:rFonts w:hint="eastAsia"/>
        </w:rPr>
      </w:pPr>
    </w:p>
    <w:p w14:paraId="33FA29F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Lineage 8 (L8) occupies a unique phylogenetic position as a sister </w:t>
      </w:r>
    </w:p>
    <w:p w14:paraId="7C26D794">
      <w:pPr>
        <w:pStyle w:val="2"/>
        <w:rPr>
          <w:rFonts w:hint="eastAsia"/>
        </w:rPr>
      </w:pPr>
      <w:r>
        <w:rPr>
          <w:rFonts w:hint="eastAsia"/>
        </w:rPr>
        <w:t xml:space="preserve">clade to all other known Mycobacterium tuberculosis complex (MTBC) lineages. </w:t>
      </w:r>
    </w:p>
    <w:p w14:paraId="794EDF46">
      <w:pPr>
        <w:pStyle w:val="2"/>
        <w:rPr>
          <w:rFonts w:hint="eastAsia"/>
        </w:rPr>
      </w:pPr>
      <w:r>
        <w:rPr>
          <w:rFonts w:hint="eastAsia"/>
        </w:rPr>
        <w:t xml:space="preserve">Although the initial identification of L8 strains was limited to Rwanda and </w:t>
      </w:r>
    </w:p>
    <w:p w14:paraId="412DC5DE">
      <w:pPr>
        <w:pStyle w:val="2"/>
        <w:rPr>
          <w:rFonts w:hint="eastAsia"/>
        </w:rPr>
      </w:pPr>
      <w:r>
        <w:rPr>
          <w:rFonts w:hint="eastAsia"/>
        </w:rPr>
        <w:t xml:space="preserve">Uganda, the complete geographical distribution of this lineage remains </w:t>
      </w:r>
    </w:p>
    <w:p w14:paraId="67C1EBD2">
      <w:pPr>
        <w:pStyle w:val="2"/>
        <w:rPr>
          <w:rFonts w:hint="eastAsia"/>
        </w:rPr>
      </w:pPr>
      <w:r>
        <w:rPr>
          <w:rFonts w:hint="eastAsia"/>
        </w:rPr>
        <w:t xml:space="preserve">undetermined due to limited genomic surveillance across eastern and central </w:t>
      </w:r>
    </w:p>
    <w:p w14:paraId="68CD7459">
      <w:pPr>
        <w:pStyle w:val="2"/>
        <w:rPr>
          <w:rFonts w:hint="eastAsia"/>
        </w:rPr>
      </w:pPr>
      <w:r>
        <w:rPr>
          <w:rFonts w:hint="eastAsia"/>
        </w:rPr>
        <w:t>Africa.</w:t>
      </w:r>
    </w:p>
    <w:p w14:paraId="0112D18D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performed whole genome sequencing (WGS) on MTBC isolates from </w:t>
      </w:r>
    </w:p>
    <w:p w14:paraId="5395537E">
      <w:pPr>
        <w:pStyle w:val="2"/>
        <w:rPr>
          <w:rFonts w:hint="eastAsia"/>
        </w:rPr>
      </w:pPr>
      <w:r>
        <w:rPr>
          <w:rFonts w:hint="eastAsia"/>
        </w:rPr>
        <w:t xml:space="preserve">rifampicin-resistant tuberculosis (TB) patients' sputum in Bukavu, South Kivu </w:t>
      </w:r>
    </w:p>
    <w:p w14:paraId="61377AFA">
      <w:pPr>
        <w:pStyle w:val="2"/>
        <w:rPr>
          <w:rFonts w:hint="eastAsia"/>
        </w:rPr>
      </w:pPr>
      <w:r>
        <w:rPr>
          <w:rFonts w:hint="eastAsia"/>
        </w:rPr>
        <w:t xml:space="preserve">province, eastern Democratic Republic of Congo (DRC). Lineage assignment was </w:t>
      </w:r>
    </w:p>
    <w:p w14:paraId="039BE903">
      <w:pPr>
        <w:pStyle w:val="2"/>
        <w:rPr>
          <w:rFonts w:hint="eastAsia"/>
        </w:rPr>
      </w:pPr>
      <w:r>
        <w:rPr>
          <w:rFonts w:hint="eastAsia"/>
        </w:rPr>
        <w:t xml:space="preserve">performed using TBProfiler with classification based on single nucleotide </w:t>
      </w:r>
    </w:p>
    <w:p w14:paraId="1AF68D13">
      <w:pPr>
        <w:pStyle w:val="2"/>
        <w:rPr>
          <w:rFonts w:hint="eastAsia"/>
        </w:rPr>
      </w:pPr>
      <w:r>
        <w:rPr>
          <w:rFonts w:hint="eastAsia"/>
        </w:rPr>
        <w:t xml:space="preserve">polymporphisms (SNPs). Phylogenetic reconstruction was conducted using maximum </w:t>
      </w:r>
    </w:p>
    <w:p w14:paraId="6BF79B0A">
      <w:pPr>
        <w:pStyle w:val="2"/>
        <w:rPr>
          <w:rFonts w:hint="eastAsia"/>
        </w:rPr>
      </w:pPr>
      <w:r>
        <w:rPr>
          <w:rFonts w:hint="eastAsia"/>
        </w:rPr>
        <w:t xml:space="preserve">likelihood analysis against publicly available L8 reference genomes from Rwanda </w:t>
      </w:r>
    </w:p>
    <w:p w14:paraId="66D9CF1F">
      <w:pPr>
        <w:pStyle w:val="2"/>
        <w:rPr>
          <w:rFonts w:hint="eastAsia"/>
        </w:rPr>
      </w:pPr>
      <w:r>
        <w:rPr>
          <w:rFonts w:hint="eastAsia"/>
        </w:rPr>
        <w:t xml:space="preserve">and Uganda. Drug-resistance profiles were determined through both genotypic </w:t>
      </w:r>
    </w:p>
    <w:p w14:paraId="7766BCCB">
      <w:pPr>
        <w:pStyle w:val="2"/>
        <w:rPr>
          <w:rFonts w:hint="eastAsia"/>
        </w:rPr>
      </w:pPr>
      <w:r>
        <w:rPr>
          <w:rFonts w:hint="eastAsia"/>
        </w:rPr>
        <w:t xml:space="preserve">prediction from WGS data and phenotypic drug-susceptibility testing. Clinical </w:t>
      </w:r>
    </w:p>
    <w:p w14:paraId="71E699F0">
      <w:pPr>
        <w:pStyle w:val="2"/>
        <w:rPr>
          <w:rFonts w:hint="eastAsia"/>
        </w:rPr>
      </w:pPr>
      <w:r>
        <w:rPr>
          <w:rFonts w:hint="eastAsia"/>
        </w:rPr>
        <w:t>and epidemiologic data were extracted from programmatic records.</w:t>
      </w:r>
    </w:p>
    <w:p w14:paraId="7602B751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We identified three clinical isolates belonging to MTBC L8 among </w:t>
      </w:r>
    </w:p>
    <w:p w14:paraId="1ECC14B6">
      <w:pPr>
        <w:pStyle w:val="2"/>
        <w:rPr>
          <w:rFonts w:hint="eastAsia"/>
        </w:rPr>
      </w:pPr>
      <w:r>
        <w:rPr>
          <w:rFonts w:hint="eastAsia"/>
        </w:rPr>
        <w:t xml:space="preserve">fifteen sequenced isolates collected in Bukavu between January and December 2023 </w:t>
      </w:r>
    </w:p>
    <w:p w14:paraId="14E1B150">
      <w:pPr>
        <w:pStyle w:val="2"/>
        <w:rPr>
          <w:rFonts w:hint="eastAsia"/>
        </w:rPr>
      </w:pPr>
      <w:r>
        <w:rPr>
          <w:rFonts w:hint="eastAsia"/>
        </w:rPr>
        <w:t xml:space="preserve">enriched for rifampicin resistant TB as determined by Xpert Ultra. Phylogenetic </w:t>
      </w:r>
    </w:p>
    <w:p w14:paraId="041E2158">
      <w:pPr>
        <w:pStyle w:val="2"/>
        <w:rPr>
          <w:rFonts w:hint="eastAsia"/>
        </w:rPr>
      </w:pPr>
      <w:r>
        <w:rPr>
          <w:rFonts w:hint="eastAsia"/>
        </w:rPr>
        <w:t xml:space="preserve">analysis confirmed placement within the L8 clade while revealing unique SNP </w:t>
      </w:r>
    </w:p>
    <w:p w14:paraId="305EFDCC">
      <w:pPr>
        <w:pStyle w:val="2"/>
        <w:rPr>
          <w:rFonts w:hint="eastAsia"/>
        </w:rPr>
      </w:pPr>
      <w:r>
        <w:rPr>
          <w:rFonts w:hint="eastAsia"/>
        </w:rPr>
        <w:t xml:space="preserve">profiles distinct from previously published Rwandan and Ugandan L8 strains by </w:t>
      </w:r>
    </w:p>
    <w:p w14:paraId="73D5767E">
      <w:pPr>
        <w:pStyle w:val="2"/>
        <w:rPr>
          <w:rFonts w:hint="eastAsia"/>
        </w:rPr>
      </w:pPr>
      <w:r>
        <w:rPr>
          <w:rFonts w:hint="eastAsia"/>
        </w:rPr>
        <w:t xml:space="preserve">16-20 to &gt;200 SNPs, respectively, consistent with local diversification rather </w:t>
      </w:r>
    </w:p>
    <w:p w14:paraId="3B4B460F">
      <w:pPr>
        <w:pStyle w:val="2"/>
        <w:rPr>
          <w:rFonts w:hint="eastAsia"/>
        </w:rPr>
      </w:pPr>
      <w:r>
        <w:rPr>
          <w:rFonts w:hint="eastAsia"/>
        </w:rPr>
        <w:t xml:space="preserve">than recent cross-border importation. Ancestral genomic features characteristic </w:t>
      </w:r>
    </w:p>
    <w:p w14:paraId="7C843D68">
      <w:pPr>
        <w:pStyle w:val="2"/>
        <w:rPr>
          <w:rFonts w:hint="eastAsia"/>
        </w:rPr>
      </w:pPr>
      <w:r>
        <w:rPr>
          <w:rFonts w:hint="eastAsia"/>
        </w:rPr>
        <w:t xml:space="preserve">of L8 were preserved, including the intact cobF region and complete pks8 gene. </w:t>
      </w:r>
    </w:p>
    <w:p w14:paraId="16F4F20F">
      <w:pPr>
        <w:pStyle w:val="2"/>
        <w:rPr>
          <w:rFonts w:hint="eastAsia"/>
        </w:rPr>
      </w:pPr>
      <w:r>
        <w:rPr>
          <w:rFonts w:hint="eastAsia"/>
        </w:rPr>
        <w:t xml:space="preserve">Drug-resistance prediction from genomic data indicated multidrug-resistant and </w:t>
      </w:r>
    </w:p>
    <w:p w14:paraId="7A88E3C2">
      <w:pPr>
        <w:pStyle w:val="2"/>
        <w:rPr>
          <w:rFonts w:hint="eastAsia"/>
        </w:rPr>
      </w:pPr>
      <w:r>
        <w:rPr>
          <w:rFonts w:hint="eastAsia"/>
        </w:rPr>
        <w:t>pre-extensively-resistant TB.</w:t>
      </w:r>
    </w:p>
    <w:p w14:paraId="5A54E07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This report extends the known geographic distribution of MTBC L8 to </w:t>
      </w:r>
    </w:p>
    <w:p w14:paraId="140B2B11">
      <w:pPr>
        <w:pStyle w:val="2"/>
        <w:rPr>
          <w:rFonts w:hint="eastAsia"/>
        </w:rPr>
      </w:pPr>
      <w:r>
        <w:rPr>
          <w:rFonts w:hint="eastAsia"/>
        </w:rPr>
        <w:t xml:space="preserve">eastern DRC, supporting the hypothesis that the African Great Lakes region </w:t>
      </w:r>
    </w:p>
    <w:p w14:paraId="43E25A92">
      <w:pPr>
        <w:pStyle w:val="2"/>
        <w:rPr>
          <w:rFonts w:hint="eastAsia"/>
        </w:rPr>
      </w:pPr>
      <w:r>
        <w:rPr>
          <w:rFonts w:hint="eastAsia"/>
        </w:rPr>
        <w:t xml:space="preserve">harbors under-characterized ancestral diversity of the tubercle bacillus. </w:t>
      </w:r>
    </w:p>
    <w:p w14:paraId="224B380D">
      <w:pPr>
        <w:pStyle w:val="2"/>
        <w:rPr>
          <w:rFonts w:hint="eastAsia"/>
        </w:rPr>
      </w:pPr>
      <w:r>
        <w:rPr>
          <w:rFonts w:hint="eastAsia"/>
        </w:rPr>
        <w:t xml:space="preserve">Systematic genomic surveillance across the DRC-Uganda-Rwanda-Burundi corridor, </w:t>
      </w:r>
    </w:p>
    <w:p w14:paraId="0389D06B">
      <w:pPr>
        <w:pStyle w:val="2"/>
        <w:rPr>
          <w:rFonts w:hint="eastAsia"/>
        </w:rPr>
      </w:pPr>
      <w:r>
        <w:rPr>
          <w:rFonts w:hint="eastAsia"/>
        </w:rPr>
        <w:t xml:space="preserve">including rifampicin-susceptible isolates, is needed to determine whether L8 </w:t>
      </w:r>
    </w:p>
    <w:p w14:paraId="575F099F">
      <w:pPr>
        <w:pStyle w:val="2"/>
        <w:rPr>
          <w:rFonts w:hint="eastAsia"/>
        </w:rPr>
      </w:pPr>
      <w:r>
        <w:rPr>
          <w:rFonts w:hint="eastAsia"/>
        </w:rPr>
        <w:t xml:space="preserve">represents a rare relict lineage or an under-detected endemic variant </w:t>
      </w:r>
    </w:p>
    <w:p w14:paraId="36E2AD80">
      <w:pPr>
        <w:pStyle w:val="2"/>
        <w:rPr>
          <w:rFonts w:hint="eastAsia"/>
        </w:rPr>
      </w:pPr>
      <w:r>
        <w:rPr>
          <w:rFonts w:hint="eastAsia"/>
        </w:rPr>
        <w:t>circulating through regional transmission networks.</w:t>
      </w:r>
    </w:p>
    <w:p w14:paraId="6CBE6E77">
      <w:pPr>
        <w:pStyle w:val="2"/>
        <w:rPr>
          <w:rFonts w:hint="eastAsia"/>
        </w:rPr>
      </w:pPr>
    </w:p>
    <w:p w14:paraId="4EB47D95">
      <w:pPr>
        <w:pStyle w:val="2"/>
        <w:rPr>
          <w:rFonts w:hint="eastAsia"/>
        </w:rPr>
      </w:pPr>
      <w:r>
        <w:rPr>
          <w:rFonts w:hint="eastAsia"/>
        </w:rPr>
        <w:t xml:space="preserve">Copyright © 2026 Bisimwa, Bahizire, Martin, Rigouts, Mulders, Hakizayezu, Byela, </w:t>
      </w:r>
    </w:p>
    <w:p w14:paraId="6D176D75">
      <w:pPr>
        <w:pStyle w:val="2"/>
        <w:rPr>
          <w:rFonts w:hint="eastAsia"/>
        </w:rPr>
      </w:pPr>
      <w:r>
        <w:rPr>
          <w:rFonts w:hint="eastAsia"/>
        </w:rPr>
        <w:t>Niyompano, Kamanzi, Birembano, Callens, Ngabonziza, Meehan and de Jong.</w:t>
      </w:r>
    </w:p>
    <w:p w14:paraId="5772166B">
      <w:pPr>
        <w:pStyle w:val="2"/>
        <w:rPr>
          <w:rFonts w:hint="eastAsia"/>
        </w:rPr>
      </w:pPr>
    </w:p>
    <w:p w14:paraId="21F4032B">
      <w:pPr>
        <w:pStyle w:val="2"/>
        <w:rPr>
          <w:rFonts w:hint="eastAsia"/>
        </w:rPr>
      </w:pPr>
      <w:r>
        <w:rPr>
          <w:rFonts w:hint="eastAsia"/>
        </w:rPr>
        <w:t>DOI: 10.3389/fcimb.2026.1918557</w:t>
      </w:r>
    </w:p>
    <w:p w14:paraId="0A1DA30E">
      <w:pPr>
        <w:pStyle w:val="2"/>
        <w:rPr>
          <w:rFonts w:hint="eastAsia"/>
        </w:rPr>
      </w:pPr>
      <w:r>
        <w:rPr>
          <w:rFonts w:hint="eastAsia"/>
        </w:rPr>
        <w:t>PMCID: PMC13668578</w:t>
      </w:r>
    </w:p>
    <w:p w14:paraId="4D5F825C">
      <w:pPr>
        <w:pStyle w:val="2"/>
        <w:rPr>
          <w:rFonts w:hint="eastAsia"/>
        </w:rPr>
      </w:pPr>
      <w:r>
        <w:rPr>
          <w:rFonts w:hint="eastAsia"/>
        </w:rPr>
        <w:t>PMID: 42889092 [Indexed for MEDLINE]</w:t>
      </w:r>
    </w:p>
    <w:p w14:paraId="4F746659">
      <w:pPr>
        <w:pStyle w:val="2"/>
        <w:rPr>
          <w:rFonts w:hint="eastAsia"/>
        </w:rPr>
      </w:pPr>
    </w:p>
    <w:p w14:paraId="67C4881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67</w:t>
      </w:r>
      <w:r>
        <w:rPr>
          <w:rFonts w:hint="eastAsia"/>
          <w:b/>
          <w:bCs/>
          <w:color w:val="FF0000"/>
        </w:rPr>
        <w:t>. Int J Mol Sci. 2026 Oct 1;27(19):8808. doi: 10.3390/ijms27198808.</w:t>
      </w:r>
    </w:p>
    <w:p w14:paraId="49345203">
      <w:pPr>
        <w:pStyle w:val="2"/>
        <w:rPr>
          <w:rFonts w:hint="eastAsia"/>
        </w:rPr>
      </w:pPr>
    </w:p>
    <w:p w14:paraId="3BB7A544">
      <w:pPr>
        <w:pStyle w:val="2"/>
        <w:rPr>
          <w:rFonts w:hint="eastAsia"/>
        </w:rPr>
      </w:pPr>
      <w:r>
        <w:rPr>
          <w:rFonts w:hint="eastAsia"/>
        </w:rPr>
        <w:t>Maleylated-BSA-Coated Gold Nanopopcorns for Pulmonary Delivery of Quercetin.</w:t>
      </w:r>
    </w:p>
    <w:p w14:paraId="7465F432">
      <w:pPr>
        <w:pStyle w:val="2"/>
        <w:rPr>
          <w:rFonts w:hint="eastAsia"/>
        </w:rPr>
      </w:pPr>
    </w:p>
    <w:p w14:paraId="058205CA">
      <w:pPr>
        <w:pStyle w:val="2"/>
        <w:rPr>
          <w:rFonts w:hint="eastAsia"/>
        </w:rPr>
      </w:pPr>
      <w:r>
        <w:rPr>
          <w:rFonts w:hint="eastAsia"/>
        </w:rPr>
        <w:t>Nigade O(1), Prabhakar B(1), Trotta F(2), Shende P(1)(3).</w:t>
      </w:r>
    </w:p>
    <w:p w14:paraId="42AA5041">
      <w:pPr>
        <w:pStyle w:val="2"/>
        <w:rPr>
          <w:rFonts w:hint="eastAsia"/>
        </w:rPr>
      </w:pPr>
    </w:p>
    <w:p w14:paraId="145A9D4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BE7FF41">
      <w:pPr>
        <w:pStyle w:val="2"/>
        <w:rPr>
          <w:rFonts w:hint="eastAsia"/>
        </w:rPr>
      </w:pPr>
      <w:r>
        <w:rPr>
          <w:rFonts w:hint="eastAsia"/>
        </w:rPr>
        <w:t xml:space="preserve">(1)Shobhaben Pratapbhai Patel School of Pharmacy and Technology Management, </w:t>
      </w:r>
    </w:p>
    <w:p w14:paraId="7211443C">
      <w:pPr>
        <w:pStyle w:val="2"/>
        <w:rPr>
          <w:rFonts w:hint="eastAsia"/>
        </w:rPr>
      </w:pPr>
      <w:r>
        <w:rPr>
          <w:rFonts w:hint="eastAsia"/>
        </w:rPr>
        <w:t>SVKM's NMIMS, Vile Parle (W), Mumbai 400056, India.</w:t>
      </w:r>
    </w:p>
    <w:p w14:paraId="2AA88329">
      <w:pPr>
        <w:pStyle w:val="2"/>
        <w:rPr>
          <w:rFonts w:hint="eastAsia"/>
        </w:rPr>
      </w:pPr>
      <w:r>
        <w:rPr>
          <w:rFonts w:hint="eastAsia"/>
        </w:rPr>
        <w:t xml:space="preserve">(2)Department of Chemistry, University of Turin, Via Pietro Giuria 7, 10125 </w:t>
      </w:r>
    </w:p>
    <w:p w14:paraId="57AAC414">
      <w:pPr>
        <w:pStyle w:val="2"/>
        <w:rPr>
          <w:rFonts w:hint="eastAsia"/>
        </w:rPr>
      </w:pPr>
      <w:r>
        <w:rPr>
          <w:rFonts w:hint="eastAsia"/>
        </w:rPr>
        <w:t>Torino, Italy.</w:t>
      </w:r>
    </w:p>
    <w:p w14:paraId="16062228">
      <w:pPr>
        <w:pStyle w:val="2"/>
        <w:rPr>
          <w:rFonts w:hint="eastAsia"/>
        </w:rPr>
      </w:pPr>
      <w:r>
        <w:rPr>
          <w:rFonts w:hint="eastAsia"/>
        </w:rPr>
        <w:t xml:space="preserve">(3)National Institute of Pharmaceutical Education and Research (NIPER), S.A.S. </w:t>
      </w:r>
    </w:p>
    <w:p w14:paraId="295A9147">
      <w:pPr>
        <w:pStyle w:val="2"/>
        <w:rPr>
          <w:rFonts w:hint="eastAsia"/>
        </w:rPr>
      </w:pPr>
      <w:r>
        <w:rPr>
          <w:rFonts w:hint="eastAsia"/>
        </w:rPr>
        <w:t>Nagar (Mohali) 160062, India.</w:t>
      </w:r>
    </w:p>
    <w:p w14:paraId="7E4F55DF">
      <w:pPr>
        <w:pStyle w:val="2"/>
        <w:rPr>
          <w:rFonts w:hint="eastAsia"/>
        </w:rPr>
      </w:pPr>
    </w:p>
    <w:p w14:paraId="777DBD3F">
      <w:pPr>
        <w:pStyle w:val="2"/>
        <w:rPr>
          <w:rFonts w:hint="eastAsia"/>
        </w:rPr>
      </w:pPr>
      <w:r>
        <w:rPr>
          <w:rFonts w:hint="eastAsia"/>
        </w:rPr>
        <w:t xml:space="preserve">A non-motile bacterium, Mycobacterium tuberculosis (Mtb), causes tuberculosis </w:t>
      </w:r>
    </w:p>
    <w:p w14:paraId="40F8E97B">
      <w:pPr>
        <w:pStyle w:val="2"/>
        <w:rPr>
          <w:rFonts w:hint="eastAsia"/>
        </w:rPr>
      </w:pPr>
      <w:r>
        <w:rPr>
          <w:rFonts w:hint="eastAsia"/>
        </w:rPr>
        <w:t xml:space="preserve">(TB), an infection of the lower respiratory tract. Currently, rifampicin, </w:t>
      </w:r>
    </w:p>
    <w:p w14:paraId="3F87895C">
      <w:pPr>
        <w:pStyle w:val="2"/>
        <w:rPr>
          <w:rFonts w:hint="eastAsia"/>
        </w:rPr>
      </w:pPr>
      <w:r>
        <w:rPr>
          <w:rFonts w:hint="eastAsia"/>
        </w:rPr>
        <w:t xml:space="preserve">isoniazid, ethambutol, and pyrazinamide are used as first-line treatment for </w:t>
      </w:r>
    </w:p>
    <w:p w14:paraId="0C68B2A0">
      <w:pPr>
        <w:pStyle w:val="2"/>
        <w:rPr>
          <w:rFonts w:hint="eastAsia"/>
        </w:rPr>
      </w:pPr>
      <w:r>
        <w:rPr>
          <w:rFonts w:hint="eastAsia"/>
        </w:rPr>
        <w:t xml:space="preserve">drug-susceptible TB for two months, followed by four months of rifampicin and </w:t>
      </w:r>
    </w:p>
    <w:p w14:paraId="556DE108">
      <w:pPr>
        <w:pStyle w:val="2"/>
        <w:rPr>
          <w:rFonts w:hint="eastAsia"/>
        </w:rPr>
      </w:pPr>
      <w:r>
        <w:rPr>
          <w:rFonts w:hint="eastAsia"/>
        </w:rPr>
        <w:t xml:space="preserve">isoniazid. This treatment plan is linked to serious hepatic, dermatological, and </w:t>
      </w:r>
    </w:p>
    <w:p w14:paraId="727A837A">
      <w:pPr>
        <w:pStyle w:val="2"/>
        <w:rPr>
          <w:rFonts w:hint="eastAsia"/>
        </w:rPr>
      </w:pPr>
      <w:r>
        <w:rPr>
          <w:rFonts w:hint="eastAsia"/>
        </w:rPr>
        <w:t xml:space="preserve">hematopoietic adverse effects. The exploration of natural substances like </w:t>
      </w:r>
    </w:p>
    <w:p w14:paraId="4CD55CF2">
      <w:pPr>
        <w:pStyle w:val="2"/>
        <w:rPr>
          <w:rFonts w:hint="eastAsia"/>
        </w:rPr>
      </w:pPr>
      <w:r>
        <w:rPr>
          <w:rFonts w:hint="eastAsia"/>
        </w:rPr>
        <w:t xml:space="preserve">quercetin for treating TB was driven by the significant side effects of the </w:t>
      </w:r>
    </w:p>
    <w:p w14:paraId="34483874">
      <w:pPr>
        <w:pStyle w:val="2"/>
        <w:rPr>
          <w:rFonts w:hint="eastAsia"/>
        </w:rPr>
      </w:pPr>
      <w:r>
        <w:rPr>
          <w:rFonts w:hint="eastAsia"/>
        </w:rPr>
        <w:t xml:space="preserve">standard therapy protocol. Protein-coated gold nanopopcorns were developed as a </w:t>
      </w:r>
    </w:p>
    <w:p w14:paraId="55CB5A3B">
      <w:pPr>
        <w:pStyle w:val="2"/>
        <w:rPr>
          <w:rFonts w:hint="eastAsia"/>
        </w:rPr>
      </w:pPr>
      <w:r>
        <w:rPr>
          <w:rFonts w:hint="eastAsia"/>
        </w:rPr>
        <w:t xml:space="preserve">dry-powder inhaler to deliver tailored medication to the lungs. The objective of </w:t>
      </w:r>
    </w:p>
    <w:p w14:paraId="1D0CDA57">
      <w:pPr>
        <w:pStyle w:val="2"/>
        <w:rPr>
          <w:rFonts w:hint="eastAsia"/>
        </w:rPr>
      </w:pPr>
      <w:r>
        <w:rPr>
          <w:rFonts w:hint="eastAsia"/>
        </w:rPr>
        <w:t xml:space="preserve">this research article was to assess the effectiveness of quercetin-loaded gold </w:t>
      </w:r>
    </w:p>
    <w:p w14:paraId="6CD2B181">
      <w:pPr>
        <w:pStyle w:val="2"/>
        <w:rPr>
          <w:rFonts w:hint="eastAsia"/>
        </w:rPr>
      </w:pPr>
      <w:r>
        <w:rPr>
          <w:rFonts w:hint="eastAsia"/>
        </w:rPr>
        <w:t xml:space="preserve">nanopopcorns against Mtb H37Ra cells. The gold nanopopcorns prepared using the </w:t>
      </w:r>
    </w:p>
    <w:p w14:paraId="3BA06648">
      <w:pPr>
        <w:pStyle w:val="2"/>
        <w:rPr>
          <w:rFonts w:hint="eastAsia"/>
        </w:rPr>
      </w:pPr>
      <w:r>
        <w:rPr>
          <w:rFonts w:hint="eastAsia"/>
        </w:rPr>
        <w:t xml:space="preserve">Turkevich method and subsequently coated with maleylated BSA (m-BSA) showed an </w:t>
      </w:r>
    </w:p>
    <w:p w14:paraId="4C2A6AF3">
      <w:pPr>
        <w:pStyle w:val="2"/>
        <w:rPr>
          <w:rFonts w:hint="eastAsia"/>
        </w:rPr>
      </w:pPr>
      <w:r>
        <w:rPr>
          <w:rFonts w:hint="eastAsia"/>
        </w:rPr>
        <w:t xml:space="preserve">adsorption efficiency of 87.02 ± 2.82%, particle size of 153.2 ± 26.45 nm, and a zeta potential of 29.3 ± 7.80 mV. In vitro release studies showed rapid initial </w:t>
      </w:r>
    </w:p>
    <w:p w14:paraId="68388870">
      <w:pPr>
        <w:pStyle w:val="2"/>
        <w:rPr>
          <w:rFonts w:hint="eastAsia"/>
        </w:rPr>
      </w:pPr>
      <w:r>
        <w:rPr>
          <w:rFonts w:hint="eastAsia"/>
        </w:rPr>
        <w:t xml:space="preserve">release within 2 h, with a total drug release of 79.85 ± 1.33% over 24 h, with </w:t>
      </w:r>
    </w:p>
    <w:p w14:paraId="18219829">
      <w:pPr>
        <w:pStyle w:val="2"/>
        <w:rPr>
          <w:rFonts w:hint="eastAsia"/>
        </w:rPr>
      </w:pPr>
      <w:r>
        <w:rPr>
          <w:rFonts w:hint="eastAsia"/>
        </w:rPr>
        <w:t xml:space="preserve">inhibition of 56.36% of H37Ra cells (IC50 = 2 μg/mL). These findings provide </w:t>
      </w:r>
    </w:p>
    <w:p w14:paraId="289D8EF8">
      <w:pPr>
        <w:pStyle w:val="2"/>
        <w:rPr>
          <w:rFonts w:hint="eastAsia"/>
        </w:rPr>
      </w:pPr>
      <w:r>
        <w:rPr>
          <w:rFonts w:hint="eastAsia"/>
        </w:rPr>
        <w:t xml:space="preserve">preliminary evidence for the potential of PNPs as a pulmonary quercetin delivery </w:t>
      </w:r>
    </w:p>
    <w:p w14:paraId="30418A2E">
      <w:pPr>
        <w:pStyle w:val="2"/>
        <w:rPr>
          <w:rFonts w:hint="eastAsia"/>
        </w:rPr>
      </w:pPr>
      <w:r>
        <w:rPr>
          <w:rFonts w:hint="eastAsia"/>
        </w:rPr>
        <w:t xml:space="preserve">platform, warranting further evaluation in macrophage-based and tuberculosis </w:t>
      </w:r>
    </w:p>
    <w:p w14:paraId="6C881242">
      <w:pPr>
        <w:pStyle w:val="2"/>
        <w:rPr>
          <w:rFonts w:hint="eastAsia"/>
        </w:rPr>
      </w:pPr>
      <w:r>
        <w:rPr>
          <w:rFonts w:hint="eastAsia"/>
        </w:rPr>
        <w:t>disease models.</w:t>
      </w:r>
    </w:p>
    <w:p w14:paraId="6E0BE95D">
      <w:pPr>
        <w:pStyle w:val="2"/>
        <w:rPr>
          <w:rFonts w:hint="eastAsia"/>
        </w:rPr>
      </w:pPr>
    </w:p>
    <w:p w14:paraId="3D0AE5BB">
      <w:pPr>
        <w:pStyle w:val="2"/>
        <w:rPr>
          <w:rFonts w:hint="eastAsia"/>
        </w:rPr>
      </w:pPr>
      <w:r>
        <w:rPr>
          <w:rFonts w:hint="eastAsia"/>
        </w:rPr>
        <w:t>DOI: 10.3390/ijms27198808</w:t>
      </w:r>
    </w:p>
    <w:p w14:paraId="39F8272F">
      <w:pPr>
        <w:pStyle w:val="2"/>
        <w:rPr>
          <w:rFonts w:hint="eastAsia"/>
        </w:rPr>
      </w:pPr>
      <w:r>
        <w:rPr>
          <w:rFonts w:hint="eastAsia"/>
        </w:rPr>
        <w:t>PMID: 42884052 [Indexed for MEDLINE]</w:t>
      </w:r>
    </w:p>
    <w:p w14:paraId="5A2C9204">
      <w:pPr>
        <w:pStyle w:val="2"/>
        <w:rPr>
          <w:rFonts w:hint="eastAsia"/>
        </w:rPr>
      </w:pPr>
    </w:p>
    <w:p w14:paraId="6A91657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68</w:t>
      </w:r>
      <w:r>
        <w:rPr>
          <w:rFonts w:hint="eastAsia"/>
          <w:b/>
          <w:bCs/>
          <w:color w:val="FF0000"/>
        </w:rPr>
        <w:t>. Int J Mol Sci. 2026 Oct 1;27(19):8809. doi: 10.3390/ijms27198809.</w:t>
      </w:r>
    </w:p>
    <w:p w14:paraId="06B40D1C">
      <w:pPr>
        <w:pStyle w:val="2"/>
        <w:rPr>
          <w:rFonts w:hint="eastAsia"/>
        </w:rPr>
      </w:pPr>
    </w:p>
    <w:p w14:paraId="3FF7DF18">
      <w:pPr>
        <w:pStyle w:val="2"/>
        <w:rPr>
          <w:rFonts w:hint="eastAsia"/>
        </w:rPr>
      </w:pPr>
      <w:r>
        <w:rPr>
          <w:rFonts w:hint="eastAsia"/>
        </w:rPr>
        <w:t xml:space="preserve">A Colorimetric Approach to Identifying Single-Nucleotide Mutations Using </w:t>
      </w:r>
    </w:p>
    <w:p w14:paraId="2EDB63D8">
      <w:pPr>
        <w:pStyle w:val="2"/>
        <w:rPr>
          <w:rFonts w:hint="eastAsia"/>
        </w:rPr>
      </w:pPr>
      <w:r>
        <w:rPr>
          <w:rFonts w:hint="eastAsia"/>
        </w:rPr>
        <w:t>Gold-Based Magnetic Nanoparticles.</w:t>
      </w:r>
    </w:p>
    <w:p w14:paraId="6FC82483">
      <w:pPr>
        <w:pStyle w:val="2"/>
        <w:rPr>
          <w:rFonts w:hint="eastAsia"/>
        </w:rPr>
      </w:pPr>
    </w:p>
    <w:p w14:paraId="05EC89CD">
      <w:pPr>
        <w:pStyle w:val="2"/>
        <w:rPr>
          <w:rFonts w:hint="eastAsia"/>
        </w:rPr>
      </w:pPr>
      <w:r>
        <w:rPr>
          <w:rFonts w:hint="eastAsia"/>
        </w:rPr>
        <w:t xml:space="preserve">Epanchintseva A(1), Shyiskaya J(1), Poletaeva J(1), Baeva E(1), Kozyreva E(1), </w:t>
      </w:r>
    </w:p>
    <w:p w14:paraId="2B527A76">
      <w:pPr>
        <w:pStyle w:val="2"/>
        <w:rPr>
          <w:rFonts w:hint="eastAsia"/>
        </w:rPr>
      </w:pPr>
      <w:r>
        <w:rPr>
          <w:rFonts w:hint="eastAsia"/>
        </w:rPr>
        <w:t>Dyudeyeva E(1), Khokhlova M(2), Pyshnaya I(1).</w:t>
      </w:r>
    </w:p>
    <w:p w14:paraId="54351003">
      <w:pPr>
        <w:pStyle w:val="2"/>
        <w:rPr>
          <w:rFonts w:hint="eastAsia"/>
        </w:rPr>
      </w:pPr>
    </w:p>
    <w:p w14:paraId="698B743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0A7852E">
      <w:pPr>
        <w:pStyle w:val="2"/>
        <w:rPr>
          <w:rFonts w:hint="eastAsia"/>
        </w:rPr>
      </w:pPr>
      <w:r>
        <w:rPr>
          <w:rFonts w:hint="eastAsia"/>
        </w:rPr>
        <w:t xml:space="preserve">(1)Knorre Institute of Chemical Biology and Fundamental Medicine, Siberian </w:t>
      </w:r>
    </w:p>
    <w:p w14:paraId="71CD06BE">
      <w:pPr>
        <w:pStyle w:val="2"/>
        <w:rPr>
          <w:rFonts w:hint="eastAsia"/>
        </w:rPr>
      </w:pPr>
      <w:r>
        <w:rPr>
          <w:rFonts w:hint="eastAsia"/>
        </w:rPr>
        <w:t>Branch of the Russian Academy of Sciences, Novosibirsk 630090, Russia.</w:t>
      </w:r>
    </w:p>
    <w:p w14:paraId="46A182F8">
      <w:pPr>
        <w:pStyle w:val="2"/>
        <w:rPr>
          <w:rFonts w:hint="eastAsia"/>
        </w:rPr>
      </w:pPr>
      <w:r>
        <w:rPr>
          <w:rFonts w:hint="eastAsia"/>
        </w:rPr>
        <w:t xml:space="preserve">(2)Institute of Solid State Chemistry and Mechanochemistry, Siberian Branch of </w:t>
      </w:r>
    </w:p>
    <w:p w14:paraId="5941861C">
      <w:pPr>
        <w:pStyle w:val="2"/>
        <w:rPr>
          <w:rFonts w:hint="eastAsia"/>
        </w:rPr>
      </w:pPr>
      <w:r>
        <w:rPr>
          <w:rFonts w:hint="eastAsia"/>
        </w:rPr>
        <w:t>the Russian Academy of Sciences, Novosibirsk 630090, Russia.</w:t>
      </w:r>
    </w:p>
    <w:p w14:paraId="4F49B03B">
      <w:pPr>
        <w:pStyle w:val="2"/>
        <w:rPr>
          <w:rFonts w:hint="eastAsia"/>
        </w:rPr>
      </w:pPr>
    </w:p>
    <w:p w14:paraId="309EE36E">
      <w:pPr>
        <w:pStyle w:val="2"/>
        <w:rPr>
          <w:rFonts w:hint="eastAsia"/>
        </w:rPr>
      </w:pPr>
      <w:r>
        <w:rPr>
          <w:rFonts w:hint="eastAsia"/>
        </w:rPr>
        <w:t xml:space="preserve">Detection of single-nucleotide mutations (SNPs) in the genome of infectious </w:t>
      </w:r>
    </w:p>
    <w:p w14:paraId="66845273">
      <w:pPr>
        <w:pStyle w:val="2"/>
        <w:rPr>
          <w:rFonts w:hint="eastAsia"/>
        </w:rPr>
      </w:pPr>
      <w:r>
        <w:rPr>
          <w:rFonts w:hint="eastAsia"/>
        </w:rPr>
        <w:t xml:space="preserve">agents is one of the ways to identify their drug-resistant strains. </w:t>
      </w:r>
    </w:p>
    <w:p w14:paraId="59986122">
      <w:pPr>
        <w:pStyle w:val="2"/>
        <w:rPr>
          <w:rFonts w:hint="eastAsia"/>
        </w:rPr>
      </w:pPr>
      <w:r>
        <w:rPr>
          <w:rFonts w:hint="eastAsia"/>
        </w:rPr>
        <w:t xml:space="preserve">Antibiotic-resistant strains of Mycobacterium tuberculosis (MTB) impede advances </w:t>
      </w:r>
    </w:p>
    <w:p w14:paraId="54E3F7A6">
      <w:pPr>
        <w:pStyle w:val="2"/>
        <w:rPr>
          <w:rFonts w:hint="eastAsia"/>
        </w:rPr>
      </w:pPr>
      <w:r>
        <w:rPr>
          <w:rFonts w:hint="eastAsia"/>
        </w:rPr>
        <w:t xml:space="preserve">in the fight against the spread of tuberculosis. Diagnostic tools exist for both </w:t>
      </w:r>
    </w:p>
    <w:p w14:paraId="48BCCABF">
      <w:pPr>
        <w:pStyle w:val="2"/>
        <w:rPr>
          <w:rFonts w:hint="eastAsia"/>
        </w:rPr>
      </w:pPr>
      <w:r>
        <w:rPr>
          <w:rFonts w:hint="eastAsia"/>
        </w:rPr>
        <w:t xml:space="preserve">MTB itself and its drug-resistant strains, most of which are technically </w:t>
      </w:r>
    </w:p>
    <w:p w14:paraId="130341E5">
      <w:pPr>
        <w:pStyle w:val="2"/>
        <w:rPr>
          <w:rFonts w:hint="eastAsia"/>
        </w:rPr>
      </w:pPr>
      <w:r>
        <w:rPr>
          <w:rFonts w:hint="eastAsia"/>
        </w:rPr>
        <w:t xml:space="preserve">complex, resource-intensive, and time-consuming. This paper presents the </w:t>
      </w:r>
    </w:p>
    <w:p w14:paraId="040CDF1E">
      <w:pPr>
        <w:pStyle w:val="2"/>
        <w:rPr>
          <w:rFonts w:hint="eastAsia"/>
        </w:rPr>
      </w:pPr>
      <w:r>
        <w:rPr>
          <w:rFonts w:hint="eastAsia"/>
        </w:rPr>
        <w:t xml:space="preserve">development of a colorimetric test system, requiring no expensive equipment, for </w:t>
      </w:r>
    </w:p>
    <w:p w14:paraId="1804556C">
      <w:pPr>
        <w:pStyle w:val="2"/>
        <w:rPr>
          <w:rFonts w:hint="eastAsia"/>
        </w:rPr>
      </w:pPr>
      <w:r>
        <w:rPr>
          <w:rFonts w:hint="eastAsia"/>
        </w:rPr>
        <w:t xml:space="preserve">the rapid and accurate determination of the SNPs associated with drug-resistant </w:t>
      </w:r>
    </w:p>
    <w:p w14:paraId="33B05B38">
      <w:pPr>
        <w:pStyle w:val="2"/>
        <w:rPr>
          <w:rFonts w:hint="eastAsia"/>
        </w:rPr>
      </w:pPr>
      <w:r>
        <w:rPr>
          <w:rFonts w:hint="eastAsia"/>
        </w:rPr>
        <w:t xml:space="preserve">forms of MTB to fluoroquinolones in modeled DNA targets (198 bp). For this </w:t>
      </w:r>
    </w:p>
    <w:p w14:paraId="3484756A">
      <w:pPr>
        <w:pStyle w:val="2"/>
        <w:rPr>
          <w:rFonts w:hint="eastAsia"/>
        </w:rPr>
      </w:pPr>
      <w:r>
        <w:rPr>
          <w:rFonts w:hint="eastAsia"/>
        </w:rPr>
        <w:t xml:space="preserve">purpose, nanoconstructs based on gold nanoparticles (AuNPs) and hybrid magnetic </w:t>
      </w:r>
    </w:p>
    <w:p w14:paraId="30E1E4AF">
      <w:pPr>
        <w:pStyle w:val="2"/>
        <w:rPr>
          <w:rFonts w:hint="eastAsia"/>
        </w:rPr>
      </w:pPr>
      <w:r>
        <w:rPr>
          <w:rFonts w:hint="eastAsia"/>
        </w:rPr>
        <w:t xml:space="preserve">Fe3O4@Au NPs were created, leveraging the advantages of each nanomaterial. The </w:t>
      </w:r>
    </w:p>
    <w:p w14:paraId="5DE719E2">
      <w:pPr>
        <w:pStyle w:val="2"/>
        <w:rPr>
          <w:rFonts w:hint="eastAsia"/>
        </w:rPr>
      </w:pPr>
      <w:r>
        <w:rPr>
          <w:rFonts w:hint="eastAsia"/>
        </w:rPr>
        <w:t xml:space="preserve">use of AuNPs provides a basis for colorimetric detection due to their high </w:t>
      </w:r>
    </w:p>
    <w:p w14:paraId="3327BCC2">
      <w:pPr>
        <w:pStyle w:val="2"/>
        <w:rPr>
          <w:rFonts w:hint="eastAsia"/>
        </w:rPr>
      </w:pPr>
      <w:r>
        <w:rPr>
          <w:rFonts w:hint="eastAsia"/>
        </w:rPr>
        <w:t xml:space="preserve">optical absorption. Fe3O4@Au NPs enable samples to respond to an external </w:t>
      </w:r>
    </w:p>
    <w:p w14:paraId="76FCDB58">
      <w:pPr>
        <w:pStyle w:val="2"/>
        <w:rPr>
          <w:rFonts w:hint="eastAsia"/>
        </w:rPr>
      </w:pPr>
      <w:r>
        <w:rPr>
          <w:rFonts w:hint="eastAsia"/>
        </w:rPr>
        <w:t xml:space="preserve">magnetic field. The study demonstrates the ability to reliably discriminate </w:t>
      </w:r>
    </w:p>
    <w:p w14:paraId="34C4B60D">
      <w:pPr>
        <w:pStyle w:val="2"/>
        <w:rPr>
          <w:rFonts w:hint="eastAsia"/>
        </w:rPr>
      </w:pPr>
      <w:r>
        <w:rPr>
          <w:rFonts w:hint="eastAsia"/>
        </w:rPr>
        <w:t xml:space="preserve">between wild-type and mutant-model DNA targets in the nanomolar concentration </w:t>
      </w:r>
    </w:p>
    <w:p w14:paraId="3C538643">
      <w:pPr>
        <w:pStyle w:val="2"/>
        <w:rPr>
          <w:rFonts w:hint="eastAsia"/>
        </w:rPr>
      </w:pPr>
      <w:r>
        <w:rPr>
          <w:rFonts w:hint="eastAsia"/>
        </w:rPr>
        <w:t xml:space="preserve">range within 15 min. Visual analysis and optical absorption spectroscopy were </w:t>
      </w:r>
    </w:p>
    <w:p w14:paraId="7E1FF9E8">
      <w:pPr>
        <w:pStyle w:val="2"/>
        <w:rPr>
          <w:rFonts w:hint="eastAsia"/>
        </w:rPr>
      </w:pPr>
      <w:r>
        <w:rPr>
          <w:rFonts w:hint="eastAsia"/>
        </w:rPr>
        <w:t xml:space="preserve">used to evaluate the detection results. The application of an external magnetic </w:t>
      </w:r>
    </w:p>
    <w:p w14:paraId="270C33ED">
      <w:pPr>
        <w:pStyle w:val="2"/>
        <w:rPr>
          <w:rFonts w:hint="eastAsia"/>
        </w:rPr>
      </w:pPr>
      <w:r>
        <w:rPr>
          <w:rFonts w:hint="eastAsia"/>
        </w:rPr>
        <w:t xml:space="preserve">field allows for enhanced colorimetric distinction between wild-type target </w:t>
      </w:r>
    </w:p>
    <w:p w14:paraId="1CA023EB">
      <w:pPr>
        <w:pStyle w:val="2"/>
        <w:rPr>
          <w:rFonts w:hint="eastAsia"/>
        </w:rPr>
      </w:pPr>
      <w:r>
        <w:rPr>
          <w:rFonts w:hint="eastAsia"/>
        </w:rPr>
        <w:t>samples and those containing an SNP.</w:t>
      </w:r>
    </w:p>
    <w:p w14:paraId="0C975BC9">
      <w:pPr>
        <w:pStyle w:val="2"/>
        <w:rPr>
          <w:rFonts w:hint="eastAsia"/>
        </w:rPr>
      </w:pPr>
    </w:p>
    <w:p w14:paraId="3F93CFFA">
      <w:pPr>
        <w:pStyle w:val="2"/>
        <w:rPr>
          <w:rFonts w:hint="eastAsia"/>
        </w:rPr>
      </w:pPr>
      <w:r>
        <w:rPr>
          <w:rFonts w:hint="eastAsia"/>
        </w:rPr>
        <w:t>DOI: 10.3390/ijms27198809</w:t>
      </w:r>
    </w:p>
    <w:p w14:paraId="356531B4">
      <w:pPr>
        <w:pStyle w:val="2"/>
        <w:rPr>
          <w:rFonts w:hint="eastAsia"/>
        </w:rPr>
      </w:pPr>
      <w:r>
        <w:rPr>
          <w:rFonts w:hint="eastAsia"/>
        </w:rPr>
        <w:t>PMID: 42884051 [Indexed for MEDLINE]</w:t>
      </w:r>
    </w:p>
    <w:p w14:paraId="331E82F5">
      <w:pPr>
        <w:pStyle w:val="2"/>
        <w:rPr>
          <w:rFonts w:hint="eastAsia"/>
        </w:rPr>
      </w:pPr>
    </w:p>
    <w:p w14:paraId="643A4EE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69</w:t>
      </w:r>
      <w:r>
        <w:rPr>
          <w:rFonts w:hint="eastAsia"/>
          <w:b/>
          <w:bCs/>
          <w:color w:val="FF0000"/>
        </w:rPr>
        <w:t>. Int J Mol Sci. 2026 Sep 23;27(19):8476. doi: 10.3390/ijms27198476.</w:t>
      </w:r>
    </w:p>
    <w:p w14:paraId="131176AF">
      <w:pPr>
        <w:pStyle w:val="2"/>
        <w:rPr>
          <w:rFonts w:hint="eastAsia"/>
        </w:rPr>
      </w:pPr>
    </w:p>
    <w:p w14:paraId="706A4D20">
      <w:pPr>
        <w:pStyle w:val="2"/>
        <w:rPr>
          <w:rFonts w:hint="eastAsia"/>
        </w:rPr>
      </w:pPr>
      <w:r>
        <w:rPr>
          <w:rFonts w:hint="eastAsia"/>
        </w:rPr>
        <w:t xml:space="preserve">Characterization of Novel Mycobacteriophages of Subcluster A3: Evolutionary </w:t>
      </w:r>
    </w:p>
    <w:p w14:paraId="2D898953">
      <w:pPr>
        <w:pStyle w:val="2"/>
        <w:rPr>
          <w:rFonts w:hint="eastAsia"/>
        </w:rPr>
      </w:pPr>
      <w:r>
        <w:rPr>
          <w:rFonts w:hint="eastAsia"/>
        </w:rPr>
        <w:t>Plasticity of the Lysogeny Module and Lytic Potential.</w:t>
      </w:r>
    </w:p>
    <w:p w14:paraId="5774FCB7">
      <w:pPr>
        <w:pStyle w:val="2"/>
        <w:rPr>
          <w:rFonts w:hint="eastAsia"/>
        </w:rPr>
      </w:pPr>
    </w:p>
    <w:p w14:paraId="38B5E8F6">
      <w:pPr>
        <w:pStyle w:val="2"/>
        <w:rPr>
          <w:rFonts w:hint="eastAsia"/>
        </w:rPr>
      </w:pPr>
      <w:r>
        <w:rPr>
          <w:rFonts w:hint="eastAsia"/>
        </w:rPr>
        <w:t xml:space="preserve">Zaychikova M(1), Malakhova M(1), Kuznetsova S(1), Bespiatykh D(1), Kiselev </w:t>
      </w:r>
    </w:p>
    <w:p w14:paraId="6AB899B1">
      <w:pPr>
        <w:pStyle w:val="2"/>
        <w:rPr>
          <w:rFonts w:hint="eastAsia"/>
        </w:rPr>
      </w:pPr>
      <w:r>
        <w:rPr>
          <w:rFonts w:hint="eastAsia"/>
        </w:rPr>
        <w:t xml:space="preserve">S(1)(2), Klimina K(1), Strokach A(1)(3), German A(4), Lebedeva A(5), Fursov </w:t>
      </w:r>
    </w:p>
    <w:p w14:paraId="40DAED2A">
      <w:pPr>
        <w:pStyle w:val="2"/>
        <w:rPr>
          <w:rFonts w:hint="eastAsia"/>
        </w:rPr>
      </w:pPr>
      <w:r>
        <w:rPr>
          <w:rFonts w:hint="eastAsia"/>
        </w:rPr>
        <w:t xml:space="preserve">M(1)(5), Vnukova A(3), Bagrov D(1)(3), Trofimova N(1)(3), Shleeva M(1)(4), </w:t>
      </w:r>
    </w:p>
    <w:p w14:paraId="49F34A03">
      <w:pPr>
        <w:pStyle w:val="2"/>
        <w:rPr>
          <w:rFonts w:hint="eastAsia"/>
        </w:rPr>
      </w:pPr>
      <w:r>
        <w:rPr>
          <w:rFonts w:hint="eastAsia"/>
        </w:rPr>
        <w:t>Shitikov E(1).</w:t>
      </w:r>
    </w:p>
    <w:p w14:paraId="4354F60C">
      <w:pPr>
        <w:pStyle w:val="2"/>
        <w:rPr>
          <w:rFonts w:hint="eastAsia"/>
        </w:rPr>
      </w:pPr>
    </w:p>
    <w:p w14:paraId="5ECE725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15A8AD1">
      <w:pPr>
        <w:pStyle w:val="2"/>
        <w:rPr>
          <w:rFonts w:hint="eastAsia"/>
        </w:rPr>
      </w:pPr>
      <w:r>
        <w:rPr>
          <w:rFonts w:hint="eastAsia"/>
        </w:rPr>
        <w:t xml:space="preserve">(1)Lopukhin Federal Research and Clinical Center of Physical-Chemical Medicine </w:t>
      </w:r>
    </w:p>
    <w:p w14:paraId="3AE8F0DA">
      <w:pPr>
        <w:pStyle w:val="2"/>
        <w:rPr>
          <w:rFonts w:hint="eastAsia"/>
        </w:rPr>
      </w:pPr>
      <w:r>
        <w:rPr>
          <w:rFonts w:hint="eastAsia"/>
        </w:rPr>
        <w:t>of the Federal Medical Biological Agency, Moscow 119435, Russia.</w:t>
      </w:r>
    </w:p>
    <w:p w14:paraId="024CEAE1">
      <w:pPr>
        <w:pStyle w:val="2"/>
        <w:rPr>
          <w:rFonts w:hint="eastAsia"/>
        </w:rPr>
      </w:pPr>
      <w:r>
        <w:rPr>
          <w:rFonts w:hint="eastAsia"/>
        </w:rPr>
        <w:t>(2)Moscow Center for Advanced Studies, Moscow 123592, Russia.</w:t>
      </w:r>
    </w:p>
    <w:p w14:paraId="460CF6C0">
      <w:pPr>
        <w:pStyle w:val="2"/>
        <w:rPr>
          <w:rFonts w:hint="eastAsia"/>
        </w:rPr>
      </w:pPr>
      <w:r>
        <w:rPr>
          <w:rFonts w:hint="eastAsia"/>
        </w:rPr>
        <w:t>(3)Faculty of Biology, Lomonosov Moscow State University, Moscow 119991, Russia.</w:t>
      </w:r>
    </w:p>
    <w:p w14:paraId="762E2B47">
      <w:pPr>
        <w:pStyle w:val="2"/>
        <w:rPr>
          <w:rFonts w:hint="eastAsia"/>
        </w:rPr>
      </w:pPr>
      <w:r>
        <w:rPr>
          <w:rFonts w:hint="eastAsia"/>
        </w:rPr>
        <w:t xml:space="preserve">(4)Federal Research Centre 'Fundamentals of Biotechnology' of the Russian </w:t>
      </w:r>
    </w:p>
    <w:p w14:paraId="5FEF5A64">
      <w:pPr>
        <w:pStyle w:val="2"/>
        <w:rPr>
          <w:rFonts w:hint="eastAsia"/>
        </w:rPr>
      </w:pPr>
      <w:r>
        <w:rPr>
          <w:rFonts w:hint="eastAsia"/>
        </w:rPr>
        <w:t>Academy of Sciences, Moscow 119071, Russia.</w:t>
      </w:r>
    </w:p>
    <w:p w14:paraId="16425D99">
      <w:pPr>
        <w:pStyle w:val="2"/>
        <w:rPr>
          <w:rFonts w:hint="eastAsia"/>
        </w:rPr>
      </w:pPr>
      <w:r>
        <w:rPr>
          <w:rFonts w:hint="eastAsia"/>
        </w:rPr>
        <w:t xml:space="preserve">(5)State Research Center for Applied Microbiology and Biotechnology, Obolensk </w:t>
      </w:r>
    </w:p>
    <w:p w14:paraId="55A9200E">
      <w:pPr>
        <w:pStyle w:val="2"/>
        <w:rPr>
          <w:rFonts w:hint="eastAsia"/>
        </w:rPr>
      </w:pPr>
      <w:r>
        <w:rPr>
          <w:rFonts w:hint="eastAsia"/>
        </w:rPr>
        <w:t>142279, Russia.</w:t>
      </w:r>
    </w:p>
    <w:p w14:paraId="2F47CA6C">
      <w:pPr>
        <w:pStyle w:val="2"/>
        <w:rPr>
          <w:rFonts w:hint="eastAsia"/>
        </w:rPr>
      </w:pPr>
    </w:p>
    <w:p w14:paraId="07A6467F">
      <w:pPr>
        <w:pStyle w:val="2"/>
        <w:rPr>
          <w:rFonts w:hint="eastAsia"/>
        </w:rPr>
      </w:pPr>
      <w:r>
        <w:rPr>
          <w:rFonts w:hint="eastAsia"/>
        </w:rPr>
        <w:t xml:space="preserve">The increasing prevalence of drug-resistant Mycobacteriumtuberculosis (Mtb) and </w:t>
      </w:r>
    </w:p>
    <w:p w14:paraId="6BF050C5">
      <w:pPr>
        <w:pStyle w:val="2"/>
        <w:rPr>
          <w:rFonts w:hint="eastAsia"/>
        </w:rPr>
      </w:pPr>
      <w:r>
        <w:rPr>
          <w:rFonts w:hint="eastAsia"/>
        </w:rPr>
        <w:t xml:space="preserve">nontuberculous mycobacteria (NTM) underscores the need for novel strategies. </w:t>
      </w:r>
    </w:p>
    <w:p w14:paraId="3D3BC077">
      <w:pPr>
        <w:pStyle w:val="2"/>
        <w:rPr>
          <w:rFonts w:hint="eastAsia"/>
        </w:rPr>
      </w:pPr>
      <w:r>
        <w:rPr>
          <w:rFonts w:hint="eastAsia"/>
        </w:rPr>
        <w:t xml:space="preserve">Mycobacteriophages are attracting growing interest for therapeutic and </w:t>
      </w:r>
    </w:p>
    <w:p w14:paraId="2736B103">
      <w:pPr>
        <w:pStyle w:val="2"/>
        <w:rPr>
          <w:rFonts w:hint="eastAsia"/>
        </w:rPr>
      </w:pPr>
      <w:r>
        <w:rPr>
          <w:rFonts w:hint="eastAsia"/>
        </w:rPr>
        <w:t xml:space="preserve">diagnostic applications. Here, we describe four new subcluster A3 phages (Cat, </w:t>
      </w:r>
    </w:p>
    <w:p w14:paraId="1A6BE6F7">
      <w:pPr>
        <w:pStyle w:val="2"/>
        <w:rPr>
          <w:rFonts w:hint="eastAsia"/>
        </w:rPr>
      </w:pPr>
      <w:r>
        <w:rPr>
          <w:rFonts w:hint="eastAsia"/>
        </w:rPr>
        <w:t xml:space="preserve">Goose1D, Goose1X, and Shep) and investigate their genomic diversity and lytic </w:t>
      </w:r>
    </w:p>
    <w:p w14:paraId="3164D5CB">
      <w:pPr>
        <w:pStyle w:val="2"/>
        <w:rPr>
          <w:rFonts w:hint="eastAsia"/>
        </w:rPr>
      </w:pPr>
      <w:r>
        <w:rPr>
          <w:rFonts w:hint="eastAsia"/>
        </w:rPr>
        <w:t xml:space="preserve">activity. The phages share &gt;98% nucleotide identity with known A3 members but </w:t>
      </w:r>
    </w:p>
    <w:p w14:paraId="4F15F2DE">
      <w:pPr>
        <w:pStyle w:val="2"/>
        <w:rPr>
          <w:rFonts w:hint="eastAsia"/>
        </w:rPr>
      </w:pPr>
      <w:r>
        <w:rPr>
          <w:rFonts w:hint="eastAsia"/>
        </w:rPr>
        <w:t xml:space="preserve">carry distinct deletions within the lysogeny module: Cat and Goose1X have </w:t>
      </w:r>
    </w:p>
    <w:p w14:paraId="66709004">
      <w:pPr>
        <w:pStyle w:val="2"/>
        <w:rPr>
          <w:rFonts w:hint="eastAsia"/>
        </w:rPr>
      </w:pPr>
      <w:r>
        <w:rPr>
          <w:rFonts w:hint="eastAsia"/>
        </w:rPr>
        <w:t xml:space="preserve">different repressor-loss variants, and Goose1D lacks the integrase gene, whereas </w:t>
      </w:r>
    </w:p>
    <w:p w14:paraId="324063B0">
      <w:pPr>
        <w:pStyle w:val="2"/>
        <w:rPr>
          <w:rFonts w:hint="eastAsia"/>
        </w:rPr>
      </w:pPr>
      <w:r>
        <w:rPr>
          <w:rFonts w:hint="eastAsia"/>
        </w:rPr>
        <w:t xml:space="preserve">Shep retains an intact module. All phages lysed M. tuberculosis H37Rv, with </w:t>
      </w:r>
    </w:p>
    <w:p w14:paraId="5C448169">
      <w:pPr>
        <w:pStyle w:val="2"/>
        <w:rPr>
          <w:rFonts w:hint="eastAsia"/>
        </w:rPr>
      </w:pPr>
      <w:r>
        <w:rPr>
          <w:rFonts w:hint="eastAsia"/>
        </w:rPr>
        <w:t xml:space="preserve">efficiencies of plating (EOPs) of 10-2-10-1, but showed limited activity against </w:t>
      </w:r>
    </w:p>
    <w:p w14:paraId="178E442C">
      <w:pPr>
        <w:pStyle w:val="2"/>
        <w:rPr>
          <w:rFonts w:hint="eastAsia"/>
        </w:rPr>
      </w:pPr>
      <w:r>
        <w:rPr>
          <w:rFonts w:hint="eastAsia"/>
        </w:rPr>
        <w:t xml:space="preserve">NTM. Cat was the most effective against drug-resistant Mtb isolates (EOPs of </w:t>
      </w:r>
    </w:p>
    <w:p w14:paraId="42B98FA7">
      <w:pPr>
        <w:pStyle w:val="2"/>
        <w:rPr>
          <w:rFonts w:hint="eastAsia"/>
        </w:rPr>
      </w:pPr>
      <w:r>
        <w:rPr>
          <w:rFonts w:hint="eastAsia"/>
        </w:rPr>
        <w:t xml:space="preserve">10-1-1), remained stable across a broad pH and temperature range, but had a low </w:t>
      </w:r>
    </w:p>
    <w:p w14:paraId="57FA4097">
      <w:pPr>
        <w:pStyle w:val="2"/>
        <w:rPr>
          <w:rFonts w:hint="eastAsia"/>
        </w:rPr>
      </w:pPr>
      <w:r>
        <w:rPr>
          <w:rFonts w:hint="eastAsia"/>
        </w:rPr>
        <w:t xml:space="preserve">burst size (8 PFU (plaque-forming units/cell). In lysogeny assays, 6% of </w:t>
      </w:r>
    </w:p>
    <w:p w14:paraId="243849AB">
      <w:pPr>
        <w:pStyle w:val="2"/>
        <w:rPr>
          <w:rFonts w:hint="eastAsia"/>
        </w:rPr>
      </w:pPr>
      <w:r>
        <w:rPr>
          <w:rFonts w:hint="eastAsia"/>
        </w:rPr>
        <w:t xml:space="preserve">Cat-exposed M. smegmatis colonies exhibited a lysogen-like phenotype, but no </w:t>
      </w:r>
    </w:p>
    <w:p w14:paraId="085608BF">
      <w:pPr>
        <w:pStyle w:val="2"/>
        <w:rPr>
          <w:rFonts w:hint="eastAsia"/>
        </w:rPr>
      </w:pPr>
      <w:r>
        <w:rPr>
          <w:rFonts w:hint="eastAsia"/>
        </w:rPr>
        <w:t xml:space="preserve">phage DNA was detected, suggesting spontaneous resistance. Sequencing of one </w:t>
      </w:r>
    </w:p>
    <w:p w14:paraId="5B3C7775">
      <w:pPr>
        <w:pStyle w:val="2"/>
        <w:rPr>
          <w:rFonts w:hint="eastAsia"/>
        </w:rPr>
      </w:pPr>
      <w:r>
        <w:rPr>
          <w:rFonts w:hint="eastAsia"/>
        </w:rPr>
        <w:t xml:space="preserve">strain revealed an H535Q substitution in the pyruvate carboxylase MSMEG_2412. </w:t>
      </w:r>
    </w:p>
    <w:p w14:paraId="61951B15">
      <w:pPr>
        <w:pStyle w:val="2"/>
        <w:rPr>
          <w:rFonts w:hint="eastAsia"/>
        </w:rPr>
      </w:pPr>
      <w:r>
        <w:rPr>
          <w:rFonts w:hint="eastAsia"/>
        </w:rPr>
        <w:t xml:space="preserve">These findings highlight lysogeny module plasticity in closely related phages </w:t>
      </w:r>
    </w:p>
    <w:p w14:paraId="40E574DE">
      <w:pPr>
        <w:pStyle w:val="2"/>
        <w:rPr>
          <w:rFonts w:hint="eastAsia"/>
        </w:rPr>
      </w:pPr>
      <w:r>
        <w:rPr>
          <w:rFonts w:hint="eastAsia"/>
        </w:rPr>
        <w:t xml:space="preserve">and position Cat, with its naturally occurring repressor deletion and potent </w:t>
      </w:r>
    </w:p>
    <w:p w14:paraId="5D5820DE">
      <w:pPr>
        <w:pStyle w:val="2"/>
        <w:rPr>
          <w:rFonts w:hint="eastAsia"/>
        </w:rPr>
      </w:pPr>
      <w:r>
        <w:rPr>
          <w:rFonts w:hint="eastAsia"/>
        </w:rPr>
        <w:t>lytic activity, as a promising candidate against drug-resistant tuberculosis.</w:t>
      </w:r>
    </w:p>
    <w:p w14:paraId="0290E46B">
      <w:pPr>
        <w:pStyle w:val="2"/>
        <w:rPr>
          <w:rFonts w:hint="eastAsia"/>
        </w:rPr>
      </w:pPr>
    </w:p>
    <w:p w14:paraId="46E18870">
      <w:pPr>
        <w:pStyle w:val="2"/>
        <w:rPr>
          <w:rFonts w:hint="eastAsia"/>
        </w:rPr>
      </w:pPr>
      <w:r>
        <w:rPr>
          <w:rFonts w:hint="eastAsia"/>
        </w:rPr>
        <w:t>DOI: 10.3390/ijms27198476</w:t>
      </w:r>
    </w:p>
    <w:p w14:paraId="2A442C0D">
      <w:pPr>
        <w:pStyle w:val="2"/>
        <w:rPr>
          <w:rFonts w:hint="eastAsia"/>
        </w:rPr>
      </w:pPr>
      <w:r>
        <w:rPr>
          <w:rFonts w:hint="eastAsia"/>
        </w:rPr>
        <w:t>PMID: 42883726 [Indexed for MEDLINE]</w:t>
      </w:r>
    </w:p>
    <w:p w14:paraId="3468B10B">
      <w:pPr>
        <w:pStyle w:val="2"/>
        <w:rPr>
          <w:rFonts w:hint="eastAsia"/>
        </w:rPr>
      </w:pPr>
    </w:p>
    <w:p w14:paraId="39F39C2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70</w:t>
      </w:r>
      <w:r>
        <w:rPr>
          <w:rFonts w:hint="eastAsia"/>
          <w:b/>
          <w:bCs/>
          <w:color w:val="FF0000"/>
        </w:rPr>
        <w:t>. Cells. 2026 Sep 25;15(19):1749. doi: 10.3390/cells15191749.</w:t>
      </w:r>
    </w:p>
    <w:p w14:paraId="63771EC8">
      <w:pPr>
        <w:pStyle w:val="2"/>
        <w:rPr>
          <w:rFonts w:hint="eastAsia"/>
        </w:rPr>
      </w:pPr>
    </w:p>
    <w:p w14:paraId="0A865B6F">
      <w:pPr>
        <w:pStyle w:val="2"/>
        <w:rPr>
          <w:rFonts w:hint="eastAsia"/>
        </w:rPr>
      </w:pPr>
      <w:r>
        <w:rPr>
          <w:rFonts w:hint="eastAsia"/>
        </w:rPr>
        <w:t xml:space="preserve">Tuberculous Meningitis Alters the Proteomic Landscape of Brain-Derived </w:t>
      </w:r>
    </w:p>
    <w:p w14:paraId="19AAC46F">
      <w:pPr>
        <w:pStyle w:val="2"/>
        <w:rPr>
          <w:rFonts w:hint="eastAsia"/>
        </w:rPr>
      </w:pPr>
      <w:r>
        <w:rPr>
          <w:rFonts w:hint="eastAsia"/>
        </w:rPr>
        <w:t>Extracellular Vesicles.</w:t>
      </w:r>
    </w:p>
    <w:p w14:paraId="312B49B0">
      <w:pPr>
        <w:pStyle w:val="2"/>
        <w:rPr>
          <w:rFonts w:hint="eastAsia"/>
        </w:rPr>
      </w:pPr>
    </w:p>
    <w:p w14:paraId="7983DC19">
      <w:pPr>
        <w:pStyle w:val="2"/>
        <w:rPr>
          <w:rFonts w:hint="eastAsia"/>
        </w:rPr>
      </w:pPr>
      <w:r>
        <w:rPr>
          <w:rFonts w:hint="eastAsia"/>
        </w:rPr>
        <w:t xml:space="preserve">Rodriguez BV(1)(2), Damiba NNL(1)(2), Tak H(1), Beaubien N(1), Puca D(1), Foster </w:t>
      </w:r>
    </w:p>
    <w:p w14:paraId="73CDE79D">
      <w:pPr>
        <w:pStyle w:val="2"/>
        <w:rPr>
          <w:rFonts w:hint="eastAsia"/>
        </w:rPr>
      </w:pPr>
      <w:r>
        <w:rPr>
          <w:rFonts w:hint="eastAsia"/>
        </w:rPr>
        <w:t>DB(3), Das S(1), Tucker EW(1)(2).</w:t>
      </w:r>
    </w:p>
    <w:p w14:paraId="4B82E9E9">
      <w:pPr>
        <w:pStyle w:val="2"/>
        <w:rPr>
          <w:rFonts w:hint="eastAsia"/>
        </w:rPr>
      </w:pPr>
    </w:p>
    <w:p w14:paraId="36DAEC22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0292EBC">
      <w:pPr>
        <w:pStyle w:val="2"/>
        <w:rPr>
          <w:rFonts w:hint="eastAsia"/>
        </w:rPr>
      </w:pPr>
      <w:r>
        <w:rPr>
          <w:rFonts w:hint="eastAsia"/>
        </w:rPr>
        <w:t xml:space="preserve">(1)Department of Anesthesiology and Critical Care Medicine, Johns Hopkins </w:t>
      </w:r>
    </w:p>
    <w:p w14:paraId="2B8A05D1">
      <w:pPr>
        <w:pStyle w:val="2"/>
        <w:rPr>
          <w:rFonts w:hint="eastAsia"/>
        </w:rPr>
      </w:pPr>
      <w:r>
        <w:rPr>
          <w:rFonts w:hint="eastAsia"/>
        </w:rPr>
        <w:t>University School of Medicine, Baltimore, MD 21287, USA.</w:t>
      </w:r>
    </w:p>
    <w:p w14:paraId="6808EF8D">
      <w:pPr>
        <w:pStyle w:val="2"/>
        <w:rPr>
          <w:rFonts w:hint="eastAsia"/>
        </w:rPr>
      </w:pPr>
      <w:r>
        <w:rPr>
          <w:rFonts w:hint="eastAsia"/>
        </w:rPr>
        <w:t xml:space="preserve">(2)Center for Tuberculosis Research, Johns Hopkins University School of </w:t>
      </w:r>
    </w:p>
    <w:p w14:paraId="075B9FC9">
      <w:pPr>
        <w:pStyle w:val="2"/>
        <w:rPr>
          <w:rFonts w:hint="eastAsia"/>
        </w:rPr>
      </w:pPr>
      <w:r>
        <w:rPr>
          <w:rFonts w:hint="eastAsia"/>
        </w:rPr>
        <w:t>Medicine, Baltimore, MD 21287, USA.</w:t>
      </w:r>
    </w:p>
    <w:p w14:paraId="24DAC28E">
      <w:pPr>
        <w:pStyle w:val="2"/>
        <w:rPr>
          <w:rFonts w:hint="eastAsia"/>
        </w:rPr>
      </w:pPr>
      <w:r>
        <w:rPr>
          <w:rFonts w:hint="eastAsia"/>
        </w:rPr>
        <w:t xml:space="preserve">(3)Department of Medicine, Division of Cardiology, Johns Hopkins University </w:t>
      </w:r>
    </w:p>
    <w:p w14:paraId="26D9EE3A">
      <w:pPr>
        <w:pStyle w:val="2"/>
        <w:rPr>
          <w:rFonts w:hint="eastAsia"/>
        </w:rPr>
      </w:pPr>
      <w:r>
        <w:rPr>
          <w:rFonts w:hint="eastAsia"/>
        </w:rPr>
        <w:t>School of Medicine, Baltimore, MD 21287, USA.</w:t>
      </w:r>
    </w:p>
    <w:p w14:paraId="09372CBE">
      <w:pPr>
        <w:pStyle w:val="2"/>
        <w:rPr>
          <w:rFonts w:hint="eastAsia"/>
        </w:rPr>
      </w:pPr>
    </w:p>
    <w:p w14:paraId="25D9F01A">
      <w:pPr>
        <w:pStyle w:val="2"/>
        <w:rPr>
          <w:rFonts w:hint="eastAsia"/>
        </w:rPr>
      </w:pPr>
      <w:r>
        <w:rPr>
          <w:rFonts w:hint="eastAsia"/>
        </w:rPr>
        <w:t xml:space="preserve">Tuberculous meningitis (TB meningitis), the deadliest form of Mycobacterium </w:t>
      </w:r>
    </w:p>
    <w:p w14:paraId="55B7DEE1">
      <w:pPr>
        <w:pStyle w:val="2"/>
        <w:rPr>
          <w:rFonts w:hint="eastAsia"/>
        </w:rPr>
      </w:pPr>
      <w:r>
        <w:rPr>
          <w:rFonts w:hint="eastAsia"/>
        </w:rPr>
        <w:t xml:space="preserve">tuberculosis infection, causes devastating mortality and severe neurological </w:t>
      </w:r>
    </w:p>
    <w:p w14:paraId="6CA9A6B8">
      <w:pPr>
        <w:pStyle w:val="2"/>
        <w:rPr>
          <w:rFonts w:hint="eastAsia"/>
        </w:rPr>
      </w:pPr>
      <w:r>
        <w:rPr>
          <w:rFonts w:hint="eastAsia"/>
        </w:rPr>
        <w:t xml:space="preserve">disability despite standard therapy. Brain injury and microglial activation are </w:t>
      </w:r>
    </w:p>
    <w:p w14:paraId="2567863E">
      <w:pPr>
        <w:pStyle w:val="2"/>
        <w:rPr>
          <w:rFonts w:hint="eastAsia"/>
        </w:rPr>
      </w:pPr>
      <w:r>
        <w:rPr>
          <w:rFonts w:hint="eastAsia"/>
        </w:rPr>
        <w:t xml:space="preserve">major determinants of outcome, yet the molecular mechanisms linking infection, </w:t>
      </w:r>
    </w:p>
    <w:p w14:paraId="47635BE9">
      <w:pPr>
        <w:pStyle w:val="2"/>
        <w:rPr>
          <w:rFonts w:hint="eastAsia"/>
        </w:rPr>
      </w:pPr>
      <w:r>
        <w:rPr>
          <w:rFonts w:hint="eastAsia"/>
        </w:rPr>
        <w:t xml:space="preserve">inflammation, and neuronal injury remain poorly understood. Extracellular </w:t>
      </w:r>
    </w:p>
    <w:p w14:paraId="08462661">
      <w:pPr>
        <w:pStyle w:val="2"/>
        <w:rPr>
          <w:rFonts w:hint="eastAsia"/>
        </w:rPr>
      </w:pPr>
      <w:r>
        <w:rPr>
          <w:rFonts w:hint="eastAsia"/>
        </w:rPr>
        <w:t xml:space="preserve">vesicles (EVs), critical mediators of cell-to-cell communication, have been </w:t>
      </w:r>
    </w:p>
    <w:p w14:paraId="36FF5FCB">
      <w:pPr>
        <w:pStyle w:val="2"/>
        <w:rPr>
          <w:rFonts w:hint="eastAsia"/>
        </w:rPr>
      </w:pPr>
      <w:r>
        <w:rPr>
          <w:rFonts w:hint="eastAsia"/>
        </w:rPr>
        <w:t xml:space="preserve">investigated in pulmonary TB, but their role in TB meningitis remains </w:t>
      </w:r>
    </w:p>
    <w:p w14:paraId="5E23130F">
      <w:pPr>
        <w:pStyle w:val="2"/>
        <w:rPr>
          <w:rFonts w:hint="eastAsia"/>
        </w:rPr>
      </w:pPr>
      <w:r>
        <w:rPr>
          <w:rFonts w:hint="eastAsia"/>
        </w:rPr>
        <w:t xml:space="preserve">unexplored. We used a young New Zealand White rabbit model of TB meningitis to </w:t>
      </w:r>
    </w:p>
    <w:p w14:paraId="3FA362BD">
      <w:pPr>
        <w:pStyle w:val="2"/>
        <w:rPr>
          <w:rFonts w:hint="eastAsia"/>
        </w:rPr>
      </w:pPr>
      <w:r>
        <w:rPr>
          <w:rFonts w:hint="eastAsia"/>
        </w:rPr>
        <w:t xml:space="preserve">isolate and characterize brain-derived EVs from infected and uninfected rabbits </w:t>
      </w:r>
    </w:p>
    <w:p w14:paraId="3C2C59DB">
      <w:pPr>
        <w:pStyle w:val="2"/>
        <w:rPr>
          <w:rFonts w:hint="eastAsia"/>
        </w:rPr>
      </w:pPr>
      <w:r>
        <w:rPr>
          <w:rFonts w:hint="eastAsia"/>
        </w:rPr>
        <w:t xml:space="preserve">employing nanoflow cytometry, transmission electron microscopy, proteomic </w:t>
      </w:r>
    </w:p>
    <w:p w14:paraId="4D424718">
      <w:pPr>
        <w:pStyle w:val="2"/>
        <w:rPr>
          <w:rFonts w:hint="eastAsia"/>
        </w:rPr>
      </w:pPr>
      <w:r>
        <w:rPr>
          <w:rFonts w:hint="eastAsia"/>
        </w:rPr>
        <w:t xml:space="preserve">profiling by liquid chromatography-tandem mass spectrometry (LC-MS/MS), and </w:t>
      </w:r>
    </w:p>
    <w:p w14:paraId="50ADAF0D">
      <w:pPr>
        <w:pStyle w:val="2"/>
        <w:rPr>
          <w:rFonts w:hint="eastAsia"/>
        </w:rPr>
      </w:pPr>
      <w:r>
        <w:rPr>
          <w:rFonts w:hint="eastAsia"/>
        </w:rPr>
        <w:t xml:space="preserve">bioinformatic analysis of pathways, cell-type enrichment, and protein-protein </w:t>
      </w:r>
    </w:p>
    <w:p w14:paraId="2D19BCD9">
      <w:pPr>
        <w:pStyle w:val="2"/>
        <w:rPr>
          <w:rFonts w:hint="eastAsia"/>
        </w:rPr>
      </w:pPr>
      <w:r>
        <w:rPr>
          <w:rFonts w:hint="eastAsia"/>
        </w:rPr>
        <w:t xml:space="preserve">interaction networks (DAVID, Enrichr, and STRING databases). EV recovery from </w:t>
      </w:r>
    </w:p>
    <w:p w14:paraId="7A6BE1DA">
      <w:pPr>
        <w:pStyle w:val="2"/>
        <w:rPr>
          <w:rFonts w:hint="eastAsia"/>
        </w:rPr>
      </w:pPr>
      <w:r>
        <w:rPr>
          <w:rFonts w:hint="eastAsia"/>
        </w:rPr>
        <w:t xml:space="preserve">flash-frozen brain tissue proved feasible, enabling future studies using </w:t>
      </w:r>
    </w:p>
    <w:p w14:paraId="7A59C544">
      <w:pPr>
        <w:pStyle w:val="2"/>
        <w:rPr>
          <w:rFonts w:hint="eastAsia"/>
        </w:rPr>
      </w:pPr>
      <w:r>
        <w:rPr>
          <w:rFonts w:hint="eastAsia"/>
        </w:rPr>
        <w:t xml:space="preserve">biobanked samples. M. tuberculosis infection increased EV release in brain </w:t>
      </w:r>
    </w:p>
    <w:p w14:paraId="05AA0A9C">
      <w:pPr>
        <w:pStyle w:val="2"/>
        <w:rPr>
          <w:rFonts w:hint="eastAsia"/>
        </w:rPr>
      </w:pPr>
      <w:r>
        <w:rPr>
          <w:rFonts w:hint="eastAsia"/>
        </w:rPr>
        <w:t xml:space="preserve">tissue and induced a selective proteomic shift characterized by enrichment of </w:t>
      </w:r>
    </w:p>
    <w:p w14:paraId="7FEBAEAB">
      <w:pPr>
        <w:pStyle w:val="2"/>
        <w:rPr>
          <w:rFonts w:hint="eastAsia"/>
        </w:rPr>
      </w:pPr>
      <w:r>
        <w:rPr>
          <w:rFonts w:hint="eastAsia"/>
        </w:rPr>
        <w:t xml:space="preserve">proteins associated with TB host defense, microglial activation, and </w:t>
      </w:r>
    </w:p>
    <w:p w14:paraId="0A961E2F">
      <w:pPr>
        <w:pStyle w:val="2"/>
        <w:rPr>
          <w:rFonts w:hint="eastAsia"/>
        </w:rPr>
      </w:pPr>
      <w:r>
        <w:rPr>
          <w:rFonts w:hint="eastAsia"/>
        </w:rPr>
        <w:t xml:space="preserve">stress-response pathways, coupled with a reduced representation of neuronal and </w:t>
      </w:r>
    </w:p>
    <w:p w14:paraId="03DA3869">
      <w:pPr>
        <w:pStyle w:val="2"/>
        <w:rPr>
          <w:rFonts w:hint="eastAsia"/>
        </w:rPr>
      </w:pPr>
      <w:r>
        <w:rPr>
          <w:rFonts w:hint="eastAsia"/>
        </w:rPr>
        <w:t xml:space="preserve">neuroprotective EV-associated proteins. These findings suggest that infection </w:t>
      </w:r>
    </w:p>
    <w:p w14:paraId="3FF61785">
      <w:pPr>
        <w:pStyle w:val="2"/>
        <w:rPr>
          <w:rFonts w:hint="eastAsia"/>
        </w:rPr>
      </w:pPr>
      <w:r>
        <w:rPr>
          <w:rFonts w:hint="eastAsia"/>
        </w:rPr>
        <w:t xml:space="preserve">reprograms the brain EV proteome toward inflammatory and injury-associated </w:t>
      </w:r>
    </w:p>
    <w:p w14:paraId="4A2192A4">
      <w:pPr>
        <w:pStyle w:val="2"/>
        <w:rPr>
          <w:rFonts w:hint="eastAsia"/>
        </w:rPr>
      </w:pPr>
      <w:r>
        <w:rPr>
          <w:rFonts w:hint="eastAsia"/>
        </w:rPr>
        <w:t xml:space="preserve">pathways. Collectively, this study provides the first comprehensive proteomic </w:t>
      </w:r>
    </w:p>
    <w:p w14:paraId="6D8B9BB3">
      <w:pPr>
        <w:pStyle w:val="2"/>
        <w:rPr>
          <w:rFonts w:hint="eastAsia"/>
        </w:rPr>
      </w:pPr>
      <w:r>
        <w:rPr>
          <w:rFonts w:hint="eastAsia"/>
        </w:rPr>
        <w:t xml:space="preserve">characterization of brain-derived EVs in TB meningitis and establishes a </w:t>
      </w:r>
    </w:p>
    <w:p w14:paraId="7F8CA9D3">
      <w:pPr>
        <w:pStyle w:val="2"/>
        <w:rPr>
          <w:rFonts w:hint="eastAsia"/>
        </w:rPr>
      </w:pPr>
      <w:r>
        <w:rPr>
          <w:rFonts w:hint="eastAsia"/>
        </w:rPr>
        <w:t xml:space="preserve">foundational atlas of EV-associated proteins altered during infection. These </w:t>
      </w:r>
    </w:p>
    <w:p w14:paraId="6032A015">
      <w:pPr>
        <w:pStyle w:val="2"/>
        <w:rPr>
          <w:rFonts w:hint="eastAsia"/>
        </w:rPr>
      </w:pPr>
      <w:r>
        <w:rPr>
          <w:rFonts w:hint="eastAsia"/>
        </w:rPr>
        <w:t xml:space="preserve">findings identify candidate proteins for future biomarker validation in </w:t>
      </w:r>
    </w:p>
    <w:p w14:paraId="7D7D01A7">
      <w:pPr>
        <w:pStyle w:val="2"/>
        <w:rPr>
          <w:rFonts w:hint="eastAsia"/>
        </w:rPr>
      </w:pPr>
      <w:r>
        <w:rPr>
          <w:rFonts w:hint="eastAsia"/>
        </w:rPr>
        <w:t xml:space="preserve">accessible biofluids (e.g., plasma and CSF) and provide a framework for </w:t>
      </w:r>
    </w:p>
    <w:p w14:paraId="31779A3A">
      <w:pPr>
        <w:pStyle w:val="2"/>
        <w:rPr>
          <w:rFonts w:hint="eastAsia"/>
        </w:rPr>
      </w:pPr>
      <w:r>
        <w:rPr>
          <w:rFonts w:hint="eastAsia"/>
        </w:rPr>
        <w:t xml:space="preserve">generating hypotheses about EV-mediated host-pathogen interactions in the CNS </w:t>
      </w:r>
    </w:p>
    <w:p w14:paraId="5A7C6102">
      <w:pPr>
        <w:pStyle w:val="2"/>
        <w:rPr>
          <w:rFonts w:hint="eastAsia"/>
        </w:rPr>
      </w:pPr>
      <w:r>
        <w:rPr>
          <w:rFonts w:hint="eastAsia"/>
        </w:rPr>
        <w:t>during TB meningitis.</w:t>
      </w:r>
    </w:p>
    <w:p w14:paraId="03A80B4D">
      <w:pPr>
        <w:pStyle w:val="2"/>
        <w:rPr>
          <w:rFonts w:hint="eastAsia"/>
        </w:rPr>
      </w:pPr>
    </w:p>
    <w:p w14:paraId="737B9262">
      <w:pPr>
        <w:pStyle w:val="2"/>
        <w:rPr>
          <w:rFonts w:hint="eastAsia"/>
        </w:rPr>
      </w:pPr>
      <w:r>
        <w:rPr>
          <w:rFonts w:hint="eastAsia"/>
        </w:rPr>
        <w:t>DOI: 10.3390/cells15191749</w:t>
      </w:r>
    </w:p>
    <w:p w14:paraId="04BB397B">
      <w:pPr>
        <w:pStyle w:val="2"/>
        <w:rPr>
          <w:rFonts w:hint="eastAsia"/>
        </w:rPr>
      </w:pPr>
      <w:r>
        <w:rPr>
          <w:rFonts w:hint="eastAsia"/>
        </w:rPr>
        <w:t>PMID: 42882447 [Indexed for MEDLINE]</w:t>
      </w:r>
    </w:p>
    <w:p w14:paraId="0632ED12">
      <w:pPr>
        <w:pStyle w:val="2"/>
        <w:rPr>
          <w:rFonts w:hint="eastAsia"/>
        </w:rPr>
      </w:pPr>
    </w:p>
    <w:p w14:paraId="2E0EF62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71</w:t>
      </w:r>
      <w:r>
        <w:rPr>
          <w:rFonts w:hint="eastAsia"/>
          <w:b/>
          <w:bCs/>
          <w:color w:val="FF0000"/>
        </w:rPr>
        <w:t>. Diagnostics (Basel). 2026 Oct 8;16(19):3249. doi: 10.3390/diagnostics16193249.</w:t>
      </w:r>
    </w:p>
    <w:p w14:paraId="41707CF0">
      <w:pPr>
        <w:pStyle w:val="2"/>
        <w:rPr>
          <w:rFonts w:hint="eastAsia"/>
        </w:rPr>
      </w:pPr>
    </w:p>
    <w:p w14:paraId="4F2029AB">
      <w:pPr>
        <w:pStyle w:val="2"/>
        <w:rPr>
          <w:rFonts w:hint="eastAsia"/>
        </w:rPr>
      </w:pPr>
      <w:r>
        <w:rPr>
          <w:rFonts w:hint="eastAsia"/>
        </w:rPr>
        <w:t xml:space="preserve">Tuberculous Cervical Lymphadenitis (Scrofula) Associated with Massive Pleural </w:t>
      </w:r>
    </w:p>
    <w:p w14:paraId="308B7F14">
      <w:pPr>
        <w:pStyle w:val="2"/>
        <w:rPr>
          <w:rFonts w:hint="eastAsia"/>
        </w:rPr>
      </w:pPr>
      <w:r>
        <w:rPr>
          <w:rFonts w:hint="eastAsia"/>
        </w:rPr>
        <w:t xml:space="preserve">Effusion in an Immunocompetent Adult: A Rare Presentation of Extrapulmonary </w:t>
      </w:r>
    </w:p>
    <w:p w14:paraId="3F1EB937">
      <w:pPr>
        <w:pStyle w:val="2"/>
        <w:rPr>
          <w:rFonts w:hint="eastAsia"/>
        </w:rPr>
      </w:pPr>
      <w:r>
        <w:rPr>
          <w:rFonts w:hint="eastAsia"/>
        </w:rPr>
        <w:t>Tuberculosis Confirmed by GeneXpert MTB/RIF.</w:t>
      </w:r>
    </w:p>
    <w:p w14:paraId="4BDC3E82">
      <w:pPr>
        <w:pStyle w:val="2"/>
        <w:rPr>
          <w:rFonts w:hint="eastAsia"/>
        </w:rPr>
      </w:pPr>
    </w:p>
    <w:p w14:paraId="3924CDC2">
      <w:pPr>
        <w:pStyle w:val="2"/>
        <w:rPr>
          <w:rFonts w:hint="eastAsia"/>
        </w:rPr>
      </w:pPr>
      <w:r>
        <w:rPr>
          <w:rFonts w:hint="eastAsia"/>
        </w:rPr>
        <w:t xml:space="preserve">Murg SI(1), Moț MD(2), Moț FI(3), Joldea AS(4), Rădoi LI(5), Șandor FM(5), </w:t>
      </w:r>
    </w:p>
    <w:p w14:paraId="4D11CB6A">
      <w:pPr>
        <w:pStyle w:val="2"/>
        <w:rPr>
          <w:rFonts w:hint="eastAsia"/>
        </w:rPr>
      </w:pPr>
      <w:r>
        <w:rPr>
          <w:rFonts w:hint="eastAsia"/>
        </w:rPr>
        <w:t>Bouros-Tătaru AL(5), Firu CG(6), Butari DB(5), Barata PI(7).</w:t>
      </w:r>
    </w:p>
    <w:p w14:paraId="6FF402B1">
      <w:pPr>
        <w:pStyle w:val="2"/>
        <w:rPr>
          <w:rFonts w:hint="eastAsia"/>
        </w:rPr>
      </w:pPr>
    </w:p>
    <w:p w14:paraId="2911A30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98CFDAD">
      <w:pPr>
        <w:pStyle w:val="2"/>
        <w:rPr>
          <w:rFonts w:hint="eastAsia"/>
        </w:rPr>
      </w:pPr>
      <w:r>
        <w:rPr>
          <w:rFonts w:hint="eastAsia"/>
        </w:rPr>
        <w:t xml:space="preserve">(1)Department of Oncology, Faculty of Medicine, "Vasile Goldis" Western </w:t>
      </w:r>
    </w:p>
    <w:p w14:paraId="77E7C170">
      <w:pPr>
        <w:pStyle w:val="2"/>
        <w:rPr>
          <w:rFonts w:hint="eastAsia"/>
        </w:rPr>
      </w:pPr>
      <w:r>
        <w:rPr>
          <w:rFonts w:hint="eastAsia"/>
        </w:rPr>
        <w:t>University of Arad, Blvd. Revolutiei, No. 96, 310025 Arad, Romania.</w:t>
      </w:r>
    </w:p>
    <w:p w14:paraId="4E2FAD7E">
      <w:pPr>
        <w:pStyle w:val="2"/>
        <w:rPr>
          <w:rFonts w:hint="eastAsia"/>
        </w:rPr>
      </w:pPr>
      <w:r>
        <w:rPr>
          <w:rFonts w:hint="eastAsia"/>
        </w:rPr>
        <w:t xml:space="preserve">(2)Department of General Medicine, "Vasile Goldis" Western University of Arad, </w:t>
      </w:r>
    </w:p>
    <w:p w14:paraId="3AABD979">
      <w:pPr>
        <w:pStyle w:val="2"/>
        <w:rPr>
          <w:rFonts w:hint="eastAsia"/>
        </w:rPr>
      </w:pPr>
      <w:r>
        <w:rPr>
          <w:rFonts w:hint="eastAsia"/>
        </w:rPr>
        <w:t>Blvd. Revolutiei, No. 96, 310025 Arad, Romania.</w:t>
      </w:r>
    </w:p>
    <w:p w14:paraId="5F968680">
      <w:pPr>
        <w:pStyle w:val="2"/>
        <w:rPr>
          <w:rFonts w:hint="eastAsia"/>
        </w:rPr>
      </w:pPr>
      <w:r>
        <w:rPr>
          <w:rFonts w:hint="eastAsia"/>
        </w:rPr>
        <w:t xml:space="preserve">(3)"Victor Babes" University of Medicine and Pharmacy Timisoara, Eftimie Murgu </w:t>
      </w:r>
    </w:p>
    <w:p w14:paraId="6078D1E1">
      <w:pPr>
        <w:pStyle w:val="2"/>
        <w:rPr>
          <w:rFonts w:hint="eastAsia"/>
        </w:rPr>
      </w:pPr>
      <w:r>
        <w:rPr>
          <w:rFonts w:hint="eastAsia"/>
        </w:rPr>
        <w:t>Square 2, 300041 Timisoara, Romania.</w:t>
      </w:r>
    </w:p>
    <w:p w14:paraId="6E5A282D">
      <w:pPr>
        <w:pStyle w:val="2"/>
        <w:rPr>
          <w:rFonts w:hint="eastAsia"/>
        </w:rPr>
      </w:pPr>
      <w:r>
        <w:rPr>
          <w:rFonts w:hint="eastAsia"/>
        </w:rPr>
        <w:t xml:space="preserve">(4)Department of Physiology, Faculty of Medicine, "Vasile Goldis" Western </w:t>
      </w:r>
    </w:p>
    <w:p w14:paraId="7A045B79">
      <w:pPr>
        <w:pStyle w:val="2"/>
        <w:rPr>
          <w:rFonts w:hint="eastAsia"/>
        </w:rPr>
      </w:pPr>
      <w:r>
        <w:rPr>
          <w:rFonts w:hint="eastAsia"/>
        </w:rPr>
        <w:t>University of Arad, Blvd. Revolutiei, No. 96, 310025 Arad, Romania.</w:t>
      </w:r>
    </w:p>
    <w:p w14:paraId="27CD769D">
      <w:pPr>
        <w:pStyle w:val="2"/>
        <w:rPr>
          <w:rFonts w:hint="eastAsia"/>
        </w:rPr>
      </w:pPr>
      <w:r>
        <w:rPr>
          <w:rFonts w:hint="eastAsia"/>
        </w:rPr>
        <w:t xml:space="preserve">(5)Department of Biology and Life Sciences, Faculty of Medicine, "Vasile Goldiș" </w:t>
      </w:r>
    </w:p>
    <w:p w14:paraId="4936C87F">
      <w:pPr>
        <w:pStyle w:val="2"/>
        <w:rPr>
          <w:rFonts w:hint="eastAsia"/>
        </w:rPr>
      </w:pPr>
      <w:r>
        <w:rPr>
          <w:rFonts w:hint="eastAsia"/>
        </w:rPr>
        <w:t>Western University of Arad, Blvd. Revolutiei, No. 96, 310025 Arad, Romania.</w:t>
      </w:r>
    </w:p>
    <w:p w14:paraId="2653FA27">
      <w:pPr>
        <w:pStyle w:val="2"/>
        <w:rPr>
          <w:rFonts w:hint="eastAsia"/>
        </w:rPr>
      </w:pPr>
      <w:r>
        <w:rPr>
          <w:rFonts w:hint="eastAsia"/>
        </w:rPr>
        <w:t xml:space="preserve">(6)Department of Heamatology, Faculty of Medicine, "Vasile Goldis" Western </w:t>
      </w:r>
    </w:p>
    <w:p w14:paraId="3FD66D90">
      <w:pPr>
        <w:pStyle w:val="2"/>
        <w:rPr>
          <w:rFonts w:hint="eastAsia"/>
        </w:rPr>
      </w:pPr>
      <w:r>
        <w:rPr>
          <w:rFonts w:hint="eastAsia"/>
        </w:rPr>
        <w:t>University of Arad, Bulevardul Revolutiei 94, 310025 Arad, Romania.</w:t>
      </w:r>
    </w:p>
    <w:p w14:paraId="0E33F43C">
      <w:pPr>
        <w:pStyle w:val="2"/>
        <w:rPr>
          <w:rFonts w:hint="eastAsia"/>
        </w:rPr>
      </w:pPr>
      <w:r>
        <w:rPr>
          <w:rFonts w:hint="eastAsia"/>
        </w:rPr>
        <w:t xml:space="preserve">(7)Department of Pneumology, Faculty of Medicine, "Vasile Goldis" Western </w:t>
      </w:r>
    </w:p>
    <w:p w14:paraId="1D28D5A6">
      <w:pPr>
        <w:pStyle w:val="2"/>
        <w:rPr>
          <w:rFonts w:hint="eastAsia"/>
        </w:rPr>
      </w:pPr>
      <w:r>
        <w:rPr>
          <w:rFonts w:hint="eastAsia"/>
        </w:rPr>
        <w:t>University of Arad, Blvd. Revolutiei, No. 96, 310025 Arad, Romania.</w:t>
      </w:r>
    </w:p>
    <w:p w14:paraId="130884CF">
      <w:pPr>
        <w:pStyle w:val="2"/>
        <w:rPr>
          <w:rFonts w:hint="eastAsia"/>
        </w:rPr>
      </w:pPr>
    </w:p>
    <w:p w14:paraId="045EF7CF">
      <w:pPr>
        <w:pStyle w:val="2"/>
        <w:rPr>
          <w:rFonts w:hint="eastAsia"/>
        </w:rPr>
      </w:pPr>
      <w:r>
        <w:rPr>
          <w:rFonts w:hint="eastAsia"/>
          <w:b/>
          <w:bCs/>
        </w:rPr>
        <w:t>Background:</w:t>
      </w:r>
      <w:r>
        <w:rPr>
          <w:rFonts w:hint="eastAsia"/>
        </w:rPr>
        <w:t xml:space="preserve"> Tuberculous cervical lymphadenitis (scrofula) is the most common </w:t>
      </w:r>
    </w:p>
    <w:p w14:paraId="7CC470E6">
      <w:pPr>
        <w:pStyle w:val="2"/>
        <w:rPr>
          <w:rFonts w:hint="eastAsia"/>
        </w:rPr>
      </w:pPr>
      <w:r>
        <w:rPr>
          <w:rFonts w:hint="eastAsia"/>
        </w:rPr>
        <w:t xml:space="preserve">form of extrapulmonary tuberculosis, although its coexistence with massive </w:t>
      </w:r>
    </w:p>
    <w:p w14:paraId="5400A26E">
      <w:pPr>
        <w:pStyle w:val="2"/>
        <w:rPr>
          <w:rFonts w:hint="eastAsia"/>
        </w:rPr>
      </w:pPr>
      <w:r>
        <w:rPr>
          <w:rFonts w:hint="eastAsia"/>
        </w:rPr>
        <w:t xml:space="preserve">pleural effusion is uncommon and may delay diagnosis because of its nonspecific </w:t>
      </w:r>
    </w:p>
    <w:p w14:paraId="129232A7">
      <w:pPr>
        <w:pStyle w:val="2"/>
        <w:rPr>
          <w:rFonts w:hint="eastAsia"/>
        </w:rPr>
      </w:pPr>
      <w:r>
        <w:rPr>
          <w:rFonts w:hint="eastAsia"/>
        </w:rPr>
        <w:t xml:space="preserve">clinical presentation. We report the case of a 47-year-old man presenting with a </w:t>
      </w:r>
    </w:p>
    <w:p w14:paraId="6BB605AE">
      <w:pPr>
        <w:pStyle w:val="2"/>
        <w:rPr>
          <w:rFonts w:hint="eastAsia"/>
        </w:rPr>
      </w:pPr>
      <w:r>
        <w:rPr>
          <w:rFonts w:hint="eastAsia"/>
        </w:rPr>
        <w:t xml:space="preserve">large right-sided pleural effusion associated with a suppurative cervical </w:t>
      </w:r>
    </w:p>
    <w:p w14:paraId="3B105191">
      <w:pPr>
        <w:pStyle w:val="2"/>
        <w:rPr>
          <w:rFonts w:hint="eastAsia"/>
        </w:rPr>
      </w:pPr>
      <w:r>
        <w:rPr>
          <w:rFonts w:hint="eastAsia"/>
        </w:rPr>
        <w:t xml:space="preserve">lymphadenitis, in whom rapid molecular testing established the diagnosis of </w:t>
      </w:r>
    </w:p>
    <w:p w14:paraId="0ADCE228">
      <w:pPr>
        <w:pStyle w:val="2"/>
        <w:rPr>
          <w:rFonts w:hint="eastAsia"/>
        </w:rPr>
      </w:pPr>
      <w:r>
        <w:rPr>
          <w:rFonts w:hint="eastAsia"/>
        </w:rPr>
        <w:t>disseminated extrapulmonary tuberculosis.</w:t>
      </w:r>
      <w:r>
        <w:rPr>
          <w:rFonts w:hint="eastAsia"/>
          <w:b/>
          <w:bCs/>
        </w:rPr>
        <w:t xml:space="preserve"> Case Presentation:</w:t>
      </w:r>
      <w:r>
        <w:rPr>
          <w:rFonts w:hint="eastAsia"/>
        </w:rPr>
        <w:t xml:space="preserve"> A 47-year-old male </w:t>
      </w:r>
    </w:p>
    <w:p w14:paraId="6258B83A">
      <w:pPr>
        <w:pStyle w:val="2"/>
        <w:rPr>
          <w:rFonts w:hint="eastAsia"/>
        </w:rPr>
      </w:pPr>
      <w:r>
        <w:rPr>
          <w:rFonts w:hint="eastAsia"/>
        </w:rPr>
        <w:t xml:space="preserve">presented with progressive right-sided chest pain, exertional dyspnea, </w:t>
      </w:r>
    </w:p>
    <w:p w14:paraId="4B570C5F">
      <w:pPr>
        <w:pStyle w:val="2"/>
        <w:rPr>
          <w:rFonts w:hint="eastAsia"/>
        </w:rPr>
      </w:pPr>
      <w:r>
        <w:rPr>
          <w:rFonts w:hint="eastAsia"/>
        </w:rPr>
        <w:t xml:space="preserve">intermittent fever, night sweats, weight loss, and a progressively enlarging </w:t>
      </w:r>
    </w:p>
    <w:p w14:paraId="45B9FDB5">
      <w:pPr>
        <w:pStyle w:val="2"/>
        <w:rPr>
          <w:rFonts w:hint="eastAsia"/>
        </w:rPr>
      </w:pPr>
      <w:r>
        <w:rPr>
          <w:rFonts w:hint="eastAsia"/>
        </w:rPr>
        <w:t xml:space="preserve">left laterocervical mass. Physical examination revealed multiple enlarged, </w:t>
      </w:r>
    </w:p>
    <w:p w14:paraId="056D3A22">
      <w:pPr>
        <w:pStyle w:val="2"/>
        <w:rPr>
          <w:rFonts w:hint="eastAsia"/>
        </w:rPr>
      </w:pPr>
      <w:r>
        <w:rPr>
          <w:rFonts w:hint="eastAsia"/>
        </w:rPr>
        <w:t xml:space="preserve">fluctuant cervical lymph nodes and clinical signs of a massive right pleural </w:t>
      </w:r>
    </w:p>
    <w:p w14:paraId="4FA90124">
      <w:pPr>
        <w:pStyle w:val="2"/>
        <w:rPr>
          <w:rFonts w:hint="eastAsia"/>
        </w:rPr>
      </w:pPr>
      <w:r>
        <w:rPr>
          <w:rFonts w:hint="eastAsia"/>
        </w:rPr>
        <w:t xml:space="preserve">effusion. Thoracic computed tomography demonstrated a large right pleural </w:t>
      </w:r>
    </w:p>
    <w:p w14:paraId="29A40260">
      <w:pPr>
        <w:pStyle w:val="2"/>
        <w:rPr>
          <w:rFonts w:hint="eastAsia"/>
        </w:rPr>
      </w:pPr>
      <w:r>
        <w:rPr>
          <w:rFonts w:hint="eastAsia"/>
        </w:rPr>
        <w:t xml:space="preserve">effusion with compressive atelectasis and enlarged cervical and mediastinal </w:t>
      </w:r>
    </w:p>
    <w:p w14:paraId="41FBAE20">
      <w:pPr>
        <w:pStyle w:val="2"/>
        <w:rPr>
          <w:rFonts w:hint="eastAsia"/>
        </w:rPr>
      </w:pPr>
      <w:r>
        <w:rPr>
          <w:rFonts w:hint="eastAsia"/>
        </w:rPr>
        <w:t xml:space="preserve">lymph nodes. Ultrasound-guided cervical lymph node drainage and tube </w:t>
      </w:r>
    </w:p>
    <w:p w14:paraId="563FA8F2">
      <w:pPr>
        <w:pStyle w:val="2"/>
        <w:rPr>
          <w:rFonts w:hint="eastAsia"/>
        </w:rPr>
      </w:pPr>
      <w:r>
        <w:rPr>
          <w:rFonts w:hint="eastAsia"/>
        </w:rPr>
        <w:t xml:space="preserve">thoracostomy were performed, followed by repeated pleural fluid evacuations </w:t>
      </w:r>
    </w:p>
    <w:p w14:paraId="36A77A7B">
      <w:pPr>
        <w:pStyle w:val="2"/>
        <w:rPr>
          <w:rFonts w:hint="eastAsia"/>
        </w:rPr>
      </w:pPr>
      <w:r>
        <w:rPr>
          <w:rFonts w:hint="eastAsia"/>
        </w:rPr>
        <w:t xml:space="preserve">through the chest tube. Purulent material obtained from the cervical abscess and </w:t>
      </w:r>
    </w:p>
    <w:p w14:paraId="5DB5A863">
      <w:pPr>
        <w:pStyle w:val="2"/>
        <w:rPr>
          <w:rFonts w:hint="eastAsia"/>
        </w:rPr>
      </w:pPr>
      <w:r>
        <w:rPr>
          <w:rFonts w:hint="eastAsia"/>
        </w:rPr>
        <w:t xml:space="preserve">pleural fluid were subjected to microbiological, cytological, and molecular </w:t>
      </w:r>
    </w:p>
    <w:p w14:paraId="503F976A">
      <w:pPr>
        <w:pStyle w:val="2"/>
        <w:rPr>
          <w:rFonts w:hint="eastAsia"/>
        </w:rPr>
      </w:pPr>
      <w:r>
        <w:rPr>
          <w:rFonts w:hint="eastAsia"/>
        </w:rPr>
        <w:t xml:space="preserve">investigations, including Xpert MTB/RIF (GeneXpert MTB/RIF). GeneXpert MTB/RIF </w:t>
      </w:r>
    </w:p>
    <w:p w14:paraId="5B53A5AC">
      <w:pPr>
        <w:pStyle w:val="2"/>
        <w:rPr>
          <w:rFonts w:hint="eastAsia"/>
        </w:rPr>
      </w:pPr>
      <w:r>
        <w:rPr>
          <w:rFonts w:hint="eastAsia"/>
        </w:rPr>
        <w:t xml:space="preserve">detected Mycobacterium tuberculosis complex in both the drained cervical </w:t>
      </w:r>
    </w:p>
    <w:p w14:paraId="0950913D">
      <w:pPr>
        <w:pStyle w:val="2"/>
        <w:rPr>
          <w:rFonts w:hint="eastAsia"/>
        </w:rPr>
      </w:pPr>
      <w:r>
        <w:rPr>
          <w:rFonts w:hint="eastAsia"/>
        </w:rPr>
        <w:t xml:space="preserve">purulent material and pleural fluid, with no evidence of rifampicin resistance. </w:t>
      </w:r>
    </w:p>
    <w:p w14:paraId="738D10EC">
      <w:pPr>
        <w:pStyle w:val="2"/>
        <w:rPr>
          <w:rFonts w:hint="eastAsia"/>
        </w:rPr>
      </w:pPr>
      <w:r>
        <w:rPr>
          <w:rFonts w:hint="eastAsia"/>
        </w:rPr>
        <w:t xml:space="preserve">Conventional bacterial cultures remained negative, while mycobacterial cultures </w:t>
      </w:r>
    </w:p>
    <w:p w14:paraId="05322C52">
      <w:pPr>
        <w:pStyle w:val="2"/>
        <w:rPr>
          <w:rFonts w:hint="eastAsia"/>
        </w:rPr>
      </w:pPr>
      <w:r>
        <w:rPr>
          <w:rFonts w:hint="eastAsia"/>
        </w:rPr>
        <w:t xml:space="preserve">were subsequently positive for M. tuberculosis. Pleural fluid analysis was </w:t>
      </w:r>
    </w:p>
    <w:p w14:paraId="68FED455">
      <w:pPr>
        <w:pStyle w:val="2"/>
        <w:rPr>
          <w:rFonts w:hint="eastAsia"/>
        </w:rPr>
      </w:pPr>
      <w:r>
        <w:rPr>
          <w:rFonts w:hint="eastAsia"/>
        </w:rPr>
        <w:t xml:space="preserve">consistent with an exudative lymphocytic effusion with elevated adenosine </w:t>
      </w:r>
    </w:p>
    <w:p w14:paraId="13A6BCB6">
      <w:pPr>
        <w:pStyle w:val="2"/>
        <w:rPr>
          <w:rFonts w:hint="eastAsia"/>
        </w:rPr>
      </w:pPr>
      <w:r>
        <w:rPr>
          <w:rFonts w:hint="eastAsia"/>
        </w:rPr>
        <w:t xml:space="preserve">deaminase levels. Histopathological examination of the cervical tissue </w:t>
      </w:r>
    </w:p>
    <w:p w14:paraId="1C44DFA5">
      <w:pPr>
        <w:pStyle w:val="2"/>
        <w:rPr>
          <w:rFonts w:hint="eastAsia"/>
        </w:rPr>
      </w:pPr>
      <w:r>
        <w:rPr>
          <w:rFonts w:hint="eastAsia"/>
        </w:rPr>
        <w:t xml:space="preserve">demonstrated necrotizing granulomatous inflammation with central caseous </w:t>
      </w:r>
    </w:p>
    <w:p w14:paraId="6E18917A">
      <w:pPr>
        <w:pStyle w:val="2"/>
        <w:rPr>
          <w:rFonts w:hint="eastAsia"/>
        </w:rPr>
      </w:pPr>
      <w:r>
        <w:rPr>
          <w:rFonts w:hint="eastAsia"/>
        </w:rPr>
        <w:t xml:space="preserve">necrosis, epithelioid histiocytes, and Langhans-type multinucleated giant cells, </w:t>
      </w:r>
    </w:p>
    <w:p w14:paraId="5ABEBB84">
      <w:pPr>
        <w:pStyle w:val="2"/>
        <w:rPr>
          <w:rFonts w:hint="eastAsia"/>
        </w:rPr>
      </w:pPr>
      <w:r>
        <w:rPr>
          <w:rFonts w:hint="eastAsia"/>
        </w:rPr>
        <w:t xml:space="preserve">supporting the diagnosis of tuberculous lymphadenitis. HIV serology was </w:t>
      </w:r>
    </w:p>
    <w:p w14:paraId="62E9984E">
      <w:pPr>
        <w:pStyle w:val="2"/>
        <w:rPr>
          <w:rFonts w:hint="eastAsia"/>
        </w:rPr>
      </w:pPr>
      <w:r>
        <w:rPr>
          <w:rFonts w:hint="eastAsia"/>
        </w:rPr>
        <w:t xml:space="preserve">negative, and no additional immunodeficiency was identified. Standard first-line </w:t>
      </w:r>
    </w:p>
    <w:p w14:paraId="78CEF32C">
      <w:pPr>
        <w:pStyle w:val="2"/>
        <w:rPr>
          <w:rFonts w:hint="eastAsia"/>
        </w:rPr>
      </w:pPr>
      <w:r>
        <w:rPr>
          <w:rFonts w:hint="eastAsia"/>
        </w:rPr>
        <w:t xml:space="preserve">antituberculous therapy (isoniazid, rifampicin, pyrazinamide, and ethambutol) </w:t>
      </w:r>
    </w:p>
    <w:p w14:paraId="4305239B">
      <w:pPr>
        <w:pStyle w:val="2"/>
        <w:rPr>
          <w:rFonts w:hint="eastAsia"/>
        </w:rPr>
      </w:pPr>
      <w:r>
        <w:rPr>
          <w:rFonts w:hint="eastAsia"/>
        </w:rPr>
        <w:t xml:space="preserve">was initiated promptly following microbiological confirmation, leading to </w:t>
      </w:r>
    </w:p>
    <w:p w14:paraId="6C021142">
      <w:pPr>
        <w:pStyle w:val="2"/>
        <w:rPr>
          <w:rFonts w:hint="eastAsia"/>
        </w:rPr>
      </w:pPr>
      <w:r>
        <w:rPr>
          <w:rFonts w:hint="eastAsia"/>
        </w:rPr>
        <w:t xml:space="preserve">progressive regression of the cervical lesions, complete resolution of the </w:t>
      </w:r>
    </w:p>
    <w:p w14:paraId="3E99ECDE">
      <w:pPr>
        <w:pStyle w:val="2"/>
        <w:rPr>
          <w:rFonts w:hint="eastAsia"/>
        </w:rPr>
      </w:pPr>
      <w:r>
        <w:rPr>
          <w:rFonts w:hint="eastAsia"/>
        </w:rPr>
        <w:t xml:space="preserve">pleural effusion, and favorable clinical evolution during follow-up. </w:t>
      </w:r>
    </w:p>
    <w:p w14:paraId="028B7A3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The simultaneous occurrence of tuberculous cervical lymphadenitis </w:t>
      </w:r>
    </w:p>
    <w:p w14:paraId="0DC2F133">
      <w:pPr>
        <w:pStyle w:val="2"/>
        <w:rPr>
          <w:rFonts w:hint="eastAsia"/>
        </w:rPr>
      </w:pPr>
      <w:r>
        <w:rPr>
          <w:rFonts w:hint="eastAsia"/>
        </w:rPr>
        <w:t xml:space="preserve">and massive pleural tuberculosis represents an uncommon presentation of </w:t>
      </w:r>
    </w:p>
    <w:p w14:paraId="2EB6DFB7">
      <w:pPr>
        <w:pStyle w:val="2"/>
        <w:rPr>
          <w:rFonts w:hint="eastAsia"/>
        </w:rPr>
      </w:pPr>
      <w:r>
        <w:rPr>
          <w:rFonts w:hint="eastAsia"/>
        </w:rPr>
        <w:t xml:space="preserve">extrapulmonary tuberculosis that requires a high index of clinical suspicion. </w:t>
      </w:r>
    </w:p>
    <w:p w14:paraId="6735B5C2">
      <w:pPr>
        <w:pStyle w:val="2"/>
        <w:rPr>
          <w:rFonts w:hint="eastAsia"/>
        </w:rPr>
      </w:pPr>
      <w:r>
        <w:rPr>
          <w:rFonts w:hint="eastAsia"/>
        </w:rPr>
        <w:t xml:space="preserve">The combination of histopathological examination and rapid molecular testing of </w:t>
      </w:r>
    </w:p>
    <w:p w14:paraId="597BC127">
      <w:pPr>
        <w:pStyle w:val="2"/>
        <w:rPr>
          <w:rFonts w:hint="eastAsia"/>
        </w:rPr>
      </w:pPr>
      <w:r>
        <w:rPr>
          <w:rFonts w:hint="eastAsia"/>
        </w:rPr>
        <w:t xml:space="preserve">extrapulmonary specimens allowed definitive and timely confirmation of </w:t>
      </w:r>
    </w:p>
    <w:p w14:paraId="4F9B28A4">
      <w:pPr>
        <w:pStyle w:val="2"/>
        <w:rPr>
          <w:rFonts w:hint="eastAsia"/>
        </w:rPr>
      </w:pPr>
      <w:r>
        <w:rPr>
          <w:rFonts w:hint="eastAsia"/>
        </w:rPr>
        <w:t xml:space="preserve">tuberculosis and facilitated prompt initiation of appropriate therapy. </w:t>
      </w:r>
    </w:p>
    <w:p w14:paraId="42465958">
      <w:pPr>
        <w:pStyle w:val="2"/>
        <w:rPr>
          <w:rFonts w:hint="eastAsia"/>
        </w:rPr>
      </w:pPr>
      <w:r>
        <w:rPr>
          <w:rFonts w:hint="eastAsia"/>
        </w:rPr>
        <w:t xml:space="preserve">Clinicians should consider tuberculosis in patients presenting with cervical </w:t>
      </w:r>
    </w:p>
    <w:p w14:paraId="6C044885">
      <w:pPr>
        <w:pStyle w:val="2"/>
        <w:rPr>
          <w:rFonts w:hint="eastAsia"/>
        </w:rPr>
      </w:pPr>
      <w:r>
        <w:rPr>
          <w:rFonts w:hint="eastAsia"/>
        </w:rPr>
        <w:t xml:space="preserve">suppurative lymphadenitis and unexplained pleural effusion, even in the absence </w:t>
      </w:r>
    </w:p>
    <w:p w14:paraId="00B30BFC">
      <w:pPr>
        <w:pStyle w:val="2"/>
        <w:rPr>
          <w:rFonts w:hint="eastAsia"/>
        </w:rPr>
      </w:pPr>
      <w:r>
        <w:rPr>
          <w:rFonts w:hint="eastAsia"/>
        </w:rPr>
        <w:t xml:space="preserve">of microbiologically confirmed pulmonary disease, to avoid diagnostic delay and </w:t>
      </w:r>
    </w:p>
    <w:p w14:paraId="6476FF25">
      <w:pPr>
        <w:pStyle w:val="2"/>
        <w:rPr>
          <w:rFonts w:hint="eastAsia"/>
        </w:rPr>
      </w:pPr>
      <w:r>
        <w:rPr>
          <w:rFonts w:hint="eastAsia"/>
        </w:rPr>
        <w:t>improve clinical outcomes.</w:t>
      </w:r>
    </w:p>
    <w:p w14:paraId="03F7DBB4">
      <w:pPr>
        <w:pStyle w:val="2"/>
        <w:rPr>
          <w:rFonts w:hint="eastAsia"/>
        </w:rPr>
      </w:pPr>
    </w:p>
    <w:p w14:paraId="2ED62A89">
      <w:pPr>
        <w:pStyle w:val="2"/>
        <w:rPr>
          <w:rFonts w:hint="eastAsia"/>
        </w:rPr>
      </w:pPr>
      <w:r>
        <w:rPr>
          <w:rFonts w:hint="eastAsia"/>
        </w:rPr>
        <w:t>DOI: 10.3390/diagnostics16193249</w:t>
      </w:r>
    </w:p>
    <w:p w14:paraId="5EEAAF24">
      <w:pPr>
        <w:pStyle w:val="2"/>
        <w:rPr>
          <w:rFonts w:hint="eastAsia"/>
        </w:rPr>
      </w:pPr>
      <w:r>
        <w:rPr>
          <w:rFonts w:hint="eastAsia"/>
        </w:rPr>
        <w:t>PMID: 42882404</w:t>
      </w:r>
    </w:p>
    <w:p w14:paraId="4A3A832D">
      <w:pPr>
        <w:pStyle w:val="2"/>
        <w:rPr>
          <w:rFonts w:hint="eastAsia"/>
        </w:rPr>
      </w:pPr>
    </w:p>
    <w:p w14:paraId="0608CF8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72</w:t>
      </w:r>
      <w:r>
        <w:rPr>
          <w:rFonts w:hint="eastAsia"/>
          <w:b/>
          <w:bCs/>
          <w:color w:val="FF0000"/>
        </w:rPr>
        <w:t>. Diagnostics (Basel). 2026 Sep 24;16(19):3102. doi: 10.3390/diagnostics16193102.</w:t>
      </w:r>
    </w:p>
    <w:p w14:paraId="0EAA36D1">
      <w:pPr>
        <w:pStyle w:val="2"/>
        <w:rPr>
          <w:rFonts w:hint="eastAsia"/>
        </w:rPr>
      </w:pPr>
    </w:p>
    <w:p w14:paraId="0548E766">
      <w:pPr>
        <w:pStyle w:val="2"/>
        <w:rPr>
          <w:rFonts w:hint="eastAsia"/>
        </w:rPr>
      </w:pPr>
      <w:r>
        <w:rPr>
          <w:rFonts w:hint="eastAsia"/>
        </w:rPr>
        <w:t xml:space="preserve">Beyond Tuberculosis: Late Diagnosis of Cystic Fibrosis in an Adolescent with </w:t>
      </w:r>
    </w:p>
    <w:p w14:paraId="23583265">
      <w:pPr>
        <w:pStyle w:val="2"/>
        <w:rPr>
          <w:rFonts w:hint="eastAsia"/>
        </w:rPr>
      </w:pPr>
      <w:r>
        <w:rPr>
          <w:rFonts w:hint="eastAsia"/>
        </w:rPr>
        <w:t>Bronchiectasis and Recurrent Pseudomonas aeruginosa Isolation: A Case Report.</w:t>
      </w:r>
    </w:p>
    <w:p w14:paraId="5F283418">
      <w:pPr>
        <w:pStyle w:val="2"/>
        <w:rPr>
          <w:rFonts w:hint="eastAsia"/>
        </w:rPr>
      </w:pPr>
    </w:p>
    <w:p w14:paraId="4B0AEE3C">
      <w:pPr>
        <w:pStyle w:val="2"/>
        <w:rPr>
          <w:rFonts w:hint="eastAsia"/>
        </w:rPr>
      </w:pPr>
      <w:r>
        <w:rPr>
          <w:rFonts w:hint="eastAsia"/>
        </w:rPr>
        <w:t xml:space="preserve">Mihailov OM(1)(2), Luțenco V(1)(3), Țocu L(1)(3), Mihailov R(1)(3), Stavăr Matei </w:t>
      </w:r>
    </w:p>
    <w:p w14:paraId="15A2BE94">
      <w:pPr>
        <w:pStyle w:val="2"/>
        <w:rPr>
          <w:rFonts w:hint="eastAsia"/>
        </w:rPr>
      </w:pPr>
      <w:r>
        <w:rPr>
          <w:rFonts w:hint="eastAsia"/>
        </w:rPr>
        <w:t>L(1)(4), Țocu G(1)(3).</w:t>
      </w:r>
    </w:p>
    <w:p w14:paraId="322A0BB4">
      <w:pPr>
        <w:pStyle w:val="2"/>
        <w:rPr>
          <w:rFonts w:hint="eastAsia"/>
        </w:rPr>
      </w:pPr>
    </w:p>
    <w:p w14:paraId="1D97F38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A411976">
      <w:pPr>
        <w:pStyle w:val="2"/>
        <w:rPr>
          <w:rFonts w:hint="eastAsia"/>
        </w:rPr>
      </w:pPr>
      <w:r>
        <w:rPr>
          <w:rFonts w:hint="eastAsia"/>
        </w:rPr>
        <w:t xml:space="preserve">(1)Faculty of Medicine and Pharmacy, Research Center in the </w:t>
      </w:r>
    </w:p>
    <w:p w14:paraId="1B446A78">
      <w:pPr>
        <w:pStyle w:val="2"/>
        <w:rPr>
          <w:rFonts w:hint="eastAsia"/>
        </w:rPr>
      </w:pPr>
      <w:r>
        <w:rPr>
          <w:rFonts w:hint="eastAsia"/>
        </w:rPr>
        <w:t xml:space="preserve">Medical-Pharmaceutical Field, "Dunărea de Jos" University, 800008 Galati, </w:t>
      </w:r>
    </w:p>
    <w:p w14:paraId="5B132376">
      <w:pPr>
        <w:pStyle w:val="2"/>
        <w:rPr>
          <w:rFonts w:hint="eastAsia"/>
        </w:rPr>
      </w:pPr>
      <w:r>
        <w:rPr>
          <w:rFonts w:hint="eastAsia"/>
        </w:rPr>
        <w:t>Romania.</w:t>
      </w:r>
    </w:p>
    <w:p w14:paraId="4C21BB10">
      <w:pPr>
        <w:pStyle w:val="2"/>
        <w:rPr>
          <w:rFonts w:hint="eastAsia"/>
        </w:rPr>
      </w:pPr>
      <w:r>
        <w:rPr>
          <w:rFonts w:hint="eastAsia"/>
        </w:rPr>
        <w:t xml:space="preserve">(2)"Sfântul Spiridon" Clinical Hospital of Pneumophthisiology, 800552 Galati, </w:t>
      </w:r>
    </w:p>
    <w:p w14:paraId="73593015">
      <w:pPr>
        <w:pStyle w:val="2"/>
        <w:rPr>
          <w:rFonts w:hint="eastAsia"/>
        </w:rPr>
      </w:pPr>
      <w:r>
        <w:rPr>
          <w:rFonts w:hint="eastAsia"/>
        </w:rPr>
        <w:t>Romania.</w:t>
      </w:r>
    </w:p>
    <w:p w14:paraId="698A7610">
      <w:pPr>
        <w:pStyle w:val="2"/>
        <w:rPr>
          <w:rFonts w:hint="eastAsia"/>
        </w:rPr>
      </w:pPr>
      <w:r>
        <w:rPr>
          <w:rFonts w:hint="eastAsia"/>
        </w:rPr>
        <w:t xml:space="preserve">(3)"Sf. Apostol Andrei" County Emergency Clinical Hospital, 800578 Galati, </w:t>
      </w:r>
    </w:p>
    <w:p w14:paraId="01BA28B3">
      <w:pPr>
        <w:pStyle w:val="2"/>
        <w:rPr>
          <w:rFonts w:hint="eastAsia"/>
        </w:rPr>
      </w:pPr>
      <w:r>
        <w:rPr>
          <w:rFonts w:hint="eastAsia"/>
        </w:rPr>
        <w:t>Romania.</w:t>
      </w:r>
    </w:p>
    <w:p w14:paraId="76585C14">
      <w:pPr>
        <w:pStyle w:val="2"/>
        <w:rPr>
          <w:rFonts w:hint="eastAsia"/>
        </w:rPr>
      </w:pPr>
      <w:r>
        <w:rPr>
          <w:rFonts w:hint="eastAsia"/>
        </w:rPr>
        <w:t>(4)"Sf. Ioan" Children's Emergency Hospital, 800487 Galati, Romania.</w:t>
      </w:r>
    </w:p>
    <w:p w14:paraId="0CB0BE4B">
      <w:pPr>
        <w:pStyle w:val="2"/>
        <w:rPr>
          <w:rFonts w:hint="eastAsia"/>
        </w:rPr>
      </w:pPr>
    </w:p>
    <w:p w14:paraId="748E0EFC">
      <w:pPr>
        <w:pStyle w:val="2"/>
        <w:rPr>
          <w:rFonts w:hint="eastAsia"/>
        </w:rPr>
      </w:pPr>
      <w:r>
        <w:rPr>
          <w:rFonts w:hint="eastAsia"/>
          <w:b/>
          <w:bCs/>
        </w:rPr>
        <w:t>Background and Clinical Significance:</w:t>
      </w:r>
      <w:r>
        <w:rPr>
          <w:rFonts w:hint="eastAsia"/>
        </w:rPr>
        <w:t xml:space="preserve"> Cystic fibrosis may remain undiagnosed </w:t>
      </w:r>
    </w:p>
    <w:p w14:paraId="788E8EAA">
      <w:pPr>
        <w:pStyle w:val="2"/>
        <w:rPr>
          <w:rFonts w:hint="eastAsia"/>
        </w:rPr>
      </w:pPr>
      <w:r>
        <w:rPr>
          <w:rFonts w:hint="eastAsia"/>
        </w:rPr>
        <w:t xml:space="preserve">until adolescence, when recurrent respiratory infections and bronchiectasis are </w:t>
      </w:r>
    </w:p>
    <w:p w14:paraId="28A45944">
      <w:pPr>
        <w:pStyle w:val="2"/>
        <w:rPr>
          <w:rFonts w:hint="eastAsia"/>
        </w:rPr>
      </w:pPr>
      <w:r>
        <w:rPr>
          <w:rFonts w:hint="eastAsia"/>
        </w:rPr>
        <w:t xml:space="preserve">attributed to a previous severe infection. </w:t>
      </w:r>
      <w:r>
        <w:rPr>
          <w:rFonts w:hint="eastAsia"/>
          <w:b/>
          <w:bCs/>
        </w:rPr>
        <w:t>Case Presentation</w:t>
      </w:r>
      <w:r>
        <w:rPr>
          <w:rFonts w:hint="eastAsia"/>
        </w:rPr>
        <w:t xml:space="preserve">: We report the case </w:t>
      </w:r>
    </w:p>
    <w:p w14:paraId="5F54533C">
      <w:pPr>
        <w:pStyle w:val="2"/>
        <w:rPr>
          <w:rFonts w:hint="eastAsia"/>
        </w:rPr>
      </w:pPr>
      <w:r>
        <w:rPr>
          <w:rFonts w:hint="eastAsia"/>
        </w:rPr>
        <w:t xml:space="preserve">of a male adolescent in whom approximately five years elapsed between </w:t>
      </w:r>
    </w:p>
    <w:p w14:paraId="5F561185">
      <w:pPr>
        <w:pStyle w:val="2"/>
        <w:rPr>
          <w:rFonts w:hint="eastAsia"/>
        </w:rPr>
      </w:pPr>
      <w:r>
        <w:rPr>
          <w:rFonts w:hint="eastAsia"/>
        </w:rPr>
        <w:t xml:space="preserve">microbiologically confirmed pulmonary tuberculosis in July 2021 and recognition </w:t>
      </w:r>
    </w:p>
    <w:p w14:paraId="5603CD44">
      <w:pPr>
        <w:pStyle w:val="2"/>
        <w:rPr>
          <w:rFonts w:hint="eastAsia"/>
        </w:rPr>
      </w:pPr>
      <w:r>
        <w:rPr>
          <w:rFonts w:hint="eastAsia"/>
        </w:rPr>
        <w:t xml:space="preserve">of cystic fibrosis in August 2026. Archived records documented two sputum </w:t>
      </w:r>
    </w:p>
    <w:p w14:paraId="0F223404">
      <w:pPr>
        <w:pStyle w:val="2"/>
        <w:rPr>
          <w:rFonts w:hint="eastAsia"/>
        </w:rPr>
      </w:pPr>
      <w:r>
        <w:rPr>
          <w:rFonts w:hint="eastAsia"/>
        </w:rPr>
        <w:t xml:space="preserve">specimens that were acid-fast bacilli smear-positive (1+) and culture-positive </w:t>
      </w:r>
    </w:p>
    <w:p w14:paraId="45CE5E7F">
      <w:pPr>
        <w:pStyle w:val="2"/>
        <w:rPr>
          <w:rFonts w:hint="eastAsia"/>
        </w:rPr>
      </w:pPr>
      <w:r>
        <w:rPr>
          <w:rFonts w:hint="eastAsia"/>
        </w:rPr>
        <w:t xml:space="preserve">(1+) for Mycobacterium tuberculosis complex. During adolescence, persistent </w:t>
      </w:r>
    </w:p>
    <w:p w14:paraId="129744F8">
      <w:pPr>
        <w:pStyle w:val="2"/>
        <w:rPr>
          <w:rFonts w:hint="eastAsia"/>
        </w:rPr>
      </w:pPr>
      <w:r>
        <w:rPr>
          <w:rFonts w:hint="eastAsia"/>
        </w:rPr>
        <w:t xml:space="preserve">bronchiectasis, recurrent Gram-negative respiratory infections, digital </w:t>
      </w:r>
    </w:p>
    <w:p w14:paraId="5042902C">
      <w:pPr>
        <w:pStyle w:val="2"/>
        <w:rPr>
          <w:rFonts w:hint="eastAsia"/>
        </w:rPr>
      </w:pPr>
      <w:r>
        <w:rPr>
          <w:rFonts w:hint="eastAsia"/>
        </w:rPr>
        <w:t xml:space="preserve">clubbing, and repeated Pseudomonas aeruginosa isolation prompted etiologic </w:t>
      </w:r>
    </w:p>
    <w:p w14:paraId="07147A81">
      <w:pPr>
        <w:pStyle w:val="2"/>
        <w:rPr>
          <w:rFonts w:hint="eastAsia"/>
        </w:rPr>
      </w:pPr>
      <w:r>
        <w:rPr>
          <w:rFonts w:hint="eastAsia"/>
        </w:rPr>
        <w:t xml:space="preserve">reassessment. A single documented sweat chloride concentration was 114 mmol/L. </w:t>
      </w:r>
    </w:p>
    <w:p w14:paraId="5833B192">
      <w:pPr>
        <w:pStyle w:val="2"/>
        <w:rPr>
          <w:rFonts w:hint="eastAsia"/>
        </w:rPr>
      </w:pPr>
      <w:r>
        <w:rPr>
          <w:rFonts w:hint="eastAsia"/>
        </w:rPr>
        <w:t xml:space="preserve">CFTR analysis of blood collected on 18 August 2026, reported on 16 September </w:t>
      </w:r>
    </w:p>
    <w:p w14:paraId="0620BB47">
      <w:pPr>
        <w:pStyle w:val="2"/>
        <w:rPr>
          <w:rFonts w:hint="eastAsia"/>
        </w:rPr>
      </w:pPr>
      <w:r>
        <w:rPr>
          <w:rFonts w:hint="eastAsia"/>
        </w:rPr>
        <w:t xml:space="preserve">2026, identified homozygous c.1521_1523delCTT (p.Phe508del; F508del), providing </w:t>
      </w:r>
    </w:p>
    <w:p w14:paraId="23AE8C48">
      <w:pPr>
        <w:pStyle w:val="2"/>
        <w:rPr>
          <w:rFonts w:hint="eastAsia"/>
        </w:rPr>
      </w:pPr>
      <w:r>
        <w:rPr>
          <w:rFonts w:hint="eastAsia"/>
        </w:rPr>
        <w:t xml:space="preserve">molecular confirmation. Spirometry showed FEV1 2.69 L (79.6% predicted), FVC </w:t>
      </w:r>
    </w:p>
    <w:p w14:paraId="0F146FAB">
      <w:pPr>
        <w:pStyle w:val="2"/>
        <w:rPr>
          <w:rFonts w:hint="eastAsia"/>
        </w:rPr>
      </w:pPr>
      <w:r>
        <w:rPr>
          <w:rFonts w:hint="eastAsia"/>
        </w:rPr>
        <w:t xml:space="preserve">3.73 L (91.56% predicted), and FEV1/FVC 72.01% (z-score -2.58), consistent with </w:t>
      </w:r>
    </w:p>
    <w:p w14:paraId="0380B981">
      <w:pPr>
        <w:pStyle w:val="2"/>
        <w:rPr>
          <w:rFonts w:hint="eastAsia"/>
        </w:rPr>
      </w:pPr>
      <w:r>
        <w:rPr>
          <w:rFonts w:hint="eastAsia"/>
        </w:rPr>
        <w:t xml:space="preserve">airflow obstruction; without total lung capacity measurements, restriction or a </w:t>
      </w:r>
    </w:p>
    <w:p w14:paraId="23AB9B1F">
      <w:pPr>
        <w:pStyle w:val="2"/>
        <w:rPr>
          <w:rFonts w:hint="eastAsia"/>
        </w:rPr>
      </w:pPr>
      <w:r>
        <w:rPr>
          <w:rFonts w:hint="eastAsia"/>
        </w:rPr>
        <w:t xml:space="preserve">mixed ventilatory defect could not be confirmed. The previously recorded </w:t>
      </w:r>
    </w:p>
    <w:p w14:paraId="088D64E8">
      <w:pPr>
        <w:pStyle w:val="2"/>
        <w:rPr>
          <w:rFonts w:hint="eastAsia"/>
        </w:rPr>
      </w:pPr>
      <w:r>
        <w:rPr>
          <w:rFonts w:hint="eastAsia"/>
        </w:rPr>
        <w:t xml:space="preserve">azithromycin regimen was 500 mg orally three times weekly. Tobramycin inhalation </w:t>
      </w:r>
    </w:p>
    <w:p w14:paraId="74C5C055">
      <w:pPr>
        <w:pStyle w:val="2"/>
        <w:rPr>
          <w:rFonts w:hint="eastAsia"/>
        </w:rPr>
      </w:pPr>
      <w:r>
        <w:rPr>
          <w:rFonts w:hint="eastAsia"/>
        </w:rPr>
        <w:t xml:space="preserve">solution 300 mg/5 mL was prescribed as one ampoule twice daily for 28 days, </w:t>
      </w:r>
    </w:p>
    <w:p w14:paraId="669F0A01">
      <w:pPr>
        <w:pStyle w:val="2"/>
        <w:rPr>
          <w:rFonts w:hint="eastAsia"/>
        </w:rPr>
      </w:pPr>
      <w:r>
        <w:rPr>
          <w:rFonts w:hint="eastAsia"/>
        </w:rPr>
        <w:t xml:space="preserve">followed by 28 days off, with three planned cycles and salbutamol 15 min before </w:t>
      </w:r>
    </w:p>
    <w:p w14:paraId="10414741">
      <w:pPr>
        <w:pStyle w:val="2"/>
        <w:rPr>
          <w:rFonts w:hint="eastAsia"/>
        </w:rPr>
      </w:pPr>
      <w:r>
        <w:rPr>
          <w:rFonts w:hint="eastAsia"/>
        </w:rPr>
        <w:t xml:space="preserve">administration. Management of cystic fibrosis also included airway-clearance </w:t>
      </w:r>
    </w:p>
    <w:p w14:paraId="000999DE">
      <w:pPr>
        <w:pStyle w:val="2"/>
        <w:rPr>
          <w:rFonts w:hint="eastAsia"/>
        </w:rPr>
      </w:pPr>
      <w:r>
        <w:rPr>
          <w:rFonts w:hint="eastAsia"/>
        </w:rPr>
        <w:t xml:space="preserve">therapy, dornase alfa 2.5 mg once daily, a high-calorie diet, pancreatic enzyme </w:t>
      </w:r>
    </w:p>
    <w:p w14:paraId="7D35BAC0">
      <w:pPr>
        <w:pStyle w:val="2"/>
        <w:rPr>
          <w:rFonts w:hint="eastAsia"/>
        </w:rPr>
      </w:pPr>
      <w:r>
        <w:rPr>
          <w:rFonts w:hint="eastAsia"/>
        </w:rPr>
        <w:t xml:space="preserve">replacement, and vitamin supplementation. Longitudinal post-treatment </w:t>
      </w:r>
    </w:p>
    <w:p w14:paraId="63B8351A">
      <w:pPr>
        <w:pStyle w:val="2"/>
        <w:rPr>
          <w:rFonts w:hint="eastAsia"/>
        </w:rPr>
      </w:pPr>
      <w:r>
        <w:rPr>
          <w:rFonts w:hint="eastAsia"/>
        </w:rPr>
        <w:t xml:space="preserve">spirometry, anthropometry, and validated quality-of-life measurements were not </w:t>
      </w:r>
    </w:p>
    <w:p w14:paraId="3998706E">
      <w:pPr>
        <w:pStyle w:val="2"/>
        <w:rPr>
          <w:rFonts w:hint="eastAsia"/>
        </w:rPr>
      </w:pPr>
      <w:r>
        <w:rPr>
          <w:rFonts w:hint="eastAsia"/>
        </w:rPr>
        <w:t xml:space="preserve">available. </w:t>
      </w:r>
      <w:r>
        <w:rPr>
          <w:rFonts w:hint="eastAsia"/>
          <w:b/>
          <w:bCs/>
        </w:rPr>
        <w:t>Conclusions</w:t>
      </w:r>
      <w:r>
        <w:rPr>
          <w:rFonts w:hint="eastAsia"/>
        </w:rPr>
        <w:t xml:space="preserve">: Previous pulmonary tuberculosis should not terminate </w:t>
      </w:r>
    </w:p>
    <w:p w14:paraId="78CA6496">
      <w:pPr>
        <w:pStyle w:val="2"/>
        <w:rPr>
          <w:rFonts w:hint="eastAsia"/>
        </w:rPr>
      </w:pPr>
      <w:r>
        <w:rPr>
          <w:rFonts w:hint="eastAsia"/>
        </w:rPr>
        <w:t xml:space="preserve">etiologic investigation when bronchiectasis, repeated Pseudomonas aeruginosa </w:t>
      </w:r>
    </w:p>
    <w:p w14:paraId="09925E56">
      <w:pPr>
        <w:pStyle w:val="2"/>
        <w:rPr>
          <w:rFonts w:hint="eastAsia"/>
        </w:rPr>
      </w:pPr>
      <w:r>
        <w:rPr>
          <w:rFonts w:hint="eastAsia"/>
        </w:rPr>
        <w:t xml:space="preserve">isolation, digital clubbing, or progressive structural lung disease persists. </w:t>
      </w:r>
    </w:p>
    <w:p w14:paraId="5079FF26">
      <w:pPr>
        <w:pStyle w:val="2"/>
        <w:rPr>
          <w:rFonts w:hint="eastAsia"/>
        </w:rPr>
      </w:pPr>
      <w:r>
        <w:rPr>
          <w:rFonts w:hint="eastAsia"/>
        </w:rPr>
        <w:t xml:space="preserve">Earlier recognition may permit earlier coordinated cystic fibrosis care and </w:t>
      </w:r>
    </w:p>
    <w:p w14:paraId="129D1A4C">
      <w:pPr>
        <w:pStyle w:val="2"/>
        <w:rPr>
          <w:rFonts w:hint="eastAsia"/>
        </w:rPr>
      </w:pPr>
      <w:r>
        <w:rPr>
          <w:rFonts w:hint="eastAsia"/>
        </w:rPr>
        <w:t>genotype-appropriate CFTR-modulator assessment.</w:t>
      </w:r>
    </w:p>
    <w:p w14:paraId="65F3B961">
      <w:pPr>
        <w:pStyle w:val="2"/>
        <w:rPr>
          <w:rFonts w:hint="eastAsia"/>
        </w:rPr>
      </w:pPr>
    </w:p>
    <w:p w14:paraId="164302FD">
      <w:pPr>
        <w:pStyle w:val="2"/>
        <w:rPr>
          <w:rFonts w:hint="eastAsia"/>
        </w:rPr>
      </w:pPr>
      <w:r>
        <w:rPr>
          <w:rFonts w:hint="eastAsia"/>
        </w:rPr>
        <w:t>DOI: 10.3390/diagnostics16193102</w:t>
      </w:r>
    </w:p>
    <w:p w14:paraId="3E037EA2">
      <w:pPr>
        <w:pStyle w:val="2"/>
        <w:rPr>
          <w:rFonts w:hint="eastAsia"/>
        </w:rPr>
      </w:pPr>
      <w:r>
        <w:rPr>
          <w:rFonts w:hint="eastAsia"/>
        </w:rPr>
        <w:t>PMID: 42882257</w:t>
      </w:r>
    </w:p>
    <w:p w14:paraId="08866FC6">
      <w:pPr>
        <w:pStyle w:val="2"/>
        <w:rPr>
          <w:rFonts w:hint="eastAsia"/>
        </w:rPr>
      </w:pPr>
    </w:p>
    <w:p w14:paraId="7DDF21D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73</w:t>
      </w:r>
      <w:r>
        <w:rPr>
          <w:rFonts w:hint="eastAsia"/>
          <w:b/>
          <w:bCs/>
          <w:color w:val="FF0000"/>
        </w:rPr>
        <w:t xml:space="preserve">. Front Cell Infect Microbiol. 2026 Sep 30;16:1961755. doi: </w:t>
      </w:r>
    </w:p>
    <w:p w14:paraId="65A59B3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10.3389/fcimb.2026.1961755. eCollection 2026.</w:t>
      </w:r>
    </w:p>
    <w:p w14:paraId="56EB766E">
      <w:pPr>
        <w:pStyle w:val="2"/>
        <w:rPr>
          <w:rFonts w:hint="eastAsia"/>
        </w:rPr>
      </w:pPr>
    </w:p>
    <w:p w14:paraId="1C2CDBD6">
      <w:pPr>
        <w:pStyle w:val="2"/>
        <w:rPr>
          <w:rFonts w:hint="eastAsia"/>
        </w:rPr>
      </w:pPr>
      <w:r>
        <w:rPr>
          <w:rFonts w:hint="eastAsia"/>
        </w:rPr>
        <w:t>Inflammasome-associated immune dysregulation in TB-HIV coinfection.</w:t>
      </w:r>
    </w:p>
    <w:p w14:paraId="0FA120A6">
      <w:pPr>
        <w:pStyle w:val="2"/>
        <w:rPr>
          <w:rFonts w:hint="eastAsia"/>
        </w:rPr>
      </w:pPr>
    </w:p>
    <w:p w14:paraId="0EE5FEC3">
      <w:pPr>
        <w:pStyle w:val="2"/>
        <w:rPr>
          <w:rFonts w:hint="eastAsia"/>
        </w:rPr>
      </w:pPr>
      <w:r>
        <w:rPr>
          <w:rFonts w:hint="eastAsia"/>
        </w:rPr>
        <w:t xml:space="preserve">de Sá NBR(1), Coelho MRI(1), Ribeiro-Alves M(2), de Almeida DV(1), Macieira </w:t>
      </w:r>
    </w:p>
    <w:p w14:paraId="255DD4A4">
      <w:pPr>
        <w:pStyle w:val="2"/>
        <w:rPr>
          <w:rFonts w:hint="eastAsia"/>
        </w:rPr>
      </w:pPr>
      <w:r>
        <w:rPr>
          <w:rFonts w:hint="eastAsia"/>
        </w:rPr>
        <w:t xml:space="preserve">KV(1), de Luca DM(1), Caetano DG(1), da Silva TP(1), Pilotto JH(1)(3), Rolla </w:t>
      </w:r>
    </w:p>
    <w:p w14:paraId="3E4D6253">
      <w:pPr>
        <w:pStyle w:val="2"/>
        <w:rPr>
          <w:rFonts w:hint="eastAsia"/>
        </w:rPr>
      </w:pPr>
      <w:r>
        <w:rPr>
          <w:rFonts w:hint="eastAsia"/>
        </w:rPr>
        <w:t>VC(2), Giacoia-Gripp CBW(1), Scott-Algara D(4), Teixeira SLM(1), Morgado MG(1).</w:t>
      </w:r>
    </w:p>
    <w:p w14:paraId="074A048F">
      <w:pPr>
        <w:pStyle w:val="2"/>
        <w:rPr>
          <w:rFonts w:hint="eastAsia"/>
        </w:rPr>
      </w:pPr>
    </w:p>
    <w:p w14:paraId="53324B7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727A75A">
      <w:pPr>
        <w:pStyle w:val="2"/>
        <w:rPr>
          <w:rFonts w:hint="eastAsia"/>
        </w:rPr>
      </w:pPr>
      <w:r>
        <w:rPr>
          <w:rFonts w:hint="eastAsia"/>
        </w:rPr>
        <w:t xml:space="preserve">(1)Fundação Oswaldo Cruz, Fiocruz, Instituto Oswaldo Cruz (IOC), Laboratório de </w:t>
      </w:r>
    </w:p>
    <w:p w14:paraId="020EBB92">
      <w:pPr>
        <w:pStyle w:val="2"/>
        <w:rPr>
          <w:rFonts w:hint="eastAsia"/>
        </w:rPr>
      </w:pPr>
      <w:r>
        <w:rPr>
          <w:rFonts w:hint="eastAsia"/>
        </w:rPr>
        <w:t>AIDS e Imunologia Molecular, Rio de Janeiro, Brazil.</w:t>
      </w:r>
    </w:p>
    <w:p w14:paraId="62FCB875">
      <w:pPr>
        <w:pStyle w:val="2"/>
        <w:rPr>
          <w:rFonts w:hint="eastAsia"/>
        </w:rPr>
      </w:pPr>
      <w:r>
        <w:rPr>
          <w:rFonts w:hint="eastAsia"/>
        </w:rPr>
        <w:t xml:space="preserve">(2)Fundação Oswaldo Cruz, Fiocruz, Instituto Nacional de Infectologia Evandro </w:t>
      </w:r>
    </w:p>
    <w:p w14:paraId="672BDF0C">
      <w:pPr>
        <w:pStyle w:val="2"/>
        <w:rPr>
          <w:rFonts w:hint="eastAsia"/>
        </w:rPr>
      </w:pPr>
      <w:r>
        <w:rPr>
          <w:rFonts w:hint="eastAsia"/>
        </w:rPr>
        <w:t xml:space="preserve">Chagas (INI), Laboratório de Pesquisa Clínica em Micobacterioses, Rio de </w:t>
      </w:r>
    </w:p>
    <w:p w14:paraId="603BBAA2">
      <w:pPr>
        <w:pStyle w:val="2"/>
        <w:rPr>
          <w:rFonts w:hint="eastAsia"/>
        </w:rPr>
      </w:pPr>
      <w:r>
        <w:rPr>
          <w:rFonts w:hint="eastAsia"/>
        </w:rPr>
        <w:t>Janeiro, Brazil.</w:t>
      </w:r>
    </w:p>
    <w:p w14:paraId="614277D4">
      <w:pPr>
        <w:pStyle w:val="2"/>
        <w:rPr>
          <w:rFonts w:hint="eastAsia"/>
        </w:rPr>
      </w:pPr>
      <w:r>
        <w:rPr>
          <w:rFonts w:hint="eastAsia"/>
        </w:rPr>
        <w:t>(3)Nova Iguaçu General Hospital, Nova Iguaçu, Rio de Janeiro, Brazil.</w:t>
      </w:r>
    </w:p>
    <w:p w14:paraId="40C8FF4C">
      <w:pPr>
        <w:pStyle w:val="2"/>
        <w:rPr>
          <w:rFonts w:hint="eastAsia"/>
        </w:rPr>
      </w:pPr>
      <w:r>
        <w:rPr>
          <w:rFonts w:hint="eastAsia"/>
        </w:rPr>
        <w:t>(4)Direction International, Institut Pasteur, Paris, France.</w:t>
      </w:r>
    </w:p>
    <w:p w14:paraId="7D1EEA3C">
      <w:pPr>
        <w:pStyle w:val="2"/>
        <w:rPr>
          <w:rFonts w:hint="eastAsia"/>
        </w:rPr>
      </w:pPr>
    </w:p>
    <w:p w14:paraId="17F42EC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Tuberculosis (TB) and HIV co-infection are characterized by </w:t>
      </w:r>
    </w:p>
    <w:p w14:paraId="015EC31A">
      <w:pPr>
        <w:pStyle w:val="2"/>
        <w:rPr>
          <w:rFonts w:hint="eastAsia"/>
        </w:rPr>
      </w:pPr>
      <w:r>
        <w:rPr>
          <w:rFonts w:hint="eastAsia"/>
        </w:rPr>
        <w:t xml:space="preserve">dysregulated inflammation and increased risk of immune reconstitution </w:t>
      </w:r>
    </w:p>
    <w:p w14:paraId="09AD4E5A">
      <w:pPr>
        <w:pStyle w:val="2"/>
        <w:rPr>
          <w:rFonts w:hint="eastAsia"/>
        </w:rPr>
      </w:pPr>
      <w:r>
        <w:rPr>
          <w:rFonts w:hint="eastAsia"/>
        </w:rPr>
        <w:t xml:space="preserve">inflammatory syndrome (IRIS) following antiretroviral therapy (ART) initiation. </w:t>
      </w:r>
    </w:p>
    <w:p w14:paraId="20E66837">
      <w:pPr>
        <w:pStyle w:val="2"/>
        <w:rPr>
          <w:rFonts w:hint="eastAsia"/>
        </w:rPr>
      </w:pPr>
      <w:r>
        <w:rPr>
          <w:rFonts w:hint="eastAsia"/>
        </w:rPr>
        <w:t xml:space="preserve">Inflammasomes are key regulators of innate immune responses, but their role in </w:t>
      </w:r>
    </w:p>
    <w:p w14:paraId="278F7BBA">
      <w:pPr>
        <w:pStyle w:val="2"/>
        <w:rPr>
          <w:rFonts w:hint="eastAsia"/>
        </w:rPr>
      </w:pPr>
      <w:r>
        <w:rPr>
          <w:rFonts w:hint="eastAsia"/>
        </w:rPr>
        <w:t xml:space="preserve">TB-HIV co-infection and IRIS remains incompletely understood. We investigated </w:t>
      </w:r>
    </w:p>
    <w:p w14:paraId="65BB0B12">
      <w:pPr>
        <w:pStyle w:val="2"/>
        <w:rPr>
          <w:rFonts w:hint="eastAsia"/>
        </w:rPr>
      </w:pPr>
      <w:r>
        <w:rPr>
          <w:rFonts w:hint="eastAsia"/>
        </w:rPr>
        <w:t xml:space="preserve">inflammasome-related gene expression and cytokine profiles in TB, HIV-1, and </w:t>
      </w:r>
    </w:p>
    <w:p w14:paraId="62B9366E">
      <w:pPr>
        <w:pStyle w:val="2"/>
        <w:rPr>
          <w:rFonts w:hint="eastAsia"/>
        </w:rPr>
      </w:pPr>
      <w:r>
        <w:rPr>
          <w:rFonts w:hint="eastAsia"/>
        </w:rPr>
        <w:t>TB-HIV individuals, and their association with IRIS development.</w:t>
      </w:r>
    </w:p>
    <w:p w14:paraId="2140208D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Fifty-nine participants were stratified into four groups: TB-HIV (n = </w:t>
      </w:r>
    </w:p>
    <w:p w14:paraId="69B86A1F">
      <w:pPr>
        <w:pStyle w:val="2"/>
        <w:rPr>
          <w:rFonts w:hint="eastAsia"/>
        </w:rPr>
      </w:pPr>
      <w:r>
        <w:rPr>
          <w:rFonts w:hint="eastAsia"/>
        </w:rPr>
        <w:t xml:space="preserve">20; 4 with IRIS), HIV-1 (n = 12), TB (n = 17), and healthy controls (n = 10). </w:t>
      </w:r>
    </w:p>
    <w:p w14:paraId="5ABAD861">
      <w:pPr>
        <w:pStyle w:val="2"/>
        <w:rPr>
          <w:rFonts w:hint="eastAsia"/>
        </w:rPr>
      </w:pPr>
      <w:r>
        <w:rPr>
          <w:rFonts w:hint="eastAsia"/>
        </w:rPr>
        <w:t xml:space="preserve">These individuals were followed up at HGNI and INI-Fiocruz (Rio de </w:t>
      </w:r>
    </w:p>
    <w:p w14:paraId="01A780CF">
      <w:pPr>
        <w:pStyle w:val="2"/>
        <w:rPr>
          <w:rFonts w:hint="eastAsia"/>
        </w:rPr>
      </w:pPr>
      <w:r>
        <w:rPr>
          <w:rFonts w:hint="eastAsia"/>
        </w:rPr>
        <w:t xml:space="preserve">Janeiro/Brazil) from 2014 to 2016. Whole-blood PAXgene expression of </w:t>
      </w:r>
    </w:p>
    <w:p w14:paraId="6DC2D70E">
      <w:pPr>
        <w:pStyle w:val="2"/>
        <w:rPr>
          <w:rFonts w:hint="eastAsia"/>
        </w:rPr>
      </w:pPr>
      <w:r>
        <w:rPr>
          <w:rFonts w:hint="eastAsia"/>
        </w:rPr>
        <w:t xml:space="preserve">inflammasome-related genes (AIM2, CASP1, GSDMD, IL1β, IL18, and NLRP3) was </w:t>
      </w:r>
    </w:p>
    <w:p w14:paraId="0757C099">
      <w:pPr>
        <w:pStyle w:val="2"/>
        <w:rPr>
          <w:rFonts w:hint="eastAsia"/>
        </w:rPr>
      </w:pPr>
      <w:r>
        <w:rPr>
          <w:rFonts w:hint="eastAsia"/>
        </w:rPr>
        <w:t xml:space="preserve">quantified using TaqMan RT-qPCR. Plasma levels of IL-1β, IL-18, IL-33, and IL-6 </w:t>
      </w:r>
    </w:p>
    <w:p w14:paraId="1A93766A">
      <w:pPr>
        <w:pStyle w:val="2"/>
        <w:rPr>
          <w:rFonts w:hint="eastAsia"/>
        </w:rPr>
      </w:pPr>
      <w:r>
        <w:rPr>
          <w:rFonts w:hint="eastAsia"/>
        </w:rPr>
        <w:t xml:space="preserve">were measured by ELISA. Associations were evaluated using multivariable </w:t>
      </w:r>
    </w:p>
    <w:p w14:paraId="7B6A6702">
      <w:pPr>
        <w:pStyle w:val="2"/>
        <w:rPr>
          <w:rFonts w:hint="eastAsia"/>
        </w:rPr>
      </w:pPr>
      <w:r>
        <w:rPr>
          <w:rFonts w:hint="eastAsia"/>
        </w:rPr>
        <w:t>linearregression and partial Pearson correlation analyses.</w:t>
      </w:r>
    </w:p>
    <w:p w14:paraId="34A560A8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TB-HIV co-infected individuals showed significantly higher expression </w:t>
      </w:r>
    </w:p>
    <w:p w14:paraId="22044EA1">
      <w:pPr>
        <w:pStyle w:val="2"/>
        <w:rPr>
          <w:rFonts w:hint="eastAsia"/>
        </w:rPr>
      </w:pPr>
      <w:r>
        <w:rPr>
          <w:rFonts w:hint="eastAsia"/>
        </w:rPr>
        <w:t xml:space="preserve">of AIM2, CASP1, GSDMD, IL1β, and IL18 compared to all other groups (all P &lt; </w:t>
      </w:r>
    </w:p>
    <w:p w14:paraId="6AAA465B">
      <w:pPr>
        <w:pStyle w:val="2"/>
        <w:rPr>
          <w:rFonts w:hint="eastAsia"/>
        </w:rPr>
      </w:pPr>
      <w:r>
        <w:rPr>
          <w:rFonts w:hint="eastAsia"/>
        </w:rPr>
        <w:t xml:space="preserve">0.01), while NLRP3 expression remained unchanged. Elevated plasma levels of </w:t>
      </w:r>
    </w:p>
    <w:p w14:paraId="4846460B">
      <w:pPr>
        <w:pStyle w:val="2"/>
        <w:rPr>
          <w:rFonts w:hint="eastAsia"/>
        </w:rPr>
      </w:pPr>
      <w:r>
        <w:rPr>
          <w:rFonts w:hint="eastAsia"/>
        </w:rPr>
        <w:t xml:space="preserve">IL-6, IL-18, and IL-33 further supported a systemic inflammatory profile in the </w:t>
      </w:r>
    </w:p>
    <w:p w14:paraId="2F5F5052">
      <w:pPr>
        <w:pStyle w:val="2"/>
        <w:rPr>
          <w:rFonts w:hint="eastAsia"/>
        </w:rPr>
      </w:pPr>
      <w:r>
        <w:rPr>
          <w:rFonts w:hint="eastAsia"/>
        </w:rPr>
        <w:t xml:space="preserve">TB-HIV co-infection group. Strong positive correlations were observed among </w:t>
      </w:r>
    </w:p>
    <w:p w14:paraId="42710390">
      <w:pPr>
        <w:pStyle w:val="2"/>
        <w:rPr>
          <w:rFonts w:hint="eastAsia"/>
        </w:rPr>
      </w:pPr>
      <w:r>
        <w:rPr>
          <w:rFonts w:hint="eastAsia"/>
        </w:rPr>
        <w:t xml:space="preserve">AIM2, CASP1, GSDMD, IL1β, and IL18 gene expressions at baseline (r= </w:t>
      </w:r>
    </w:p>
    <w:p w14:paraId="077C924C">
      <w:pPr>
        <w:pStyle w:val="2"/>
        <w:rPr>
          <w:rFonts w:hint="eastAsia"/>
        </w:rPr>
      </w:pPr>
      <w:r>
        <w:rPr>
          <w:rFonts w:hint="eastAsia"/>
        </w:rPr>
        <w:t xml:space="preserve">0.853-0.965), and, to a lesser extent, among them and IL-6 and IL-18 cytokines </w:t>
      </w:r>
    </w:p>
    <w:p w14:paraId="46899BBB">
      <w:pPr>
        <w:pStyle w:val="2"/>
        <w:rPr>
          <w:rFonts w:hint="eastAsia"/>
        </w:rPr>
      </w:pPr>
      <w:r>
        <w:rPr>
          <w:rFonts w:hint="eastAsia"/>
        </w:rPr>
        <w:t xml:space="preserve">(r= 0.440-0.645), indicating a coordinated inflammasome-related transcriptional </w:t>
      </w:r>
    </w:p>
    <w:p w14:paraId="2754889D">
      <w:pPr>
        <w:pStyle w:val="2"/>
        <w:rPr>
          <w:rFonts w:hint="eastAsia"/>
        </w:rPr>
      </w:pPr>
      <w:r>
        <w:rPr>
          <w:rFonts w:hint="eastAsia"/>
        </w:rPr>
        <w:t xml:space="preserve">profile, whereas NLRP3 showed no or weak associations. Longitudinal analysis </w:t>
      </w:r>
    </w:p>
    <w:p w14:paraId="681DC4A7">
      <w:pPr>
        <w:pStyle w:val="2"/>
        <w:rPr>
          <w:rFonts w:hint="eastAsia"/>
        </w:rPr>
      </w:pPr>
      <w:r>
        <w:rPr>
          <w:rFonts w:hint="eastAsia"/>
        </w:rPr>
        <w:t xml:space="preserve">revealed significant reductions in AIM2, CASP1, GSDMD, IL18, and IL1B expression </w:t>
      </w:r>
    </w:p>
    <w:p w14:paraId="38899FDD">
      <w:pPr>
        <w:pStyle w:val="2"/>
        <w:rPr>
          <w:rFonts w:hint="eastAsia"/>
        </w:rPr>
      </w:pPr>
      <w:r>
        <w:rPr>
          <w:rFonts w:hint="eastAsia"/>
        </w:rPr>
        <w:t xml:space="preserve">from baseline to week 2, after two weeks of anti-TB therapy and before ART </w:t>
      </w:r>
    </w:p>
    <w:p w14:paraId="0EF91A9C">
      <w:pPr>
        <w:pStyle w:val="2"/>
        <w:rPr>
          <w:rFonts w:hint="eastAsia"/>
        </w:rPr>
      </w:pPr>
      <w:r>
        <w:rPr>
          <w:rFonts w:hint="eastAsia"/>
        </w:rPr>
        <w:t xml:space="preserve">initiation, and from baseline to week 6, after six weeks of anti-TB therapy and </w:t>
      </w:r>
    </w:p>
    <w:p w14:paraId="7074B80F">
      <w:pPr>
        <w:pStyle w:val="2"/>
        <w:rPr>
          <w:rFonts w:hint="eastAsia"/>
        </w:rPr>
      </w:pPr>
      <w:r>
        <w:rPr>
          <w:rFonts w:hint="eastAsia"/>
        </w:rPr>
        <w:t>four weeks of ART (all P &lt; 0.05).</w:t>
      </w:r>
    </w:p>
    <w:p w14:paraId="3982060C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TB-HIV coinfection was characterized by distinct </w:t>
      </w:r>
    </w:p>
    <w:p w14:paraId="0C8A3BDD">
      <w:pPr>
        <w:pStyle w:val="2"/>
        <w:rPr>
          <w:rFonts w:hint="eastAsia"/>
        </w:rPr>
      </w:pPr>
      <w:r>
        <w:rPr>
          <w:rFonts w:hint="eastAsia"/>
        </w:rPr>
        <w:t xml:space="preserve">inflammasome-related transcriptional and inflammatory profiles, highlighting </w:t>
      </w:r>
    </w:p>
    <w:p w14:paraId="3B927DAB">
      <w:pPr>
        <w:pStyle w:val="2"/>
        <w:rPr>
          <w:rFonts w:hint="eastAsia"/>
        </w:rPr>
      </w:pPr>
      <w:r>
        <w:rPr>
          <w:rFonts w:hint="eastAsia"/>
        </w:rPr>
        <w:t xml:space="preserve">AIM2 as a potential pathway for further investigation. Our findings indicate </w:t>
      </w:r>
    </w:p>
    <w:p w14:paraId="6A6BFDE7">
      <w:pPr>
        <w:pStyle w:val="2"/>
        <w:rPr>
          <w:rFonts w:hint="eastAsia"/>
        </w:rPr>
      </w:pPr>
      <w:r>
        <w:rPr>
          <w:rFonts w:hint="eastAsia"/>
        </w:rPr>
        <w:t xml:space="preserve">that TB-HIV coinfection is associated with a coordinated inflammasome-related </w:t>
      </w:r>
    </w:p>
    <w:p w14:paraId="437EF617">
      <w:pPr>
        <w:pStyle w:val="2"/>
        <w:rPr>
          <w:rFonts w:hint="eastAsia"/>
        </w:rPr>
      </w:pPr>
      <w:r>
        <w:rPr>
          <w:rFonts w:hint="eastAsia"/>
        </w:rPr>
        <w:t xml:space="preserve">transcriptional and cytokine profile, characterized by increased expression of </w:t>
      </w:r>
    </w:p>
    <w:p w14:paraId="7A0423F7">
      <w:pPr>
        <w:pStyle w:val="2"/>
        <w:rPr>
          <w:rFonts w:hint="eastAsia"/>
        </w:rPr>
      </w:pPr>
      <w:r>
        <w:rPr>
          <w:rFonts w:hint="eastAsia"/>
        </w:rPr>
        <w:t xml:space="preserve">AIM2 and downstream effector genes, without detectable changes in NLRP3 </w:t>
      </w:r>
    </w:p>
    <w:p w14:paraId="35F26162">
      <w:pPr>
        <w:pStyle w:val="2"/>
        <w:rPr>
          <w:rFonts w:hint="eastAsia"/>
        </w:rPr>
      </w:pPr>
      <w:r>
        <w:rPr>
          <w:rFonts w:hint="eastAsia"/>
        </w:rPr>
        <w:t>transcript abundance.</w:t>
      </w:r>
    </w:p>
    <w:p w14:paraId="4AD4674E">
      <w:pPr>
        <w:pStyle w:val="2"/>
        <w:rPr>
          <w:rFonts w:hint="eastAsia"/>
        </w:rPr>
      </w:pPr>
    </w:p>
    <w:p w14:paraId="6DCE0716">
      <w:pPr>
        <w:pStyle w:val="2"/>
        <w:rPr>
          <w:rFonts w:hint="eastAsia"/>
        </w:rPr>
      </w:pPr>
      <w:r>
        <w:rPr>
          <w:rFonts w:hint="eastAsia"/>
        </w:rPr>
        <w:t xml:space="preserve">Copyright © 2026 de Sá, Coelho, Ribeiro-Alves, Almeida, Macieira, de Luca, </w:t>
      </w:r>
    </w:p>
    <w:p w14:paraId="01231434">
      <w:pPr>
        <w:pStyle w:val="2"/>
        <w:rPr>
          <w:rFonts w:hint="eastAsia"/>
        </w:rPr>
      </w:pPr>
      <w:r>
        <w:rPr>
          <w:rFonts w:hint="eastAsia"/>
        </w:rPr>
        <w:t xml:space="preserve">Caetano, da Silva, Pilotto, Rolla, Giacoia-Gripp, Scott-Algara, Teixeira and </w:t>
      </w:r>
    </w:p>
    <w:p w14:paraId="1D362557">
      <w:pPr>
        <w:pStyle w:val="2"/>
        <w:rPr>
          <w:rFonts w:hint="eastAsia"/>
        </w:rPr>
      </w:pPr>
      <w:r>
        <w:rPr>
          <w:rFonts w:hint="eastAsia"/>
        </w:rPr>
        <w:t>Morgado.</w:t>
      </w:r>
    </w:p>
    <w:p w14:paraId="44E5127F">
      <w:pPr>
        <w:pStyle w:val="2"/>
        <w:rPr>
          <w:rFonts w:hint="eastAsia"/>
        </w:rPr>
      </w:pPr>
    </w:p>
    <w:p w14:paraId="25866D79">
      <w:pPr>
        <w:pStyle w:val="2"/>
        <w:rPr>
          <w:rFonts w:hint="eastAsia"/>
        </w:rPr>
      </w:pPr>
      <w:r>
        <w:rPr>
          <w:rFonts w:hint="eastAsia"/>
        </w:rPr>
        <w:t>DOI: 10.3389/fcimb.2026.1961755</w:t>
      </w:r>
    </w:p>
    <w:p w14:paraId="71E39F7C">
      <w:pPr>
        <w:pStyle w:val="2"/>
        <w:rPr>
          <w:rFonts w:hint="eastAsia"/>
        </w:rPr>
      </w:pPr>
      <w:r>
        <w:rPr>
          <w:rFonts w:hint="eastAsia"/>
        </w:rPr>
        <w:t>PMCID: PMC13661482</w:t>
      </w:r>
    </w:p>
    <w:p w14:paraId="4DDBF014">
      <w:pPr>
        <w:pStyle w:val="2"/>
        <w:rPr>
          <w:rFonts w:hint="eastAsia"/>
        </w:rPr>
      </w:pPr>
      <w:r>
        <w:rPr>
          <w:rFonts w:hint="eastAsia"/>
        </w:rPr>
        <w:t>PMID: 42876797 [Indexed for MEDLINE]</w:t>
      </w:r>
    </w:p>
    <w:p w14:paraId="07EEA1F7">
      <w:pPr>
        <w:pStyle w:val="2"/>
        <w:rPr>
          <w:rFonts w:hint="eastAsia"/>
        </w:rPr>
      </w:pPr>
    </w:p>
    <w:p w14:paraId="079DCA8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74</w:t>
      </w:r>
      <w:r>
        <w:rPr>
          <w:rFonts w:hint="eastAsia"/>
          <w:b/>
          <w:bCs/>
          <w:color w:val="FF0000"/>
        </w:rPr>
        <w:t>. Pediatr Pulmonol. 2026 Oct;61(10):e71877. doi: 10.1002/ppul.71877.</w:t>
      </w:r>
    </w:p>
    <w:p w14:paraId="4B9B7F7B">
      <w:pPr>
        <w:pStyle w:val="2"/>
        <w:rPr>
          <w:rFonts w:hint="eastAsia"/>
        </w:rPr>
      </w:pPr>
    </w:p>
    <w:p w14:paraId="4A92ABA7">
      <w:pPr>
        <w:pStyle w:val="2"/>
        <w:rPr>
          <w:rFonts w:hint="eastAsia"/>
        </w:rPr>
      </w:pPr>
      <w:r>
        <w:rPr>
          <w:rFonts w:hint="eastAsia"/>
        </w:rPr>
        <w:t xml:space="preserve">Surgical Management of Left Main Bronchus Compression Due to Pulmonary </w:t>
      </w:r>
    </w:p>
    <w:p w14:paraId="7E257211">
      <w:pPr>
        <w:pStyle w:val="2"/>
        <w:rPr>
          <w:rFonts w:hint="eastAsia"/>
        </w:rPr>
      </w:pPr>
      <w:r>
        <w:rPr>
          <w:rFonts w:hint="eastAsia"/>
        </w:rPr>
        <w:t>Tuberculosis in Children: The Role of Posterior Aortopexy.</w:t>
      </w:r>
    </w:p>
    <w:p w14:paraId="7C378488">
      <w:pPr>
        <w:pStyle w:val="2"/>
        <w:rPr>
          <w:rFonts w:hint="eastAsia"/>
        </w:rPr>
      </w:pPr>
    </w:p>
    <w:p w14:paraId="0B5E0FF6">
      <w:pPr>
        <w:pStyle w:val="2"/>
        <w:rPr>
          <w:rFonts w:hint="eastAsia"/>
        </w:rPr>
      </w:pPr>
      <w:r>
        <w:rPr>
          <w:rFonts w:hint="eastAsia"/>
        </w:rPr>
        <w:t xml:space="preserve">Goussard P(1), Janson J(2), Eber E(3), Andronikou S(4)(5), Gie A(1), Jacobs </w:t>
      </w:r>
    </w:p>
    <w:p w14:paraId="14C32080">
      <w:pPr>
        <w:pStyle w:val="2"/>
        <w:rPr>
          <w:rFonts w:hint="eastAsia"/>
        </w:rPr>
      </w:pPr>
      <w:r>
        <w:rPr>
          <w:rFonts w:hint="eastAsia"/>
        </w:rPr>
        <w:t>C(1), Ebert L(6), Verster J(7), Kim J(2), Ismail Z(2), Schubert P(8).</w:t>
      </w:r>
    </w:p>
    <w:p w14:paraId="79C66734">
      <w:pPr>
        <w:pStyle w:val="2"/>
        <w:rPr>
          <w:rFonts w:hint="eastAsia"/>
        </w:rPr>
      </w:pPr>
    </w:p>
    <w:p w14:paraId="3E8B22B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44FE6B0">
      <w:pPr>
        <w:pStyle w:val="2"/>
        <w:rPr>
          <w:rFonts w:hint="eastAsia"/>
        </w:rPr>
      </w:pPr>
      <w:r>
        <w:rPr>
          <w:rFonts w:hint="eastAsia"/>
        </w:rPr>
        <w:t xml:space="preserve">(1)Department of Paediatrics and Child Health, Faculty of Medicine and Health </w:t>
      </w:r>
    </w:p>
    <w:p w14:paraId="5CD9941D">
      <w:pPr>
        <w:pStyle w:val="2"/>
        <w:rPr>
          <w:rFonts w:hint="eastAsia"/>
        </w:rPr>
      </w:pPr>
      <w:r>
        <w:rPr>
          <w:rFonts w:hint="eastAsia"/>
        </w:rPr>
        <w:t xml:space="preserve">Sciences, Stellenbosch University and Tygerberg Hospital, Cape Town, South </w:t>
      </w:r>
    </w:p>
    <w:p w14:paraId="274833C5">
      <w:pPr>
        <w:pStyle w:val="2"/>
        <w:rPr>
          <w:rFonts w:hint="eastAsia"/>
        </w:rPr>
      </w:pPr>
      <w:r>
        <w:rPr>
          <w:rFonts w:hint="eastAsia"/>
        </w:rPr>
        <w:t>Africa.</w:t>
      </w:r>
    </w:p>
    <w:p w14:paraId="095E89C7">
      <w:pPr>
        <w:pStyle w:val="2"/>
        <w:rPr>
          <w:rFonts w:hint="eastAsia"/>
        </w:rPr>
      </w:pPr>
      <w:r>
        <w:rPr>
          <w:rFonts w:hint="eastAsia"/>
        </w:rPr>
        <w:t xml:space="preserve">(2)Department of Surgical Sciences, Division of Cardiothoracic Surgery, </w:t>
      </w:r>
    </w:p>
    <w:p w14:paraId="5EBA236A">
      <w:pPr>
        <w:pStyle w:val="2"/>
        <w:rPr>
          <w:rFonts w:hint="eastAsia"/>
        </w:rPr>
      </w:pPr>
      <w:r>
        <w:rPr>
          <w:rFonts w:hint="eastAsia"/>
        </w:rPr>
        <w:t>Stellenbosch University and Tygerberg Hospital, Tygerberg, South Africa.</w:t>
      </w:r>
    </w:p>
    <w:p w14:paraId="30A807F7">
      <w:pPr>
        <w:pStyle w:val="2"/>
        <w:rPr>
          <w:rFonts w:hint="eastAsia"/>
        </w:rPr>
      </w:pPr>
      <w:r>
        <w:rPr>
          <w:rFonts w:hint="eastAsia"/>
        </w:rPr>
        <w:t xml:space="preserve">(3)Department of Paediatrics and Adolescent Medicine, Division of Paediatric </w:t>
      </w:r>
    </w:p>
    <w:p w14:paraId="54D2FAAF">
      <w:pPr>
        <w:pStyle w:val="2"/>
        <w:rPr>
          <w:rFonts w:hint="eastAsia"/>
        </w:rPr>
      </w:pPr>
      <w:r>
        <w:rPr>
          <w:rFonts w:hint="eastAsia"/>
        </w:rPr>
        <w:t>Pulmonology and Allergology, Medical University of Graz, Graz, Austria.</w:t>
      </w:r>
    </w:p>
    <w:p w14:paraId="7BB615E2">
      <w:pPr>
        <w:pStyle w:val="2"/>
        <w:rPr>
          <w:rFonts w:hint="eastAsia"/>
        </w:rPr>
      </w:pPr>
      <w:r>
        <w:rPr>
          <w:rFonts w:hint="eastAsia"/>
        </w:rPr>
        <w:t xml:space="preserve">(4)Department of Radiology, Children's Hospital of Philadelphia, Philadelphia, </w:t>
      </w:r>
    </w:p>
    <w:p w14:paraId="7D65FD1A">
      <w:pPr>
        <w:pStyle w:val="2"/>
        <w:rPr>
          <w:rFonts w:hint="eastAsia"/>
        </w:rPr>
      </w:pPr>
      <w:r>
        <w:rPr>
          <w:rFonts w:hint="eastAsia"/>
        </w:rPr>
        <w:t>Pennsylvania, USA.</w:t>
      </w:r>
    </w:p>
    <w:p w14:paraId="3BBFD435">
      <w:pPr>
        <w:pStyle w:val="2"/>
        <w:rPr>
          <w:rFonts w:hint="eastAsia"/>
        </w:rPr>
      </w:pPr>
      <w:r>
        <w:rPr>
          <w:rFonts w:hint="eastAsia"/>
        </w:rPr>
        <w:t xml:space="preserve">(5)Department of Radiology, Perelman School of Medicine, University of </w:t>
      </w:r>
    </w:p>
    <w:p w14:paraId="34B551E0">
      <w:pPr>
        <w:pStyle w:val="2"/>
        <w:rPr>
          <w:rFonts w:hint="eastAsia"/>
        </w:rPr>
      </w:pPr>
      <w:r>
        <w:rPr>
          <w:rFonts w:hint="eastAsia"/>
        </w:rPr>
        <w:t>Pennsylvania, Philadelphia, Pennsylvania, USA.</w:t>
      </w:r>
    </w:p>
    <w:p w14:paraId="683E6E98">
      <w:pPr>
        <w:pStyle w:val="2"/>
        <w:rPr>
          <w:rFonts w:hint="eastAsia"/>
        </w:rPr>
      </w:pPr>
      <w:r>
        <w:rPr>
          <w:rFonts w:hint="eastAsia"/>
        </w:rPr>
        <w:t xml:space="preserve">(6)3D Center Zurich, Institute of Forensic Medicine, University of Zurich, </w:t>
      </w:r>
    </w:p>
    <w:p w14:paraId="45B3FADF">
      <w:pPr>
        <w:pStyle w:val="2"/>
        <w:rPr>
          <w:rFonts w:hint="eastAsia"/>
        </w:rPr>
      </w:pPr>
      <w:r>
        <w:rPr>
          <w:rFonts w:hint="eastAsia"/>
        </w:rPr>
        <w:t>Zurich, Switzerland.</w:t>
      </w:r>
    </w:p>
    <w:p w14:paraId="03FE4148">
      <w:pPr>
        <w:pStyle w:val="2"/>
        <w:rPr>
          <w:rFonts w:hint="eastAsia"/>
        </w:rPr>
      </w:pPr>
      <w:r>
        <w:rPr>
          <w:rFonts w:hint="eastAsia"/>
        </w:rPr>
        <w:t xml:space="preserve">(7)Department of Pathology, Faculty of Medicine and Health Sciences, Division of </w:t>
      </w:r>
    </w:p>
    <w:p w14:paraId="12DEB429">
      <w:pPr>
        <w:pStyle w:val="2"/>
        <w:rPr>
          <w:rFonts w:hint="eastAsia"/>
        </w:rPr>
      </w:pPr>
      <w:r>
        <w:rPr>
          <w:rFonts w:hint="eastAsia"/>
        </w:rPr>
        <w:t xml:space="preserve">Forensic Medicine, Stellenbosch University and Forensic Pathology Service, Cape </w:t>
      </w:r>
    </w:p>
    <w:p w14:paraId="5391BBAD">
      <w:pPr>
        <w:pStyle w:val="2"/>
        <w:rPr>
          <w:rFonts w:hint="eastAsia"/>
        </w:rPr>
      </w:pPr>
      <w:r>
        <w:rPr>
          <w:rFonts w:hint="eastAsia"/>
        </w:rPr>
        <w:t>Town, South Africa.</w:t>
      </w:r>
    </w:p>
    <w:p w14:paraId="65A3C2BE">
      <w:pPr>
        <w:pStyle w:val="2"/>
        <w:rPr>
          <w:rFonts w:hint="eastAsia"/>
        </w:rPr>
      </w:pPr>
      <w:r>
        <w:rPr>
          <w:rFonts w:hint="eastAsia"/>
        </w:rPr>
        <w:t xml:space="preserve">(8)Department of Pathology, Tygerberg Hospital, National Health Laboratory </w:t>
      </w:r>
    </w:p>
    <w:p w14:paraId="7BD3A012">
      <w:pPr>
        <w:pStyle w:val="2"/>
        <w:rPr>
          <w:rFonts w:hint="eastAsia"/>
        </w:rPr>
      </w:pPr>
      <w:r>
        <w:rPr>
          <w:rFonts w:hint="eastAsia"/>
        </w:rPr>
        <w:t xml:space="preserve">Service, Faculty of Medicine and Health Science, Division of Anatomical </w:t>
      </w:r>
    </w:p>
    <w:p w14:paraId="2C99CE1A">
      <w:pPr>
        <w:pStyle w:val="2"/>
        <w:rPr>
          <w:rFonts w:hint="eastAsia"/>
        </w:rPr>
      </w:pPr>
      <w:r>
        <w:rPr>
          <w:rFonts w:hint="eastAsia"/>
        </w:rPr>
        <w:t>Pathology, Stellenbosch University, Cape Town, South Africa.</w:t>
      </w:r>
    </w:p>
    <w:p w14:paraId="1C1FA194">
      <w:pPr>
        <w:pStyle w:val="2"/>
        <w:rPr>
          <w:rFonts w:hint="eastAsia"/>
        </w:rPr>
      </w:pPr>
    </w:p>
    <w:p w14:paraId="6F149ED0">
      <w:pPr>
        <w:pStyle w:val="2"/>
        <w:rPr>
          <w:rFonts w:hint="eastAsia"/>
        </w:rPr>
      </w:pPr>
      <w:r>
        <w:rPr>
          <w:rFonts w:hint="eastAsia"/>
        </w:rPr>
        <w:t>DOI: 10.1002/ppul.71877</w:t>
      </w:r>
    </w:p>
    <w:p w14:paraId="715D745F">
      <w:pPr>
        <w:pStyle w:val="2"/>
        <w:rPr>
          <w:rFonts w:hint="eastAsia"/>
        </w:rPr>
      </w:pPr>
      <w:r>
        <w:rPr>
          <w:rFonts w:hint="eastAsia"/>
        </w:rPr>
        <w:t>PMID: 42876082</w:t>
      </w:r>
    </w:p>
    <w:p w14:paraId="45C2C4A8">
      <w:pPr>
        <w:pStyle w:val="2"/>
        <w:rPr>
          <w:rFonts w:hint="eastAsia"/>
        </w:rPr>
      </w:pPr>
    </w:p>
    <w:p w14:paraId="5AF96ED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75</w:t>
      </w:r>
      <w:r>
        <w:rPr>
          <w:rFonts w:hint="eastAsia"/>
          <w:b/>
          <w:bCs/>
          <w:color w:val="FF0000"/>
        </w:rPr>
        <w:t>. Nat Commun. 2026 Aug 21;17(1):10817. doi: 10.1038/s41467-026-76814-8.</w:t>
      </w:r>
    </w:p>
    <w:p w14:paraId="2B6EBADB">
      <w:pPr>
        <w:pStyle w:val="2"/>
        <w:rPr>
          <w:rFonts w:hint="eastAsia"/>
        </w:rPr>
      </w:pPr>
    </w:p>
    <w:p w14:paraId="4048D644">
      <w:pPr>
        <w:pStyle w:val="2"/>
        <w:rPr>
          <w:rFonts w:hint="eastAsia"/>
        </w:rPr>
      </w:pPr>
      <w:r>
        <w:rPr>
          <w:rFonts w:hint="eastAsia"/>
        </w:rPr>
        <w:t xml:space="preserve">Identification of a spatially organized TREM2-associated permissive macrophage </w:t>
      </w:r>
    </w:p>
    <w:p w14:paraId="7133804D">
      <w:pPr>
        <w:pStyle w:val="2"/>
        <w:rPr>
          <w:rFonts w:hint="eastAsia"/>
        </w:rPr>
      </w:pPr>
      <w:r>
        <w:rPr>
          <w:rFonts w:hint="eastAsia"/>
        </w:rPr>
        <w:t>niche in human pulmonary tuberculosis alveolar pneumonia.</w:t>
      </w:r>
    </w:p>
    <w:p w14:paraId="68209F2B">
      <w:pPr>
        <w:pStyle w:val="2"/>
        <w:rPr>
          <w:rFonts w:hint="eastAsia"/>
        </w:rPr>
      </w:pPr>
    </w:p>
    <w:p w14:paraId="275130F7">
      <w:pPr>
        <w:pStyle w:val="2"/>
        <w:rPr>
          <w:rFonts w:hint="eastAsia"/>
        </w:rPr>
      </w:pPr>
      <w:r>
        <w:rPr>
          <w:rFonts w:hint="eastAsia"/>
        </w:rPr>
        <w:t xml:space="preserve">Teles RMB(1), Benabdessalem C(2), Perrie J(3), Wei C(4), West J(1), de Andrade </w:t>
      </w:r>
    </w:p>
    <w:p w14:paraId="70B7093B">
      <w:pPr>
        <w:pStyle w:val="2"/>
        <w:rPr>
          <w:rFonts w:hint="eastAsia"/>
        </w:rPr>
      </w:pPr>
      <w:r>
        <w:rPr>
          <w:rFonts w:hint="eastAsia"/>
        </w:rPr>
        <w:t xml:space="preserve">Silva BJ(1), Andrade PR(1), Mansky LA(1), Divaka P(5), Fischbacher L(6), Lam </w:t>
      </w:r>
    </w:p>
    <w:p w14:paraId="23114C8B">
      <w:pPr>
        <w:pStyle w:val="2"/>
        <w:rPr>
          <w:rFonts w:hint="eastAsia"/>
        </w:rPr>
      </w:pPr>
      <w:r>
        <w:rPr>
          <w:rFonts w:hint="eastAsia"/>
        </w:rPr>
        <w:t xml:space="preserve">K(1), Ma F(1), Gu Y(3), Rategh K(1), Brown M(1), Pillai A(1), Lumamba K(7), </w:t>
      </w:r>
    </w:p>
    <w:p w14:paraId="28B8578F">
      <w:pPr>
        <w:pStyle w:val="2"/>
        <w:rPr>
          <w:rFonts w:hint="eastAsia"/>
        </w:rPr>
      </w:pPr>
      <w:r>
        <w:rPr>
          <w:rFonts w:hint="eastAsia"/>
        </w:rPr>
        <w:t xml:space="preserve">Naidoo T(7)(8), French SM(9), Romdhane E(10), Barbouche MR(2)(11), Klechevsky </w:t>
      </w:r>
    </w:p>
    <w:p w14:paraId="2B95F6A4">
      <w:pPr>
        <w:pStyle w:val="2"/>
        <w:rPr>
          <w:rFonts w:hint="eastAsia"/>
        </w:rPr>
      </w:pPr>
      <w:r>
        <w:rPr>
          <w:rFonts w:hint="eastAsia"/>
        </w:rPr>
        <w:t xml:space="preserve">E(12), Colonna M(12), Steyn AJC(7)(8)(13), Bensinger SJ(14)(15), Barber DL(16), </w:t>
      </w:r>
    </w:p>
    <w:p w14:paraId="3E9FE2FB">
      <w:pPr>
        <w:pStyle w:val="2"/>
        <w:rPr>
          <w:rFonts w:hint="eastAsia"/>
        </w:rPr>
      </w:pPr>
      <w:r>
        <w:rPr>
          <w:rFonts w:hint="eastAsia"/>
        </w:rPr>
        <w:t xml:space="preserve">Rammeh S(10), Dulai PS(4), Bryson BD(17), Pellegrini M(3), Belisle JT(6), Bloom </w:t>
      </w:r>
    </w:p>
    <w:p w14:paraId="788CFE40">
      <w:pPr>
        <w:pStyle w:val="2"/>
        <w:rPr>
          <w:rFonts w:hint="eastAsia"/>
        </w:rPr>
      </w:pPr>
      <w:r>
        <w:rPr>
          <w:rFonts w:hint="eastAsia"/>
        </w:rPr>
        <w:t>BR(18), Modlin RL(19)(20).</w:t>
      </w:r>
    </w:p>
    <w:p w14:paraId="73B63EF1">
      <w:pPr>
        <w:pStyle w:val="2"/>
        <w:rPr>
          <w:rFonts w:hint="eastAsia"/>
        </w:rPr>
      </w:pPr>
    </w:p>
    <w:p w14:paraId="556F25F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62DC1FC">
      <w:pPr>
        <w:pStyle w:val="2"/>
        <w:rPr>
          <w:rFonts w:hint="eastAsia"/>
        </w:rPr>
      </w:pPr>
      <w:r>
        <w:rPr>
          <w:rFonts w:hint="eastAsia"/>
        </w:rPr>
        <w:t xml:space="preserve">(1)Division of Dermatology, Department of Medicine, David Geffen School of </w:t>
      </w:r>
    </w:p>
    <w:p w14:paraId="5A5064A8">
      <w:pPr>
        <w:pStyle w:val="2"/>
        <w:rPr>
          <w:rFonts w:hint="eastAsia"/>
        </w:rPr>
      </w:pPr>
      <w:r>
        <w:rPr>
          <w:rFonts w:hint="eastAsia"/>
        </w:rPr>
        <w:t>Medicine, University of California, Los Angeles, CA, USA.</w:t>
      </w:r>
    </w:p>
    <w:p w14:paraId="02F209E4">
      <w:pPr>
        <w:pStyle w:val="2"/>
        <w:rPr>
          <w:rFonts w:hint="eastAsia"/>
        </w:rPr>
      </w:pPr>
      <w:r>
        <w:rPr>
          <w:rFonts w:hint="eastAsia"/>
        </w:rPr>
        <w:t xml:space="preserve">(2)Laboratory of Transmission, Control and Immunobiology of Infections, Institut </w:t>
      </w:r>
    </w:p>
    <w:p w14:paraId="6B5816F4">
      <w:pPr>
        <w:pStyle w:val="2"/>
        <w:rPr>
          <w:rFonts w:hint="eastAsia"/>
        </w:rPr>
      </w:pPr>
      <w:r>
        <w:rPr>
          <w:rFonts w:hint="eastAsia"/>
        </w:rPr>
        <w:t>Pasteur de Tunis, University of Tunis El Manar, Tunis, Tunisia.</w:t>
      </w:r>
    </w:p>
    <w:p w14:paraId="567C88B6">
      <w:pPr>
        <w:pStyle w:val="2"/>
        <w:rPr>
          <w:rFonts w:hint="eastAsia"/>
        </w:rPr>
      </w:pPr>
      <w:r>
        <w:rPr>
          <w:rFonts w:hint="eastAsia"/>
        </w:rPr>
        <w:t xml:space="preserve">(3)Department of Molecular, Cell, and Developmental Biology, University of </w:t>
      </w:r>
    </w:p>
    <w:p w14:paraId="58DCEE13">
      <w:pPr>
        <w:pStyle w:val="2"/>
        <w:rPr>
          <w:rFonts w:hint="eastAsia"/>
        </w:rPr>
      </w:pPr>
      <w:r>
        <w:rPr>
          <w:rFonts w:hint="eastAsia"/>
        </w:rPr>
        <w:t>California, Los Angeles, CA, USA.</w:t>
      </w:r>
    </w:p>
    <w:p w14:paraId="1EAE8046">
      <w:pPr>
        <w:pStyle w:val="2"/>
        <w:rPr>
          <w:rFonts w:hint="eastAsia"/>
        </w:rPr>
      </w:pPr>
      <w:r>
        <w:rPr>
          <w:rFonts w:hint="eastAsia"/>
        </w:rPr>
        <w:t>(4)Northwestern University, Chicago, IL, USA.</w:t>
      </w:r>
    </w:p>
    <w:p w14:paraId="41E5F195">
      <w:pPr>
        <w:pStyle w:val="2"/>
        <w:rPr>
          <w:rFonts w:hint="eastAsia"/>
        </w:rPr>
      </w:pPr>
      <w:r>
        <w:rPr>
          <w:rFonts w:hint="eastAsia"/>
        </w:rPr>
        <w:t>(5)Bruker Spatial Biology, Bothell, WA, USA.</w:t>
      </w:r>
    </w:p>
    <w:p w14:paraId="3D08609B">
      <w:pPr>
        <w:pStyle w:val="2"/>
        <w:rPr>
          <w:rFonts w:hint="eastAsia"/>
        </w:rPr>
      </w:pPr>
      <w:r>
        <w:rPr>
          <w:rFonts w:hint="eastAsia"/>
        </w:rPr>
        <w:t xml:space="preserve">(6)Department of Microbiology, Immunology and Pathology, Colorado State </w:t>
      </w:r>
    </w:p>
    <w:p w14:paraId="16408A14">
      <w:pPr>
        <w:pStyle w:val="2"/>
        <w:rPr>
          <w:rFonts w:hint="eastAsia"/>
        </w:rPr>
      </w:pPr>
      <w:r>
        <w:rPr>
          <w:rFonts w:hint="eastAsia"/>
        </w:rPr>
        <w:t>University, Fort Collins, CO, USA.</w:t>
      </w:r>
    </w:p>
    <w:p w14:paraId="478AD90C">
      <w:pPr>
        <w:pStyle w:val="2"/>
        <w:rPr>
          <w:rFonts w:hint="eastAsia"/>
        </w:rPr>
      </w:pPr>
      <w:r>
        <w:rPr>
          <w:rFonts w:hint="eastAsia"/>
        </w:rPr>
        <w:t>(7)Africa Health Research Institute, Durban, South Africa.</w:t>
      </w:r>
    </w:p>
    <w:p w14:paraId="2B920630">
      <w:pPr>
        <w:pStyle w:val="2"/>
        <w:rPr>
          <w:rFonts w:hint="eastAsia"/>
        </w:rPr>
      </w:pPr>
      <w:r>
        <w:rPr>
          <w:rFonts w:hint="eastAsia"/>
        </w:rPr>
        <w:t xml:space="preserve">(8)Department of Forensic and Legal Medicine, Walter Sisulu University, Mthatha, </w:t>
      </w:r>
    </w:p>
    <w:p w14:paraId="3D92ED1F">
      <w:pPr>
        <w:pStyle w:val="2"/>
        <w:rPr>
          <w:rFonts w:hint="eastAsia"/>
        </w:rPr>
      </w:pPr>
      <w:r>
        <w:rPr>
          <w:rFonts w:hint="eastAsia"/>
        </w:rPr>
        <w:t>South Africa.</w:t>
      </w:r>
    </w:p>
    <w:p w14:paraId="76E65921">
      <w:pPr>
        <w:pStyle w:val="2"/>
        <w:rPr>
          <w:rFonts w:hint="eastAsia"/>
        </w:rPr>
      </w:pPr>
      <w:r>
        <w:rPr>
          <w:rFonts w:hint="eastAsia"/>
        </w:rPr>
        <w:t xml:space="preserve">(9)Department of Pathology, David Geffen School of Medicine, University of </w:t>
      </w:r>
    </w:p>
    <w:p w14:paraId="05E3FC76">
      <w:pPr>
        <w:pStyle w:val="2"/>
        <w:rPr>
          <w:rFonts w:hint="eastAsia"/>
        </w:rPr>
      </w:pPr>
      <w:r>
        <w:rPr>
          <w:rFonts w:hint="eastAsia"/>
        </w:rPr>
        <w:t>California, Los Angeles, CA, USA.</w:t>
      </w:r>
    </w:p>
    <w:p w14:paraId="5FDADC99">
      <w:pPr>
        <w:pStyle w:val="2"/>
        <w:rPr>
          <w:rFonts w:hint="eastAsia"/>
        </w:rPr>
      </w:pPr>
      <w:r>
        <w:rPr>
          <w:rFonts w:hint="eastAsia"/>
        </w:rPr>
        <w:t xml:space="preserve">(10)Department of Pathology, Charles Nicolle Hospital, Tunis, Tunisia; LR23ES02, </w:t>
      </w:r>
    </w:p>
    <w:p w14:paraId="3113D3B8">
      <w:pPr>
        <w:pStyle w:val="2"/>
        <w:rPr>
          <w:rFonts w:hint="eastAsia"/>
        </w:rPr>
      </w:pPr>
      <w:r>
        <w:rPr>
          <w:rFonts w:hint="eastAsia"/>
        </w:rPr>
        <w:t>Faculté de Médecine de Tunis, Université de Tunis El Manar, Tunis, Tunisia.</w:t>
      </w:r>
    </w:p>
    <w:p w14:paraId="69AAE4E7">
      <w:pPr>
        <w:pStyle w:val="2"/>
        <w:rPr>
          <w:rFonts w:hint="eastAsia"/>
        </w:rPr>
      </w:pPr>
      <w:r>
        <w:rPr>
          <w:rFonts w:hint="eastAsia"/>
        </w:rPr>
        <w:t xml:space="preserve">(11)Department of Microbiology, Immunology and Infectious Diseases, College of </w:t>
      </w:r>
    </w:p>
    <w:p w14:paraId="2F995A34">
      <w:pPr>
        <w:pStyle w:val="2"/>
        <w:rPr>
          <w:rFonts w:hint="eastAsia"/>
        </w:rPr>
      </w:pPr>
      <w:r>
        <w:rPr>
          <w:rFonts w:hint="eastAsia"/>
        </w:rPr>
        <w:t>Medicine and Medical Sciences, Arabian Gulf University, Manama, Bahrain.</w:t>
      </w:r>
    </w:p>
    <w:p w14:paraId="79572C90">
      <w:pPr>
        <w:pStyle w:val="2"/>
        <w:rPr>
          <w:rFonts w:hint="eastAsia"/>
        </w:rPr>
      </w:pPr>
      <w:r>
        <w:rPr>
          <w:rFonts w:hint="eastAsia"/>
        </w:rPr>
        <w:t xml:space="preserve">(12)Department of Pathology &amp; Immunology, Washington University in St. Louis, </w:t>
      </w:r>
    </w:p>
    <w:p w14:paraId="7B1A7BE5">
      <w:pPr>
        <w:pStyle w:val="2"/>
        <w:rPr>
          <w:rFonts w:hint="eastAsia"/>
        </w:rPr>
      </w:pPr>
      <w:r>
        <w:rPr>
          <w:rFonts w:hint="eastAsia"/>
        </w:rPr>
        <w:t>St. Louis, MO, USA.</w:t>
      </w:r>
    </w:p>
    <w:p w14:paraId="323CB080">
      <w:pPr>
        <w:pStyle w:val="2"/>
        <w:rPr>
          <w:rFonts w:hint="eastAsia"/>
        </w:rPr>
      </w:pPr>
      <w:r>
        <w:rPr>
          <w:rFonts w:hint="eastAsia"/>
        </w:rPr>
        <w:t>(13)Department of Microbiology, University of Alabama, Birmingham, USA.</w:t>
      </w:r>
    </w:p>
    <w:p w14:paraId="293EBC63">
      <w:pPr>
        <w:pStyle w:val="2"/>
        <w:rPr>
          <w:rFonts w:hint="eastAsia"/>
        </w:rPr>
      </w:pPr>
      <w:r>
        <w:rPr>
          <w:rFonts w:hint="eastAsia"/>
        </w:rPr>
        <w:t xml:space="preserve">(14)Department of Microbiology, Immunology and Molecular Genetics, David Geffen </w:t>
      </w:r>
    </w:p>
    <w:p w14:paraId="1910060C">
      <w:pPr>
        <w:pStyle w:val="2"/>
        <w:rPr>
          <w:rFonts w:hint="eastAsia"/>
        </w:rPr>
      </w:pPr>
      <w:r>
        <w:rPr>
          <w:rFonts w:hint="eastAsia"/>
        </w:rPr>
        <w:t>School of Medicine, University of California, Los Angeles, CA, USA.</w:t>
      </w:r>
    </w:p>
    <w:p w14:paraId="3B8D2C58">
      <w:pPr>
        <w:pStyle w:val="2"/>
        <w:rPr>
          <w:rFonts w:hint="eastAsia"/>
        </w:rPr>
      </w:pPr>
      <w:r>
        <w:rPr>
          <w:rFonts w:hint="eastAsia"/>
        </w:rPr>
        <w:t xml:space="preserve">(15)Department of Molecular and Medical Pharmacology, David Geffen School of </w:t>
      </w:r>
    </w:p>
    <w:p w14:paraId="7CEEF22D">
      <w:pPr>
        <w:pStyle w:val="2"/>
        <w:rPr>
          <w:rFonts w:hint="eastAsia"/>
        </w:rPr>
      </w:pPr>
      <w:r>
        <w:rPr>
          <w:rFonts w:hint="eastAsia"/>
        </w:rPr>
        <w:t>Medicine, University of California, Los Angeles, CA, USA.</w:t>
      </w:r>
    </w:p>
    <w:p w14:paraId="5227815F">
      <w:pPr>
        <w:pStyle w:val="2"/>
        <w:rPr>
          <w:rFonts w:hint="eastAsia"/>
        </w:rPr>
      </w:pPr>
      <w:r>
        <w:rPr>
          <w:rFonts w:hint="eastAsia"/>
        </w:rPr>
        <w:t>(16)Laboratory of Parasitic Diseases, NIAID, NIH, Bethesda, MD, USA.</w:t>
      </w:r>
    </w:p>
    <w:p w14:paraId="10B9E48E">
      <w:pPr>
        <w:pStyle w:val="2"/>
        <w:rPr>
          <w:rFonts w:hint="eastAsia"/>
        </w:rPr>
      </w:pPr>
      <w:r>
        <w:rPr>
          <w:rFonts w:hint="eastAsia"/>
        </w:rPr>
        <w:t>(17)Massachusetts Institute of Technology, Cambridge, MA, USA.</w:t>
      </w:r>
    </w:p>
    <w:p w14:paraId="55BA6F78">
      <w:pPr>
        <w:pStyle w:val="2"/>
        <w:rPr>
          <w:rFonts w:hint="eastAsia"/>
        </w:rPr>
      </w:pPr>
      <w:r>
        <w:rPr>
          <w:rFonts w:hint="eastAsia"/>
        </w:rPr>
        <w:t>(18)Harvard T.H. Chan School of Public Health, Boston, MA, USA.</w:t>
      </w:r>
    </w:p>
    <w:p w14:paraId="195ED4DC">
      <w:pPr>
        <w:pStyle w:val="2"/>
        <w:rPr>
          <w:rFonts w:hint="eastAsia"/>
        </w:rPr>
      </w:pPr>
      <w:r>
        <w:rPr>
          <w:rFonts w:hint="eastAsia"/>
        </w:rPr>
        <w:t xml:space="preserve">(19)Division of Dermatology, Department of Medicine, David Geffen School of </w:t>
      </w:r>
    </w:p>
    <w:p w14:paraId="47F967F1">
      <w:pPr>
        <w:pStyle w:val="2"/>
        <w:rPr>
          <w:rFonts w:hint="eastAsia"/>
        </w:rPr>
      </w:pPr>
      <w:r>
        <w:rPr>
          <w:rFonts w:hint="eastAsia"/>
        </w:rPr>
        <w:t xml:space="preserve">Medicine, University of California, Los Angeles, CA, USA. </w:t>
      </w:r>
    </w:p>
    <w:p w14:paraId="4BFD35BC">
      <w:pPr>
        <w:pStyle w:val="2"/>
        <w:rPr>
          <w:rFonts w:hint="eastAsia"/>
        </w:rPr>
      </w:pPr>
      <w:r>
        <w:rPr>
          <w:rFonts w:hint="eastAsia"/>
        </w:rPr>
        <w:t>rmodlin@mednet.ucla.edu.</w:t>
      </w:r>
    </w:p>
    <w:p w14:paraId="0BD022D0">
      <w:pPr>
        <w:pStyle w:val="2"/>
        <w:rPr>
          <w:rFonts w:hint="eastAsia"/>
        </w:rPr>
      </w:pPr>
      <w:r>
        <w:rPr>
          <w:rFonts w:hint="eastAsia"/>
        </w:rPr>
        <w:t xml:space="preserve">(20)Department of Microbiology, Immunology and Molecular Genetics, David Geffen </w:t>
      </w:r>
    </w:p>
    <w:p w14:paraId="528B4752">
      <w:pPr>
        <w:pStyle w:val="2"/>
        <w:rPr>
          <w:rFonts w:hint="eastAsia"/>
        </w:rPr>
      </w:pPr>
      <w:r>
        <w:rPr>
          <w:rFonts w:hint="eastAsia"/>
        </w:rPr>
        <w:t xml:space="preserve">School of Medicine, University of California, Los Angeles, CA, USA. </w:t>
      </w:r>
    </w:p>
    <w:p w14:paraId="31A1383E">
      <w:pPr>
        <w:pStyle w:val="2"/>
        <w:rPr>
          <w:rFonts w:hint="eastAsia"/>
        </w:rPr>
      </w:pPr>
      <w:r>
        <w:rPr>
          <w:rFonts w:hint="eastAsia"/>
        </w:rPr>
        <w:t>rmodlin@mednet.ucla.edu.</w:t>
      </w:r>
    </w:p>
    <w:p w14:paraId="2682BBFA">
      <w:pPr>
        <w:pStyle w:val="2"/>
        <w:rPr>
          <w:rFonts w:hint="eastAsia"/>
        </w:rPr>
      </w:pPr>
    </w:p>
    <w:p w14:paraId="5C63E0C6">
      <w:pPr>
        <w:pStyle w:val="2"/>
        <w:rPr>
          <w:rFonts w:hint="eastAsia"/>
        </w:rPr>
      </w:pPr>
      <w:r>
        <w:rPr>
          <w:rFonts w:hint="eastAsia"/>
        </w:rPr>
        <w:t xml:space="preserve">Pulmonary tuberculosis (TB), caused by lung infection with Mycobacterium </w:t>
      </w:r>
    </w:p>
    <w:p w14:paraId="6EC5BA33">
      <w:pPr>
        <w:pStyle w:val="2"/>
        <w:rPr>
          <w:rFonts w:hint="eastAsia"/>
        </w:rPr>
      </w:pPr>
      <w:r>
        <w:rPr>
          <w:rFonts w:hint="eastAsia"/>
        </w:rPr>
        <w:t xml:space="preserve">tuberculosis (Mtb), often manifests both alveolar pneumonia and aggregation of </w:t>
      </w:r>
    </w:p>
    <w:p w14:paraId="4C121B93">
      <w:pPr>
        <w:pStyle w:val="2"/>
        <w:rPr>
          <w:rFonts w:hint="eastAsia"/>
        </w:rPr>
      </w:pPr>
      <w:r>
        <w:rPr>
          <w:rFonts w:hint="eastAsia"/>
        </w:rPr>
        <w:t xml:space="preserve">immune cells containing Mtb, termed granulomas, within the same lung. Here, we </w:t>
      </w:r>
    </w:p>
    <w:p w14:paraId="6E8E7677">
      <w:pPr>
        <w:pStyle w:val="2"/>
        <w:rPr>
          <w:rFonts w:hint="eastAsia"/>
        </w:rPr>
      </w:pPr>
      <w:r>
        <w:rPr>
          <w:rFonts w:hint="eastAsia"/>
        </w:rPr>
        <w:t xml:space="preserve">integrate spatial transcriptomics, single-cell RNA sequencing, high-resolution </w:t>
      </w:r>
    </w:p>
    <w:p w14:paraId="650B0063">
      <w:pPr>
        <w:pStyle w:val="2"/>
        <w:rPr>
          <w:rFonts w:hint="eastAsia"/>
        </w:rPr>
      </w:pPr>
      <w:r>
        <w:rPr>
          <w:rFonts w:hint="eastAsia"/>
        </w:rPr>
        <w:t xml:space="preserve">imaging, and functional assays of lung biopsies from four men with pulmonary TB </w:t>
      </w:r>
    </w:p>
    <w:p w14:paraId="1525654C">
      <w:pPr>
        <w:pStyle w:val="2"/>
        <w:rPr>
          <w:rFonts w:hint="eastAsia"/>
        </w:rPr>
      </w:pPr>
      <w:r>
        <w:rPr>
          <w:rFonts w:hint="eastAsia"/>
        </w:rPr>
        <w:t xml:space="preserve">to compare alveolar pneumonia with adjacent granulomas. We find that alveolar TB </w:t>
      </w:r>
    </w:p>
    <w:p w14:paraId="25EE0B1C">
      <w:pPr>
        <w:pStyle w:val="2"/>
        <w:rPr>
          <w:rFonts w:hint="eastAsia"/>
        </w:rPr>
      </w:pPr>
      <w:r>
        <w:rPr>
          <w:rFonts w:hint="eastAsia"/>
        </w:rPr>
        <w:t xml:space="preserve">pneumonia is enriched for TREM2⁺ lipid-laden macrophages characterized by </w:t>
      </w:r>
    </w:p>
    <w:p w14:paraId="1A817750">
      <w:pPr>
        <w:pStyle w:val="2"/>
        <w:rPr>
          <w:rFonts w:hint="eastAsia"/>
        </w:rPr>
      </w:pPr>
      <w:r>
        <w:rPr>
          <w:rFonts w:hint="eastAsia"/>
        </w:rPr>
        <w:t xml:space="preserve">increased lipid metabolism gene expression, reduced T cell infiltration, </w:t>
      </w:r>
    </w:p>
    <w:p w14:paraId="23AEDA23">
      <w:pPr>
        <w:pStyle w:val="2"/>
        <w:rPr>
          <w:rFonts w:hint="eastAsia"/>
        </w:rPr>
      </w:pPr>
      <w:r>
        <w:rPr>
          <w:rFonts w:hint="eastAsia"/>
        </w:rPr>
        <w:t xml:space="preserve">attenuated antimicrobial gene expression, and abundant Mtb transcripts and </w:t>
      </w:r>
    </w:p>
    <w:p w14:paraId="399652CD">
      <w:pPr>
        <w:pStyle w:val="2"/>
        <w:rPr>
          <w:rFonts w:hint="eastAsia"/>
        </w:rPr>
      </w:pPr>
      <w:r>
        <w:rPr>
          <w:rFonts w:hint="eastAsia"/>
        </w:rPr>
        <w:t xml:space="preserve">antigens. By contrast, neighboring granulomas exhibit organized lymphoid </w:t>
      </w:r>
    </w:p>
    <w:p w14:paraId="01D5FF84">
      <w:pPr>
        <w:pStyle w:val="2"/>
        <w:rPr>
          <w:rFonts w:hint="eastAsia"/>
        </w:rPr>
      </w:pPr>
      <w:r>
        <w:rPr>
          <w:rFonts w:hint="eastAsia"/>
        </w:rPr>
        <w:t xml:space="preserve">architecture and robust antimicrobial programs. In vitro, Mtb lipids induce </w:t>
      </w:r>
    </w:p>
    <w:p w14:paraId="53716599">
      <w:pPr>
        <w:pStyle w:val="2"/>
        <w:rPr>
          <w:rFonts w:hint="eastAsia"/>
        </w:rPr>
      </w:pPr>
      <w:r>
        <w:rPr>
          <w:rFonts w:hint="eastAsia"/>
        </w:rPr>
        <w:t xml:space="preserve">TREM2 expression, activate TREM2-DAP12 signaling, and promote lipid droplet </w:t>
      </w:r>
    </w:p>
    <w:p w14:paraId="48D85B3B">
      <w:pPr>
        <w:pStyle w:val="2"/>
        <w:rPr>
          <w:rFonts w:hint="eastAsia"/>
        </w:rPr>
      </w:pPr>
      <w:r>
        <w:rPr>
          <w:rFonts w:hint="eastAsia"/>
        </w:rPr>
        <w:t xml:space="preserve">accumulation in primary human monocyte-derived macrophages (MDM). Furthermore, </w:t>
      </w:r>
    </w:p>
    <w:p w14:paraId="56F0A512">
      <w:pPr>
        <w:pStyle w:val="2"/>
        <w:rPr>
          <w:rFonts w:hint="eastAsia"/>
        </w:rPr>
      </w:pPr>
      <w:r>
        <w:rPr>
          <w:rFonts w:hint="eastAsia"/>
        </w:rPr>
        <w:t xml:space="preserve">TREM2+ MDMs are more susceptible to in vitro Mtb infection. When treating MDMs </w:t>
      </w:r>
    </w:p>
    <w:p w14:paraId="511EB964">
      <w:pPr>
        <w:pStyle w:val="2"/>
        <w:rPr>
          <w:rFonts w:hint="eastAsia"/>
        </w:rPr>
      </w:pPr>
      <w:r>
        <w:rPr>
          <w:rFonts w:hint="eastAsia"/>
        </w:rPr>
        <w:t xml:space="preserve">with 1,25-dihydroxyvitamin D₃, which induces antimicrobial macrophage programs, </w:t>
      </w:r>
    </w:p>
    <w:p w14:paraId="61DD52C5">
      <w:pPr>
        <w:pStyle w:val="2"/>
        <w:rPr>
          <w:rFonts w:hint="eastAsia"/>
        </w:rPr>
      </w:pPr>
      <w:r>
        <w:rPr>
          <w:rFonts w:hint="eastAsia"/>
        </w:rPr>
        <w:t xml:space="preserve">TREM2+ MDM numbers, lipid droplet abundance and Mtb viability are decreased. </w:t>
      </w:r>
    </w:p>
    <w:p w14:paraId="01C215F3">
      <w:pPr>
        <w:pStyle w:val="2"/>
        <w:rPr>
          <w:rFonts w:hint="eastAsia"/>
        </w:rPr>
      </w:pPr>
      <w:r>
        <w:rPr>
          <w:rFonts w:hint="eastAsia"/>
        </w:rPr>
        <w:t xml:space="preserve">Thus, we propose a spatially localized, alveolar pneumonia-intrinsic TREM2⁺ </w:t>
      </w:r>
    </w:p>
    <w:p w14:paraId="2D2AF730">
      <w:pPr>
        <w:pStyle w:val="2"/>
        <w:rPr>
          <w:rFonts w:hint="eastAsia"/>
        </w:rPr>
      </w:pPr>
      <w:r>
        <w:rPr>
          <w:rFonts w:hint="eastAsia"/>
        </w:rPr>
        <w:t xml:space="preserve">macrophage program that potentially contributes to Mtb persistence in pulmonary </w:t>
      </w:r>
    </w:p>
    <w:p w14:paraId="14768E17">
      <w:pPr>
        <w:pStyle w:val="2"/>
        <w:rPr>
          <w:rFonts w:hint="eastAsia"/>
        </w:rPr>
      </w:pPr>
      <w:r>
        <w:rPr>
          <w:rFonts w:hint="eastAsia"/>
        </w:rPr>
        <w:t>TB infection in humans.</w:t>
      </w:r>
    </w:p>
    <w:p w14:paraId="3B53BC01">
      <w:pPr>
        <w:pStyle w:val="2"/>
        <w:rPr>
          <w:rFonts w:hint="eastAsia"/>
        </w:rPr>
      </w:pPr>
    </w:p>
    <w:p w14:paraId="694FB64A">
      <w:pPr>
        <w:pStyle w:val="2"/>
        <w:rPr>
          <w:rFonts w:hint="eastAsia"/>
        </w:rPr>
      </w:pPr>
      <w:r>
        <w:rPr>
          <w:rFonts w:hint="eastAsia"/>
        </w:rPr>
        <w:t>© 2026. The Author(s).</w:t>
      </w:r>
    </w:p>
    <w:p w14:paraId="44B76A5A">
      <w:pPr>
        <w:pStyle w:val="2"/>
        <w:rPr>
          <w:rFonts w:hint="eastAsia"/>
        </w:rPr>
      </w:pPr>
    </w:p>
    <w:p w14:paraId="39A9F385">
      <w:pPr>
        <w:pStyle w:val="2"/>
        <w:rPr>
          <w:rFonts w:hint="eastAsia"/>
        </w:rPr>
      </w:pPr>
      <w:r>
        <w:rPr>
          <w:rFonts w:hint="eastAsia"/>
        </w:rPr>
        <w:t>DOI: 10.1038/s41467-026-76814-8</w:t>
      </w:r>
    </w:p>
    <w:p w14:paraId="0FA6C11F">
      <w:pPr>
        <w:pStyle w:val="2"/>
        <w:rPr>
          <w:rFonts w:hint="eastAsia"/>
        </w:rPr>
      </w:pPr>
      <w:r>
        <w:rPr>
          <w:rFonts w:hint="eastAsia"/>
        </w:rPr>
        <w:t>PMCID: PMC13669344</w:t>
      </w:r>
    </w:p>
    <w:p w14:paraId="318ABAA1">
      <w:pPr>
        <w:pStyle w:val="2"/>
        <w:rPr>
          <w:rFonts w:hint="eastAsia"/>
        </w:rPr>
      </w:pPr>
      <w:r>
        <w:rPr>
          <w:rFonts w:hint="eastAsia"/>
        </w:rPr>
        <w:t>PMID: 42875426 [Indexed for MEDLINE]</w:t>
      </w:r>
    </w:p>
    <w:p w14:paraId="09790283">
      <w:pPr>
        <w:pStyle w:val="2"/>
        <w:rPr>
          <w:rFonts w:hint="eastAsia"/>
        </w:rPr>
      </w:pPr>
    </w:p>
    <w:p w14:paraId="734299A6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76</w:t>
      </w:r>
      <w:r>
        <w:rPr>
          <w:rFonts w:hint="eastAsia"/>
          <w:b/>
          <w:bCs/>
          <w:color w:val="FF0000"/>
        </w:rPr>
        <w:t xml:space="preserve">. J Inorg Biochem. 2026 Oct 1;286:113467. doi: 10.1016/j.jinorgbio.2026.113467. </w:t>
      </w:r>
    </w:p>
    <w:p w14:paraId="61214D6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4BEC5199">
      <w:pPr>
        <w:pStyle w:val="2"/>
        <w:rPr>
          <w:rFonts w:hint="eastAsia"/>
        </w:rPr>
      </w:pPr>
    </w:p>
    <w:p w14:paraId="317C5BEA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Rv2074 is a coenzyme F420-dependent mycobilin </w:t>
      </w:r>
    </w:p>
    <w:p w14:paraId="541DC172">
      <w:pPr>
        <w:pStyle w:val="2"/>
        <w:rPr>
          <w:rFonts w:hint="eastAsia"/>
        </w:rPr>
      </w:pPr>
      <w:r>
        <w:rPr>
          <w:rFonts w:hint="eastAsia"/>
        </w:rPr>
        <w:t>reductase.</w:t>
      </w:r>
    </w:p>
    <w:p w14:paraId="107A1238">
      <w:pPr>
        <w:pStyle w:val="2"/>
        <w:rPr>
          <w:rFonts w:hint="eastAsia"/>
        </w:rPr>
      </w:pPr>
    </w:p>
    <w:p w14:paraId="089C4EAB">
      <w:pPr>
        <w:pStyle w:val="2"/>
        <w:rPr>
          <w:rFonts w:hint="eastAsia"/>
        </w:rPr>
      </w:pPr>
      <w:r>
        <w:rPr>
          <w:rFonts w:hint="eastAsia"/>
        </w:rPr>
        <w:t xml:space="preserve">de Miranda R(1), Martinez J(1), Cuthbert BJ(1), Mendoza J(1), Jackson CJ(2), </w:t>
      </w:r>
    </w:p>
    <w:p w14:paraId="3A2395A0">
      <w:pPr>
        <w:pStyle w:val="2"/>
        <w:rPr>
          <w:rFonts w:hint="eastAsia"/>
        </w:rPr>
      </w:pPr>
      <w:r>
        <w:rPr>
          <w:rFonts w:hint="eastAsia"/>
        </w:rPr>
        <w:t>Goulding CW(3).</w:t>
      </w:r>
    </w:p>
    <w:p w14:paraId="24D98224">
      <w:pPr>
        <w:pStyle w:val="2"/>
        <w:rPr>
          <w:rFonts w:hint="eastAsia"/>
        </w:rPr>
      </w:pPr>
    </w:p>
    <w:p w14:paraId="43D35F9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1C65ED4">
      <w:pPr>
        <w:pStyle w:val="2"/>
        <w:rPr>
          <w:rFonts w:hint="eastAsia"/>
        </w:rPr>
      </w:pPr>
      <w:r>
        <w:rPr>
          <w:rFonts w:hint="eastAsia"/>
        </w:rPr>
        <w:t xml:space="preserve">(1)Department of Molecular Biology &amp; Biochemistry, University of California, </w:t>
      </w:r>
    </w:p>
    <w:p w14:paraId="2EFED699">
      <w:pPr>
        <w:pStyle w:val="2"/>
        <w:rPr>
          <w:rFonts w:hint="eastAsia"/>
        </w:rPr>
      </w:pPr>
      <w:r>
        <w:rPr>
          <w:rFonts w:hint="eastAsia"/>
        </w:rPr>
        <w:t>Irvine, CA 92697, USA.</w:t>
      </w:r>
    </w:p>
    <w:p w14:paraId="335C0676">
      <w:pPr>
        <w:pStyle w:val="2"/>
        <w:rPr>
          <w:rFonts w:hint="eastAsia"/>
        </w:rPr>
      </w:pPr>
      <w:r>
        <w:rPr>
          <w:rFonts w:hint="eastAsia"/>
        </w:rPr>
        <w:t xml:space="preserve">(2)Research School of Chemistry, Australian National University, Acton, ACT </w:t>
      </w:r>
    </w:p>
    <w:p w14:paraId="3A856B14">
      <w:pPr>
        <w:pStyle w:val="2"/>
        <w:rPr>
          <w:rFonts w:hint="eastAsia"/>
        </w:rPr>
      </w:pPr>
      <w:r>
        <w:rPr>
          <w:rFonts w:hint="eastAsia"/>
        </w:rPr>
        <w:t>2601, Australia.</w:t>
      </w:r>
    </w:p>
    <w:p w14:paraId="551EB19C">
      <w:pPr>
        <w:pStyle w:val="2"/>
        <w:rPr>
          <w:rFonts w:hint="eastAsia"/>
        </w:rPr>
      </w:pPr>
      <w:r>
        <w:rPr>
          <w:rFonts w:hint="eastAsia"/>
        </w:rPr>
        <w:t xml:space="preserve">(3)Department of Molecular Biology &amp; Biochemistry, University of California, </w:t>
      </w:r>
    </w:p>
    <w:p w14:paraId="06F1C486">
      <w:pPr>
        <w:pStyle w:val="2"/>
        <w:rPr>
          <w:rFonts w:hint="eastAsia"/>
        </w:rPr>
      </w:pPr>
      <w:r>
        <w:rPr>
          <w:rFonts w:hint="eastAsia"/>
        </w:rPr>
        <w:t xml:space="preserve">Irvine, CA 92697, USA; Department of Pharmaceutical Sciences, University of </w:t>
      </w:r>
    </w:p>
    <w:p w14:paraId="726A5C9E">
      <w:pPr>
        <w:pStyle w:val="2"/>
        <w:rPr>
          <w:rFonts w:hint="eastAsia"/>
        </w:rPr>
      </w:pPr>
      <w:r>
        <w:rPr>
          <w:rFonts w:hint="eastAsia"/>
        </w:rPr>
        <w:t>California, Irvine, CA 92697, USA. Electronic address: celia.goulding@uci.edu.</w:t>
      </w:r>
    </w:p>
    <w:p w14:paraId="05783AE7">
      <w:pPr>
        <w:pStyle w:val="2"/>
        <w:rPr>
          <w:rFonts w:hint="eastAsia"/>
        </w:rPr>
      </w:pPr>
    </w:p>
    <w:p w14:paraId="2301FD16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(Mtb), the causative agent of tuberculosis, scavenges </w:t>
      </w:r>
    </w:p>
    <w:p w14:paraId="1855990C">
      <w:pPr>
        <w:pStyle w:val="2"/>
        <w:rPr>
          <w:rFonts w:hint="eastAsia"/>
        </w:rPr>
      </w:pPr>
      <w:r>
        <w:rPr>
          <w:rFonts w:hint="eastAsia"/>
        </w:rPr>
        <w:t xml:space="preserve">iron from its human host to support survival and pathogenesis. While </w:t>
      </w:r>
    </w:p>
    <w:p w14:paraId="403E7C9E">
      <w:pPr>
        <w:pStyle w:val="2"/>
        <w:rPr>
          <w:rFonts w:hint="eastAsia"/>
        </w:rPr>
      </w:pPr>
      <w:r>
        <w:rPr>
          <w:rFonts w:hint="eastAsia"/>
        </w:rPr>
        <w:t xml:space="preserve">siderophore-mediated iron acquisition in Mtb is well characterized, the </w:t>
      </w:r>
    </w:p>
    <w:p w14:paraId="1822ADD6">
      <w:pPr>
        <w:pStyle w:val="2"/>
        <w:rPr>
          <w:rFonts w:hint="eastAsia"/>
        </w:rPr>
      </w:pPr>
      <w:r>
        <w:rPr>
          <w:rFonts w:hint="eastAsia"/>
        </w:rPr>
        <w:t xml:space="preserve">mechanisms of heme‑iron acquisition are less understood. In the Mtb cytosol, the </w:t>
      </w:r>
    </w:p>
    <w:p w14:paraId="7EF1AD8C">
      <w:pPr>
        <w:pStyle w:val="2"/>
        <w:rPr>
          <w:rFonts w:hint="eastAsia"/>
        </w:rPr>
      </w:pPr>
      <w:r>
        <w:rPr>
          <w:rFonts w:hint="eastAsia"/>
        </w:rPr>
        <w:t xml:space="preserve">IsdG-type heme-degrading enzyme MhuD converts heme into iron and mycobilin </w:t>
      </w:r>
    </w:p>
    <w:p w14:paraId="70264991">
      <w:pPr>
        <w:pStyle w:val="2"/>
        <w:rPr>
          <w:rFonts w:hint="eastAsia"/>
        </w:rPr>
      </w:pPr>
      <w:r>
        <w:rPr>
          <w:rFonts w:hint="eastAsia"/>
        </w:rPr>
        <w:t xml:space="preserve">isomers; however, the fate of MhuD-generated mycobilin is unknown. Recent </w:t>
      </w:r>
    </w:p>
    <w:p w14:paraId="24E75B6A">
      <w:pPr>
        <w:pStyle w:val="2"/>
        <w:rPr>
          <w:rFonts w:hint="eastAsia"/>
        </w:rPr>
      </w:pPr>
      <w:r>
        <w:rPr>
          <w:rFonts w:hint="eastAsia"/>
        </w:rPr>
        <w:t xml:space="preserve">studies have identified four Mtb flavin/deazaflavin oxidoreductases (FDORs), </w:t>
      </w:r>
    </w:p>
    <w:p w14:paraId="0F070E8D">
      <w:pPr>
        <w:pStyle w:val="2"/>
        <w:rPr>
          <w:rFonts w:hint="eastAsia"/>
        </w:rPr>
      </w:pPr>
      <w:r>
        <w:rPr>
          <w:rFonts w:hint="eastAsia"/>
        </w:rPr>
        <w:t xml:space="preserve">which are predicted to be non-canonical coenzyme F420-dependent biliverdin </w:t>
      </w:r>
    </w:p>
    <w:p w14:paraId="35E65E52">
      <w:pPr>
        <w:pStyle w:val="2"/>
        <w:rPr>
          <w:rFonts w:hint="eastAsia"/>
        </w:rPr>
      </w:pPr>
      <w:r>
        <w:rPr>
          <w:rFonts w:hint="eastAsia"/>
        </w:rPr>
        <w:t xml:space="preserve">reductases. One such enzyme, Rv2074, was previously shown to reduce biliverdin </w:t>
      </w:r>
    </w:p>
    <w:p w14:paraId="2F04966B">
      <w:pPr>
        <w:pStyle w:val="2"/>
        <w:rPr>
          <w:rFonts w:hint="eastAsia"/>
        </w:rPr>
      </w:pPr>
      <w:r>
        <w:rPr>
          <w:rFonts w:hint="eastAsia"/>
        </w:rPr>
        <w:t xml:space="preserve">IXα (αBV) to bilirubin (BR). Here, we evaluate the activity of four Mtb FDORs </w:t>
      </w:r>
    </w:p>
    <w:p w14:paraId="4DA0A799">
      <w:pPr>
        <w:pStyle w:val="2"/>
        <w:rPr>
          <w:rFonts w:hint="eastAsia"/>
        </w:rPr>
      </w:pPr>
      <w:r>
        <w:rPr>
          <w:rFonts w:hint="eastAsia"/>
        </w:rPr>
        <w:t xml:space="preserve">toward mycobilin and find that only Rv2074 catalyzes the reduction of mycobilin, </w:t>
      </w:r>
    </w:p>
    <w:p w14:paraId="0621424C">
      <w:pPr>
        <w:pStyle w:val="2"/>
        <w:rPr>
          <w:rFonts w:hint="eastAsia"/>
        </w:rPr>
      </w:pPr>
      <w:r>
        <w:rPr>
          <w:rFonts w:hint="eastAsia"/>
        </w:rPr>
        <w:t xml:space="preserve">yielding a previously uncharacterized tetrapyrrole product as detected by </w:t>
      </w:r>
    </w:p>
    <w:p w14:paraId="790E44E1">
      <w:pPr>
        <w:pStyle w:val="2"/>
        <w:rPr>
          <w:rFonts w:hint="eastAsia"/>
        </w:rPr>
      </w:pPr>
      <w:r>
        <w:rPr>
          <w:rFonts w:hint="eastAsia"/>
        </w:rPr>
        <w:t xml:space="preserve">UV/visible spectroscopy. Mass spectrometry fragmentation analysis reveals </w:t>
      </w:r>
    </w:p>
    <w:p w14:paraId="570F4D21">
      <w:pPr>
        <w:pStyle w:val="2"/>
        <w:rPr>
          <w:rFonts w:hint="eastAsia"/>
        </w:rPr>
      </w:pPr>
      <w:r>
        <w:rPr>
          <w:rFonts w:hint="eastAsia"/>
        </w:rPr>
        <w:t xml:space="preserve">reduction of mycobilin at the γ-meso carbon, analogous to the reduction of αBV </w:t>
      </w:r>
    </w:p>
    <w:p w14:paraId="077D0D39">
      <w:pPr>
        <w:pStyle w:val="2"/>
        <w:rPr>
          <w:rFonts w:hint="eastAsia"/>
        </w:rPr>
      </w:pPr>
      <w:r>
        <w:rPr>
          <w:rFonts w:hint="eastAsia"/>
        </w:rPr>
        <w:t xml:space="preserve">to BR. We have named this product mycorubin. Furthermore, we show that, of the </w:t>
      </w:r>
    </w:p>
    <w:p w14:paraId="70C43842">
      <w:pPr>
        <w:pStyle w:val="2"/>
        <w:rPr>
          <w:rFonts w:hint="eastAsia"/>
        </w:rPr>
      </w:pPr>
      <w:r>
        <w:rPr>
          <w:rFonts w:hint="eastAsia"/>
        </w:rPr>
        <w:t xml:space="preserve">four Mtb FDORs, only Rv2074 can convert MhuD-generated mycobilin to mycorubin in </w:t>
      </w:r>
    </w:p>
    <w:p w14:paraId="4B371AF2">
      <w:pPr>
        <w:pStyle w:val="2"/>
        <w:rPr>
          <w:rFonts w:hint="eastAsia"/>
        </w:rPr>
      </w:pPr>
      <w:r>
        <w:rPr>
          <w:rFonts w:hint="eastAsia"/>
        </w:rPr>
        <w:t xml:space="preserve">a one-pot reaction containing MhuD and heme as the starting material. These </w:t>
      </w:r>
    </w:p>
    <w:p w14:paraId="447C18D6">
      <w:pPr>
        <w:pStyle w:val="2"/>
        <w:rPr>
          <w:rFonts w:hint="eastAsia"/>
        </w:rPr>
      </w:pPr>
      <w:r>
        <w:rPr>
          <w:rFonts w:hint="eastAsia"/>
        </w:rPr>
        <w:t xml:space="preserve">findings provide the first evidence that the product of heme degradation by an </w:t>
      </w:r>
    </w:p>
    <w:p w14:paraId="66CFFE7D">
      <w:pPr>
        <w:pStyle w:val="2"/>
        <w:rPr>
          <w:rFonts w:hint="eastAsia"/>
        </w:rPr>
      </w:pPr>
      <w:r>
        <w:rPr>
          <w:rFonts w:hint="eastAsia"/>
        </w:rPr>
        <w:t xml:space="preserve">IsdG-family enzyme undergoes further enzymatic reduction. This work reveals a </w:t>
      </w:r>
    </w:p>
    <w:p w14:paraId="079CC262">
      <w:pPr>
        <w:pStyle w:val="2"/>
        <w:rPr>
          <w:rFonts w:hint="eastAsia"/>
        </w:rPr>
      </w:pPr>
      <w:r>
        <w:rPr>
          <w:rFonts w:hint="eastAsia"/>
        </w:rPr>
        <w:t>previously unrecognized step in mycobacterial heme catabolism.</w:t>
      </w:r>
    </w:p>
    <w:p w14:paraId="7B525D26">
      <w:pPr>
        <w:pStyle w:val="2"/>
        <w:rPr>
          <w:rFonts w:hint="eastAsia"/>
        </w:rPr>
      </w:pPr>
    </w:p>
    <w:p w14:paraId="4E132318">
      <w:pPr>
        <w:pStyle w:val="2"/>
        <w:rPr>
          <w:rFonts w:hint="eastAsia"/>
        </w:rPr>
      </w:pPr>
      <w:r>
        <w:rPr>
          <w:rFonts w:hint="eastAsia"/>
        </w:rPr>
        <w:t>Copyright © 2026 Elsevier Inc. All rights reserved.</w:t>
      </w:r>
    </w:p>
    <w:p w14:paraId="4EBD11E4">
      <w:pPr>
        <w:pStyle w:val="2"/>
        <w:rPr>
          <w:rFonts w:hint="eastAsia"/>
        </w:rPr>
      </w:pPr>
    </w:p>
    <w:p w14:paraId="3F855318">
      <w:pPr>
        <w:pStyle w:val="2"/>
        <w:rPr>
          <w:rFonts w:hint="eastAsia"/>
        </w:rPr>
      </w:pPr>
      <w:r>
        <w:rPr>
          <w:rFonts w:hint="eastAsia"/>
        </w:rPr>
        <w:t>DOI: 10.1016/j.jinorgbio.2026.113467</w:t>
      </w:r>
    </w:p>
    <w:p w14:paraId="0CE6A102">
      <w:pPr>
        <w:pStyle w:val="2"/>
        <w:rPr>
          <w:rFonts w:hint="eastAsia"/>
        </w:rPr>
      </w:pPr>
      <w:r>
        <w:rPr>
          <w:rFonts w:hint="eastAsia"/>
        </w:rPr>
        <w:t>PMID: 42874161</w:t>
      </w:r>
    </w:p>
    <w:p w14:paraId="5E78565C">
      <w:pPr>
        <w:pStyle w:val="2"/>
        <w:rPr>
          <w:rFonts w:hint="eastAsia"/>
        </w:rPr>
      </w:pPr>
    </w:p>
    <w:p w14:paraId="3676D22E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77</w:t>
      </w:r>
      <w:r>
        <w:rPr>
          <w:rFonts w:hint="eastAsia"/>
          <w:b/>
          <w:bCs/>
          <w:color w:val="FF0000"/>
        </w:rPr>
        <w:t>. Pain Med Case Rep. 2026 Sep;10(7):623-627.</w:t>
      </w:r>
    </w:p>
    <w:p w14:paraId="22D4C208">
      <w:pPr>
        <w:pStyle w:val="2"/>
        <w:rPr>
          <w:rFonts w:hint="eastAsia"/>
        </w:rPr>
      </w:pPr>
    </w:p>
    <w:p w14:paraId="2BCA39CA">
      <w:pPr>
        <w:pStyle w:val="2"/>
        <w:rPr>
          <w:rFonts w:hint="eastAsia"/>
        </w:rPr>
      </w:pPr>
      <w:r>
        <w:rPr>
          <w:rFonts w:hint="eastAsia"/>
        </w:rPr>
        <w:t xml:space="preserve">A Wolf in Disguise: Tuberculous Spondylitis Masquerading as Modic Changes With </w:t>
      </w:r>
    </w:p>
    <w:p w14:paraId="7A3F5160">
      <w:pPr>
        <w:pStyle w:val="2"/>
        <w:rPr>
          <w:rFonts w:hint="eastAsia"/>
        </w:rPr>
      </w:pPr>
      <w:r>
        <w:rPr>
          <w:rFonts w:hint="eastAsia"/>
        </w:rPr>
        <w:t>Reactivation After Epidural Steroid Injection - A Case Report.</w:t>
      </w:r>
    </w:p>
    <w:p w14:paraId="4C4168E5">
      <w:pPr>
        <w:pStyle w:val="2"/>
        <w:rPr>
          <w:rFonts w:hint="eastAsia"/>
        </w:rPr>
      </w:pPr>
    </w:p>
    <w:p w14:paraId="0EDC1EC1">
      <w:pPr>
        <w:pStyle w:val="2"/>
        <w:rPr>
          <w:rFonts w:hint="eastAsia"/>
        </w:rPr>
      </w:pPr>
      <w:r>
        <w:rPr>
          <w:rFonts w:hint="eastAsia"/>
        </w:rPr>
        <w:t>Gulec GG(1), Sencan S(1), Kokar S(1), Gunduz OH(1).</w:t>
      </w:r>
    </w:p>
    <w:p w14:paraId="29994697">
      <w:pPr>
        <w:pStyle w:val="2"/>
        <w:rPr>
          <w:rFonts w:hint="eastAsia"/>
        </w:rPr>
      </w:pPr>
    </w:p>
    <w:p w14:paraId="45588E89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004C31D">
      <w:pPr>
        <w:pStyle w:val="2"/>
        <w:rPr>
          <w:rFonts w:hint="eastAsia"/>
        </w:rPr>
      </w:pPr>
      <w:r>
        <w:rPr>
          <w:rFonts w:hint="eastAsia"/>
        </w:rPr>
        <w:t xml:space="preserve">(1)Department of Physical Medicine and Rehabilitation, Division of Pain </w:t>
      </w:r>
    </w:p>
    <w:p w14:paraId="2B2C9AC6">
      <w:pPr>
        <w:pStyle w:val="2"/>
        <w:rPr>
          <w:rFonts w:hint="eastAsia"/>
        </w:rPr>
      </w:pPr>
      <w:r>
        <w:rPr>
          <w:rFonts w:hint="eastAsia"/>
        </w:rPr>
        <w:t>Medicine, Faculty of Medicine, Marmara University, Istanbul, Turkey.</w:t>
      </w:r>
    </w:p>
    <w:p w14:paraId="1DEFF9F4">
      <w:pPr>
        <w:pStyle w:val="2"/>
        <w:rPr>
          <w:rFonts w:hint="eastAsia"/>
        </w:rPr>
      </w:pPr>
    </w:p>
    <w:p w14:paraId="523E860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Epidural steroid injections (ESIs) are commonly used for chronic low </w:t>
      </w:r>
    </w:p>
    <w:p w14:paraId="1D671981">
      <w:pPr>
        <w:pStyle w:val="2"/>
        <w:rPr>
          <w:rFonts w:hint="eastAsia"/>
        </w:rPr>
      </w:pPr>
      <w:r>
        <w:rPr>
          <w:rFonts w:hint="eastAsia"/>
        </w:rPr>
        <w:t xml:space="preserve">back pain but can rarely lead to serious infectious complications. Reactivation </w:t>
      </w:r>
    </w:p>
    <w:p w14:paraId="0F11671A">
      <w:pPr>
        <w:pStyle w:val="2"/>
        <w:rPr>
          <w:rFonts w:hint="eastAsia"/>
        </w:rPr>
      </w:pPr>
      <w:r>
        <w:rPr>
          <w:rFonts w:hint="eastAsia"/>
        </w:rPr>
        <w:t xml:space="preserve">of latent tuberculous spondylodiscitis after ESI is uncommon. Our case </w:t>
      </w:r>
    </w:p>
    <w:p w14:paraId="36C08432">
      <w:pPr>
        <w:pStyle w:val="2"/>
        <w:rPr>
          <w:rFonts w:hint="eastAsia"/>
        </w:rPr>
      </w:pPr>
      <w:r>
        <w:rPr>
          <w:rFonts w:hint="eastAsia"/>
        </w:rPr>
        <w:t xml:space="preserve">highlights diagnostic challenges of underlying spinal infection prior to </w:t>
      </w:r>
    </w:p>
    <w:p w14:paraId="07064104">
      <w:pPr>
        <w:pStyle w:val="2"/>
        <w:rPr>
          <w:rFonts w:hint="eastAsia"/>
        </w:rPr>
      </w:pPr>
      <w:r>
        <w:rPr>
          <w:rFonts w:hint="eastAsia"/>
        </w:rPr>
        <w:t>interventional pain procedures.</w:t>
      </w:r>
    </w:p>
    <w:p w14:paraId="5ABE2267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CASE REPORT: </w:t>
      </w:r>
      <w:r>
        <w:rPr>
          <w:rFonts w:hint="eastAsia"/>
        </w:rPr>
        <w:t xml:space="preserve">A 43-year-old woman presented with low back and radicular pain. </w:t>
      </w:r>
    </w:p>
    <w:p w14:paraId="60BF84AF">
      <w:pPr>
        <w:pStyle w:val="2"/>
        <w:rPr>
          <w:rFonts w:hint="eastAsia"/>
        </w:rPr>
      </w:pPr>
      <w:r>
        <w:rPr>
          <w:rFonts w:hint="eastAsia"/>
        </w:rPr>
        <w:t xml:space="preserve">There were no constitutional symptoms, and baseline laboratory findings were </w:t>
      </w:r>
    </w:p>
    <w:p w14:paraId="7791FF59">
      <w:pPr>
        <w:pStyle w:val="2"/>
        <w:rPr>
          <w:rFonts w:hint="eastAsia"/>
        </w:rPr>
      </w:pPr>
      <w:r>
        <w:rPr>
          <w:rFonts w:hint="eastAsia"/>
        </w:rPr>
        <w:t xml:space="preserve">unremarkable. Lumbar magnetic resonance imaging (MRI) showed Modic-type </w:t>
      </w:r>
    </w:p>
    <w:p w14:paraId="12C0E6C2">
      <w:pPr>
        <w:pStyle w:val="2"/>
        <w:rPr>
          <w:rFonts w:hint="eastAsia"/>
        </w:rPr>
      </w:pPr>
      <w:r>
        <w:rPr>
          <w:rFonts w:hint="eastAsia"/>
        </w:rPr>
        <w:t xml:space="preserve">degenerative changes and nerve root compression. A transforaminal ESI was </w:t>
      </w:r>
    </w:p>
    <w:p w14:paraId="0C0C46EC">
      <w:pPr>
        <w:pStyle w:val="2"/>
        <w:rPr>
          <w:rFonts w:hint="eastAsia"/>
        </w:rPr>
      </w:pPr>
      <w:r>
        <w:rPr>
          <w:rFonts w:hint="eastAsia"/>
        </w:rPr>
        <w:t xml:space="preserve">performed for presumed lumbar radiculopathy, but the pain persisted. Three weeks </w:t>
      </w:r>
    </w:p>
    <w:p w14:paraId="596CBBF4">
      <w:pPr>
        <w:pStyle w:val="2"/>
        <w:rPr>
          <w:rFonts w:hint="eastAsia"/>
        </w:rPr>
      </w:pPr>
      <w:r>
        <w:rPr>
          <w:rFonts w:hint="eastAsia"/>
        </w:rPr>
        <w:t xml:space="preserve">later, contrast-enhanced MRI revealed findings consistent with spondylodiscitis. </w:t>
      </w:r>
    </w:p>
    <w:p w14:paraId="2122DCC6">
      <w:pPr>
        <w:pStyle w:val="2"/>
        <w:rPr>
          <w:rFonts w:hint="eastAsia"/>
        </w:rPr>
      </w:pPr>
      <w:r>
        <w:rPr>
          <w:rFonts w:hint="eastAsia"/>
        </w:rPr>
        <w:t xml:space="preserve">Computed tomography-guided biopsy confirmed tuberculous spondylodiscitis, and </w:t>
      </w:r>
    </w:p>
    <w:p w14:paraId="7F6B8259">
      <w:pPr>
        <w:pStyle w:val="2"/>
        <w:rPr>
          <w:rFonts w:hint="eastAsia"/>
        </w:rPr>
      </w:pPr>
      <w:r>
        <w:rPr>
          <w:rFonts w:hint="eastAsia"/>
        </w:rPr>
        <w:t xml:space="preserve">antituberculosis therapy was initiated, leading to clinical improvement before </w:t>
      </w:r>
    </w:p>
    <w:p w14:paraId="76E2AF5D">
      <w:pPr>
        <w:pStyle w:val="2"/>
        <w:rPr>
          <w:rFonts w:hint="eastAsia"/>
        </w:rPr>
      </w:pPr>
      <w:r>
        <w:rPr>
          <w:rFonts w:hint="eastAsia"/>
        </w:rPr>
        <w:t>any complications developed.</w:t>
      </w:r>
    </w:p>
    <w:p w14:paraId="0CBBCD3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Spinal tuberculosis may masquerade as degenerative Modic changes </w:t>
      </w:r>
    </w:p>
    <w:p w14:paraId="1568D1C7">
      <w:pPr>
        <w:pStyle w:val="2"/>
        <w:rPr>
          <w:rFonts w:hint="eastAsia"/>
        </w:rPr>
      </w:pPr>
      <w:r>
        <w:rPr>
          <w:rFonts w:hint="eastAsia"/>
        </w:rPr>
        <w:t xml:space="preserve">and may become clinically apparent following ESI. Persistent or worsening pain </w:t>
      </w:r>
    </w:p>
    <w:p w14:paraId="088527D7">
      <w:pPr>
        <w:pStyle w:val="2"/>
        <w:rPr>
          <w:rFonts w:hint="eastAsia"/>
        </w:rPr>
      </w:pPr>
      <w:r>
        <w:rPr>
          <w:rFonts w:hint="eastAsia"/>
        </w:rPr>
        <w:t>after spinal intervention should prompt reconsideration of the diagnosis.</w:t>
      </w:r>
    </w:p>
    <w:p w14:paraId="18F7E7B0">
      <w:pPr>
        <w:pStyle w:val="2"/>
        <w:rPr>
          <w:rFonts w:hint="eastAsia"/>
        </w:rPr>
      </w:pPr>
    </w:p>
    <w:p w14:paraId="2B348671">
      <w:pPr>
        <w:pStyle w:val="2"/>
        <w:rPr>
          <w:rFonts w:hint="eastAsia"/>
        </w:rPr>
      </w:pPr>
      <w:r>
        <w:rPr>
          <w:rFonts w:hint="eastAsia"/>
        </w:rPr>
        <w:t>Copyright: 2026, American Society of Interventional Pain Physicians.</w:t>
      </w:r>
    </w:p>
    <w:p w14:paraId="5B7D97AB">
      <w:pPr>
        <w:pStyle w:val="2"/>
        <w:rPr>
          <w:rFonts w:hint="eastAsia"/>
        </w:rPr>
      </w:pPr>
    </w:p>
    <w:p w14:paraId="0B92D076">
      <w:pPr>
        <w:pStyle w:val="2"/>
        <w:rPr>
          <w:rFonts w:hint="eastAsia"/>
        </w:rPr>
      </w:pPr>
      <w:r>
        <w:rPr>
          <w:rFonts w:hint="eastAsia"/>
        </w:rPr>
        <w:t>PMID: 42874093 [Indexed for MEDLINE]</w:t>
      </w:r>
    </w:p>
    <w:p w14:paraId="27277A1E">
      <w:pPr>
        <w:pStyle w:val="2"/>
        <w:rPr>
          <w:rFonts w:hint="eastAsia"/>
        </w:rPr>
      </w:pPr>
    </w:p>
    <w:p w14:paraId="1F363AC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78</w:t>
      </w:r>
      <w:r>
        <w:rPr>
          <w:rFonts w:hint="eastAsia"/>
          <w:b/>
          <w:bCs/>
          <w:color w:val="FF0000"/>
        </w:rPr>
        <w:t>. Clin Transplant. 2026 Oct;40(10):e70715. doi: 10.1111/ctr.70715.</w:t>
      </w:r>
    </w:p>
    <w:p w14:paraId="25AF7B0A">
      <w:pPr>
        <w:pStyle w:val="2"/>
        <w:rPr>
          <w:rFonts w:hint="eastAsia"/>
        </w:rPr>
      </w:pPr>
    </w:p>
    <w:p w14:paraId="00776A4E">
      <w:pPr>
        <w:pStyle w:val="2"/>
        <w:rPr>
          <w:rFonts w:hint="eastAsia"/>
        </w:rPr>
      </w:pPr>
      <w:r>
        <w:rPr>
          <w:rFonts w:hint="eastAsia"/>
        </w:rPr>
        <w:t xml:space="preserve">Global Survey of Latent Tuberculosis Screening and Treatment Practices in Liver </w:t>
      </w:r>
    </w:p>
    <w:p w14:paraId="75BA4130">
      <w:pPr>
        <w:pStyle w:val="2"/>
        <w:rPr>
          <w:rFonts w:hint="eastAsia"/>
        </w:rPr>
      </w:pPr>
      <w:r>
        <w:rPr>
          <w:rFonts w:hint="eastAsia"/>
        </w:rPr>
        <w:t>Transplantation.</w:t>
      </w:r>
    </w:p>
    <w:p w14:paraId="79D8AC02">
      <w:pPr>
        <w:pStyle w:val="2"/>
        <w:rPr>
          <w:rFonts w:hint="eastAsia"/>
        </w:rPr>
      </w:pPr>
    </w:p>
    <w:p w14:paraId="198C52DB">
      <w:pPr>
        <w:pStyle w:val="2"/>
        <w:rPr>
          <w:rFonts w:hint="eastAsia"/>
        </w:rPr>
      </w:pPr>
      <w:r>
        <w:rPr>
          <w:rFonts w:hint="eastAsia"/>
        </w:rPr>
        <w:t xml:space="preserve">Jacobs SE(1), Albarillo FS(2), Zangeneh TT(3), Saharia K(4), Baddley JW(5), </w:t>
      </w:r>
    </w:p>
    <w:p w14:paraId="3FCC38AE">
      <w:pPr>
        <w:pStyle w:val="2"/>
        <w:rPr>
          <w:rFonts w:hint="eastAsia"/>
        </w:rPr>
      </w:pPr>
      <w:r>
        <w:rPr>
          <w:rFonts w:hint="eastAsia"/>
        </w:rPr>
        <w:t>Shoham S(5), Chiu CY(6), Nelson J(7), Simkins J(8).</w:t>
      </w:r>
    </w:p>
    <w:p w14:paraId="49B39889">
      <w:pPr>
        <w:pStyle w:val="2"/>
        <w:rPr>
          <w:rFonts w:hint="eastAsia"/>
        </w:rPr>
      </w:pPr>
    </w:p>
    <w:p w14:paraId="2BBB3AD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A6C4C3D">
      <w:pPr>
        <w:pStyle w:val="2"/>
        <w:rPr>
          <w:rFonts w:hint="eastAsia"/>
        </w:rPr>
      </w:pPr>
      <w:r>
        <w:rPr>
          <w:rFonts w:hint="eastAsia"/>
        </w:rPr>
        <w:t xml:space="preserve">(1)Division of Infectious Diseases, Department of Medicine, Icahn School of </w:t>
      </w:r>
    </w:p>
    <w:p w14:paraId="4B737641">
      <w:pPr>
        <w:pStyle w:val="2"/>
        <w:rPr>
          <w:rFonts w:hint="eastAsia"/>
        </w:rPr>
      </w:pPr>
      <w:r>
        <w:rPr>
          <w:rFonts w:hint="eastAsia"/>
        </w:rPr>
        <w:t>Medicine at Mount Sinai, New York, New York, USA.</w:t>
      </w:r>
    </w:p>
    <w:p w14:paraId="7E976976">
      <w:pPr>
        <w:pStyle w:val="2"/>
        <w:rPr>
          <w:rFonts w:hint="eastAsia"/>
        </w:rPr>
      </w:pPr>
      <w:r>
        <w:rPr>
          <w:rFonts w:hint="eastAsia"/>
        </w:rPr>
        <w:t xml:space="preserve">(2)Division of Infectious Diseases, Department of Medicine, Loyola University </w:t>
      </w:r>
    </w:p>
    <w:p w14:paraId="7495D8B8">
      <w:pPr>
        <w:pStyle w:val="2"/>
        <w:rPr>
          <w:rFonts w:hint="eastAsia"/>
        </w:rPr>
      </w:pPr>
      <w:r>
        <w:rPr>
          <w:rFonts w:hint="eastAsia"/>
        </w:rPr>
        <w:t>Medical Center, Maywood, Illinois, USA.</w:t>
      </w:r>
    </w:p>
    <w:p w14:paraId="6281BDD4">
      <w:pPr>
        <w:pStyle w:val="2"/>
        <w:rPr>
          <w:rFonts w:hint="eastAsia"/>
        </w:rPr>
      </w:pPr>
      <w:r>
        <w:rPr>
          <w:rFonts w:hint="eastAsia"/>
        </w:rPr>
        <w:t xml:space="preserve">(3)Infectious Diseases Section, U.S. Department of Veterans Affairs, Phoenix, </w:t>
      </w:r>
    </w:p>
    <w:p w14:paraId="27AE07FC">
      <w:pPr>
        <w:pStyle w:val="2"/>
        <w:rPr>
          <w:rFonts w:hint="eastAsia"/>
        </w:rPr>
      </w:pPr>
      <w:r>
        <w:rPr>
          <w:rFonts w:hint="eastAsia"/>
        </w:rPr>
        <w:t>Arizona, USA.</w:t>
      </w:r>
    </w:p>
    <w:p w14:paraId="588641E4">
      <w:pPr>
        <w:pStyle w:val="2"/>
        <w:rPr>
          <w:rFonts w:hint="eastAsia"/>
        </w:rPr>
      </w:pPr>
      <w:r>
        <w:rPr>
          <w:rFonts w:hint="eastAsia"/>
        </w:rPr>
        <w:t xml:space="preserve">(4)Division of Infectious Diseases, University of Maryland School of Medicine, </w:t>
      </w:r>
    </w:p>
    <w:p w14:paraId="24A310DE">
      <w:pPr>
        <w:pStyle w:val="2"/>
        <w:rPr>
          <w:rFonts w:hint="eastAsia"/>
        </w:rPr>
      </w:pPr>
      <w:r>
        <w:rPr>
          <w:rFonts w:hint="eastAsia"/>
        </w:rPr>
        <w:t>Baltimore, Maryland, USA.</w:t>
      </w:r>
    </w:p>
    <w:p w14:paraId="223FA406">
      <w:pPr>
        <w:pStyle w:val="2"/>
        <w:rPr>
          <w:rFonts w:hint="eastAsia"/>
        </w:rPr>
      </w:pPr>
      <w:r>
        <w:rPr>
          <w:rFonts w:hint="eastAsia"/>
        </w:rPr>
        <w:t xml:space="preserve">(5)Division of Infectious Diseases, Department of Medicine, Johns Hopkins </w:t>
      </w:r>
    </w:p>
    <w:p w14:paraId="7521FF3D">
      <w:pPr>
        <w:pStyle w:val="2"/>
        <w:rPr>
          <w:rFonts w:hint="eastAsia"/>
        </w:rPr>
      </w:pPr>
      <w:r>
        <w:rPr>
          <w:rFonts w:hint="eastAsia"/>
        </w:rPr>
        <w:t>University School of Medicine, Baltimore, Maryland, USA.</w:t>
      </w:r>
    </w:p>
    <w:p w14:paraId="253D536A">
      <w:pPr>
        <w:pStyle w:val="2"/>
        <w:rPr>
          <w:rFonts w:hint="eastAsia"/>
        </w:rPr>
      </w:pPr>
      <w:r>
        <w:rPr>
          <w:rFonts w:hint="eastAsia"/>
        </w:rPr>
        <w:t xml:space="preserve">(6)Division of Infectious Diseases, Department of Medicine, University of </w:t>
      </w:r>
    </w:p>
    <w:p w14:paraId="27680D16">
      <w:pPr>
        <w:pStyle w:val="2"/>
        <w:rPr>
          <w:rFonts w:hint="eastAsia"/>
        </w:rPr>
      </w:pPr>
      <w:r>
        <w:rPr>
          <w:rFonts w:hint="eastAsia"/>
        </w:rPr>
        <w:t>Colorado, Aurora, Colorado, USA.</w:t>
      </w:r>
    </w:p>
    <w:p w14:paraId="3A21B7D4">
      <w:pPr>
        <w:pStyle w:val="2"/>
        <w:rPr>
          <w:rFonts w:hint="eastAsia"/>
        </w:rPr>
      </w:pPr>
      <w:r>
        <w:rPr>
          <w:rFonts w:hint="eastAsia"/>
        </w:rPr>
        <w:t xml:space="preserve">(7)Division of Infectious Diseases and Geographic Medicine, Department of </w:t>
      </w:r>
    </w:p>
    <w:p w14:paraId="0DAAF9A4">
      <w:pPr>
        <w:pStyle w:val="2"/>
        <w:rPr>
          <w:rFonts w:hint="eastAsia"/>
        </w:rPr>
      </w:pPr>
      <w:r>
        <w:rPr>
          <w:rFonts w:hint="eastAsia"/>
        </w:rPr>
        <w:t>Medicine, Stanford University School of Medicine, Stanford, California, USA.</w:t>
      </w:r>
    </w:p>
    <w:p w14:paraId="2CBE1DBC">
      <w:pPr>
        <w:pStyle w:val="2"/>
        <w:rPr>
          <w:rFonts w:hint="eastAsia"/>
        </w:rPr>
      </w:pPr>
      <w:r>
        <w:rPr>
          <w:rFonts w:hint="eastAsia"/>
        </w:rPr>
        <w:t xml:space="preserve">(8)Division of Infectious Diseases, University of Miami School of Medicine, </w:t>
      </w:r>
    </w:p>
    <w:p w14:paraId="6CD4C4CD">
      <w:pPr>
        <w:pStyle w:val="2"/>
        <w:rPr>
          <w:rFonts w:hint="eastAsia"/>
        </w:rPr>
      </w:pPr>
      <w:r>
        <w:rPr>
          <w:rFonts w:hint="eastAsia"/>
        </w:rPr>
        <w:t>Coral Gables, Florida, USA.</w:t>
      </w:r>
    </w:p>
    <w:p w14:paraId="08B9DDF3">
      <w:pPr>
        <w:pStyle w:val="2"/>
        <w:rPr>
          <w:rFonts w:hint="eastAsia"/>
        </w:rPr>
      </w:pPr>
    </w:p>
    <w:p w14:paraId="19CEA28A">
      <w:pPr>
        <w:pStyle w:val="2"/>
        <w:rPr>
          <w:rFonts w:hint="eastAsia"/>
        </w:rPr>
      </w:pPr>
      <w:r>
        <w:rPr>
          <w:rFonts w:hint="eastAsia"/>
        </w:rPr>
        <w:t xml:space="preserve">We surveyed transplant and infectious disease (ID) practitioners to better </w:t>
      </w:r>
    </w:p>
    <w:p w14:paraId="73EE1284">
      <w:pPr>
        <w:pStyle w:val="2"/>
        <w:rPr>
          <w:rFonts w:hint="eastAsia"/>
        </w:rPr>
      </w:pPr>
      <w:r>
        <w:rPr>
          <w:rFonts w:hint="eastAsia"/>
        </w:rPr>
        <w:t xml:space="preserve">understand approaches to managing latent tuberculosis infection (LTBI) in liver </w:t>
      </w:r>
    </w:p>
    <w:p w14:paraId="21F7CBEF">
      <w:pPr>
        <w:pStyle w:val="2"/>
        <w:rPr>
          <w:rFonts w:hint="eastAsia"/>
        </w:rPr>
      </w:pPr>
      <w:r>
        <w:rPr>
          <w:rFonts w:hint="eastAsia"/>
        </w:rPr>
        <w:t xml:space="preserve">transplantation (LT), an area in which high-quality evidence is lacking. The </w:t>
      </w:r>
    </w:p>
    <w:p w14:paraId="158E2669">
      <w:pPr>
        <w:pStyle w:val="2"/>
        <w:rPr>
          <w:rFonts w:hint="eastAsia"/>
        </w:rPr>
      </w:pPr>
      <w:r>
        <w:rPr>
          <w:rFonts w:hint="eastAsia"/>
        </w:rPr>
        <w:t xml:space="preserve">survey was distributed to clinicians via international ID society listservs, and </w:t>
      </w:r>
    </w:p>
    <w:p w14:paraId="22E805BE">
      <w:pPr>
        <w:pStyle w:val="2"/>
        <w:rPr>
          <w:rFonts w:hint="eastAsia"/>
        </w:rPr>
      </w:pPr>
      <w:r>
        <w:rPr>
          <w:rFonts w:hint="eastAsia"/>
        </w:rPr>
        <w:t xml:space="preserve">one respondent per transplant center was requested. There were 86 respondents, </w:t>
      </w:r>
    </w:p>
    <w:p w14:paraId="74D72B6E">
      <w:pPr>
        <w:pStyle w:val="2"/>
        <w:rPr>
          <w:rFonts w:hint="eastAsia"/>
        </w:rPr>
      </w:pPr>
      <w:r>
        <w:rPr>
          <w:rFonts w:hint="eastAsia"/>
        </w:rPr>
        <w:t xml:space="preserve">including 78 (91%) ID physicians, from North America (68%), Europe (12%), South </w:t>
      </w:r>
    </w:p>
    <w:p w14:paraId="06DCCB59">
      <w:pPr>
        <w:pStyle w:val="2"/>
        <w:rPr>
          <w:rFonts w:hint="eastAsia"/>
        </w:rPr>
      </w:pPr>
      <w:r>
        <w:rPr>
          <w:rFonts w:hint="eastAsia"/>
        </w:rPr>
        <w:t xml:space="preserve">America (11%), Asia (7%), Africa (1%), and Australia (1%). Most centers (92%) </w:t>
      </w:r>
    </w:p>
    <w:p w14:paraId="4B1B268D">
      <w:pPr>
        <w:pStyle w:val="2"/>
        <w:rPr>
          <w:rFonts w:hint="eastAsia"/>
        </w:rPr>
      </w:pPr>
      <w:r>
        <w:rPr>
          <w:rFonts w:hint="eastAsia"/>
        </w:rPr>
        <w:t xml:space="preserve">screen all LT candidates for LTBI, and 95% use tuberculosis (TB) </w:t>
      </w:r>
    </w:p>
    <w:p w14:paraId="137DB60E">
      <w:pPr>
        <w:pStyle w:val="2"/>
        <w:rPr>
          <w:rFonts w:hint="eastAsia"/>
        </w:rPr>
      </w:pPr>
      <w:r>
        <w:rPr>
          <w:rFonts w:hint="eastAsia"/>
        </w:rPr>
        <w:t xml:space="preserve">interferon-gamma release assays (TB-IGRA) as first-line. In LT recipients with </w:t>
      </w:r>
    </w:p>
    <w:p w14:paraId="28FB6C0A">
      <w:pPr>
        <w:pStyle w:val="2"/>
        <w:rPr>
          <w:rFonts w:hint="eastAsia"/>
        </w:rPr>
      </w:pPr>
      <w:r>
        <w:rPr>
          <w:rFonts w:hint="eastAsia"/>
        </w:rPr>
        <w:t xml:space="preserve">indeterminate TB-IGRA results, respondents differ in terms of which specific TB </w:t>
      </w:r>
    </w:p>
    <w:p w14:paraId="29BD300D">
      <w:pPr>
        <w:pStyle w:val="2"/>
        <w:rPr>
          <w:rFonts w:hint="eastAsia"/>
        </w:rPr>
      </w:pPr>
      <w:r>
        <w:rPr>
          <w:rFonts w:hint="eastAsia"/>
        </w:rPr>
        <w:t xml:space="preserve">risk factors may impact treatment decisions. Timing of post-transplant LTBI </w:t>
      </w:r>
    </w:p>
    <w:p w14:paraId="155F6CED">
      <w:pPr>
        <w:pStyle w:val="2"/>
        <w:rPr>
          <w:rFonts w:hint="eastAsia"/>
        </w:rPr>
      </w:pPr>
      <w:r>
        <w:rPr>
          <w:rFonts w:hint="eastAsia"/>
        </w:rPr>
        <w:t xml:space="preserve">treatment varies with only 27% choosing to initiate therapy during the index </w:t>
      </w:r>
    </w:p>
    <w:p w14:paraId="6E6B9C04">
      <w:pPr>
        <w:pStyle w:val="2"/>
        <w:rPr>
          <w:rFonts w:hint="eastAsia"/>
        </w:rPr>
      </w:pPr>
      <w:r>
        <w:rPr>
          <w:rFonts w:hint="eastAsia"/>
        </w:rPr>
        <w:t xml:space="preserve">transplant admission. The majority of respondents (88%) prescribe isoniazid </w:t>
      </w:r>
    </w:p>
    <w:p w14:paraId="5F0E958B">
      <w:pPr>
        <w:pStyle w:val="2"/>
        <w:rPr>
          <w:rFonts w:hint="eastAsia"/>
        </w:rPr>
      </w:pPr>
      <w:r>
        <w:rPr>
          <w:rFonts w:hint="eastAsia"/>
        </w:rPr>
        <w:t xml:space="preserve">monotherapy to LT recipients with LTBI for 6 (23%) or 9 (65%) months. Management </w:t>
      </w:r>
    </w:p>
    <w:p w14:paraId="0CF8D3C2">
      <w:pPr>
        <w:pStyle w:val="2"/>
        <w:rPr>
          <w:rFonts w:hint="eastAsia"/>
        </w:rPr>
      </w:pPr>
      <w:r>
        <w:rPr>
          <w:rFonts w:hint="eastAsia"/>
        </w:rPr>
        <w:t xml:space="preserve">of living donor LTBI differs depending on severity of liver disease in the </w:t>
      </w:r>
    </w:p>
    <w:p w14:paraId="3C9819AF">
      <w:pPr>
        <w:pStyle w:val="2"/>
        <w:rPr>
          <w:rFonts w:hint="eastAsia"/>
        </w:rPr>
      </w:pPr>
      <w:r>
        <w:rPr>
          <w:rFonts w:hint="eastAsia"/>
        </w:rPr>
        <w:t xml:space="preserve">potential recipient. These survey data will inform future collaborative research </w:t>
      </w:r>
    </w:p>
    <w:p w14:paraId="76A62DA8">
      <w:pPr>
        <w:pStyle w:val="2"/>
        <w:rPr>
          <w:rFonts w:hint="eastAsia"/>
        </w:rPr>
      </w:pPr>
      <w:r>
        <w:rPr>
          <w:rFonts w:hint="eastAsia"/>
        </w:rPr>
        <w:t>efforts to optimize LTBI management in LT.</w:t>
      </w:r>
    </w:p>
    <w:p w14:paraId="504BACED">
      <w:pPr>
        <w:pStyle w:val="2"/>
        <w:rPr>
          <w:rFonts w:hint="eastAsia"/>
        </w:rPr>
      </w:pPr>
    </w:p>
    <w:p w14:paraId="472FEE8B">
      <w:pPr>
        <w:pStyle w:val="2"/>
        <w:rPr>
          <w:rFonts w:hint="eastAsia"/>
        </w:rPr>
      </w:pPr>
      <w:r>
        <w:rPr>
          <w:rFonts w:hint="eastAsia"/>
        </w:rPr>
        <w:t>© 2026 John Wiley &amp; Sons A/S. Published by John Wiley &amp; Sons Ltd.</w:t>
      </w:r>
    </w:p>
    <w:p w14:paraId="5CD1F008">
      <w:pPr>
        <w:pStyle w:val="2"/>
        <w:rPr>
          <w:rFonts w:hint="eastAsia"/>
        </w:rPr>
      </w:pPr>
    </w:p>
    <w:p w14:paraId="715242E2">
      <w:pPr>
        <w:pStyle w:val="2"/>
        <w:rPr>
          <w:rFonts w:hint="eastAsia"/>
        </w:rPr>
      </w:pPr>
      <w:r>
        <w:rPr>
          <w:rFonts w:hint="eastAsia"/>
        </w:rPr>
        <w:t>DOI: 10.1111/ctr.70715</w:t>
      </w:r>
    </w:p>
    <w:p w14:paraId="3923901F">
      <w:pPr>
        <w:pStyle w:val="2"/>
        <w:rPr>
          <w:rFonts w:hint="eastAsia"/>
        </w:rPr>
      </w:pPr>
      <w:r>
        <w:rPr>
          <w:rFonts w:hint="eastAsia"/>
        </w:rPr>
        <w:t>PMID: 42873065 [Indexed for MEDLINE]</w:t>
      </w:r>
    </w:p>
    <w:p w14:paraId="2BC947C3">
      <w:pPr>
        <w:pStyle w:val="2"/>
        <w:rPr>
          <w:rFonts w:hint="eastAsia"/>
        </w:rPr>
      </w:pPr>
    </w:p>
    <w:p w14:paraId="2241260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79</w:t>
      </w:r>
      <w:r>
        <w:rPr>
          <w:rFonts w:hint="eastAsia"/>
          <w:b/>
          <w:bCs/>
          <w:color w:val="FF0000"/>
        </w:rPr>
        <w:t xml:space="preserve">. Recent Adv Antiinfect Drug Discov. 2026 Oct 9. doi: </w:t>
      </w:r>
    </w:p>
    <w:p w14:paraId="7E2CA18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10.2174/0127724344482693260914044311. Online ahead of print.</w:t>
      </w:r>
    </w:p>
    <w:p w14:paraId="5BB0293A">
      <w:pPr>
        <w:pStyle w:val="2"/>
        <w:rPr>
          <w:rFonts w:hint="eastAsia"/>
        </w:rPr>
      </w:pPr>
    </w:p>
    <w:p w14:paraId="3B3C826B">
      <w:pPr>
        <w:pStyle w:val="2"/>
        <w:rPr>
          <w:rFonts w:hint="eastAsia"/>
        </w:rPr>
      </w:pPr>
      <w:r>
        <w:rPr>
          <w:rFonts w:hint="eastAsia"/>
        </w:rPr>
        <w:t xml:space="preserve">Computational Strategies for Investigating Phytochemicals in Drug-resistant </w:t>
      </w:r>
    </w:p>
    <w:p w14:paraId="713CF929">
      <w:pPr>
        <w:pStyle w:val="2"/>
        <w:rPr>
          <w:rFonts w:hint="eastAsia"/>
        </w:rPr>
      </w:pPr>
      <w:r>
        <w:rPr>
          <w:rFonts w:hint="eastAsia"/>
        </w:rPr>
        <w:t>Tuberculosis.</w:t>
      </w:r>
    </w:p>
    <w:p w14:paraId="2E5C0184">
      <w:pPr>
        <w:pStyle w:val="2"/>
        <w:rPr>
          <w:rFonts w:hint="eastAsia"/>
        </w:rPr>
      </w:pPr>
    </w:p>
    <w:p w14:paraId="169C414D">
      <w:pPr>
        <w:pStyle w:val="2"/>
        <w:rPr>
          <w:rFonts w:hint="eastAsia"/>
        </w:rPr>
      </w:pPr>
      <w:r>
        <w:rPr>
          <w:rFonts w:hint="eastAsia"/>
        </w:rPr>
        <w:t xml:space="preserve">Sahu DR(1), Sahoo BM(1), Nanda A(1), Jena J(2), Dinda SC(3), Singh B(4), Sharma </w:t>
      </w:r>
    </w:p>
    <w:p w14:paraId="081FF651">
      <w:pPr>
        <w:pStyle w:val="2"/>
        <w:rPr>
          <w:rFonts w:hint="eastAsia"/>
        </w:rPr>
      </w:pPr>
      <w:r>
        <w:rPr>
          <w:rFonts w:hint="eastAsia"/>
        </w:rPr>
        <w:t>S(5), Agrawal A(6).</w:t>
      </w:r>
    </w:p>
    <w:p w14:paraId="271FD7C4">
      <w:pPr>
        <w:pStyle w:val="2"/>
        <w:rPr>
          <w:rFonts w:hint="eastAsia"/>
        </w:rPr>
      </w:pPr>
    </w:p>
    <w:p w14:paraId="1F134A40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18569D1">
      <w:pPr>
        <w:pStyle w:val="2"/>
        <w:rPr>
          <w:rFonts w:hint="eastAsia"/>
        </w:rPr>
      </w:pPr>
      <w:r>
        <w:rPr>
          <w:rFonts w:hint="eastAsia"/>
        </w:rPr>
        <w:t xml:space="preserve">(1)School of Pharmacy and Life Sciences, Centurion University of Technology &amp; </w:t>
      </w:r>
    </w:p>
    <w:p w14:paraId="7E854B9A">
      <w:pPr>
        <w:pStyle w:val="2"/>
        <w:rPr>
          <w:rFonts w:hint="eastAsia"/>
        </w:rPr>
      </w:pPr>
      <w:r>
        <w:rPr>
          <w:rFonts w:hint="eastAsia"/>
        </w:rPr>
        <w:t>Management, Bhubaneswar, Khurda, 752050, Odisha, India.</w:t>
      </w:r>
    </w:p>
    <w:p w14:paraId="0C13E671">
      <w:pPr>
        <w:pStyle w:val="2"/>
        <w:rPr>
          <w:rFonts w:hint="eastAsia"/>
        </w:rPr>
      </w:pPr>
      <w:r>
        <w:rPr>
          <w:rFonts w:hint="eastAsia"/>
        </w:rPr>
        <w:t>(2)KIIT School of Pharmacy, KIIT DU, Bhubaneswar, 751024, Odisha, India.</w:t>
      </w:r>
    </w:p>
    <w:p w14:paraId="608BE51C">
      <w:pPr>
        <w:pStyle w:val="2"/>
        <w:rPr>
          <w:rFonts w:hint="eastAsia"/>
        </w:rPr>
      </w:pPr>
      <w:r>
        <w:rPr>
          <w:rFonts w:hint="eastAsia"/>
        </w:rPr>
        <w:t xml:space="preserve">(3)School of Pharmacy, The Neotia University, Sarisha, Jhinga 743368, West </w:t>
      </w:r>
    </w:p>
    <w:p w14:paraId="12CD71C9">
      <w:pPr>
        <w:pStyle w:val="2"/>
        <w:rPr>
          <w:rFonts w:hint="eastAsia"/>
        </w:rPr>
      </w:pPr>
      <w:r>
        <w:rPr>
          <w:rFonts w:hint="eastAsia"/>
        </w:rPr>
        <w:t>Bengal, India.</w:t>
      </w:r>
    </w:p>
    <w:p w14:paraId="1BCAE87E">
      <w:pPr>
        <w:pStyle w:val="2"/>
        <w:rPr>
          <w:rFonts w:hint="eastAsia"/>
        </w:rPr>
      </w:pPr>
      <w:r>
        <w:rPr>
          <w:rFonts w:hint="eastAsia"/>
        </w:rPr>
        <w:t xml:space="preserve">(4)Department of Pharmacy, S.N. Medical College, Sharda University, Greater </w:t>
      </w:r>
    </w:p>
    <w:p w14:paraId="2BBD10BE">
      <w:pPr>
        <w:pStyle w:val="2"/>
        <w:rPr>
          <w:rFonts w:hint="eastAsia"/>
        </w:rPr>
      </w:pPr>
      <w:r>
        <w:rPr>
          <w:rFonts w:hint="eastAsia"/>
        </w:rPr>
        <w:t>Noida, U.P. 201310, India.</w:t>
      </w:r>
    </w:p>
    <w:p w14:paraId="563C674E">
      <w:pPr>
        <w:pStyle w:val="2"/>
        <w:rPr>
          <w:rFonts w:hint="eastAsia"/>
        </w:rPr>
      </w:pPr>
      <w:r>
        <w:rPr>
          <w:rFonts w:hint="eastAsia"/>
        </w:rPr>
        <w:t xml:space="preserve">(5)Department of Pharmaceutical Science, Lords University, Alwar, 301028, </w:t>
      </w:r>
    </w:p>
    <w:p w14:paraId="71C18859">
      <w:pPr>
        <w:pStyle w:val="2"/>
        <w:rPr>
          <w:rFonts w:hint="eastAsia"/>
        </w:rPr>
      </w:pPr>
      <w:r>
        <w:rPr>
          <w:rFonts w:hint="eastAsia"/>
        </w:rPr>
        <w:t>Rajasthan, India.</w:t>
      </w:r>
    </w:p>
    <w:p w14:paraId="32EACEEF">
      <w:pPr>
        <w:pStyle w:val="2"/>
        <w:rPr>
          <w:rFonts w:hint="eastAsia"/>
        </w:rPr>
      </w:pPr>
      <w:r>
        <w:rPr>
          <w:rFonts w:hint="eastAsia"/>
        </w:rPr>
        <w:t xml:space="preserve">(6)School of Pharmaceutical and Population Health Informatics, DIT University, </w:t>
      </w:r>
    </w:p>
    <w:p w14:paraId="2F4653A0">
      <w:pPr>
        <w:pStyle w:val="2"/>
        <w:rPr>
          <w:rFonts w:hint="eastAsia"/>
        </w:rPr>
      </w:pPr>
      <w:r>
        <w:rPr>
          <w:rFonts w:hint="eastAsia"/>
        </w:rPr>
        <w:t>Dehradun, 248009, Uttarakhand, India.</w:t>
      </w:r>
    </w:p>
    <w:p w14:paraId="79C64A6A">
      <w:pPr>
        <w:pStyle w:val="2"/>
        <w:rPr>
          <w:rFonts w:hint="eastAsia"/>
        </w:rPr>
      </w:pPr>
    </w:p>
    <w:p w14:paraId="7600BEE6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INTRODUCTION:</w:t>
      </w:r>
      <w:r>
        <w:rPr>
          <w:rFonts w:hint="eastAsia"/>
        </w:rPr>
        <w:t xml:space="preserve"> Tuberculosis (TB) is a serious global health concern precipitated </w:t>
      </w:r>
    </w:p>
    <w:p w14:paraId="6488799C">
      <w:pPr>
        <w:pStyle w:val="2"/>
        <w:rPr>
          <w:rFonts w:hint="eastAsia"/>
        </w:rPr>
      </w:pPr>
      <w:r>
        <w:rPr>
          <w:rFonts w:hint="eastAsia"/>
        </w:rPr>
        <w:t xml:space="preserve">by the pathogen Mycobacterium tuberculosis. The manifestation of drug-resistant </w:t>
      </w:r>
    </w:p>
    <w:p w14:paraId="4DC04B62">
      <w:pPr>
        <w:pStyle w:val="2"/>
        <w:rPr>
          <w:rFonts w:hint="eastAsia"/>
        </w:rPr>
      </w:pPr>
      <w:r>
        <w:rPr>
          <w:rFonts w:hint="eastAsia"/>
        </w:rPr>
        <w:t xml:space="preserve">forms of tuberculosis, such as extensively drug-resistant (XDR) and </w:t>
      </w:r>
    </w:p>
    <w:p w14:paraId="2F413064">
      <w:pPr>
        <w:pStyle w:val="2"/>
        <w:rPr>
          <w:rFonts w:hint="eastAsia"/>
        </w:rPr>
      </w:pPr>
      <w:r>
        <w:rPr>
          <w:rFonts w:hint="eastAsia"/>
        </w:rPr>
        <w:t>multidrug-resistant (MDR) strains, makes treatment more difficult.</w:t>
      </w:r>
    </w:p>
    <w:p w14:paraId="2E5E047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Innovative methods are required to find novel therapies because </w:t>
      </w:r>
    </w:p>
    <w:p w14:paraId="4886BA2D">
      <w:pPr>
        <w:pStyle w:val="2"/>
        <w:rPr>
          <w:rFonts w:hint="eastAsia"/>
        </w:rPr>
      </w:pPr>
      <w:r>
        <w:rPr>
          <w:rFonts w:hint="eastAsia"/>
        </w:rPr>
        <w:t xml:space="preserve">traditional drug development procedures are expensive and time-consuming. So, </w:t>
      </w:r>
    </w:p>
    <w:p w14:paraId="2FCAF868">
      <w:pPr>
        <w:pStyle w:val="2"/>
        <w:rPr>
          <w:rFonts w:hint="eastAsia"/>
        </w:rPr>
      </w:pPr>
      <w:r>
        <w:rPr>
          <w:rFonts w:hint="eastAsia"/>
        </w:rPr>
        <w:t xml:space="preserve">computational phytochemistry, which utilizes computer-aided techniques to create </w:t>
      </w:r>
    </w:p>
    <w:p w14:paraId="2430B7B2">
      <w:pPr>
        <w:pStyle w:val="2"/>
        <w:rPr>
          <w:rFonts w:hint="eastAsia"/>
        </w:rPr>
      </w:pPr>
      <w:r>
        <w:rPr>
          <w:rFonts w:hint="eastAsia"/>
        </w:rPr>
        <w:t xml:space="preserve">and find novel medications from natural plant molecules, provides new </w:t>
      </w:r>
    </w:p>
    <w:p w14:paraId="3F1334A3">
      <w:pPr>
        <w:pStyle w:val="2"/>
        <w:rPr>
          <w:rFonts w:hint="eastAsia"/>
        </w:rPr>
      </w:pPr>
      <w:r>
        <w:rPr>
          <w:rFonts w:hint="eastAsia"/>
        </w:rPr>
        <w:t xml:space="preserve">opportunities for the discovery of antitubercular agents. (DR-TB). This review </w:t>
      </w:r>
    </w:p>
    <w:p w14:paraId="42202C53">
      <w:pPr>
        <w:pStyle w:val="2"/>
        <w:rPr>
          <w:rFonts w:hint="eastAsia"/>
        </w:rPr>
      </w:pPr>
      <w:r>
        <w:rPr>
          <w:rFonts w:hint="eastAsia"/>
        </w:rPr>
        <w:t xml:space="preserve">aims to critically evaluate the potential of computational phytochemistry in </w:t>
      </w:r>
    </w:p>
    <w:p w14:paraId="78A1E57A">
      <w:pPr>
        <w:pStyle w:val="2"/>
        <w:rPr>
          <w:rFonts w:hint="eastAsia"/>
        </w:rPr>
      </w:pPr>
      <w:r>
        <w:rPr>
          <w:rFonts w:hint="eastAsia"/>
        </w:rPr>
        <w:t xml:space="preserve">accelerating the discovery of phytochemical-based therapeutics against </w:t>
      </w:r>
    </w:p>
    <w:p w14:paraId="24C6DE64">
      <w:pPr>
        <w:pStyle w:val="2"/>
        <w:rPr>
          <w:rFonts w:hint="eastAsia"/>
        </w:rPr>
      </w:pPr>
      <w:r>
        <w:rPr>
          <w:rFonts w:hint="eastAsia"/>
        </w:rPr>
        <w:t xml:space="preserve">drug-resistant tuberculosis. Relevant literature was examined, focusing on </w:t>
      </w:r>
    </w:p>
    <w:p w14:paraId="5CEEB958">
      <w:pPr>
        <w:pStyle w:val="2"/>
        <w:rPr>
          <w:rFonts w:hint="eastAsia"/>
        </w:rPr>
      </w:pPr>
      <w:r>
        <w:rPr>
          <w:rFonts w:hint="eastAsia"/>
        </w:rPr>
        <w:t xml:space="preserve">computational approaches including molecular docking, virtual screening, </w:t>
      </w:r>
    </w:p>
    <w:p w14:paraId="1E014325">
      <w:pPr>
        <w:pStyle w:val="2"/>
        <w:rPr>
          <w:rFonts w:hint="eastAsia"/>
        </w:rPr>
      </w:pPr>
      <w:r>
        <w:rPr>
          <w:rFonts w:hint="eastAsia"/>
        </w:rPr>
        <w:t xml:space="preserve">quantitative structure- activity relationship (QSAR) analysis, molecular </w:t>
      </w:r>
    </w:p>
    <w:p w14:paraId="1B43A9DC">
      <w:pPr>
        <w:pStyle w:val="2"/>
        <w:rPr>
          <w:rFonts w:hint="eastAsia"/>
        </w:rPr>
      </w:pPr>
      <w:r>
        <w:rPr>
          <w:rFonts w:hint="eastAsia"/>
        </w:rPr>
        <w:t xml:space="preserve">dynamics (MD) simulations, artificial intelligence- assisted screening, </w:t>
      </w:r>
    </w:p>
    <w:p w14:paraId="1277607D">
      <w:pPr>
        <w:pStyle w:val="2"/>
        <w:rPr>
          <w:rFonts w:hint="eastAsia"/>
        </w:rPr>
      </w:pPr>
      <w:r>
        <w:rPr>
          <w:rFonts w:hint="eastAsia"/>
        </w:rPr>
        <w:t xml:space="preserve">pharmacophore modeling, and ADMET prediction for identifying promising anti-TB </w:t>
      </w:r>
    </w:p>
    <w:p w14:paraId="61C85414">
      <w:pPr>
        <w:pStyle w:val="2"/>
        <w:rPr>
          <w:rFonts w:hint="eastAsia"/>
        </w:rPr>
      </w:pPr>
      <w:r>
        <w:rPr>
          <w:rFonts w:hint="eastAsia"/>
        </w:rPr>
        <w:t>phytochemicals targeting key Mycobacterium tuberculosis proteins.</w:t>
      </w:r>
    </w:p>
    <w:p w14:paraId="69BE166A">
      <w:pPr>
        <w:pStyle w:val="2"/>
        <w:rPr>
          <w:rFonts w:hint="eastAsia"/>
        </w:rPr>
      </w:pPr>
      <w:r>
        <w:rPr>
          <w:rFonts w:hint="eastAsia"/>
          <w:b/>
          <w:bCs/>
        </w:rPr>
        <w:t>RESULTS: T</w:t>
      </w:r>
      <w:r>
        <w:rPr>
          <w:rFonts w:hint="eastAsia"/>
        </w:rPr>
        <w:t xml:space="preserve">he reviewed studies revealed that several classes of phytochemicals, </w:t>
      </w:r>
    </w:p>
    <w:p w14:paraId="18FD79A6">
      <w:pPr>
        <w:pStyle w:val="2"/>
        <w:rPr>
          <w:rFonts w:hint="eastAsia"/>
        </w:rPr>
      </w:pPr>
      <w:r>
        <w:rPr>
          <w:rFonts w:hint="eastAsia"/>
        </w:rPr>
        <w:t xml:space="preserve">including flavonoids, alkaloids, terpenoids, and phenolic compounds, </w:t>
      </w:r>
    </w:p>
    <w:p w14:paraId="0BE674DF">
      <w:pPr>
        <w:pStyle w:val="2"/>
        <w:rPr>
          <w:rFonts w:hint="eastAsia"/>
        </w:rPr>
      </w:pPr>
      <w:r>
        <w:rPr>
          <w:rFonts w:hint="eastAsia"/>
        </w:rPr>
        <w:t xml:space="preserve">demonstrated strong binding affinities toward validated drug-resistant TB </w:t>
      </w:r>
    </w:p>
    <w:p w14:paraId="3CDD8FAD">
      <w:pPr>
        <w:pStyle w:val="2"/>
        <w:rPr>
          <w:rFonts w:hint="eastAsia"/>
        </w:rPr>
      </w:pPr>
      <w:r>
        <w:rPr>
          <w:rFonts w:hint="eastAsia"/>
        </w:rPr>
        <w:t xml:space="preserve">targets such as InhA, DprE1, KasA, PknB, and DNA gyrase. Studies employing </w:t>
      </w:r>
    </w:p>
    <w:p w14:paraId="1A713A0D">
      <w:pPr>
        <w:pStyle w:val="2"/>
        <w:rPr>
          <w:rFonts w:hint="eastAsia"/>
        </w:rPr>
      </w:pPr>
      <w:r>
        <w:rPr>
          <w:rFonts w:hint="eastAsia"/>
        </w:rPr>
        <w:t xml:space="preserve">integrated computational workflows combining molecular docking, molecular </w:t>
      </w:r>
    </w:p>
    <w:p w14:paraId="0C80CD13">
      <w:pPr>
        <w:pStyle w:val="2"/>
        <w:rPr>
          <w:rFonts w:hint="eastAsia"/>
        </w:rPr>
      </w:pPr>
      <w:r>
        <w:rPr>
          <w:rFonts w:hint="eastAsia"/>
        </w:rPr>
        <w:t xml:space="preserve">dynamics simulations, and ADMET analyses provided more reliable predictions than </w:t>
      </w:r>
    </w:p>
    <w:p w14:paraId="593CABCC">
      <w:pPr>
        <w:pStyle w:val="2"/>
        <w:rPr>
          <w:rFonts w:hint="eastAsia"/>
        </w:rPr>
      </w:pPr>
      <w:r>
        <w:rPr>
          <w:rFonts w:hint="eastAsia"/>
        </w:rPr>
        <w:t xml:space="preserve">docking-only approaches, facilitating the identification and optimization of </w:t>
      </w:r>
    </w:p>
    <w:p w14:paraId="6B04B2B3">
      <w:pPr>
        <w:pStyle w:val="2"/>
        <w:rPr>
          <w:rFonts w:hint="eastAsia"/>
        </w:rPr>
      </w:pPr>
      <w:r>
        <w:rPr>
          <w:rFonts w:hint="eastAsia"/>
        </w:rPr>
        <w:t>potential anti-TB lead compounds.</w:t>
      </w:r>
    </w:p>
    <w:p w14:paraId="514C704D">
      <w:pPr>
        <w:pStyle w:val="2"/>
        <w:rPr>
          <w:rFonts w:hint="eastAsia"/>
        </w:rPr>
      </w:pPr>
      <w:r>
        <w:rPr>
          <w:rFonts w:hint="eastAsia"/>
          <w:b/>
          <w:bCs/>
        </w:rPr>
        <w:t>DISCUSSION:</w:t>
      </w:r>
      <w:r>
        <w:rPr>
          <w:rFonts w:hint="eastAsia"/>
        </w:rPr>
        <w:t xml:space="preserve"> Given the prevalence of DR-TB and the shortcomings of existing </w:t>
      </w:r>
    </w:p>
    <w:p w14:paraId="44E7A4BE">
      <w:pPr>
        <w:pStyle w:val="2"/>
        <w:rPr>
          <w:rFonts w:hint="eastAsia"/>
        </w:rPr>
      </w:pPr>
      <w:r>
        <w:rPr>
          <w:rFonts w:hint="eastAsia"/>
        </w:rPr>
        <w:t xml:space="preserve">treatments, this strategy tackles the urgent need for novel treatments. By </w:t>
      </w:r>
    </w:p>
    <w:p w14:paraId="36799632">
      <w:pPr>
        <w:pStyle w:val="2"/>
        <w:rPr>
          <w:rFonts w:hint="eastAsia"/>
        </w:rPr>
      </w:pPr>
      <w:r>
        <w:rPr>
          <w:rFonts w:hint="eastAsia"/>
        </w:rPr>
        <w:t xml:space="preserve">fusing the enormous diversity of plant chemicals with computational capacity, </w:t>
      </w:r>
    </w:p>
    <w:p w14:paraId="6B8591ED">
      <w:pPr>
        <w:pStyle w:val="2"/>
        <w:rPr>
          <w:rFonts w:hint="eastAsia"/>
        </w:rPr>
      </w:pPr>
      <w:r>
        <w:rPr>
          <w:rFonts w:hint="eastAsia"/>
        </w:rPr>
        <w:t xml:space="preserve">this research offers a viable path for the revelation and development of </w:t>
      </w:r>
    </w:p>
    <w:p w14:paraId="164AF04F">
      <w:pPr>
        <w:pStyle w:val="2"/>
        <w:rPr>
          <w:rFonts w:hint="eastAsia"/>
        </w:rPr>
      </w:pPr>
      <w:r>
        <w:rPr>
          <w:rFonts w:hint="eastAsia"/>
        </w:rPr>
        <w:t>unprecedented natural product-based anti-TB medications.</w:t>
      </w:r>
    </w:p>
    <w:p w14:paraId="5AB1D9C7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Computational phytochemistry represents a promising and </w:t>
      </w:r>
    </w:p>
    <w:p w14:paraId="0115A428">
      <w:pPr>
        <w:pStyle w:val="2"/>
        <w:rPr>
          <w:rFonts w:hint="eastAsia"/>
        </w:rPr>
      </w:pPr>
      <w:r>
        <w:rPr>
          <w:rFonts w:hint="eastAsia"/>
        </w:rPr>
        <w:t xml:space="preserve">cost-effective strategy for prioritizing phytochemicals against MDR/XDR-TB. </w:t>
      </w:r>
    </w:p>
    <w:p w14:paraId="0D3B083A">
      <w:pPr>
        <w:pStyle w:val="2"/>
        <w:rPr>
          <w:rFonts w:hint="eastAsia"/>
        </w:rPr>
      </w:pPr>
      <w:r>
        <w:rPr>
          <w:rFonts w:hint="eastAsia"/>
        </w:rPr>
        <w:t xml:space="preserve">These encouraging in silico findings must be translated into successful </w:t>
      </w:r>
    </w:p>
    <w:p w14:paraId="048212D1">
      <w:pPr>
        <w:pStyle w:val="2"/>
        <w:rPr>
          <w:rFonts w:hint="eastAsia"/>
        </w:rPr>
      </w:pPr>
      <w:r>
        <w:rPr>
          <w:rFonts w:hint="eastAsia"/>
        </w:rPr>
        <w:t xml:space="preserve">treatments for drug-resistant tuberculosis, which will require more in vitro </w:t>
      </w:r>
    </w:p>
    <w:p w14:paraId="4ADE562F">
      <w:pPr>
        <w:pStyle w:val="2"/>
        <w:rPr>
          <w:rFonts w:hint="eastAsia"/>
        </w:rPr>
      </w:pPr>
      <w:r>
        <w:rPr>
          <w:rFonts w:hint="eastAsia"/>
        </w:rPr>
        <w:t xml:space="preserve">antimycobacterial screening, target-based biochemical assays, pharmacokinetic </w:t>
      </w:r>
    </w:p>
    <w:p w14:paraId="5824D35D">
      <w:pPr>
        <w:pStyle w:val="2"/>
        <w:rPr>
          <w:rFonts w:hint="eastAsia"/>
        </w:rPr>
      </w:pPr>
      <w:r>
        <w:rPr>
          <w:rFonts w:hint="eastAsia"/>
        </w:rPr>
        <w:t xml:space="preserve">and toxicity studies, in vivo efficacy evaluation in tuberculosis models, and </w:t>
      </w:r>
    </w:p>
    <w:p w14:paraId="507EC537">
      <w:pPr>
        <w:pStyle w:val="2"/>
        <w:rPr>
          <w:rFonts w:hint="eastAsia"/>
        </w:rPr>
      </w:pPr>
      <w:r>
        <w:rPr>
          <w:rFonts w:hint="eastAsia"/>
        </w:rPr>
        <w:t xml:space="preserve">ultimately clinical validation. Future studies should also integrate artificial </w:t>
      </w:r>
    </w:p>
    <w:p w14:paraId="191DB092">
      <w:pPr>
        <w:pStyle w:val="2"/>
        <w:rPr>
          <w:rFonts w:hint="eastAsia"/>
        </w:rPr>
      </w:pPr>
      <w:r>
        <w:rPr>
          <w:rFonts w:hint="eastAsia"/>
        </w:rPr>
        <w:t xml:space="preserve">intelligence- driven drug discovery and multi-target screening approaches to </w:t>
      </w:r>
    </w:p>
    <w:p w14:paraId="255A6472">
      <w:pPr>
        <w:pStyle w:val="2"/>
        <w:rPr>
          <w:rFonts w:hint="eastAsia"/>
        </w:rPr>
      </w:pPr>
      <w:r>
        <w:rPr>
          <w:rFonts w:hint="eastAsia"/>
        </w:rPr>
        <w:t xml:space="preserve">improve hit identification and lead optimization for combating drug-resistant </w:t>
      </w:r>
    </w:p>
    <w:p w14:paraId="03A2FF43">
      <w:pPr>
        <w:pStyle w:val="2"/>
        <w:rPr>
          <w:rFonts w:hint="eastAsia"/>
        </w:rPr>
      </w:pPr>
      <w:r>
        <w:rPr>
          <w:rFonts w:hint="eastAsia"/>
        </w:rPr>
        <w:t>tuberculosis.</w:t>
      </w:r>
    </w:p>
    <w:p w14:paraId="521A4862">
      <w:pPr>
        <w:pStyle w:val="2"/>
        <w:rPr>
          <w:rFonts w:hint="eastAsia"/>
        </w:rPr>
      </w:pPr>
    </w:p>
    <w:p w14:paraId="25E3EBD9">
      <w:pPr>
        <w:pStyle w:val="2"/>
        <w:rPr>
          <w:rFonts w:hint="eastAsia"/>
        </w:rPr>
      </w:pPr>
      <w:r>
        <w:rPr>
          <w:rFonts w:hint="eastAsia"/>
        </w:rPr>
        <w:t xml:space="preserve">Copyright© Bentham Science Publishers; For any queries, please email at </w:t>
      </w:r>
    </w:p>
    <w:p w14:paraId="10456B8D">
      <w:pPr>
        <w:pStyle w:val="2"/>
        <w:rPr>
          <w:rFonts w:hint="eastAsia"/>
        </w:rPr>
      </w:pPr>
      <w:r>
        <w:rPr>
          <w:rFonts w:hint="eastAsia"/>
        </w:rPr>
        <w:t>epub@benthamscience.net.</w:t>
      </w:r>
    </w:p>
    <w:p w14:paraId="330F105A">
      <w:pPr>
        <w:pStyle w:val="2"/>
        <w:rPr>
          <w:rFonts w:hint="eastAsia"/>
        </w:rPr>
      </w:pPr>
    </w:p>
    <w:p w14:paraId="5EC42480">
      <w:pPr>
        <w:pStyle w:val="2"/>
        <w:rPr>
          <w:rFonts w:hint="eastAsia"/>
        </w:rPr>
      </w:pPr>
      <w:r>
        <w:rPr>
          <w:rFonts w:hint="eastAsia"/>
        </w:rPr>
        <w:t>DOI: 10.2174/0127724344482693260914044311</w:t>
      </w:r>
    </w:p>
    <w:p w14:paraId="4D2D734A">
      <w:pPr>
        <w:pStyle w:val="2"/>
        <w:rPr>
          <w:rFonts w:hint="eastAsia"/>
        </w:rPr>
      </w:pPr>
      <w:r>
        <w:rPr>
          <w:rFonts w:hint="eastAsia"/>
        </w:rPr>
        <w:t>PMID: 42872686</w:t>
      </w:r>
    </w:p>
    <w:p w14:paraId="3E4A1E53">
      <w:pPr>
        <w:pStyle w:val="2"/>
        <w:rPr>
          <w:rFonts w:hint="eastAsia"/>
        </w:rPr>
      </w:pPr>
    </w:p>
    <w:p w14:paraId="60C1E47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80</w:t>
      </w:r>
      <w:r>
        <w:rPr>
          <w:rFonts w:hint="eastAsia"/>
          <w:b/>
          <w:bCs/>
          <w:color w:val="FF0000"/>
        </w:rPr>
        <w:t>. J Clin Med Res. 2026 Sep 26;18(9):612-622. doi: 10.14740/jocmr6634. eCollection 2026 Sep.</w:t>
      </w:r>
    </w:p>
    <w:p w14:paraId="0E432600">
      <w:pPr>
        <w:pStyle w:val="2"/>
        <w:rPr>
          <w:rFonts w:hint="eastAsia"/>
        </w:rPr>
      </w:pPr>
    </w:p>
    <w:p w14:paraId="1066A438">
      <w:pPr>
        <w:pStyle w:val="2"/>
        <w:rPr>
          <w:rFonts w:hint="eastAsia"/>
        </w:rPr>
      </w:pPr>
      <w:r>
        <w:rPr>
          <w:rFonts w:hint="eastAsia"/>
        </w:rPr>
        <w:t xml:space="preserve">Prediction Model for Detecting Active Pulmonary Tuberculosis in Patients With </w:t>
      </w:r>
    </w:p>
    <w:p w14:paraId="074106C1">
      <w:pPr>
        <w:pStyle w:val="2"/>
        <w:rPr>
          <w:rFonts w:hint="eastAsia"/>
        </w:rPr>
      </w:pPr>
      <w:r>
        <w:rPr>
          <w:rFonts w:hint="eastAsia"/>
        </w:rPr>
        <w:t>Head and Neck Cancer Prior to Concurrent Chemoradiotherapy.</w:t>
      </w:r>
    </w:p>
    <w:p w14:paraId="7DAEF20E">
      <w:pPr>
        <w:pStyle w:val="2"/>
        <w:rPr>
          <w:rFonts w:hint="eastAsia"/>
        </w:rPr>
      </w:pPr>
    </w:p>
    <w:p w14:paraId="7BA1AFEF">
      <w:pPr>
        <w:pStyle w:val="2"/>
        <w:rPr>
          <w:rFonts w:hint="eastAsia"/>
        </w:rPr>
      </w:pPr>
      <w:r>
        <w:rPr>
          <w:rFonts w:hint="eastAsia"/>
        </w:rPr>
        <w:t xml:space="preserve">Lakdee C(1), Patumanond J(2), Thiarawat P(3), Lokeskrawee T(4), Lawanaskol S(5), </w:t>
      </w:r>
    </w:p>
    <w:p w14:paraId="78B54646">
      <w:pPr>
        <w:pStyle w:val="2"/>
        <w:rPr>
          <w:rFonts w:hint="eastAsia"/>
        </w:rPr>
      </w:pPr>
      <w:r>
        <w:rPr>
          <w:rFonts w:hint="eastAsia"/>
        </w:rPr>
        <w:t>Treebupachatsakul P(6), Bumrungpagdee W(1), Chanlaor S(1).</w:t>
      </w:r>
    </w:p>
    <w:p w14:paraId="330F3A31">
      <w:pPr>
        <w:pStyle w:val="2"/>
        <w:rPr>
          <w:rFonts w:hint="eastAsia"/>
        </w:rPr>
      </w:pPr>
    </w:p>
    <w:p w14:paraId="02EF28DE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010A5A7">
      <w:pPr>
        <w:pStyle w:val="2"/>
        <w:rPr>
          <w:rFonts w:hint="eastAsia"/>
        </w:rPr>
      </w:pPr>
      <w:r>
        <w:rPr>
          <w:rFonts w:hint="eastAsia"/>
        </w:rPr>
        <w:t xml:space="preserve">(1)Department of Radiology, Buddhachinaraj Phitsanulok Hospital, Phitsanulok, </w:t>
      </w:r>
    </w:p>
    <w:p w14:paraId="7243A6E5">
      <w:pPr>
        <w:pStyle w:val="2"/>
        <w:rPr>
          <w:rFonts w:hint="eastAsia"/>
        </w:rPr>
      </w:pPr>
      <w:r>
        <w:rPr>
          <w:rFonts w:hint="eastAsia"/>
        </w:rPr>
        <w:t>Thailand.</w:t>
      </w:r>
    </w:p>
    <w:p w14:paraId="2B1E52F8">
      <w:pPr>
        <w:pStyle w:val="2"/>
        <w:rPr>
          <w:rFonts w:hint="eastAsia"/>
        </w:rPr>
      </w:pPr>
      <w:r>
        <w:rPr>
          <w:rFonts w:hint="eastAsia"/>
        </w:rPr>
        <w:t xml:space="preserve">(2)Clinical Epidemiology and Clinical Statistics Unit, Faculty of Medicine, </w:t>
      </w:r>
    </w:p>
    <w:p w14:paraId="0180F74F">
      <w:pPr>
        <w:pStyle w:val="2"/>
        <w:rPr>
          <w:rFonts w:hint="eastAsia"/>
        </w:rPr>
      </w:pPr>
      <w:r>
        <w:rPr>
          <w:rFonts w:hint="eastAsia"/>
        </w:rPr>
        <w:t>Naresuan University, Phitsanulok, Thailand.</w:t>
      </w:r>
    </w:p>
    <w:p w14:paraId="51C4E8CE">
      <w:pPr>
        <w:pStyle w:val="2"/>
        <w:rPr>
          <w:rFonts w:hint="eastAsia"/>
        </w:rPr>
      </w:pPr>
      <w:r>
        <w:rPr>
          <w:rFonts w:hint="eastAsia"/>
        </w:rPr>
        <w:t xml:space="preserve">(3)Department of Surgery, Faculty of Medicine, Naresuan University, Phitsanulok, </w:t>
      </w:r>
    </w:p>
    <w:p w14:paraId="636FFE09">
      <w:pPr>
        <w:pStyle w:val="2"/>
        <w:rPr>
          <w:rFonts w:hint="eastAsia"/>
        </w:rPr>
      </w:pPr>
      <w:r>
        <w:rPr>
          <w:rFonts w:hint="eastAsia"/>
        </w:rPr>
        <w:t>Thailand.</w:t>
      </w:r>
    </w:p>
    <w:p w14:paraId="6DA842B7">
      <w:pPr>
        <w:pStyle w:val="2"/>
        <w:rPr>
          <w:rFonts w:hint="eastAsia"/>
        </w:rPr>
      </w:pPr>
      <w:r>
        <w:rPr>
          <w:rFonts w:hint="eastAsia"/>
        </w:rPr>
        <w:t>(4)Department of Emergency Medicine, Lampang Hospital, Lampang, Thailand.</w:t>
      </w:r>
    </w:p>
    <w:p w14:paraId="41C4A052">
      <w:pPr>
        <w:pStyle w:val="2"/>
        <w:rPr>
          <w:rFonts w:hint="eastAsia"/>
        </w:rPr>
      </w:pPr>
      <w:r>
        <w:rPr>
          <w:rFonts w:hint="eastAsia"/>
        </w:rPr>
        <w:t>(5)Chaiprakarn Hospital, Chiang Mai, Thailand.</w:t>
      </w:r>
    </w:p>
    <w:p w14:paraId="716F799D">
      <w:pPr>
        <w:pStyle w:val="2"/>
        <w:rPr>
          <w:rFonts w:hint="eastAsia"/>
        </w:rPr>
      </w:pPr>
      <w:r>
        <w:rPr>
          <w:rFonts w:hint="eastAsia"/>
        </w:rPr>
        <w:t xml:space="preserve">(6)Department of Medicine, Buddhachinaraj Phitsanulok Hospital, Phitsanulok, </w:t>
      </w:r>
    </w:p>
    <w:p w14:paraId="47A4AB12">
      <w:pPr>
        <w:pStyle w:val="2"/>
        <w:rPr>
          <w:rFonts w:hint="eastAsia"/>
        </w:rPr>
      </w:pPr>
      <w:r>
        <w:rPr>
          <w:rFonts w:hint="eastAsia"/>
        </w:rPr>
        <w:t>Thailand.</w:t>
      </w:r>
    </w:p>
    <w:p w14:paraId="43C8D7BB">
      <w:pPr>
        <w:pStyle w:val="2"/>
        <w:rPr>
          <w:rFonts w:hint="eastAsia"/>
        </w:rPr>
      </w:pPr>
    </w:p>
    <w:p w14:paraId="33F30492">
      <w:pPr>
        <w:pStyle w:val="2"/>
        <w:rPr>
          <w:rFonts w:hint="eastAsia"/>
        </w:rPr>
      </w:pPr>
      <w:r>
        <w:rPr>
          <w:rFonts w:hint="eastAsia"/>
          <w:b/>
          <w:bCs/>
        </w:rPr>
        <w:t>BACKGROUND</w:t>
      </w:r>
      <w:r>
        <w:rPr>
          <w:rFonts w:hint="eastAsia"/>
        </w:rPr>
        <w:t xml:space="preserve">: Patients with cancer, particularly those with head and neck cancer </w:t>
      </w:r>
    </w:p>
    <w:p w14:paraId="4B405413">
      <w:pPr>
        <w:pStyle w:val="2"/>
        <w:rPr>
          <w:rFonts w:hint="eastAsia"/>
        </w:rPr>
      </w:pPr>
      <w:r>
        <w:rPr>
          <w:rFonts w:hint="eastAsia"/>
        </w:rPr>
        <w:t xml:space="preserve">(HNC), have a higher risk of developing active pulmonary tuberculosis (PTB) than </w:t>
      </w:r>
    </w:p>
    <w:p w14:paraId="64953006">
      <w:pPr>
        <w:pStyle w:val="2"/>
        <w:rPr>
          <w:rFonts w:hint="eastAsia"/>
        </w:rPr>
      </w:pPr>
      <w:r>
        <w:rPr>
          <w:rFonts w:hint="eastAsia"/>
        </w:rPr>
        <w:t xml:space="preserve">the general population. Radiotherapy or concurrent chemoradiotherapy (CCRT) is a </w:t>
      </w:r>
    </w:p>
    <w:p w14:paraId="3480ABF3">
      <w:pPr>
        <w:pStyle w:val="2"/>
        <w:rPr>
          <w:rFonts w:hint="eastAsia"/>
        </w:rPr>
      </w:pPr>
      <w:r>
        <w:rPr>
          <w:rFonts w:hint="eastAsia"/>
        </w:rPr>
        <w:t xml:space="preserve">primary treatment modality for HNC. Therefore, the detection of active PTB </w:t>
      </w:r>
    </w:p>
    <w:p w14:paraId="3194440F">
      <w:pPr>
        <w:pStyle w:val="2"/>
        <w:rPr>
          <w:rFonts w:hint="eastAsia"/>
        </w:rPr>
      </w:pPr>
      <w:r>
        <w:rPr>
          <w:rFonts w:hint="eastAsia"/>
        </w:rPr>
        <w:t xml:space="preserve">before treatment is important. However, routine testing in all patients is not </w:t>
      </w:r>
    </w:p>
    <w:p w14:paraId="08E23A15">
      <w:pPr>
        <w:pStyle w:val="2"/>
        <w:rPr>
          <w:rFonts w:hint="eastAsia"/>
        </w:rPr>
      </w:pPr>
      <w:r>
        <w:rPr>
          <w:rFonts w:hint="eastAsia"/>
        </w:rPr>
        <w:t xml:space="preserve">feasible. We aimed to develop a diagnostic prediction model for active PTB using </w:t>
      </w:r>
    </w:p>
    <w:p w14:paraId="5D4269B4">
      <w:pPr>
        <w:pStyle w:val="2"/>
        <w:rPr>
          <w:rFonts w:hint="eastAsia"/>
        </w:rPr>
      </w:pPr>
      <w:r>
        <w:rPr>
          <w:rFonts w:hint="eastAsia"/>
        </w:rPr>
        <w:t xml:space="preserve">routinely available pretreatment clinical and laboratory parameters in patients </w:t>
      </w:r>
    </w:p>
    <w:p w14:paraId="484245C0">
      <w:pPr>
        <w:pStyle w:val="2"/>
        <w:rPr>
          <w:rFonts w:hint="eastAsia"/>
        </w:rPr>
      </w:pPr>
      <w:r>
        <w:rPr>
          <w:rFonts w:hint="eastAsia"/>
        </w:rPr>
        <w:t>with HNC prior to radiotherapy.</w:t>
      </w:r>
    </w:p>
    <w:p w14:paraId="7FCAEAB2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performed a diagnostic prediction study with a retrospective, </w:t>
      </w:r>
    </w:p>
    <w:p w14:paraId="2D77BF49">
      <w:pPr>
        <w:pStyle w:val="2"/>
        <w:rPr>
          <w:rFonts w:hint="eastAsia"/>
        </w:rPr>
      </w:pPr>
      <w:r>
        <w:rPr>
          <w:rFonts w:hint="eastAsia"/>
        </w:rPr>
        <w:t xml:space="preserve">cross-sectional design using medical record reviews of all patients diagnosed </w:t>
      </w:r>
    </w:p>
    <w:p w14:paraId="38884F67">
      <w:pPr>
        <w:pStyle w:val="2"/>
        <w:rPr>
          <w:rFonts w:hint="eastAsia"/>
        </w:rPr>
      </w:pPr>
      <w:r>
        <w:rPr>
          <w:rFonts w:hint="eastAsia"/>
        </w:rPr>
        <w:t xml:space="preserve">with HNC who underwent radiotherapy at the Radiation Therapy Unit, </w:t>
      </w:r>
    </w:p>
    <w:p w14:paraId="1B180603">
      <w:pPr>
        <w:pStyle w:val="2"/>
        <w:rPr>
          <w:rFonts w:hint="eastAsia"/>
        </w:rPr>
      </w:pPr>
      <w:r>
        <w:rPr>
          <w:rFonts w:hint="eastAsia"/>
        </w:rPr>
        <w:t xml:space="preserve">Buddhachinaraj Phitsanulok Hospital, Phitsanulok, Thailand, from October 2014 to </w:t>
      </w:r>
    </w:p>
    <w:p w14:paraId="1E8200BF">
      <w:pPr>
        <w:pStyle w:val="2"/>
        <w:rPr>
          <w:rFonts w:hint="eastAsia"/>
        </w:rPr>
      </w:pPr>
      <w:r>
        <w:rPr>
          <w:rFonts w:hint="eastAsia"/>
        </w:rPr>
        <w:t xml:space="preserve">October 2025. Active PTB was defined as the initiation of anti-tuberculosis </w:t>
      </w:r>
    </w:p>
    <w:p w14:paraId="33595447">
      <w:pPr>
        <w:pStyle w:val="2"/>
        <w:rPr>
          <w:rFonts w:hint="eastAsia"/>
        </w:rPr>
      </w:pPr>
      <w:r>
        <w:rPr>
          <w:rFonts w:hint="eastAsia"/>
        </w:rPr>
        <w:t xml:space="preserve">treatment with microbiological confirmation (acid-fast bacilli smear microscopy, </w:t>
      </w:r>
    </w:p>
    <w:p w14:paraId="38D0D243">
      <w:pPr>
        <w:pStyle w:val="2"/>
        <w:rPr>
          <w:rFonts w:hint="eastAsia"/>
        </w:rPr>
      </w:pPr>
      <w:r>
        <w:rPr>
          <w:rFonts w:hint="eastAsia"/>
        </w:rPr>
        <w:t xml:space="preserve">culture, or nucleic acid amplification testing/GeneXpert) and/or chest imaging </w:t>
      </w:r>
    </w:p>
    <w:p w14:paraId="4EEC0CFF">
      <w:pPr>
        <w:pStyle w:val="2"/>
        <w:rPr>
          <w:rFonts w:hint="eastAsia"/>
        </w:rPr>
      </w:pPr>
      <w:r>
        <w:rPr>
          <w:rFonts w:hint="eastAsia"/>
        </w:rPr>
        <w:t xml:space="preserve">compatible with active PTB. Multivariable logistic regression was performed to </w:t>
      </w:r>
    </w:p>
    <w:p w14:paraId="3E258201">
      <w:pPr>
        <w:pStyle w:val="2"/>
        <w:rPr>
          <w:rFonts w:hint="eastAsia"/>
        </w:rPr>
      </w:pPr>
      <w:r>
        <w:rPr>
          <w:rFonts w:hint="eastAsia"/>
        </w:rPr>
        <w:t xml:space="preserve">derive the models. Discrimination was measured using the area under the receiver </w:t>
      </w:r>
    </w:p>
    <w:p w14:paraId="203DDF5E">
      <w:pPr>
        <w:pStyle w:val="2"/>
        <w:rPr>
          <w:rFonts w:hint="eastAsia"/>
        </w:rPr>
      </w:pPr>
      <w:r>
        <w:rPr>
          <w:rFonts w:hint="eastAsia"/>
        </w:rPr>
        <w:t xml:space="preserve">operating characteristic curve (AuROC); calibration was assessed using </w:t>
      </w:r>
    </w:p>
    <w:p w14:paraId="7EC35390">
      <w:pPr>
        <w:pStyle w:val="2"/>
        <w:rPr>
          <w:rFonts w:hint="eastAsia"/>
        </w:rPr>
      </w:pPr>
      <w:r>
        <w:rPr>
          <w:rFonts w:hint="eastAsia"/>
        </w:rPr>
        <w:t xml:space="preserve">calibration plots, and internal validation was performed using bootstrap </w:t>
      </w:r>
    </w:p>
    <w:p w14:paraId="344BF39E">
      <w:pPr>
        <w:pStyle w:val="2"/>
        <w:rPr>
          <w:rFonts w:hint="eastAsia"/>
        </w:rPr>
      </w:pPr>
      <w:r>
        <w:rPr>
          <w:rFonts w:hint="eastAsia"/>
        </w:rPr>
        <w:t>resampling. Decision curve analysis was used to determine clinical utility.</w:t>
      </w:r>
    </w:p>
    <w:p w14:paraId="4F8BCB67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Of the 505 patients with HNC, 30 (5.94%) had active PTB. Four </w:t>
      </w:r>
    </w:p>
    <w:p w14:paraId="2B5A564B">
      <w:pPr>
        <w:pStyle w:val="2"/>
        <w:rPr>
          <w:rFonts w:hint="eastAsia"/>
        </w:rPr>
      </w:pPr>
      <w:r>
        <w:rPr>
          <w:rFonts w:hint="eastAsia"/>
        </w:rPr>
        <w:t xml:space="preserve">predictors independently associated with active PTB were body mass index (BMI) </w:t>
      </w:r>
    </w:p>
    <w:p w14:paraId="58F96338">
      <w:pPr>
        <w:pStyle w:val="2"/>
        <w:rPr>
          <w:rFonts w:hint="eastAsia"/>
        </w:rPr>
      </w:pPr>
      <w:r>
        <w:rPr>
          <w:rFonts w:hint="eastAsia"/>
        </w:rPr>
        <w:t xml:space="preserve">(odds ratio (OR) 0.86; 95% confidence interval (CI) 0.75-0.99), hemoglobin (OR </w:t>
      </w:r>
    </w:p>
    <w:p w14:paraId="567144A9">
      <w:pPr>
        <w:pStyle w:val="2"/>
        <w:rPr>
          <w:rFonts w:hint="eastAsia"/>
        </w:rPr>
      </w:pPr>
      <w:r>
        <w:rPr>
          <w:rFonts w:hint="eastAsia"/>
        </w:rPr>
        <w:t xml:space="preserve">0.75; 95% CI 0.58-0.95), albumin (OR 0.25; 95% CI 0.12-0.53), and cancer symptom </w:t>
      </w:r>
    </w:p>
    <w:p w14:paraId="476E94F5">
      <w:pPr>
        <w:pStyle w:val="2"/>
        <w:rPr>
          <w:rFonts w:hint="eastAsia"/>
        </w:rPr>
      </w:pPr>
      <w:r>
        <w:rPr>
          <w:rFonts w:hint="eastAsia"/>
        </w:rPr>
        <w:t xml:space="preserve">duration (months) (OR 1.49; 95% CI 1.25-1.76). The model showed excellent </w:t>
      </w:r>
    </w:p>
    <w:p w14:paraId="4F0B855E">
      <w:pPr>
        <w:pStyle w:val="2"/>
        <w:rPr>
          <w:rFonts w:hint="eastAsia"/>
        </w:rPr>
      </w:pPr>
      <w:r>
        <w:rPr>
          <w:rFonts w:hint="eastAsia"/>
        </w:rPr>
        <w:t xml:space="preserve">discrimination (AuROC 0.882; 95% CI 0.814-0.950) and good calibration (slope </w:t>
      </w:r>
    </w:p>
    <w:p w14:paraId="2BC6F8FB">
      <w:pPr>
        <w:pStyle w:val="2"/>
        <w:rPr>
          <w:rFonts w:hint="eastAsia"/>
        </w:rPr>
      </w:pPr>
      <w:r>
        <w:rPr>
          <w:rFonts w:hint="eastAsia"/>
        </w:rPr>
        <w:t xml:space="preserve">1.000). At a predicted probability cutoff (≥ 5.94%), sensitivity was 90.0% (95% </w:t>
      </w:r>
    </w:p>
    <w:p w14:paraId="0E0BB1F4">
      <w:pPr>
        <w:pStyle w:val="2"/>
        <w:rPr>
          <w:rFonts w:hint="eastAsia"/>
        </w:rPr>
      </w:pPr>
      <w:r>
        <w:rPr>
          <w:rFonts w:hint="eastAsia"/>
        </w:rPr>
        <w:t xml:space="preserve">CI 73.5-97.9) and specificity was 82.3% (95% CI 78.6-85.6). The model may reduce </w:t>
      </w:r>
    </w:p>
    <w:p w14:paraId="0FE9BD01">
      <w:pPr>
        <w:pStyle w:val="2"/>
        <w:rPr>
          <w:rFonts w:hint="eastAsia"/>
        </w:rPr>
      </w:pPr>
      <w:r>
        <w:rPr>
          <w:rFonts w:hint="eastAsia"/>
        </w:rPr>
        <w:t xml:space="preserve">the number of patients requiring confirmatory PTB testing, missing only three of </w:t>
      </w:r>
    </w:p>
    <w:p w14:paraId="467018B0">
      <w:pPr>
        <w:pStyle w:val="2"/>
        <w:rPr>
          <w:rFonts w:hint="eastAsia"/>
        </w:rPr>
      </w:pPr>
      <w:r>
        <w:rPr>
          <w:rFonts w:hint="eastAsia"/>
        </w:rPr>
        <w:t>505 patients (0.6%) overall.</w:t>
      </w:r>
    </w:p>
    <w:p w14:paraId="65B0EF72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In patients with HNC undergoing pretreatment evaluation, a simple </w:t>
      </w:r>
    </w:p>
    <w:p w14:paraId="37031627">
      <w:pPr>
        <w:pStyle w:val="2"/>
        <w:rPr>
          <w:rFonts w:hint="eastAsia"/>
        </w:rPr>
      </w:pPr>
      <w:r>
        <w:rPr>
          <w:rFonts w:hint="eastAsia"/>
        </w:rPr>
        <w:t xml:space="preserve">four-variable model (BMI, hemoglobin level, albumin concentration, and cancer </w:t>
      </w:r>
    </w:p>
    <w:p w14:paraId="38507A14">
      <w:pPr>
        <w:pStyle w:val="2"/>
        <w:rPr>
          <w:rFonts w:hint="eastAsia"/>
        </w:rPr>
      </w:pPr>
      <w:r>
        <w:rPr>
          <w:rFonts w:hint="eastAsia"/>
        </w:rPr>
        <w:t>symptom duration) can estimate the probability of active PTB.</w:t>
      </w:r>
    </w:p>
    <w:p w14:paraId="58181811">
      <w:pPr>
        <w:pStyle w:val="2"/>
        <w:rPr>
          <w:rFonts w:hint="eastAsia"/>
        </w:rPr>
      </w:pPr>
    </w:p>
    <w:p w14:paraId="0486D6B2">
      <w:pPr>
        <w:pStyle w:val="2"/>
        <w:rPr>
          <w:rFonts w:hint="eastAsia"/>
        </w:rPr>
      </w:pPr>
      <w:r>
        <w:rPr>
          <w:rFonts w:hint="eastAsia"/>
        </w:rPr>
        <w:t>Copyright 2026 Authors.</w:t>
      </w:r>
    </w:p>
    <w:p w14:paraId="3EB9218E">
      <w:pPr>
        <w:pStyle w:val="2"/>
        <w:rPr>
          <w:rFonts w:hint="eastAsia"/>
        </w:rPr>
      </w:pPr>
    </w:p>
    <w:p w14:paraId="350DD2B7">
      <w:pPr>
        <w:pStyle w:val="2"/>
        <w:rPr>
          <w:rFonts w:hint="eastAsia"/>
        </w:rPr>
      </w:pPr>
      <w:r>
        <w:rPr>
          <w:rFonts w:hint="eastAsia"/>
        </w:rPr>
        <w:t>DOI: 10.14740/jocmr6634</w:t>
      </w:r>
    </w:p>
    <w:p w14:paraId="37495A1D">
      <w:pPr>
        <w:pStyle w:val="2"/>
        <w:rPr>
          <w:rFonts w:hint="eastAsia"/>
        </w:rPr>
      </w:pPr>
      <w:r>
        <w:rPr>
          <w:rFonts w:hint="eastAsia"/>
        </w:rPr>
        <w:t>PMCID: PMC13661102</w:t>
      </w:r>
    </w:p>
    <w:p w14:paraId="611F2577">
      <w:pPr>
        <w:pStyle w:val="2"/>
        <w:rPr>
          <w:rFonts w:hint="eastAsia"/>
        </w:rPr>
      </w:pPr>
      <w:r>
        <w:rPr>
          <w:rFonts w:hint="eastAsia"/>
        </w:rPr>
        <w:t>PMID: 42872285</w:t>
      </w:r>
    </w:p>
    <w:p w14:paraId="2F3A0439">
      <w:pPr>
        <w:pStyle w:val="2"/>
        <w:rPr>
          <w:rFonts w:hint="eastAsia"/>
        </w:rPr>
      </w:pPr>
    </w:p>
    <w:p w14:paraId="04C4D0F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</w:t>
      </w:r>
      <w:r>
        <w:rPr>
          <w:rFonts w:hint="eastAsia"/>
          <w:b/>
          <w:bCs/>
          <w:color w:val="FF0000"/>
        </w:rPr>
        <w:t xml:space="preserve">1. EClinicalMedicine. 2026 Sep 22;100:104232. doi: 10.1016/j.eclinm.2026.104232. </w:t>
      </w:r>
    </w:p>
    <w:p w14:paraId="393A3A2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3B58ADF4">
      <w:pPr>
        <w:pStyle w:val="2"/>
        <w:rPr>
          <w:rFonts w:hint="eastAsia"/>
        </w:rPr>
      </w:pPr>
    </w:p>
    <w:p w14:paraId="3D544503">
      <w:pPr>
        <w:pStyle w:val="2"/>
        <w:rPr>
          <w:rFonts w:hint="eastAsia"/>
        </w:rPr>
      </w:pPr>
      <w:r>
        <w:rPr>
          <w:rFonts w:hint="eastAsia"/>
        </w:rPr>
        <w:t xml:space="preserve">Diagnostic testing for pulmonary tuberculosis in low and middle-income </w:t>
      </w:r>
    </w:p>
    <w:p w14:paraId="2232A1B6">
      <w:pPr>
        <w:pStyle w:val="2"/>
        <w:rPr>
          <w:rFonts w:hint="eastAsia"/>
        </w:rPr>
      </w:pPr>
      <w:r>
        <w:rPr>
          <w:rFonts w:hint="eastAsia"/>
        </w:rPr>
        <w:t>countries: innovations to achieve universal access-a narrative review.</w:t>
      </w:r>
    </w:p>
    <w:p w14:paraId="737BD30B">
      <w:pPr>
        <w:pStyle w:val="2"/>
        <w:rPr>
          <w:rFonts w:hint="eastAsia"/>
        </w:rPr>
      </w:pPr>
    </w:p>
    <w:p w14:paraId="7B12C2C6">
      <w:pPr>
        <w:pStyle w:val="2"/>
        <w:rPr>
          <w:rFonts w:hint="eastAsia"/>
        </w:rPr>
      </w:pPr>
      <w:r>
        <w:rPr>
          <w:rFonts w:hint="eastAsia"/>
        </w:rPr>
        <w:t xml:space="preserve">Ismail NA(1), Berhanu RH(1)(2), von Knorring N(1), Loembe MM(3), Kohli M(4), </w:t>
      </w:r>
    </w:p>
    <w:p w14:paraId="4F150EF6">
      <w:pPr>
        <w:pStyle w:val="2"/>
        <w:rPr>
          <w:rFonts w:hint="eastAsia"/>
        </w:rPr>
      </w:pPr>
      <w:r>
        <w:rPr>
          <w:rFonts w:hint="eastAsia"/>
        </w:rPr>
        <w:t xml:space="preserve">Hasan R(5)(6), Shanmugam SK(7), Sheokand S(8), Katamba A(9), Pai M(8), Omar </w:t>
      </w:r>
    </w:p>
    <w:p w14:paraId="10F727BD">
      <w:pPr>
        <w:pStyle w:val="2"/>
        <w:rPr>
          <w:rFonts w:hint="eastAsia"/>
        </w:rPr>
      </w:pPr>
      <w:r>
        <w:rPr>
          <w:rFonts w:hint="eastAsia"/>
        </w:rPr>
        <w:t>SV(1)(10).</w:t>
      </w:r>
    </w:p>
    <w:p w14:paraId="4E4A6498">
      <w:pPr>
        <w:pStyle w:val="2"/>
        <w:rPr>
          <w:rFonts w:hint="eastAsia"/>
        </w:rPr>
      </w:pPr>
    </w:p>
    <w:p w14:paraId="5A61335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B6323B3">
      <w:pPr>
        <w:pStyle w:val="2"/>
        <w:rPr>
          <w:rFonts w:hint="eastAsia"/>
        </w:rPr>
      </w:pPr>
      <w:r>
        <w:rPr>
          <w:rFonts w:hint="eastAsia"/>
        </w:rPr>
        <w:t xml:space="preserve">(1)Department of Clinical Microbiology and Infectious Diseases, National Health </w:t>
      </w:r>
    </w:p>
    <w:p w14:paraId="027F476B">
      <w:pPr>
        <w:pStyle w:val="2"/>
        <w:rPr>
          <w:rFonts w:hint="eastAsia"/>
        </w:rPr>
      </w:pPr>
      <w:r>
        <w:rPr>
          <w:rFonts w:hint="eastAsia"/>
        </w:rPr>
        <w:t xml:space="preserve">Laboratory Service and Faculty of Health Sciences, University of Witwatersrand, </w:t>
      </w:r>
    </w:p>
    <w:p w14:paraId="1358B744">
      <w:pPr>
        <w:pStyle w:val="2"/>
        <w:rPr>
          <w:rFonts w:hint="eastAsia"/>
        </w:rPr>
      </w:pPr>
      <w:r>
        <w:rPr>
          <w:rFonts w:hint="eastAsia"/>
        </w:rPr>
        <w:t>Johannesburg, South Africa.</w:t>
      </w:r>
    </w:p>
    <w:p w14:paraId="38408D71">
      <w:pPr>
        <w:pStyle w:val="2"/>
        <w:rPr>
          <w:rFonts w:hint="eastAsia"/>
        </w:rPr>
      </w:pPr>
      <w:r>
        <w:rPr>
          <w:rFonts w:hint="eastAsia"/>
        </w:rPr>
        <w:t xml:space="preserve">(2)Vanderbilt University Medical Center, Division of Infectious Diseases, </w:t>
      </w:r>
    </w:p>
    <w:p w14:paraId="646D319C">
      <w:pPr>
        <w:pStyle w:val="2"/>
        <w:rPr>
          <w:rFonts w:hint="eastAsia"/>
        </w:rPr>
      </w:pPr>
      <w:r>
        <w:rPr>
          <w:rFonts w:hint="eastAsia"/>
        </w:rPr>
        <w:t>Department of Medicine, Nashville, TN, USA.</w:t>
      </w:r>
    </w:p>
    <w:p w14:paraId="60306984">
      <w:pPr>
        <w:pStyle w:val="2"/>
        <w:rPr>
          <w:rFonts w:hint="eastAsia"/>
        </w:rPr>
      </w:pPr>
      <w:r>
        <w:rPr>
          <w:rFonts w:hint="eastAsia"/>
        </w:rPr>
        <w:t xml:space="preserve">(3)Marguerite Massinga Loembe, Consultant Heath Systems Strengthening and </w:t>
      </w:r>
    </w:p>
    <w:p w14:paraId="2FDDB65B">
      <w:pPr>
        <w:pStyle w:val="2"/>
        <w:rPr>
          <w:rFonts w:hint="eastAsia"/>
        </w:rPr>
      </w:pPr>
      <w:r>
        <w:rPr>
          <w:rFonts w:hint="eastAsia"/>
        </w:rPr>
        <w:t>Diagnostics, Matahari Global Solutions, Malaysia.</w:t>
      </w:r>
    </w:p>
    <w:p w14:paraId="1E398806">
      <w:pPr>
        <w:pStyle w:val="2"/>
        <w:rPr>
          <w:rFonts w:hint="eastAsia"/>
        </w:rPr>
      </w:pPr>
      <w:r>
        <w:rPr>
          <w:rFonts w:hint="eastAsia"/>
        </w:rPr>
        <w:t>(4)Foundation for Innovative New Diagnostics, Geneva, Switzerland.</w:t>
      </w:r>
    </w:p>
    <w:p w14:paraId="4FE21042">
      <w:pPr>
        <w:pStyle w:val="2"/>
        <w:rPr>
          <w:rFonts w:hint="eastAsia"/>
        </w:rPr>
      </w:pPr>
      <w:r>
        <w:rPr>
          <w:rFonts w:hint="eastAsia"/>
        </w:rPr>
        <w:t>(5)Aga Khan University, Pakistan.</w:t>
      </w:r>
    </w:p>
    <w:p w14:paraId="3733844C">
      <w:pPr>
        <w:pStyle w:val="2"/>
        <w:rPr>
          <w:rFonts w:hint="eastAsia"/>
        </w:rPr>
      </w:pPr>
      <w:r>
        <w:rPr>
          <w:rFonts w:hint="eastAsia"/>
        </w:rPr>
        <w:t>(6)London School of Tropical Medicine and Hygiene, London, United Kingdom.</w:t>
      </w:r>
    </w:p>
    <w:p w14:paraId="660D3BED">
      <w:pPr>
        <w:pStyle w:val="2"/>
        <w:rPr>
          <w:rFonts w:hint="eastAsia"/>
        </w:rPr>
      </w:pPr>
      <w:r>
        <w:rPr>
          <w:rFonts w:hint="eastAsia"/>
        </w:rPr>
        <w:t>(7)ICMR-National Institute for Research in Tuberculosis, Chennai, India.</w:t>
      </w:r>
    </w:p>
    <w:p w14:paraId="0BEFAE65">
      <w:pPr>
        <w:pStyle w:val="2"/>
        <w:rPr>
          <w:rFonts w:hint="eastAsia"/>
        </w:rPr>
      </w:pPr>
      <w:r>
        <w:rPr>
          <w:rFonts w:hint="eastAsia"/>
        </w:rPr>
        <w:t xml:space="preserve">(8)McGill International TB Center and McGill School of Population and Global </w:t>
      </w:r>
    </w:p>
    <w:p w14:paraId="407BC8B0">
      <w:pPr>
        <w:pStyle w:val="2"/>
        <w:rPr>
          <w:rFonts w:hint="eastAsia"/>
        </w:rPr>
      </w:pPr>
      <w:r>
        <w:rPr>
          <w:rFonts w:hint="eastAsia"/>
        </w:rPr>
        <w:t>Health, McGill University, Montreal, Canada.</w:t>
      </w:r>
    </w:p>
    <w:p w14:paraId="3CC30074">
      <w:pPr>
        <w:pStyle w:val="2"/>
        <w:rPr>
          <w:rFonts w:hint="eastAsia"/>
        </w:rPr>
      </w:pPr>
      <w:r>
        <w:rPr>
          <w:rFonts w:hint="eastAsia"/>
        </w:rPr>
        <w:t xml:space="preserve">(9)Clinical Epidemiology &amp; Biostatistics Unit, Department of Medicine, Makerere </w:t>
      </w:r>
    </w:p>
    <w:p w14:paraId="236F258D">
      <w:pPr>
        <w:pStyle w:val="2"/>
        <w:rPr>
          <w:rFonts w:hint="eastAsia"/>
        </w:rPr>
      </w:pPr>
      <w:r>
        <w:rPr>
          <w:rFonts w:hint="eastAsia"/>
        </w:rPr>
        <w:t>University College of Health Sciences, Kampala, Uganda.</w:t>
      </w:r>
    </w:p>
    <w:p w14:paraId="213E9125">
      <w:pPr>
        <w:pStyle w:val="2"/>
        <w:rPr>
          <w:rFonts w:hint="eastAsia"/>
        </w:rPr>
      </w:pPr>
      <w:r>
        <w:rPr>
          <w:rFonts w:hint="eastAsia"/>
        </w:rPr>
        <w:t xml:space="preserve">(10)Centre for Tuberculosis (National &amp; WHO Supranational TB Reference </w:t>
      </w:r>
    </w:p>
    <w:p w14:paraId="740D624D">
      <w:pPr>
        <w:pStyle w:val="2"/>
        <w:rPr>
          <w:rFonts w:hint="eastAsia"/>
        </w:rPr>
      </w:pPr>
      <w:r>
        <w:rPr>
          <w:rFonts w:hint="eastAsia"/>
        </w:rPr>
        <w:t xml:space="preserve">Laboratory), National Institute for Communicable Diseases, A Division of the </w:t>
      </w:r>
    </w:p>
    <w:p w14:paraId="5C318B2F">
      <w:pPr>
        <w:pStyle w:val="2"/>
        <w:rPr>
          <w:rFonts w:hint="eastAsia"/>
        </w:rPr>
      </w:pPr>
      <w:r>
        <w:rPr>
          <w:rFonts w:hint="eastAsia"/>
        </w:rPr>
        <w:t>National Health Laboratory Services, Johannesburg, South Africa.</w:t>
      </w:r>
    </w:p>
    <w:p w14:paraId="1B1209C2">
      <w:pPr>
        <w:pStyle w:val="2"/>
        <w:rPr>
          <w:rFonts w:hint="eastAsia"/>
        </w:rPr>
      </w:pPr>
    </w:p>
    <w:p w14:paraId="7C168E8B">
      <w:pPr>
        <w:pStyle w:val="2"/>
        <w:rPr>
          <w:rFonts w:hint="eastAsia"/>
        </w:rPr>
      </w:pPr>
      <w:r>
        <w:rPr>
          <w:rFonts w:hint="eastAsia"/>
        </w:rPr>
        <w:t xml:space="preserve">Though rapid molecular diagnostics for tuberculosis (TB) have substantially </w:t>
      </w:r>
    </w:p>
    <w:p w14:paraId="002D17EE">
      <w:pPr>
        <w:pStyle w:val="2"/>
        <w:rPr>
          <w:rFonts w:hint="eastAsia"/>
        </w:rPr>
      </w:pPr>
      <w:r>
        <w:rPr>
          <w:rFonts w:hint="eastAsia"/>
        </w:rPr>
        <w:t xml:space="preserve">improved diagnostic accuracy and turnaround times, implementation and impact has </w:t>
      </w:r>
    </w:p>
    <w:p w14:paraId="5BB3BD12">
      <w:pPr>
        <w:pStyle w:val="2"/>
        <w:rPr>
          <w:rFonts w:hint="eastAsia"/>
        </w:rPr>
      </w:pPr>
      <w:r>
        <w:rPr>
          <w:rFonts w:hint="eastAsia"/>
        </w:rPr>
        <w:t xml:space="preserve">been constrained by cost, infrastructure requirements, and continued reliance on </w:t>
      </w:r>
    </w:p>
    <w:p w14:paraId="7268C542">
      <w:pPr>
        <w:pStyle w:val="2"/>
        <w:rPr>
          <w:rFonts w:hint="eastAsia"/>
        </w:rPr>
      </w:pPr>
      <w:r>
        <w:rPr>
          <w:rFonts w:hint="eastAsia"/>
        </w:rPr>
        <w:t xml:space="preserve">sputum. This review examines advances in diagnostic technologies and sampling </w:t>
      </w:r>
    </w:p>
    <w:p w14:paraId="4C0B3F4D">
      <w:pPr>
        <w:pStyle w:val="2"/>
        <w:rPr>
          <w:rFonts w:hint="eastAsia"/>
        </w:rPr>
      </w:pPr>
      <w:r>
        <w:rPr>
          <w:rFonts w:hint="eastAsia"/>
        </w:rPr>
        <w:t xml:space="preserve">strategies that could overcome these barriers and accelerate universal access to </w:t>
      </w:r>
    </w:p>
    <w:p w14:paraId="69380B48">
      <w:pPr>
        <w:pStyle w:val="2"/>
        <w:rPr>
          <w:rFonts w:hint="eastAsia"/>
        </w:rPr>
      </w:pPr>
      <w:r>
        <w:rPr>
          <w:rFonts w:hint="eastAsia"/>
        </w:rPr>
        <w:t xml:space="preserve">TB diagnostics. We conducted a narrative review of studies published between Jan </w:t>
      </w:r>
    </w:p>
    <w:p w14:paraId="7860B1B3">
      <w:pPr>
        <w:pStyle w:val="2"/>
        <w:rPr>
          <w:rFonts w:hint="eastAsia"/>
        </w:rPr>
      </w:pPr>
      <w:r>
        <w:rPr>
          <w:rFonts w:hint="eastAsia"/>
        </w:rPr>
        <w:t xml:space="preserve">1, 2020, and April 30, 2026, focusing on near-point-of-care molecular (NPOC) </w:t>
      </w:r>
    </w:p>
    <w:p w14:paraId="1E3F395C">
      <w:pPr>
        <w:pStyle w:val="2"/>
        <w:rPr>
          <w:rFonts w:hint="eastAsia"/>
        </w:rPr>
      </w:pPr>
      <w:r>
        <w:rPr>
          <w:rFonts w:hint="eastAsia"/>
        </w:rPr>
        <w:t xml:space="preserve">platforms, next-generation lipoarabinomannan (LAM) assays, and non-sputum </w:t>
      </w:r>
    </w:p>
    <w:p w14:paraId="596ED688">
      <w:pPr>
        <w:pStyle w:val="2"/>
        <w:rPr>
          <w:rFonts w:hint="eastAsia"/>
        </w:rPr>
      </w:pPr>
      <w:r>
        <w:rPr>
          <w:rFonts w:hint="eastAsia"/>
        </w:rPr>
        <w:t xml:space="preserve">sampling approaches. Emerging NPOC molecular platforms, demonstrate high </w:t>
      </w:r>
    </w:p>
    <w:p w14:paraId="6CE3511F">
      <w:pPr>
        <w:pStyle w:val="2"/>
        <w:rPr>
          <w:rFonts w:hint="eastAsia"/>
        </w:rPr>
      </w:pPr>
      <w:r>
        <w:rPr>
          <w:rFonts w:hint="eastAsia"/>
        </w:rPr>
        <w:t xml:space="preserve">sensitivity using both sputum and tongue-swab specimens while substantially </w:t>
      </w:r>
    </w:p>
    <w:p w14:paraId="6D8BF0FF">
      <w:pPr>
        <w:pStyle w:val="2"/>
        <w:rPr>
          <w:rFonts w:hint="eastAsia"/>
        </w:rPr>
      </w:pPr>
      <w:r>
        <w:rPr>
          <w:rFonts w:hint="eastAsia"/>
        </w:rPr>
        <w:t xml:space="preserve">reducing equipment and testing costs compared with existing nucleic acid </w:t>
      </w:r>
    </w:p>
    <w:p w14:paraId="1DDD832D">
      <w:pPr>
        <w:pStyle w:val="2"/>
        <w:rPr>
          <w:rFonts w:hint="eastAsia"/>
        </w:rPr>
      </w:pPr>
      <w:r>
        <w:rPr>
          <w:rFonts w:hint="eastAsia"/>
        </w:rPr>
        <w:t xml:space="preserve">amplification test platforms. Next-generation urine LAM assays offer improved </w:t>
      </w:r>
    </w:p>
    <w:p w14:paraId="422EF766">
      <w:pPr>
        <w:pStyle w:val="2"/>
        <w:rPr>
          <w:rFonts w:hint="eastAsia"/>
        </w:rPr>
      </w:pPr>
      <w:r>
        <w:rPr>
          <w:rFonts w:hint="eastAsia"/>
        </w:rPr>
        <w:t xml:space="preserve">sensitivity and potential for use beyond people living with HIV. In addition, </w:t>
      </w:r>
    </w:p>
    <w:p w14:paraId="345322AE">
      <w:pPr>
        <w:pStyle w:val="2"/>
        <w:rPr>
          <w:rFonts w:hint="eastAsia"/>
        </w:rPr>
      </w:pPr>
      <w:r>
        <w:rPr>
          <w:rFonts w:hint="eastAsia"/>
        </w:rPr>
        <w:t xml:space="preserve">parallel testing approaches with multiple sample types, including sputum, tongue </w:t>
      </w:r>
    </w:p>
    <w:p w14:paraId="2B56C472">
      <w:pPr>
        <w:pStyle w:val="2"/>
        <w:rPr>
          <w:rFonts w:hint="eastAsia"/>
        </w:rPr>
      </w:pPr>
      <w:r>
        <w:rPr>
          <w:rFonts w:hint="eastAsia"/>
        </w:rPr>
        <w:t xml:space="preserve">swab, stool for children, and urine testing, can substantially increase </w:t>
      </w:r>
    </w:p>
    <w:p w14:paraId="166A35E8">
      <w:pPr>
        <w:pStyle w:val="2"/>
        <w:rPr>
          <w:rFonts w:hint="eastAsia"/>
        </w:rPr>
      </w:pPr>
      <w:r>
        <w:rPr>
          <w:rFonts w:hint="eastAsia"/>
        </w:rPr>
        <w:t xml:space="preserve">diagnostic yield in specific populations. Integrating low-cost technologies with </w:t>
      </w:r>
    </w:p>
    <w:p w14:paraId="0ACD5DF1">
      <w:pPr>
        <w:pStyle w:val="2"/>
        <w:rPr>
          <w:rFonts w:hint="eastAsia"/>
        </w:rPr>
      </w:pPr>
      <w:r>
        <w:rPr>
          <w:rFonts w:hint="eastAsia"/>
        </w:rPr>
        <w:t xml:space="preserve">non-sputum sampling strategies could provide a scalable pathway towards </w:t>
      </w:r>
    </w:p>
    <w:p w14:paraId="3615EC1E">
      <w:pPr>
        <w:pStyle w:val="2"/>
        <w:rPr>
          <w:rFonts w:hint="eastAsia"/>
        </w:rPr>
      </w:pPr>
      <w:r>
        <w:rPr>
          <w:rFonts w:hint="eastAsia"/>
        </w:rPr>
        <w:t xml:space="preserve">universal access to TB diagnostics. Realizing this potential will require </w:t>
      </w:r>
    </w:p>
    <w:p w14:paraId="57C3D233">
      <w:pPr>
        <w:pStyle w:val="2"/>
        <w:rPr>
          <w:rFonts w:hint="eastAsia"/>
        </w:rPr>
      </w:pPr>
      <w:r>
        <w:rPr>
          <w:rFonts w:hint="eastAsia"/>
        </w:rPr>
        <w:t xml:space="preserve">streamlined regulatory pathways, sustainable financing, and integration of these </w:t>
      </w:r>
    </w:p>
    <w:p w14:paraId="185A3883">
      <w:pPr>
        <w:pStyle w:val="2"/>
        <w:rPr>
          <w:rFonts w:hint="eastAsia"/>
        </w:rPr>
      </w:pPr>
      <w:r>
        <w:rPr>
          <w:rFonts w:hint="eastAsia"/>
        </w:rPr>
        <w:t>tools into primary healthcare systems.</w:t>
      </w:r>
    </w:p>
    <w:p w14:paraId="729A288E">
      <w:pPr>
        <w:pStyle w:val="2"/>
        <w:rPr>
          <w:rFonts w:hint="eastAsia"/>
        </w:rPr>
      </w:pPr>
      <w:r>
        <w:rPr>
          <w:rFonts w:hint="eastAsia"/>
        </w:rPr>
        <w:t>FUNDING: None.</w:t>
      </w:r>
    </w:p>
    <w:p w14:paraId="6C6ACADE">
      <w:pPr>
        <w:pStyle w:val="2"/>
        <w:rPr>
          <w:rFonts w:hint="eastAsia"/>
        </w:rPr>
      </w:pPr>
    </w:p>
    <w:p w14:paraId="3E191500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56BE7E6F">
      <w:pPr>
        <w:pStyle w:val="2"/>
        <w:rPr>
          <w:rFonts w:hint="eastAsia"/>
        </w:rPr>
      </w:pPr>
    </w:p>
    <w:p w14:paraId="712C41E8">
      <w:pPr>
        <w:pStyle w:val="2"/>
        <w:rPr>
          <w:rFonts w:hint="eastAsia"/>
        </w:rPr>
      </w:pPr>
      <w:r>
        <w:rPr>
          <w:rFonts w:hint="eastAsia"/>
        </w:rPr>
        <w:t>DOI: 10.1016/j.eclinm.2026.104232</w:t>
      </w:r>
    </w:p>
    <w:p w14:paraId="3C4E6B59">
      <w:pPr>
        <w:pStyle w:val="2"/>
        <w:rPr>
          <w:rFonts w:hint="eastAsia"/>
        </w:rPr>
      </w:pPr>
      <w:r>
        <w:rPr>
          <w:rFonts w:hint="eastAsia"/>
        </w:rPr>
        <w:t>PMCID: PMC13659590</w:t>
      </w:r>
    </w:p>
    <w:p w14:paraId="4526A510">
      <w:pPr>
        <w:pStyle w:val="2"/>
        <w:rPr>
          <w:rFonts w:hint="eastAsia"/>
        </w:rPr>
      </w:pPr>
      <w:r>
        <w:rPr>
          <w:rFonts w:hint="eastAsia"/>
        </w:rPr>
        <w:t>PMID: 42871957</w:t>
      </w:r>
    </w:p>
    <w:p w14:paraId="69ECF6B2">
      <w:pPr>
        <w:pStyle w:val="2"/>
        <w:rPr>
          <w:rFonts w:hint="eastAsia"/>
        </w:rPr>
      </w:pPr>
    </w:p>
    <w:p w14:paraId="742161F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82</w:t>
      </w:r>
      <w:r>
        <w:rPr>
          <w:rFonts w:hint="eastAsia"/>
          <w:b/>
          <w:bCs/>
          <w:color w:val="FF0000"/>
        </w:rPr>
        <w:t xml:space="preserve">. Open Forum Infect Dis. 2026 Oct 7;13(10):ofag661. doi: 10.1093/ofid/ofag661. </w:t>
      </w:r>
    </w:p>
    <w:p w14:paraId="5A04E73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21317673">
      <w:pPr>
        <w:pStyle w:val="2"/>
        <w:rPr>
          <w:rFonts w:hint="eastAsia"/>
        </w:rPr>
      </w:pPr>
    </w:p>
    <w:p w14:paraId="71B629D5">
      <w:pPr>
        <w:pStyle w:val="2"/>
        <w:rPr>
          <w:rFonts w:hint="eastAsia"/>
        </w:rPr>
      </w:pPr>
      <w:r>
        <w:rPr>
          <w:rFonts w:hint="eastAsia"/>
        </w:rPr>
        <w:t xml:space="preserve">Challenges of Using a Bedaquiline-Based Regimen to Treat Multidrug-Resistant </w:t>
      </w:r>
    </w:p>
    <w:p w14:paraId="046A1C31">
      <w:pPr>
        <w:pStyle w:val="2"/>
        <w:rPr>
          <w:rFonts w:hint="eastAsia"/>
        </w:rPr>
      </w:pPr>
      <w:r>
        <w:rPr>
          <w:rFonts w:hint="eastAsia"/>
        </w:rPr>
        <w:t>Tuberculosis in Pregnancy.</w:t>
      </w:r>
    </w:p>
    <w:p w14:paraId="3BC51D5B">
      <w:pPr>
        <w:pStyle w:val="2"/>
        <w:rPr>
          <w:rFonts w:hint="eastAsia"/>
        </w:rPr>
      </w:pPr>
    </w:p>
    <w:p w14:paraId="3E68EEB2">
      <w:pPr>
        <w:pStyle w:val="2"/>
        <w:rPr>
          <w:rFonts w:hint="eastAsia"/>
        </w:rPr>
      </w:pPr>
      <w:r>
        <w:rPr>
          <w:rFonts w:hint="eastAsia"/>
        </w:rPr>
        <w:t>Giuliani AAM(1)(2), Wendorf KA(3), Percak J(4), Cowell AN(1).</w:t>
      </w:r>
    </w:p>
    <w:p w14:paraId="13817D77">
      <w:pPr>
        <w:pStyle w:val="2"/>
        <w:rPr>
          <w:rFonts w:hint="eastAsia"/>
        </w:rPr>
      </w:pPr>
    </w:p>
    <w:p w14:paraId="3D312AA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06EA1D1">
      <w:pPr>
        <w:pStyle w:val="2"/>
        <w:rPr>
          <w:rFonts w:hint="eastAsia"/>
        </w:rPr>
      </w:pPr>
      <w:r>
        <w:rPr>
          <w:rFonts w:hint="eastAsia"/>
        </w:rPr>
        <w:t xml:space="preserve">(1)Division of Infectious Diseases and Global Public Health, Department of </w:t>
      </w:r>
    </w:p>
    <w:p w14:paraId="510A1A2E">
      <w:pPr>
        <w:pStyle w:val="2"/>
        <w:rPr>
          <w:rFonts w:hint="eastAsia"/>
        </w:rPr>
      </w:pPr>
      <w:r>
        <w:rPr>
          <w:rFonts w:hint="eastAsia"/>
        </w:rPr>
        <w:t>Medicine, University of California, San Diego, La Jolla, California, USA.</w:t>
      </w:r>
    </w:p>
    <w:p w14:paraId="481BB484">
      <w:pPr>
        <w:pStyle w:val="2"/>
        <w:rPr>
          <w:rFonts w:hint="eastAsia"/>
        </w:rPr>
      </w:pPr>
      <w:r>
        <w:rPr>
          <w:rFonts w:hint="eastAsia"/>
        </w:rPr>
        <w:t xml:space="preserve">(2)Division of Infectious Diseases, Rady Children's Hospital, San Diego, </w:t>
      </w:r>
    </w:p>
    <w:p w14:paraId="4EBA73E1">
      <w:pPr>
        <w:pStyle w:val="2"/>
        <w:rPr>
          <w:rFonts w:hint="eastAsia"/>
        </w:rPr>
      </w:pPr>
      <w:r>
        <w:rPr>
          <w:rFonts w:hint="eastAsia"/>
        </w:rPr>
        <w:t>California, USA.</w:t>
      </w:r>
    </w:p>
    <w:p w14:paraId="7AC4EEFF">
      <w:pPr>
        <w:pStyle w:val="2"/>
        <w:rPr>
          <w:rFonts w:hint="eastAsia"/>
        </w:rPr>
      </w:pPr>
      <w:r>
        <w:rPr>
          <w:rFonts w:hint="eastAsia"/>
        </w:rPr>
        <w:t xml:space="preserve">(3)Tuberculosis Control Branch, California Department of Public Health, </w:t>
      </w:r>
    </w:p>
    <w:p w14:paraId="640D9D04">
      <w:pPr>
        <w:pStyle w:val="2"/>
        <w:rPr>
          <w:rFonts w:hint="eastAsia"/>
        </w:rPr>
      </w:pPr>
      <w:r>
        <w:rPr>
          <w:rFonts w:hint="eastAsia"/>
        </w:rPr>
        <w:t>Sacramento, California, USA.</w:t>
      </w:r>
    </w:p>
    <w:p w14:paraId="7CF9CA97">
      <w:pPr>
        <w:pStyle w:val="2"/>
        <w:rPr>
          <w:rFonts w:hint="eastAsia"/>
        </w:rPr>
      </w:pPr>
      <w:r>
        <w:rPr>
          <w:rFonts w:hint="eastAsia"/>
        </w:rPr>
        <w:t xml:space="preserve">(4)Public Health Services, Health and Human Services Agency, County of San </w:t>
      </w:r>
    </w:p>
    <w:p w14:paraId="24668C1F">
      <w:pPr>
        <w:pStyle w:val="2"/>
        <w:rPr>
          <w:rFonts w:hint="eastAsia"/>
        </w:rPr>
      </w:pPr>
      <w:r>
        <w:rPr>
          <w:rFonts w:hint="eastAsia"/>
        </w:rPr>
        <w:t>Diego, San Diego, California, USA.</w:t>
      </w:r>
    </w:p>
    <w:p w14:paraId="6ABCBFBF">
      <w:pPr>
        <w:pStyle w:val="2"/>
        <w:rPr>
          <w:rFonts w:hint="eastAsia"/>
        </w:rPr>
      </w:pPr>
    </w:p>
    <w:p w14:paraId="0C55AF6B">
      <w:pPr>
        <w:pStyle w:val="2"/>
        <w:rPr>
          <w:rFonts w:hint="eastAsia"/>
        </w:rPr>
      </w:pPr>
      <w:r>
        <w:rPr>
          <w:rFonts w:hint="eastAsia"/>
        </w:rPr>
        <w:t xml:space="preserve">The treatment of multidrug-resistant tuberculosis (MDR-TB) in pregnancy has been </w:t>
      </w:r>
    </w:p>
    <w:p w14:paraId="6A29CE1D">
      <w:pPr>
        <w:pStyle w:val="2"/>
        <w:rPr>
          <w:rFonts w:hint="eastAsia"/>
        </w:rPr>
      </w:pPr>
      <w:r>
        <w:rPr>
          <w:rFonts w:hint="eastAsia"/>
        </w:rPr>
        <w:t xml:space="preserve">historically limited by the exclusion of pregnant and breastfeeding persons from </w:t>
      </w:r>
    </w:p>
    <w:p w14:paraId="6CE21537">
      <w:pPr>
        <w:pStyle w:val="2"/>
        <w:rPr>
          <w:rFonts w:hint="eastAsia"/>
        </w:rPr>
      </w:pPr>
      <w:r>
        <w:rPr>
          <w:rFonts w:hint="eastAsia"/>
        </w:rPr>
        <w:t xml:space="preserve">large clinical studies. We follow the case of a pregnant patient successfully </w:t>
      </w:r>
    </w:p>
    <w:p w14:paraId="4F64297E">
      <w:pPr>
        <w:pStyle w:val="2"/>
        <w:rPr>
          <w:rFonts w:hint="eastAsia"/>
        </w:rPr>
      </w:pPr>
      <w:r>
        <w:rPr>
          <w:rFonts w:hint="eastAsia"/>
        </w:rPr>
        <w:t xml:space="preserve">treated for MDR-TB in California, United States, using a bedaquiline-based </w:t>
      </w:r>
    </w:p>
    <w:p w14:paraId="242F2603">
      <w:pPr>
        <w:pStyle w:val="2"/>
        <w:rPr>
          <w:rFonts w:hint="eastAsia"/>
        </w:rPr>
      </w:pPr>
      <w:r>
        <w:rPr>
          <w:rFonts w:hint="eastAsia"/>
        </w:rPr>
        <w:t xml:space="preserve">regimen and discuss the growing body of evidence and evolution of </w:t>
      </w:r>
    </w:p>
    <w:p w14:paraId="3F84D427">
      <w:pPr>
        <w:pStyle w:val="2"/>
        <w:rPr>
          <w:rFonts w:hint="eastAsia"/>
        </w:rPr>
      </w:pPr>
      <w:r>
        <w:rPr>
          <w:rFonts w:hint="eastAsia"/>
        </w:rPr>
        <w:t xml:space="preserve">recommendations in the management of this patient population. We discuss </w:t>
      </w:r>
    </w:p>
    <w:p w14:paraId="424EE643">
      <w:pPr>
        <w:pStyle w:val="2"/>
        <w:rPr>
          <w:rFonts w:hint="eastAsia"/>
        </w:rPr>
      </w:pPr>
      <w:r>
        <w:rPr>
          <w:rFonts w:hint="eastAsia"/>
        </w:rPr>
        <w:t xml:space="preserve">obstacles in the patient's care, including issues of regimen selection, question </w:t>
      </w:r>
    </w:p>
    <w:p w14:paraId="745DF326">
      <w:pPr>
        <w:pStyle w:val="2"/>
        <w:rPr>
          <w:rFonts w:hint="eastAsia"/>
        </w:rPr>
      </w:pPr>
      <w:r>
        <w:rPr>
          <w:rFonts w:hint="eastAsia"/>
        </w:rPr>
        <w:t xml:space="preserve">of breastfeeding, supratherapeutic drug levels postpartum, and medication </w:t>
      </w:r>
    </w:p>
    <w:p w14:paraId="142C8E29">
      <w:pPr>
        <w:pStyle w:val="2"/>
        <w:rPr>
          <w:rFonts w:hint="eastAsia"/>
        </w:rPr>
      </w:pPr>
      <w:r>
        <w:rPr>
          <w:rFonts w:hint="eastAsia"/>
        </w:rPr>
        <w:t xml:space="preserve">adverse effects-all which should be considered in the management of pregnant </w:t>
      </w:r>
    </w:p>
    <w:p w14:paraId="5A6F6EF3">
      <w:pPr>
        <w:pStyle w:val="2"/>
        <w:rPr>
          <w:rFonts w:hint="eastAsia"/>
        </w:rPr>
      </w:pPr>
      <w:r>
        <w:rPr>
          <w:rFonts w:hint="eastAsia"/>
        </w:rPr>
        <w:t xml:space="preserve">persons. Based on our experience, we would recommend to consider monitoring drug </w:t>
      </w:r>
    </w:p>
    <w:p w14:paraId="1CF7A336">
      <w:pPr>
        <w:pStyle w:val="2"/>
        <w:rPr>
          <w:rFonts w:hint="eastAsia"/>
        </w:rPr>
      </w:pPr>
      <w:r>
        <w:rPr>
          <w:rFonts w:hint="eastAsia"/>
        </w:rPr>
        <w:t xml:space="preserve">levels during this transition to postpartum status. Further inclusion of </w:t>
      </w:r>
    </w:p>
    <w:p w14:paraId="1A025397">
      <w:pPr>
        <w:pStyle w:val="2"/>
        <w:rPr>
          <w:rFonts w:hint="eastAsia"/>
        </w:rPr>
      </w:pPr>
      <w:r>
        <w:rPr>
          <w:rFonts w:hint="eastAsia"/>
        </w:rPr>
        <w:t xml:space="preserve">pregnant and breastfeeding patients in MDR-TB studies will continue to bolster </w:t>
      </w:r>
    </w:p>
    <w:p w14:paraId="6D84F747">
      <w:pPr>
        <w:pStyle w:val="2"/>
        <w:rPr>
          <w:rFonts w:hint="eastAsia"/>
        </w:rPr>
      </w:pPr>
      <w:r>
        <w:rPr>
          <w:rFonts w:hint="eastAsia"/>
        </w:rPr>
        <w:t>knowledge base and improve patient outcomes.</w:t>
      </w:r>
    </w:p>
    <w:p w14:paraId="3FBBC105">
      <w:pPr>
        <w:pStyle w:val="2"/>
        <w:rPr>
          <w:rFonts w:hint="eastAsia"/>
        </w:rPr>
      </w:pPr>
    </w:p>
    <w:p w14:paraId="3CEDC883">
      <w:pPr>
        <w:pStyle w:val="2"/>
        <w:rPr>
          <w:rFonts w:hint="eastAsia"/>
        </w:rPr>
      </w:pPr>
      <w:r>
        <w:rPr>
          <w:rFonts w:hint="eastAsia"/>
        </w:rPr>
        <w:t xml:space="preserve">© The Author(s) 2026. Published by Oxford University Press on behalf of </w:t>
      </w:r>
    </w:p>
    <w:p w14:paraId="3501821A">
      <w:pPr>
        <w:pStyle w:val="2"/>
        <w:rPr>
          <w:rFonts w:hint="eastAsia"/>
        </w:rPr>
      </w:pPr>
      <w:r>
        <w:rPr>
          <w:rFonts w:hint="eastAsia"/>
        </w:rPr>
        <w:t>Infectious Diseases Society of America.</w:t>
      </w:r>
    </w:p>
    <w:p w14:paraId="671F324B">
      <w:pPr>
        <w:pStyle w:val="2"/>
        <w:rPr>
          <w:rFonts w:hint="eastAsia"/>
        </w:rPr>
      </w:pPr>
    </w:p>
    <w:p w14:paraId="3439FD92">
      <w:pPr>
        <w:pStyle w:val="2"/>
        <w:rPr>
          <w:rFonts w:hint="eastAsia"/>
        </w:rPr>
      </w:pPr>
      <w:r>
        <w:rPr>
          <w:rFonts w:hint="eastAsia"/>
        </w:rPr>
        <w:t>DOI: 10.1093/ofid/ofag661</w:t>
      </w:r>
    </w:p>
    <w:p w14:paraId="487EBC7D">
      <w:pPr>
        <w:pStyle w:val="2"/>
        <w:rPr>
          <w:rFonts w:hint="eastAsia"/>
        </w:rPr>
      </w:pPr>
      <w:r>
        <w:rPr>
          <w:rFonts w:hint="eastAsia"/>
        </w:rPr>
        <w:t>PMCID: PMC13660680</w:t>
      </w:r>
    </w:p>
    <w:p w14:paraId="40B89B00">
      <w:pPr>
        <w:pStyle w:val="2"/>
        <w:rPr>
          <w:rFonts w:hint="eastAsia"/>
        </w:rPr>
      </w:pPr>
      <w:r>
        <w:rPr>
          <w:rFonts w:hint="eastAsia"/>
        </w:rPr>
        <w:t>PMID: 42871685</w:t>
      </w:r>
    </w:p>
    <w:p w14:paraId="63D347A9">
      <w:pPr>
        <w:pStyle w:val="2"/>
        <w:rPr>
          <w:rFonts w:hint="eastAsia"/>
        </w:rPr>
      </w:pPr>
    </w:p>
    <w:p w14:paraId="29BFA50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83</w:t>
      </w:r>
      <w:r>
        <w:rPr>
          <w:rFonts w:hint="eastAsia"/>
          <w:b/>
          <w:bCs/>
          <w:color w:val="FF0000"/>
        </w:rPr>
        <w:t>. AME Case Rep. 2026 Aug 5;10:196. doi: 10.21037/acr-2026-0154. eCollection 2026.</w:t>
      </w:r>
    </w:p>
    <w:p w14:paraId="56A6E4C2">
      <w:pPr>
        <w:pStyle w:val="2"/>
        <w:rPr>
          <w:rFonts w:hint="eastAsia"/>
        </w:rPr>
      </w:pPr>
    </w:p>
    <w:p w14:paraId="4DA73912">
      <w:pPr>
        <w:pStyle w:val="2"/>
        <w:rPr>
          <w:rFonts w:hint="eastAsia"/>
        </w:rPr>
      </w:pPr>
      <w:r>
        <w:rPr>
          <w:rFonts w:hint="eastAsia"/>
        </w:rPr>
        <w:t xml:space="preserve">Presumed ocular tuberculosis presenting as a subfoveal choroidal granuloma in a </w:t>
      </w:r>
    </w:p>
    <w:p w14:paraId="1E216992">
      <w:pPr>
        <w:pStyle w:val="2"/>
        <w:rPr>
          <w:rFonts w:hint="eastAsia"/>
        </w:rPr>
      </w:pPr>
      <w:r>
        <w:rPr>
          <w:rFonts w:hint="eastAsia"/>
        </w:rPr>
        <w:t>healthcare professional: a case report.</w:t>
      </w:r>
    </w:p>
    <w:p w14:paraId="67B4CA5C">
      <w:pPr>
        <w:pStyle w:val="2"/>
        <w:rPr>
          <w:rFonts w:hint="eastAsia"/>
        </w:rPr>
      </w:pPr>
    </w:p>
    <w:p w14:paraId="2E53F96D">
      <w:pPr>
        <w:pStyle w:val="2"/>
        <w:rPr>
          <w:rFonts w:hint="eastAsia"/>
        </w:rPr>
      </w:pPr>
      <w:r>
        <w:rPr>
          <w:rFonts w:hint="eastAsia"/>
        </w:rPr>
        <w:t>Halim HA(1), Mohamed SO(2), Shibraumalisi NA(1).</w:t>
      </w:r>
    </w:p>
    <w:p w14:paraId="51DAC3DB">
      <w:pPr>
        <w:pStyle w:val="2"/>
        <w:rPr>
          <w:rFonts w:hint="eastAsia"/>
        </w:rPr>
      </w:pPr>
    </w:p>
    <w:p w14:paraId="528AFE2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9DDD57B">
      <w:pPr>
        <w:pStyle w:val="2"/>
        <w:rPr>
          <w:rFonts w:hint="eastAsia"/>
        </w:rPr>
      </w:pPr>
      <w:r>
        <w:rPr>
          <w:rFonts w:hint="eastAsia"/>
        </w:rPr>
        <w:t xml:space="preserve">(1)Department of Primary Care Medicine, Faculty of Medicine, Universiti </w:t>
      </w:r>
    </w:p>
    <w:p w14:paraId="1AD5567E">
      <w:pPr>
        <w:pStyle w:val="2"/>
        <w:rPr>
          <w:rFonts w:hint="eastAsia"/>
        </w:rPr>
      </w:pPr>
      <w:r>
        <w:rPr>
          <w:rFonts w:hint="eastAsia"/>
        </w:rPr>
        <w:t>Teknologi MARA (UiTM), Sungai Buloh, Selangor, Malaysia.</w:t>
      </w:r>
    </w:p>
    <w:p w14:paraId="6C158F7B">
      <w:pPr>
        <w:pStyle w:val="2"/>
        <w:rPr>
          <w:rFonts w:hint="eastAsia"/>
        </w:rPr>
      </w:pPr>
      <w:r>
        <w:rPr>
          <w:rFonts w:hint="eastAsia"/>
        </w:rPr>
        <w:t xml:space="preserve">(2)Department of Ophthalmology, Hospital Al-Sultan Abdullah, Universiti </w:t>
      </w:r>
    </w:p>
    <w:p w14:paraId="359B4F4D">
      <w:pPr>
        <w:pStyle w:val="2"/>
        <w:rPr>
          <w:rFonts w:hint="eastAsia"/>
        </w:rPr>
      </w:pPr>
      <w:r>
        <w:rPr>
          <w:rFonts w:hint="eastAsia"/>
        </w:rPr>
        <w:t>Teknologi MARA (UiTM), Bandar Puncak Alam, Selangor, Malaysia.</w:t>
      </w:r>
    </w:p>
    <w:p w14:paraId="55338E5D">
      <w:pPr>
        <w:pStyle w:val="2"/>
        <w:rPr>
          <w:rFonts w:hint="eastAsia"/>
        </w:rPr>
      </w:pPr>
    </w:p>
    <w:p w14:paraId="4ECCCDC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Ocular tuberculosis (OTB) is a great masquerader and may occur </w:t>
      </w:r>
    </w:p>
    <w:p w14:paraId="4429BFD3">
      <w:pPr>
        <w:pStyle w:val="2"/>
        <w:rPr>
          <w:rFonts w:hint="eastAsia"/>
        </w:rPr>
      </w:pPr>
      <w:r>
        <w:rPr>
          <w:rFonts w:hint="eastAsia"/>
        </w:rPr>
        <w:t xml:space="preserve">without pulmonary symptoms, making its diagnosis challenging. In endemic regions </w:t>
      </w:r>
    </w:p>
    <w:p w14:paraId="07A27641">
      <w:pPr>
        <w:pStyle w:val="2"/>
        <w:rPr>
          <w:rFonts w:hint="eastAsia"/>
        </w:rPr>
      </w:pPr>
      <w:r>
        <w:rPr>
          <w:rFonts w:hint="eastAsia"/>
        </w:rPr>
        <w:t xml:space="preserve">like Malaysia, clinicians should consider OTB in patients with unexplained </w:t>
      </w:r>
    </w:p>
    <w:p w14:paraId="588E86E4">
      <w:pPr>
        <w:pStyle w:val="2"/>
        <w:rPr>
          <w:rFonts w:hint="eastAsia"/>
        </w:rPr>
      </w:pPr>
      <w:r>
        <w:rPr>
          <w:rFonts w:hint="eastAsia"/>
        </w:rPr>
        <w:t xml:space="preserve">posterior segment ocular lesions. This report describes presumptive OTB with </w:t>
      </w:r>
    </w:p>
    <w:p w14:paraId="50AB24BC">
      <w:pPr>
        <w:pStyle w:val="2"/>
        <w:rPr>
          <w:rFonts w:hint="eastAsia"/>
        </w:rPr>
      </w:pPr>
      <w:r>
        <w:rPr>
          <w:rFonts w:hint="eastAsia"/>
        </w:rPr>
        <w:t xml:space="preserve">underlying tuberculous lymphadenitis in a healthcare professional; however, the </w:t>
      </w:r>
    </w:p>
    <w:p w14:paraId="1027BEF2">
      <w:pPr>
        <w:pStyle w:val="2"/>
        <w:rPr>
          <w:rFonts w:hint="eastAsia"/>
        </w:rPr>
      </w:pPr>
      <w:r>
        <w:rPr>
          <w:rFonts w:hint="eastAsia"/>
        </w:rPr>
        <w:t>source of tuberculosis (TB) exposure could not be established.</w:t>
      </w:r>
    </w:p>
    <w:p w14:paraId="091D6F8A">
      <w:pPr>
        <w:pStyle w:val="2"/>
        <w:rPr>
          <w:rFonts w:hint="eastAsia"/>
        </w:rPr>
      </w:pPr>
      <w:r>
        <w:rPr>
          <w:rFonts w:hint="eastAsia"/>
          <w:b/>
          <w:bCs/>
        </w:rPr>
        <w:t>CASE DESCRIPTION</w:t>
      </w:r>
      <w:r>
        <w:rPr>
          <w:rFonts w:hint="eastAsia"/>
        </w:rPr>
        <w:t xml:space="preserve">: A 36-year-old primary care physician with 12 years of clinical </w:t>
      </w:r>
    </w:p>
    <w:p w14:paraId="7C4A4E2D">
      <w:pPr>
        <w:pStyle w:val="2"/>
        <w:rPr>
          <w:rFonts w:hint="eastAsia"/>
        </w:rPr>
      </w:pPr>
      <w:r>
        <w:rPr>
          <w:rFonts w:hint="eastAsia"/>
        </w:rPr>
        <w:t xml:space="preserve">experience presented with a 1-day history of sudden wavy line vision </w:t>
      </w:r>
    </w:p>
    <w:p w14:paraId="7A22618B">
      <w:pPr>
        <w:pStyle w:val="2"/>
        <w:rPr>
          <w:rFonts w:hint="eastAsia"/>
        </w:rPr>
      </w:pPr>
      <w:r>
        <w:rPr>
          <w:rFonts w:hint="eastAsia"/>
        </w:rPr>
        <w:t xml:space="preserve">(metamorphopsia) and a central scotoma in her left eye. Slit-lamp examination </w:t>
      </w:r>
    </w:p>
    <w:p w14:paraId="06457E11">
      <w:pPr>
        <w:pStyle w:val="2"/>
        <w:rPr>
          <w:rFonts w:hint="eastAsia"/>
        </w:rPr>
      </w:pPr>
      <w:r>
        <w:rPr>
          <w:rFonts w:hint="eastAsia"/>
        </w:rPr>
        <w:t xml:space="preserve">revealed a solitary yellowish choroidal granuloma with a baseline best-corrected </w:t>
      </w:r>
    </w:p>
    <w:p w14:paraId="5CBB96DD">
      <w:pPr>
        <w:pStyle w:val="2"/>
        <w:rPr>
          <w:rFonts w:hint="eastAsia"/>
        </w:rPr>
      </w:pPr>
      <w:r>
        <w:rPr>
          <w:rFonts w:hint="eastAsia"/>
        </w:rPr>
        <w:t xml:space="preserve">visual acuity (BCVA) of 6/9. Although she was systemically asymptomatic, a </w:t>
      </w:r>
    </w:p>
    <w:p w14:paraId="095A0792">
      <w:pPr>
        <w:pStyle w:val="2"/>
        <w:rPr>
          <w:rFonts w:hint="eastAsia"/>
        </w:rPr>
      </w:pPr>
      <w:r>
        <w:rPr>
          <w:rFonts w:hint="eastAsia"/>
        </w:rPr>
        <w:t xml:space="preserve">further investigation workup led to a diagnosis of presumptive OTB with </w:t>
      </w:r>
    </w:p>
    <w:p w14:paraId="59D11E00">
      <w:pPr>
        <w:pStyle w:val="2"/>
        <w:rPr>
          <w:rFonts w:hint="eastAsia"/>
        </w:rPr>
      </w:pPr>
      <w:r>
        <w:rPr>
          <w:rFonts w:hint="eastAsia"/>
        </w:rPr>
        <w:t xml:space="preserve">underlying tuberculous lymphadenitis. This was supported by a positive Mantoux </w:t>
      </w:r>
    </w:p>
    <w:p w14:paraId="1C9E6970">
      <w:pPr>
        <w:pStyle w:val="2"/>
        <w:rPr>
          <w:rFonts w:hint="eastAsia"/>
        </w:rPr>
      </w:pPr>
      <w:r>
        <w:rPr>
          <w:rFonts w:hint="eastAsia"/>
        </w:rPr>
        <w:t xml:space="preserve">test (14 mm), a positive interferon-gamma release assay (IGRA), and bilateral </w:t>
      </w:r>
    </w:p>
    <w:p w14:paraId="1442071C">
      <w:pPr>
        <w:pStyle w:val="2"/>
        <w:rPr>
          <w:rFonts w:hint="eastAsia"/>
        </w:rPr>
      </w:pPr>
      <w:r>
        <w:rPr>
          <w:rFonts w:hint="eastAsia"/>
        </w:rPr>
        <w:t xml:space="preserve">hilar lymphadenopathy on a contrast-enhanced computed tomography (CECT) thorax. </w:t>
      </w:r>
    </w:p>
    <w:p w14:paraId="025BD7FF">
      <w:pPr>
        <w:pStyle w:val="2"/>
        <w:rPr>
          <w:rFonts w:hint="eastAsia"/>
        </w:rPr>
      </w:pPr>
      <w:r>
        <w:rPr>
          <w:rFonts w:hint="eastAsia"/>
        </w:rPr>
        <w:t xml:space="preserve">Following the initiation of a nine-month course of anti-tuberculosis therapy </w:t>
      </w:r>
    </w:p>
    <w:p w14:paraId="294B94B5">
      <w:pPr>
        <w:pStyle w:val="2"/>
        <w:rPr>
          <w:rFonts w:hint="eastAsia"/>
        </w:rPr>
      </w:pPr>
      <w:r>
        <w:rPr>
          <w:rFonts w:hint="eastAsia"/>
        </w:rPr>
        <w:t xml:space="preserve">(ATT), the patient's vision fully restored to 6/6 alongside complete resolution </w:t>
      </w:r>
    </w:p>
    <w:p w14:paraId="1D95B4A1">
      <w:pPr>
        <w:pStyle w:val="2"/>
        <w:rPr>
          <w:rFonts w:hint="eastAsia"/>
        </w:rPr>
      </w:pPr>
      <w:r>
        <w:rPr>
          <w:rFonts w:hint="eastAsia"/>
        </w:rPr>
        <w:t xml:space="preserve">of the choroidal lesion, and she remained entirely recurrence-free at the 1-year </w:t>
      </w:r>
    </w:p>
    <w:p w14:paraId="1EE8BA90">
      <w:pPr>
        <w:pStyle w:val="2"/>
        <w:rPr>
          <w:rFonts w:hint="eastAsia"/>
        </w:rPr>
      </w:pPr>
      <w:r>
        <w:rPr>
          <w:rFonts w:hint="eastAsia"/>
        </w:rPr>
        <w:t>follow-up.</w:t>
      </w:r>
    </w:p>
    <w:p w14:paraId="2BBA21F3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This case underscores the eye's role as a potential clinical </w:t>
      </w:r>
    </w:p>
    <w:p w14:paraId="08BB40D1">
      <w:pPr>
        <w:pStyle w:val="2"/>
        <w:rPr>
          <w:rFonts w:hint="eastAsia"/>
        </w:rPr>
      </w:pPr>
      <w:r>
        <w:rPr>
          <w:rFonts w:hint="eastAsia"/>
        </w:rPr>
        <w:t xml:space="preserve">indicator for occult systemic TB. In endemic regions, unexplained </w:t>
      </w:r>
    </w:p>
    <w:p w14:paraId="11952415">
      <w:pPr>
        <w:pStyle w:val="2"/>
        <w:rPr>
          <w:rFonts w:hint="eastAsia"/>
        </w:rPr>
      </w:pPr>
      <w:r>
        <w:rPr>
          <w:rFonts w:hint="eastAsia"/>
        </w:rPr>
        <w:t xml:space="preserve">posterior-segment ocular findings should prompt consideration of extra-pulmonary </w:t>
      </w:r>
    </w:p>
    <w:p w14:paraId="728A87DE">
      <w:pPr>
        <w:pStyle w:val="2"/>
        <w:rPr>
          <w:rFonts w:hint="eastAsia"/>
        </w:rPr>
      </w:pPr>
      <w:r>
        <w:rPr>
          <w:rFonts w:hint="eastAsia"/>
        </w:rPr>
        <w:t xml:space="preserve">TB workup, even in the absence of pulmonary symptoms. Diagnosing OTB remains a </w:t>
      </w:r>
    </w:p>
    <w:p w14:paraId="2C8AE4B1">
      <w:pPr>
        <w:pStyle w:val="2"/>
        <w:rPr>
          <w:rFonts w:hint="eastAsia"/>
        </w:rPr>
      </w:pPr>
      <w:r>
        <w:rPr>
          <w:rFonts w:hint="eastAsia"/>
        </w:rPr>
        <w:t xml:space="preserve">complex clinical challenge as it is predominantly a presumptive diagnosis, where </w:t>
      </w:r>
    </w:p>
    <w:p w14:paraId="53052E66">
      <w:pPr>
        <w:pStyle w:val="2"/>
        <w:rPr>
          <w:rFonts w:hint="eastAsia"/>
        </w:rPr>
      </w:pPr>
      <w:r>
        <w:rPr>
          <w:rFonts w:hint="eastAsia"/>
        </w:rPr>
        <w:t xml:space="preserve">definitive confirmation typically necessitates high-risk, invasive procedures </w:t>
      </w:r>
    </w:p>
    <w:p w14:paraId="36EB5888">
      <w:pPr>
        <w:pStyle w:val="2"/>
        <w:rPr>
          <w:rFonts w:hint="eastAsia"/>
        </w:rPr>
      </w:pPr>
      <w:r>
        <w:rPr>
          <w:rFonts w:hint="eastAsia"/>
        </w:rPr>
        <w:t>that rarely yield the pathogen.</w:t>
      </w:r>
    </w:p>
    <w:p w14:paraId="21614CFF">
      <w:pPr>
        <w:pStyle w:val="2"/>
        <w:rPr>
          <w:rFonts w:hint="eastAsia"/>
        </w:rPr>
      </w:pPr>
    </w:p>
    <w:p w14:paraId="78B50419">
      <w:pPr>
        <w:pStyle w:val="2"/>
        <w:rPr>
          <w:rFonts w:hint="eastAsia"/>
        </w:rPr>
      </w:pPr>
      <w:r>
        <w:rPr>
          <w:rFonts w:hint="eastAsia"/>
        </w:rPr>
        <w:t>© AME Publishing Company.</w:t>
      </w:r>
    </w:p>
    <w:p w14:paraId="711687EF">
      <w:pPr>
        <w:pStyle w:val="2"/>
        <w:rPr>
          <w:rFonts w:hint="eastAsia"/>
        </w:rPr>
      </w:pPr>
    </w:p>
    <w:p w14:paraId="7E872329">
      <w:pPr>
        <w:pStyle w:val="2"/>
        <w:rPr>
          <w:rFonts w:hint="eastAsia"/>
        </w:rPr>
      </w:pPr>
      <w:r>
        <w:rPr>
          <w:rFonts w:hint="eastAsia"/>
        </w:rPr>
        <w:t>DOI: 10.21037/acr-2026-0154</w:t>
      </w:r>
    </w:p>
    <w:p w14:paraId="7EE0C198">
      <w:pPr>
        <w:pStyle w:val="2"/>
        <w:rPr>
          <w:rFonts w:hint="eastAsia"/>
        </w:rPr>
      </w:pPr>
      <w:r>
        <w:rPr>
          <w:rFonts w:hint="eastAsia"/>
        </w:rPr>
        <w:t>PMCID: PMC13659138</w:t>
      </w:r>
    </w:p>
    <w:p w14:paraId="36DBF76F">
      <w:pPr>
        <w:pStyle w:val="2"/>
        <w:rPr>
          <w:rFonts w:hint="eastAsia"/>
        </w:rPr>
      </w:pPr>
      <w:r>
        <w:rPr>
          <w:rFonts w:hint="eastAsia"/>
        </w:rPr>
        <w:t>PMID: 42871294</w:t>
      </w:r>
    </w:p>
    <w:p w14:paraId="1D2C677E">
      <w:pPr>
        <w:pStyle w:val="2"/>
        <w:rPr>
          <w:rFonts w:hint="eastAsia"/>
        </w:rPr>
      </w:pPr>
    </w:p>
    <w:p w14:paraId="265A588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84</w:t>
      </w:r>
      <w:r>
        <w:rPr>
          <w:rFonts w:hint="eastAsia"/>
          <w:b/>
          <w:bCs/>
          <w:color w:val="FF0000"/>
        </w:rPr>
        <w:t>. Carbohydr Res. 2026 Sep 29;570:110117. doi: 10.1016/j.carres.2026.110117. Online ahead of print.</w:t>
      </w:r>
    </w:p>
    <w:p w14:paraId="18FBFCAC">
      <w:pPr>
        <w:pStyle w:val="2"/>
        <w:rPr>
          <w:rFonts w:hint="eastAsia"/>
        </w:rPr>
      </w:pPr>
    </w:p>
    <w:p w14:paraId="3FA3366F">
      <w:pPr>
        <w:pStyle w:val="2"/>
        <w:rPr>
          <w:rFonts w:hint="eastAsia"/>
        </w:rPr>
      </w:pPr>
      <w:r>
        <w:rPr>
          <w:rFonts w:hint="eastAsia"/>
        </w:rPr>
        <w:t xml:space="preserve">Convergent gold-catalyzed synthesis of a partially protected MTX-capped </w:t>
      </w:r>
    </w:p>
    <w:p w14:paraId="7967CF81">
      <w:pPr>
        <w:pStyle w:val="2"/>
        <w:rPr>
          <w:rFonts w:hint="eastAsia"/>
        </w:rPr>
      </w:pPr>
      <w:r>
        <w:rPr>
          <w:rFonts w:hint="eastAsia"/>
        </w:rPr>
        <w:t>octasaccharide motif of Mycobacterium tuberculosis lipoarabinomannan.</w:t>
      </w:r>
    </w:p>
    <w:p w14:paraId="4781B974">
      <w:pPr>
        <w:pStyle w:val="2"/>
        <w:rPr>
          <w:rFonts w:hint="eastAsia"/>
        </w:rPr>
      </w:pPr>
    </w:p>
    <w:p w14:paraId="0BDD95C8">
      <w:pPr>
        <w:pStyle w:val="2"/>
        <w:rPr>
          <w:rFonts w:hint="eastAsia"/>
        </w:rPr>
      </w:pPr>
      <w:r>
        <w:rPr>
          <w:rFonts w:hint="eastAsia"/>
        </w:rPr>
        <w:t>Prasad K(1), Hotha S(2).</w:t>
      </w:r>
    </w:p>
    <w:p w14:paraId="3F839E2C">
      <w:pPr>
        <w:pStyle w:val="2"/>
        <w:rPr>
          <w:rFonts w:hint="eastAsia"/>
        </w:rPr>
      </w:pPr>
    </w:p>
    <w:p w14:paraId="6D312F3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AF91E6A">
      <w:pPr>
        <w:pStyle w:val="2"/>
        <w:rPr>
          <w:rFonts w:hint="eastAsia"/>
        </w:rPr>
      </w:pPr>
      <w:r>
        <w:rPr>
          <w:rFonts w:hint="eastAsia"/>
        </w:rPr>
        <w:t xml:space="preserve">(1)Department of Chemistry, Indian Institute of Science Education and Research </w:t>
      </w:r>
    </w:p>
    <w:p w14:paraId="11BEB429">
      <w:pPr>
        <w:pStyle w:val="2"/>
        <w:rPr>
          <w:rFonts w:hint="eastAsia"/>
        </w:rPr>
      </w:pPr>
      <w:r>
        <w:rPr>
          <w:rFonts w:hint="eastAsia"/>
        </w:rPr>
        <w:t>Pune, Pune, 411 008, India.</w:t>
      </w:r>
    </w:p>
    <w:p w14:paraId="5789DF39">
      <w:pPr>
        <w:pStyle w:val="2"/>
        <w:rPr>
          <w:rFonts w:hint="eastAsia"/>
        </w:rPr>
      </w:pPr>
      <w:r>
        <w:rPr>
          <w:rFonts w:hint="eastAsia"/>
        </w:rPr>
        <w:t xml:space="preserve">(2)Department of Chemistry, Indian Institute of Science Education and Research </w:t>
      </w:r>
    </w:p>
    <w:p w14:paraId="4D497373">
      <w:pPr>
        <w:pStyle w:val="2"/>
        <w:rPr>
          <w:rFonts w:hint="eastAsia"/>
        </w:rPr>
      </w:pPr>
      <w:r>
        <w:rPr>
          <w:rFonts w:hint="eastAsia"/>
        </w:rPr>
        <w:t>Pune, Pune, 411 008, India. Electronic address: s.hotha@iiserpune.ac.in.</w:t>
      </w:r>
    </w:p>
    <w:p w14:paraId="7DB88B73">
      <w:pPr>
        <w:pStyle w:val="2"/>
        <w:rPr>
          <w:rFonts w:hint="eastAsia"/>
        </w:rPr>
      </w:pPr>
    </w:p>
    <w:p w14:paraId="2551C152">
      <w:pPr>
        <w:pStyle w:val="2"/>
        <w:rPr>
          <w:rFonts w:hint="eastAsia"/>
        </w:rPr>
      </w:pPr>
      <w:r>
        <w:rPr>
          <w:rFonts w:hint="eastAsia"/>
        </w:rPr>
        <w:t xml:space="preserve">Tuberculosis (TB), caused by Mycobacterium tuberculosis (Mtb), remains one of </w:t>
      </w:r>
    </w:p>
    <w:p w14:paraId="11F6F75E">
      <w:pPr>
        <w:pStyle w:val="2"/>
        <w:rPr>
          <w:rFonts w:hint="eastAsia"/>
        </w:rPr>
      </w:pPr>
      <w:r>
        <w:rPr>
          <w:rFonts w:hint="eastAsia"/>
        </w:rPr>
        <w:t xml:space="preserve">the leading causes of death from a single infectious agent worldwide. The </w:t>
      </w:r>
    </w:p>
    <w:p w14:paraId="6FB58F07">
      <w:pPr>
        <w:pStyle w:val="2"/>
        <w:rPr>
          <w:rFonts w:hint="eastAsia"/>
        </w:rPr>
      </w:pPr>
      <w:r>
        <w:rPr>
          <w:rFonts w:hint="eastAsia"/>
        </w:rPr>
        <w:t xml:space="preserve">emergence of multidrug-resistant (MDR) and extensively drug resistant (XDR) </w:t>
      </w:r>
    </w:p>
    <w:p w14:paraId="52FF4F6D">
      <w:pPr>
        <w:pStyle w:val="2"/>
        <w:rPr>
          <w:rFonts w:hint="eastAsia"/>
        </w:rPr>
      </w:pPr>
      <w:r>
        <w:rPr>
          <w:rFonts w:hint="eastAsia"/>
        </w:rPr>
        <w:t xml:space="preserve">strains has further compounded the need for effective intervention strategies </w:t>
      </w:r>
    </w:p>
    <w:p w14:paraId="653B2265">
      <w:pPr>
        <w:pStyle w:val="2"/>
        <w:rPr>
          <w:rFonts w:hint="eastAsia"/>
        </w:rPr>
      </w:pPr>
      <w:r>
        <w:rPr>
          <w:rFonts w:hint="eastAsia"/>
        </w:rPr>
        <w:t xml:space="preserve">and rapid diagnostic approaches. One of the striking features of Mtb is its </w:t>
      </w:r>
    </w:p>
    <w:p w14:paraId="7E56CCF1">
      <w:pPr>
        <w:pStyle w:val="2"/>
        <w:rPr>
          <w:rFonts w:hint="eastAsia"/>
        </w:rPr>
      </w:pPr>
      <w:r>
        <w:rPr>
          <w:rFonts w:hint="eastAsia"/>
        </w:rPr>
        <w:t xml:space="preserve">remarkably thick and waxy cell wall characterized by the presence of </w:t>
      </w:r>
    </w:p>
    <w:p w14:paraId="1CCF0D19">
      <w:pPr>
        <w:pStyle w:val="2"/>
        <w:rPr>
          <w:rFonts w:hint="eastAsia"/>
        </w:rPr>
      </w:pPr>
      <w:r>
        <w:rPr>
          <w:rFonts w:hint="eastAsia"/>
        </w:rPr>
        <w:t xml:space="preserve">arabinogalactan (AG), lipoarabinomannan (LAM), peptidoglycan and mycolic acids. </w:t>
      </w:r>
    </w:p>
    <w:p w14:paraId="2DD79D6F">
      <w:pPr>
        <w:pStyle w:val="2"/>
        <w:rPr>
          <w:rFonts w:hint="eastAsia"/>
        </w:rPr>
      </w:pPr>
      <w:r>
        <w:rPr>
          <w:rFonts w:hint="eastAsia"/>
        </w:rPr>
        <w:t xml:space="preserve">Further, arabinose and galactose residues in AG and LAM occur in the furanose </w:t>
      </w:r>
    </w:p>
    <w:p w14:paraId="48949C32">
      <w:pPr>
        <w:pStyle w:val="2"/>
        <w:rPr>
          <w:rFonts w:hint="eastAsia"/>
        </w:rPr>
      </w:pPr>
      <w:r>
        <w:rPr>
          <w:rFonts w:hint="eastAsia"/>
        </w:rPr>
        <w:t xml:space="preserve">form whereas the mannose occurs in the pyranose form. The terminal mannose-cap </w:t>
      </w:r>
    </w:p>
    <w:p w14:paraId="6149F85D">
      <w:pPr>
        <w:pStyle w:val="2"/>
        <w:rPr>
          <w:rFonts w:hint="eastAsia"/>
        </w:rPr>
      </w:pPr>
      <w:r>
        <w:rPr>
          <w:rFonts w:hint="eastAsia"/>
        </w:rPr>
        <w:t xml:space="preserve">region of Mtb LAM contains the unusual 5-deoxy-5-methylthio-D-Xylf (MTX) </w:t>
      </w:r>
    </w:p>
    <w:p w14:paraId="07C3DFA6">
      <w:pPr>
        <w:pStyle w:val="2"/>
        <w:rPr>
          <w:rFonts w:hint="eastAsia"/>
        </w:rPr>
      </w:pPr>
      <w:r>
        <w:rPr>
          <w:rFonts w:hint="eastAsia"/>
        </w:rPr>
        <w:t xml:space="preserve">residue, a rare sugar that shields mannose caps from recognition by host immune </w:t>
      </w:r>
    </w:p>
    <w:p w14:paraId="39F3D1AA">
      <w:pPr>
        <w:pStyle w:val="2"/>
        <w:rPr>
          <w:rFonts w:hint="eastAsia"/>
        </w:rPr>
      </w:pPr>
      <w:r>
        <w:rPr>
          <w:rFonts w:hint="eastAsia"/>
        </w:rPr>
        <w:t xml:space="preserve">receptors. The presence of MTX moiety in the terminal portion poses a </w:t>
      </w:r>
    </w:p>
    <w:p w14:paraId="1B495A2A">
      <w:pPr>
        <w:pStyle w:val="2"/>
        <w:rPr>
          <w:rFonts w:hint="eastAsia"/>
        </w:rPr>
      </w:pPr>
      <w:r>
        <w:rPr>
          <w:rFonts w:hint="eastAsia"/>
        </w:rPr>
        <w:t xml:space="preserve">significant synthetic challenge while assembling the LAM fragments. In this </w:t>
      </w:r>
    </w:p>
    <w:p w14:paraId="38E9827C">
      <w:pPr>
        <w:pStyle w:val="2"/>
        <w:rPr>
          <w:rFonts w:hint="eastAsia"/>
        </w:rPr>
      </w:pPr>
      <w:r>
        <w:rPr>
          <w:rFonts w:hint="eastAsia"/>
        </w:rPr>
        <w:t xml:space="preserve">endeavour, we have developed a convergent strategy for the synthesis of the </w:t>
      </w:r>
    </w:p>
    <w:p w14:paraId="337C1B8A">
      <w:pPr>
        <w:pStyle w:val="2"/>
        <w:rPr>
          <w:rFonts w:hint="eastAsia"/>
        </w:rPr>
      </w:pPr>
      <w:r>
        <w:rPr>
          <w:rFonts w:hint="eastAsia"/>
        </w:rPr>
        <w:t xml:space="preserve">terminal octasaccharide moiety using silver-assisted gold-catalyzed </w:t>
      </w:r>
    </w:p>
    <w:p w14:paraId="09575339">
      <w:pPr>
        <w:pStyle w:val="2"/>
        <w:rPr>
          <w:rFonts w:hint="eastAsia"/>
        </w:rPr>
      </w:pPr>
      <w:r>
        <w:rPr>
          <w:rFonts w:hint="eastAsia"/>
        </w:rPr>
        <w:t xml:space="preserve">glycosylations. A key feature of this approach is the late-stage installation of </w:t>
      </w:r>
    </w:p>
    <w:p w14:paraId="0503B029">
      <w:pPr>
        <w:pStyle w:val="2"/>
        <w:rPr>
          <w:rFonts w:hint="eastAsia"/>
        </w:rPr>
      </w:pPr>
      <w:r>
        <w:rPr>
          <w:rFonts w:hint="eastAsia"/>
        </w:rPr>
        <w:t>the methylthio functionality enabling the synthetic flexibility and versatility.</w:t>
      </w:r>
    </w:p>
    <w:p w14:paraId="0B42F5EF">
      <w:pPr>
        <w:pStyle w:val="2"/>
        <w:rPr>
          <w:rFonts w:hint="eastAsia"/>
        </w:rPr>
      </w:pPr>
    </w:p>
    <w:p w14:paraId="535ABE1D">
      <w:pPr>
        <w:pStyle w:val="2"/>
        <w:rPr>
          <w:rFonts w:hint="eastAsia"/>
        </w:rPr>
      </w:pPr>
      <w:r>
        <w:rPr>
          <w:rFonts w:hint="eastAsia"/>
        </w:rPr>
        <w:t>Copyright © 2026 Elsevier Ltd. All rights reserved.</w:t>
      </w:r>
    </w:p>
    <w:p w14:paraId="36601107">
      <w:pPr>
        <w:pStyle w:val="2"/>
        <w:rPr>
          <w:rFonts w:hint="eastAsia"/>
        </w:rPr>
      </w:pPr>
    </w:p>
    <w:p w14:paraId="30C7094C">
      <w:pPr>
        <w:pStyle w:val="2"/>
        <w:rPr>
          <w:rFonts w:hint="eastAsia"/>
        </w:rPr>
      </w:pPr>
      <w:r>
        <w:rPr>
          <w:rFonts w:hint="eastAsia"/>
        </w:rPr>
        <w:t>DOI: 10.1016/j.carres.2026.110117</w:t>
      </w:r>
    </w:p>
    <w:p w14:paraId="6E66F450">
      <w:pPr>
        <w:pStyle w:val="2"/>
        <w:rPr>
          <w:rFonts w:hint="eastAsia"/>
        </w:rPr>
      </w:pPr>
      <w:r>
        <w:rPr>
          <w:rFonts w:hint="eastAsia"/>
        </w:rPr>
        <w:t>PMID: 42868866</w:t>
      </w:r>
    </w:p>
    <w:p w14:paraId="2573EE8E">
      <w:pPr>
        <w:pStyle w:val="2"/>
        <w:rPr>
          <w:rFonts w:hint="eastAsia"/>
        </w:rPr>
      </w:pPr>
    </w:p>
    <w:p w14:paraId="2C42771F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85</w:t>
      </w:r>
      <w:r>
        <w:rPr>
          <w:rFonts w:hint="eastAsia"/>
          <w:b/>
          <w:bCs/>
          <w:color w:val="FF0000"/>
        </w:rPr>
        <w:t xml:space="preserve">. Int Med Case Rep J. 2026 Oct 8;19:638587. doi: 10.2147/IMCRJ.S638587. </w:t>
      </w:r>
    </w:p>
    <w:p w14:paraId="4C4A276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62E2EE3A">
      <w:pPr>
        <w:pStyle w:val="2"/>
        <w:rPr>
          <w:rFonts w:hint="eastAsia"/>
        </w:rPr>
      </w:pPr>
    </w:p>
    <w:p w14:paraId="3B51AE02">
      <w:pPr>
        <w:pStyle w:val="2"/>
        <w:rPr>
          <w:rFonts w:hint="eastAsia"/>
        </w:rPr>
      </w:pPr>
      <w:r>
        <w:rPr>
          <w:rFonts w:hint="eastAsia"/>
        </w:rPr>
        <w:t xml:space="preserve">Pancreatic Tuberculosis Mimicking Pancreatic Cancer in a Young Immunocompetent </w:t>
      </w:r>
    </w:p>
    <w:p w14:paraId="35F400A5">
      <w:pPr>
        <w:pStyle w:val="2"/>
        <w:rPr>
          <w:rFonts w:hint="eastAsia"/>
        </w:rPr>
      </w:pPr>
      <w:r>
        <w:rPr>
          <w:rFonts w:hint="eastAsia"/>
        </w:rPr>
        <w:t>Man: A Case Report and Literature Review.</w:t>
      </w:r>
    </w:p>
    <w:p w14:paraId="09BB0A59">
      <w:pPr>
        <w:pStyle w:val="2"/>
        <w:rPr>
          <w:rFonts w:hint="eastAsia"/>
        </w:rPr>
      </w:pPr>
    </w:p>
    <w:p w14:paraId="04D77A70">
      <w:pPr>
        <w:pStyle w:val="2"/>
        <w:rPr>
          <w:rFonts w:hint="eastAsia"/>
        </w:rPr>
      </w:pPr>
      <w:r>
        <w:rPr>
          <w:rFonts w:hint="eastAsia"/>
        </w:rPr>
        <w:t xml:space="preserve">Kazemi K(1), Soleimani N(2), Jafari M(1), Pouraminaee F(3), Dehghani Z(2), </w:t>
      </w:r>
    </w:p>
    <w:p w14:paraId="3216B043">
      <w:pPr>
        <w:pStyle w:val="2"/>
        <w:rPr>
          <w:rFonts w:hint="eastAsia"/>
        </w:rPr>
      </w:pPr>
      <w:r>
        <w:rPr>
          <w:rFonts w:hint="eastAsia"/>
        </w:rPr>
        <w:t>Mohammadzadeh S(2), Dehbanizadeh S(4).</w:t>
      </w:r>
    </w:p>
    <w:p w14:paraId="6B56B85E">
      <w:pPr>
        <w:pStyle w:val="2"/>
        <w:rPr>
          <w:rFonts w:hint="eastAsia"/>
        </w:rPr>
      </w:pPr>
    </w:p>
    <w:p w14:paraId="6F87A27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F47D319">
      <w:pPr>
        <w:pStyle w:val="2"/>
        <w:rPr>
          <w:rFonts w:hint="eastAsia"/>
        </w:rPr>
      </w:pPr>
      <w:r>
        <w:rPr>
          <w:rFonts w:hint="eastAsia"/>
        </w:rPr>
        <w:t xml:space="preserve">(1)Department of Surgery, Shiraz Transplant Center, Abu Ali Sina Hospital, </w:t>
      </w:r>
    </w:p>
    <w:p w14:paraId="4B84FCC3">
      <w:pPr>
        <w:pStyle w:val="2"/>
        <w:rPr>
          <w:rFonts w:hint="eastAsia"/>
        </w:rPr>
      </w:pPr>
      <w:r>
        <w:rPr>
          <w:rFonts w:hint="eastAsia"/>
        </w:rPr>
        <w:t>Shiraz University of Medical Sciences, Shiraz, Iran.</w:t>
      </w:r>
    </w:p>
    <w:p w14:paraId="558BD3BA">
      <w:pPr>
        <w:pStyle w:val="2"/>
        <w:rPr>
          <w:rFonts w:hint="eastAsia"/>
        </w:rPr>
      </w:pPr>
      <w:r>
        <w:rPr>
          <w:rFonts w:hint="eastAsia"/>
        </w:rPr>
        <w:t xml:space="preserve">(2)Department of Pathology, Shiraz Medical School, Shiraz University of Medical </w:t>
      </w:r>
    </w:p>
    <w:p w14:paraId="3A6E266C">
      <w:pPr>
        <w:pStyle w:val="2"/>
        <w:rPr>
          <w:rFonts w:hint="eastAsia"/>
        </w:rPr>
      </w:pPr>
      <w:r>
        <w:rPr>
          <w:rFonts w:hint="eastAsia"/>
        </w:rPr>
        <w:t>Sciences, Shiraz, Iran.</w:t>
      </w:r>
    </w:p>
    <w:p w14:paraId="61BA3511">
      <w:pPr>
        <w:pStyle w:val="2"/>
        <w:rPr>
          <w:rFonts w:hint="eastAsia"/>
        </w:rPr>
      </w:pPr>
      <w:r>
        <w:rPr>
          <w:rFonts w:hint="eastAsia"/>
        </w:rPr>
        <w:t xml:space="preserve">(3)Pathology Research Center, Shiraz University of Medical Sciences, Shiraz, </w:t>
      </w:r>
    </w:p>
    <w:p w14:paraId="09697834">
      <w:pPr>
        <w:pStyle w:val="2"/>
        <w:rPr>
          <w:rFonts w:hint="eastAsia"/>
        </w:rPr>
      </w:pPr>
      <w:r>
        <w:rPr>
          <w:rFonts w:hint="eastAsia"/>
        </w:rPr>
        <w:t>Iran.</w:t>
      </w:r>
    </w:p>
    <w:p w14:paraId="7C4C2350">
      <w:pPr>
        <w:pStyle w:val="2"/>
        <w:rPr>
          <w:rFonts w:hint="eastAsia"/>
        </w:rPr>
      </w:pPr>
      <w:r>
        <w:rPr>
          <w:rFonts w:hint="eastAsia"/>
        </w:rPr>
        <w:t xml:space="preserve">(4)Department of Radiology, Shiraz Transplant Center, Abu Ali Sina Hospital, </w:t>
      </w:r>
    </w:p>
    <w:p w14:paraId="1BEC8935">
      <w:pPr>
        <w:pStyle w:val="2"/>
        <w:rPr>
          <w:rFonts w:hint="eastAsia"/>
        </w:rPr>
      </w:pPr>
      <w:r>
        <w:rPr>
          <w:rFonts w:hint="eastAsia"/>
        </w:rPr>
        <w:t>Shiraz University of Medical Sciences, Shiraz, Iran.</w:t>
      </w:r>
    </w:p>
    <w:p w14:paraId="7BA99AA4">
      <w:pPr>
        <w:pStyle w:val="2"/>
        <w:rPr>
          <w:rFonts w:hint="eastAsia"/>
        </w:rPr>
      </w:pPr>
    </w:p>
    <w:p w14:paraId="77A69F53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Pancreatic TB is extremely rare, even in endemic areas. Clinically </w:t>
      </w:r>
    </w:p>
    <w:p w14:paraId="04A33005">
      <w:pPr>
        <w:pStyle w:val="2"/>
        <w:rPr>
          <w:rFonts w:hint="eastAsia"/>
        </w:rPr>
      </w:pPr>
      <w:r>
        <w:rPr>
          <w:rFonts w:hint="eastAsia"/>
        </w:rPr>
        <w:t xml:space="preserve">and radiographically, it may resemble a malignant process. Herein, we present a </w:t>
      </w:r>
    </w:p>
    <w:p w14:paraId="7B16A776">
      <w:pPr>
        <w:pStyle w:val="2"/>
        <w:rPr>
          <w:rFonts w:hint="eastAsia"/>
        </w:rPr>
      </w:pPr>
      <w:r>
        <w:rPr>
          <w:rFonts w:hint="eastAsia"/>
        </w:rPr>
        <w:t xml:space="preserve">case of pancreatic TB who underwent surgery with a preoperative diagnosis of </w:t>
      </w:r>
    </w:p>
    <w:p w14:paraId="347B330B">
      <w:pPr>
        <w:pStyle w:val="2"/>
        <w:rPr>
          <w:rFonts w:hint="eastAsia"/>
        </w:rPr>
      </w:pPr>
      <w:r>
        <w:rPr>
          <w:rFonts w:hint="eastAsia"/>
        </w:rPr>
        <w:t>pancreatic malignancy.</w:t>
      </w:r>
    </w:p>
    <w:p w14:paraId="1179610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CASE PRESENTATION: </w:t>
      </w:r>
      <w:r>
        <w:rPr>
          <w:rFonts w:hint="eastAsia"/>
        </w:rPr>
        <w:t xml:space="preserve">A 34-year-old Afghan man presented with a one-year history of </w:t>
      </w:r>
    </w:p>
    <w:p w14:paraId="46ED6146">
      <w:pPr>
        <w:pStyle w:val="2"/>
        <w:rPr>
          <w:rFonts w:hint="eastAsia"/>
        </w:rPr>
      </w:pPr>
      <w:r>
        <w:rPr>
          <w:rFonts w:hint="eastAsia"/>
        </w:rPr>
        <w:t xml:space="preserve">intermittent epigastric pain, accompanied by nausea and vomiting. Physical </w:t>
      </w:r>
    </w:p>
    <w:p w14:paraId="3FF76118">
      <w:pPr>
        <w:pStyle w:val="2"/>
        <w:rPr>
          <w:rFonts w:hint="eastAsia"/>
        </w:rPr>
      </w:pPr>
      <w:r>
        <w:rPr>
          <w:rFonts w:hint="eastAsia"/>
        </w:rPr>
        <w:t xml:space="preserve">examination showed stable vital signs with mild epigastric tenderness. </w:t>
      </w:r>
    </w:p>
    <w:p w14:paraId="5B6B2845">
      <w:pPr>
        <w:pStyle w:val="2"/>
        <w:rPr>
          <w:rFonts w:hint="eastAsia"/>
        </w:rPr>
      </w:pPr>
      <w:r>
        <w:rPr>
          <w:rFonts w:hint="eastAsia"/>
        </w:rPr>
        <w:t xml:space="preserve">Laboratory examinations revealed mild anemia with mildly increased liver enzymes </w:t>
      </w:r>
    </w:p>
    <w:p w14:paraId="30C75AEF">
      <w:pPr>
        <w:pStyle w:val="2"/>
        <w:rPr>
          <w:rFonts w:hint="eastAsia"/>
        </w:rPr>
      </w:pPr>
      <w:r>
        <w:rPr>
          <w:rFonts w:hint="eastAsia"/>
        </w:rPr>
        <w:t xml:space="preserve">and lipase. The CA19-9 level in serum was mildly elevated, and the serologic </w:t>
      </w:r>
    </w:p>
    <w:p w14:paraId="3158FCCB">
      <w:pPr>
        <w:pStyle w:val="2"/>
        <w:rPr>
          <w:rFonts w:hint="eastAsia"/>
        </w:rPr>
      </w:pPr>
      <w:r>
        <w:rPr>
          <w:rFonts w:hint="eastAsia"/>
        </w:rPr>
        <w:t xml:space="preserve">test for HIV antibody was negative. An abdominal CT scan revealed a 57×30 mm </w:t>
      </w:r>
    </w:p>
    <w:p w14:paraId="0405CF34">
      <w:pPr>
        <w:pStyle w:val="2"/>
        <w:rPr>
          <w:rFonts w:hint="eastAsia"/>
        </w:rPr>
      </w:pPr>
      <w:r>
        <w:rPr>
          <w:rFonts w:hint="eastAsia"/>
        </w:rPr>
        <w:t xml:space="preserve">multiloculated hypoattenuating mass-like lesion in the head of the pancreas with </w:t>
      </w:r>
    </w:p>
    <w:p w14:paraId="19FCAB26">
      <w:pPr>
        <w:pStyle w:val="2"/>
        <w:rPr>
          <w:rFonts w:hint="eastAsia"/>
        </w:rPr>
      </w:pPr>
      <w:r>
        <w:rPr>
          <w:rFonts w:hint="eastAsia"/>
        </w:rPr>
        <w:t xml:space="preserve">no evidence of biliary system dilation. As EUS-guided fine-needle </w:t>
      </w:r>
    </w:p>
    <w:p w14:paraId="4366FFE1">
      <w:pPr>
        <w:pStyle w:val="2"/>
        <w:rPr>
          <w:rFonts w:hint="eastAsia"/>
        </w:rPr>
      </w:pPr>
      <w:r>
        <w:rPr>
          <w:rFonts w:hint="eastAsia"/>
        </w:rPr>
        <w:t xml:space="preserve">aspiration/biopsy (EUS-FNA/FNB) was not available at our institution and the </w:t>
      </w:r>
    </w:p>
    <w:p w14:paraId="70CF6BD1">
      <w:pPr>
        <w:pStyle w:val="2"/>
        <w:rPr>
          <w:rFonts w:hint="eastAsia"/>
        </w:rPr>
      </w:pPr>
      <w:r>
        <w:rPr>
          <w:rFonts w:hint="eastAsia"/>
        </w:rPr>
        <w:t xml:space="preserve">lesion was highly suspicious for pancreatic malignancy, the patient underwent </w:t>
      </w:r>
    </w:p>
    <w:p w14:paraId="6E09D501">
      <w:pPr>
        <w:pStyle w:val="2"/>
        <w:rPr>
          <w:rFonts w:hint="eastAsia"/>
        </w:rPr>
      </w:pPr>
      <w:r>
        <w:rPr>
          <w:rFonts w:hint="eastAsia"/>
        </w:rPr>
        <w:t xml:space="preserve">Whipple resection. On macroscopic examination, a well-defined creamy soft mass </w:t>
      </w:r>
    </w:p>
    <w:p w14:paraId="4F0FA7C1">
      <w:pPr>
        <w:pStyle w:val="2"/>
        <w:rPr>
          <w:rFonts w:hint="eastAsia"/>
        </w:rPr>
      </w:pPr>
      <w:r>
        <w:rPr>
          <w:rFonts w:hint="eastAsia"/>
        </w:rPr>
        <w:t xml:space="preserve">with necrotic consistency was found in the head of the pancreas. Microscopic </w:t>
      </w:r>
    </w:p>
    <w:p w14:paraId="3178FF32">
      <w:pPr>
        <w:pStyle w:val="2"/>
        <w:rPr>
          <w:rFonts w:hint="eastAsia"/>
        </w:rPr>
      </w:pPr>
      <w:r>
        <w:rPr>
          <w:rFonts w:hint="eastAsia"/>
        </w:rPr>
        <w:t xml:space="preserve">examination showed significant caseating granulomatous inflammation containing </w:t>
      </w:r>
    </w:p>
    <w:p w14:paraId="4E65D763">
      <w:pPr>
        <w:pStyle w:val="2"/>
        <w:rPr>
          <w:rFonts w:hint="eastAsia"/>
        </w:rPr>
      </w:pPr>
      <w:r>
        <w:rPr>
          <w:rFonts w:hint="eastAsia"/>
        </w:rPr>
        <w:t xml:space="preserve">Langhans giant cells, and the Ziehl-Neelsen staining revealed a large number of </w:t>
      </w:r>
    </w:p>
    <w:p w14:paraId="6E367EFF">
      <w:pPr>
        <w:pStyle w:val="2"/>
        <w:rPr>
          <w:rFonts w:hint="eastAsia"/>
        </w:rPr>
      </w:pPr>
      <w:r>
        <w:rPr>
          <w:rFonts w:hint="eastAsia"/>
        </w:rPr>
        <w:t xml:space="preserve">acid-fast positive bacilli in favor of Mycobacterium tuberculosis. Anti-TB </w:t>
      </w:r>
    </w:p>
    <w:p w14:paraId="182AFB79">
      <w:pPr>
        <w:pStyle w:val="2"/>
        <w:rPr>
          <w:rFonts w:hint="eastAsia"/>
        </w:rPr>
      </w:pPr>
      <w:r>
        <w:rPr>
          <w:rFonts w:hint="eastAsia"/>
        </w:rPr>
        <w:t xml:space="preserve">medicine was administered. No clinical or radiologic deficits were discovered </w:t>
      </w:r>
    </w:p>
    <w:p w14:paraId="6365E011">
      <w:pPr>
        <w:pStyle w:val="2"/>
        <w:rPr>
          <w:rFonts w:hint="eastAsia"/>
        </w:rPr>
      </w:pPr>
      <w:r>
        <w:rPr>
          <w:rFonts w:hint="eastAsia"/>
        </w:rPr>
        <w:t>during the 10-month follow-up visits.</w:t>
      </w:r>
    </w:p>
    <w:p w14:paraId="55CFB585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Pancreatic TB should be considered a differential diagnosis in </w:t>
      </w:r>
    </w:p>
    <w:p w14:paraId="209289B7">
      <w:pPr>
        <w:pStyle w:val="2"/>
        <w:rPr>
          <w:rFonts w:hint="eastAsia"/>
        </w:rPr>
      </w:pPr>
      <w:r>
        <w:rPr>
          <w:rFonts w:hint="eastAsia"/>
        </w:rPr>
        <w:t xml:space="preserve">pancreatic lesions, particularly in young patients from tuberculosis-endemic </w:t>
      </w:r>
    </w:p>
    <w:p w14:paraId="570AE162">
      <w:pPr>
        <w:pStyle w:val="2"/>
        <w:rPr>
          <w:rFonts w:hint="eastAsia"/>
        </w:rPr>
      </w:pPr>
      <w:r>
        <w:rPr>
          <w:rFonts w:hint="eastAsia"/>
        </w:rPr>
        <w:t xml:space="preserve">areas. Whenever feasible, preoperative EUS-guided FNA/FNB combined with </w:t>
      </w:r>
    </w:p>
    <w:p w14:paraId="244B3F7C">
      <w:pPr>
        <w:pStyle w:val="2"/>
        <w:rPr>
          <w:rFonts w:hint="eastAsia"/>
        </w:rPr>
      </w:pPr>
      <w:r>
        <w:rPr>
          <w:rFonts w:hint="eastAsia"/>
        </w:rPr>
        <w:t>microbiologic study may help avoid unnecessary invasive surgeries.</w:t>
      </w:r>
    </w:p>
    <w:p w14:paraId="557E6F02">
      <w:pPr>
        <w:pStyle w:val="2"/>
        <w:rPr>
          <w:rFonts w:hint="eastAsia"/>
        </w:rPr>
      </w:pPr>
    </w:p>
    <w:p w14:paraId="1342949D">
      <w:pPr>
        <w:pStyle w:val="2"/>
        <w:rPr>
          <w:rFonts w:hint="eastAsia"/>
        </w:rPr>
      </w:pPr>
      <w:r>
        <w:rPr>
          <w:rFonts w:hint="eastAsia"/>
        </w:rPr>
        <w:t>© 2026 Kazemi et al.</w:t>
      </w:r>
    </w:p>
    <w:p w14:paraId="3B848B1F">
      <w:pPr>
        <w:pStyle w:val="2"/>
        <w:rPr>
          <w:rFonts w:hint="eastAsia"/>
        </w:rPr>
      </w:pPr>
    </w:p>
    <w:p w14:paraId="17D59C3E">
      <w:pPr>
        <w:pStyle w:val="2"/>
        <w:rPr>
          <w:rFonts w:hint="eastAsia"/>
        </w:rPr>
      </w:pPr>
      <w:r>
        <w:rPr>
          <w:rFonts w:hint="eastAsia"/>
        </w:rPr>
        <w:t>DOI: 10.2147/IMCRJ.S638587</w:t>
      </w:r>
    </w:p>
    <w:p w14:paraId="03FE53D0">
      <w:pPr>
        <w:pStyle w:val="2"/>
        <w:rPr>
          <w:rFonts w:hint="eastAsia"/>
        </w:rPr>
      </w:pPr>
      <w:r>
        <w:rPr>
          <w:rFonts w:hint="eastAsia"/>
        </w:rPr>
        <w:t>PMCID: PMC13656929</w:t>
      </w:r>
    </w:p>
    <w:p w14:paraId="08164415">
      <w:pPr>
        <w:pStyle w:val="2"/>
        <w:rPr>
          <w:rFonts w:hint="eastAsia"/>
        </w:rPr>
      </w:pPr>
      <w:r>
        <w:rPr>
          <w:rFonts w:hint="eastAsia"/>
        </w:rPr>
        <w:t>PMID: 42866548 [Indexed for MEDLINE]</w:t>
      </w:r>
    </w:p>
    <w:p w14:paraId="14A5FF2F">
      <w:pPr>
        <w:pStyle w:val="2"/>
        <w:rPr>
          <w:rFonts w:hint="eastAsia"/>
        </w:rPr>
      </w:pPr>
    </w:p>
    <w:p w14:paraId="74921DC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86</w:t>
      </w:r>
      <w:r>
        <w:rPr>
          <w:rFonts w:hint="eastAsia"/>
          <w:b/>
          <w:bCs/>
          <w:color w:val="FF0000"/>
        </w:rPr>
        <w:t xml:space="preserve">. ACS Med Chem Lett. 2026 Sep 3;17(10):2140-2152. doi: </w:t>
      </w:r>
    </w:p>
    <w:p w14:paraId="7B07FAD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10.1021/acsmedchemlett.6c00238. eCollection 2026 Oct 8.</w:t>
      </w:r>
    </w:p>
    <w:p w14:paraId="23DE3C56">
      <w:pPr>
        <w:pStyle w:val="2"/>
        <w:rPr>
          <w:rFonts w:hint="eastAsia"/>
        </w:rPr>
      </w:pPr>
    </w:p>
    <w:p w14:paraId="454AAC6D">
      <w:pPr>
        <w:pStyle w:val="2"/>
        <w:rPr>
          <w:rFonts w:hint="eastAsia"/>
        </w:rPr>
      </w:pPr>
      <w:r>
        <w:rPr>
          <w:rFonts w:hint="eastAsia"/>
        </w:rPr>
        <w:t xml:space="preserve">Targeting Latent Tuberculosis Using Hypoxia-Activated Prodrugs of Bedaquiline </w:t>
      </w:r>
    </w:p>
    <w:p w14:paraId="12C4D69D">
      <w:pPr>
        <w:pStyle w:val="2"/>
        <w:rPr>
          <w:rFonts w:hint="eastAsia"/>
        </w:rPr>
      </w:pPr>
      <w:r>
        <w:rPr>
          <w:rFonts w:hint="eastAsia"/>
        </w:rPr>
        <w:t>Analogues.</w:t>
      </w:r>
    </w:p>
    <w:p w14:paraId="10E762CC">
      <w:pPr>
        <w:pStyle w:val="2"/>
        <w:rPr>
          <w:rFonts w:hint="eastAsia"/>
        </w:rPr>
      </w:pPr>
    </w:p>
    <w:p w14:paraId="066259D3">
      <w:pPr>
        <w:pStyle w:val="2"/>
        <w:rPr>
          <w:rFonts w:hint="eastAsia"/>
        </w:rPr>
      </w:pPr>
      <w:r>
        <w:rPr>
          <w:rFonts w:hint="eastAsia"/>
        </w:rPr>
        <w:t xml:space="preserve">Kim CG(1), Hay MP(1), Anderson RF(1), Kumara S(1), Franzblau SG(2), Cooper </w:t>
      </w:r>
    </w:p>
    <w:p w14:paraId="2DD6EEEA">
      <w:pPr>
        <w:pStyle w:val="2"/>
        <w:rPr>
          <w:rFonts w:hint="eastAsia"/>
        </w:rPr>
      </w:pPr>
      <w:r>
        <w:rPr>
          <w:rFonts w:hint="eastAsia"/>
        </w:rPr>
        <w:t>CB(3), Jose J(1)(4), Choi PJ(1)(4).</w:t>
      </w:r>
    </w:p>
    <w:p w14:paraId="37E55FE1">
      <w:pPr>
        <w:pStyle w:val="2"/>
        <w:rPr>
          <w:rFonts w:hint="eastAsia"/>
        </w:rPr>
      </w:pPr>
    </w:p>
    <w:p w14:paraId="3494869C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0BF9528">
      <w:pPr>
        <w:pStyle w:val="2"/>
        <w:rPr>
          <w:rFonts w:hint="eastAsia"/>
        </w:rPr>
      </w:pPr>
      <w:r>
        <w:rPr>
          <w:rFonts w:hint="eastAsia"/>
        </w:rPr>
        <w:t xml:space="preserve">(1)Auckland Cancer Society Research Centre, School of Medical Sciences, </w:t>
      </w:r>
    </w:p>
    <w:p w14:paraId="18AC82D8">
      <w:pPr>
        <w:pStyle w:val="2"/>
        <w:rPr>
          <w:rFonts w:hint="eastAsia"/>
        </w:rPr>
      </w:pPr>
      <w:r>
        <w:rPr>
          <w:rFonts w:hint="eastAsia"/>
        </w:rPr>
        <w:t>University of Auckland, Private Bag 92019, Auckland 1142, New Zealand.</w:t>
      </w:r>
    </w:p>
    <w:p w14:paraId="63CB3013">
      <w:pPr>
        <w:pStyle w:val="2"/>
        <w:rPr>
          <w:rFonts w:hint="eastAsia"/>
        </w:rPr>
      </w:pPr>
      <w:r>
        <w:rPr>
          <w:rFonts w:hint="eastAsia"/>
        </w:rPr>
        <w:t xml:space="preserve">(2)Institute for Tuberculosis Research, College of Pharmacy, University of </w:t>
      </w:r>
    </w:p>
    <w:p w14:paraId="38150F54">
      <w:pPr>
        <w:pStyle w:val="2"/>
        <w:rPr>
          <w:rFonts w:hint="eastAsia"/>
        </w:rPr>
      </w:pPr>
      <w:r>
        <w:rPr>
          <w:rFonts w:hint="eastAsia"/>
        </w:rPr>
        <w:t xml:space="preserve">Illinois at Chicago, 833 South Wood Street, Chicago, Illinois 60612, United </w:t>
      </w:r>
    </w:p>
    <w:p w14:paraId="1E82A926">
      <w:pPr>
        <w:pStyle w:val="2"/>
        <w:rPr>
          <w:rFonts w:hint="eastAsia"/>
        </w:rPr>
      </w:pPr>
      <w:r>
        <w:rPr>
          <w:rFonts w:hint="eastAsia"/>
        </w:rPr>
        <w:t>States.</w:t>
      </w:r>
    </w:p>
    <w:p w14:paraId="7D8BB12D">
      <w:pPr>
        <w:pStyle w:val="2"/>
        <w:rPr>
          <w:rFonts w:hint="eastAsia"/>
        </w:rPr>
      </w:pPr>
      <w:r>
        <w:rPr>
          <w:rFonts w:hint="eastAsia"/>
        </w:rPr>
        <w:t xml:space="preserve">(3)Global Alliance for TB Drug Development, 80 Pine Street, New York, New York </w:t>
      </w:r>
    </w:p>
    <w:p w14:paraId="26C4B3E0">
      <w:pPr>
        <w:pStyle w:val="2"/>
        <w:rPr>
          <w:rFonts w:hint="eastAsia"/>
        </w:rPr>
      </w:pPr>
      <w:r>
        <w:rPr>
          <w:rFonts w:hint="eastAsia"/>
        </w:rPr>
        <w:t>10005, United States.</w:t>
      </w:r>
    </w:p>
    <w:p w14:paraId="61D3D7BA">
      <w:pPr>
        <w:pStyle w:val="2"/>
        <w:rPr>
          <w:rFonts w:hint="eastAsia"/>
        </w:rPr>
      </w:pPr>
      <w:r>
        <w:rPr>
          <w:rFonts w:hint="eastAsia"/>
        </w:rPr>
        <w:t xml:space="preserve">(4)Maurice Wilkins Centre, University of Auckland, Private Bag 92019, Auckland </w:t>
      </w:r>
    </w:p>
    <w:p w14:paraId="3A55020A">
      <w:pPr>
        <w:pStyle w:val="2"/>
        <w:rPr>
          <w:rFonts w:hint="eastAsia"/>
        </w:rPr>
      </w:pPr>
      <w:r>
        <w:rPr>
          <w:rFonts w:hint="eastAsia"/>
        </w:rPr>
        <w:t>1142, New Zealand.</w:t>
      </w:r>
    </w:p>
    <w:p w14:paraId="0DA4A53F">
      <w:pPr>
        <w:pStyle w:val="2"/>
        <w:rPr>
          <w:rFonts w:hint="eastAsia"/>
        </w:rPr>
      </w:pPr>
    </w:p>
    <w:p w14:paraId="61831FF6">
      <w:pPr>
        <w:pStyle w:val="2"/>
        <w:rPr>
          <w:rFonts w:hint="eastAsia"/>
        </w:rPr>
      </w:pPr>
      <w:r>
        <w:rPr>
          <w:rFonts w:hint="eastAsia"/>
        </w:rPr>
        <w:t xml:space="preserve">The increasing emergence of antimicrobial resistance (AMR) is reducing the </w:t>
      </w:r>
    </w:p>
    <w:p w14:paraId="7D269B83">
      <w:pPr>
        <w:pStyle w:val="2"/>
        <w:rPr>
          <w:rFonts w:hint="eastAsia"/>
        </w:rPr>
      </w:pPr>
      <w:r>
        <w:rPr>
          <w:rFonts w:hint="eastAsia"/>
        </w:rPr>
        <w:t xml:space="preserve">effectiveness of existing antibiotics against bacterial infections, including </w:t>
      </w:r>
    </w:p>
    <w:p w14:paraId="1DD3E390">
      <w:pPr>
        <w:pStyle w:val="2"/>
        <w:rPr>
          <w:rFonts w:hint="eastAsia"/>
        </w:rPr>
      </w:pPr>
      <w:r>
        <w:rPr>
          <w:rFonts w:hint="eastAsia"/>
        </w:rPr>
        <w:t xml:space="preserve">tuberculosis (TB), a deadly disease caused by Mycobacterium tuberculosis (M.tb). </w:t>
      </w:r>
    </w:p>
    <w:p w14:paraId="39B5F562">
      <w:pPr>
        <w:pStyle w:val="2"/>
        <w:rPr>
          <w:rFonts w:hint="eastAsia"/>
        </w:rPr>
      </w:pPr>
      <w:r>
        <w:rPr>
          <w:rFonts w:hint="eastAsia"/>
        </w:rPr>
        <w:t xml:space="preserve">Approximately 90% of infected individuals develop latent tuberculosis infection, </w:t>
      </w:r>
    </w:p>
    <w:p w14:paraId="2AB2E3D6">
      <w:pPr>
        <w:pStyle w:val="2"/>
        <w:rPr>
          <w:rFonts w:hint="eastAsia"/>
        </w:rPr>
      </w:pPr>
      <w:r>
        <w:rPr>
          <w:rFonts w:hint="eastAsia"/>
        </w:rPr>
        <w:t xml:space="preserve">for which current treatment options are limited. Latent tuberculosis infection </w:t>
      </w:r>
    </w:p>
    <w:p w14:paraId="344C7B0A">
      <w:pPr>
        <w:pStyle w:val="2"/>
        <w:rPr>
          <w:rFonts w:hint="eastAsia"/>
        </w:rPr>
      </w:pPr>
      <w:r>
        <w:rPr>
          <w:rFonts w:hint="eastAsia"/>
        </w:rPr>
        <w:t xml:space="preserve">is characterised by the formation of hypoxic granulomas, which restrict oxygen </w:t>
      </w:r>
    </w:p>
    <w:p w14:paraId="79AAF096">
      <w:pPr>
        <w:pStyle w:val="2"/>
        <w:rPr>
          <w:rFonts w:hint="eastAsia"/>
        </w:rPr>
      </w:pPr>
      <w:r>
        <w:rPr>
          <w:rFonts w:hint="eastAsia"/>
        </w:rPr>
        <w:t xml:space="preserve">and drug penetration, highlighting the need for therapies effective under </w:t>
      </w:r>
    </w:p>
    <w:p w14:paraId="2473AE7C">
      <w:pPr>
        <w:pStyle w:val="2"/>
        <w:rPr>
          <w:rFonts w:hint="eastAsia"/>
        </w:rPr>
      </w:pPr>
      <w:r>
        <w:rPr>
          <w:rFonts w:hint="eastAsia"/>
        </w:rPr>
        <w:t xml:space="preserve">hypoxic conditions. In this study, a hypoxia‑activated prodrug (HAP) strategy </w:t>
      </w:r>
    </w:p>
    <w:p w14:paraId="0EB1AA14">
      <w:pPr>
        <w:pStyle w:val="2"/>
        <w:rPr>
          <w:rFonts w:hint="eastAsia"/>
        </w:rPr>
      </w:pPr>
      <w:r>
        <w:rPr>
          <w:rFonts w:hint="eastAsia"/>
        </w:rPr>
        <w:t xml:space="preserve">was employed to improve selective drug delivery of promising anti-tuberculosis </w:t>
      </w:r>
    </w:p>
    <w:p w14:paraId="7DAA76D6">
      <w:pPr>
        <w:pStyle w:val="2"/>
        <w:rPr>
          <w:rFonts w:hint="eastAsia"/>
        </w:rPr>
      </w:pPr>
      <w:r>
        <w:rPr>
          <w:rFonts w:hint="eastAsia"/>
        </w:rPr>
        <w:t xml:space="preserve">drugs bedaquiline, TBAJ-587 and TBAJ-876 (sorfequiline) to hypoxic TB </w:t>
      </w:r>
    </w:p>
    <w:p w14:paraId="2909FF85">
      <w:pPr>
        <w:pStyle w:val="2"/>
        <w:rPr>
          <w:rFonts w:hint="eastAsia"/>
        </w:rPr>
      </w:pPr>
      <w:r>
        <w:rPr>
          <w:rFonts w:hint="eastAsia"/>
        </w:rPr>
        <w:t xml:space="preserve">granulomas. Thirty-six nitroimidazole-based hypoxia-activated prodrugs (HAPs) </w:t>
      </w:r>
    </w:p>
    <w:p w14:paraId="02F21D25">
      <w:pPr>
        <w:pStyle w:val="2"/>
        <w:rPr>
          <w:rFonts w:hint="eastAsia"/>
        </w:rPr>
      </w:pPr>
      <w:r>
        <w:rPr>
          <w:rFonts w:hint="eastAsia"/>
        </w:rPr>
        <w:t xml:space="preserve">were successfully synthesized and evaluated for antitubercular activity. The </w:t>
      </w:r>
    </w:p>
    <w:p w14:paraId="6984D0DB">
      <w:pPr>
        <w:pStyle w:val="2"/>
        <w:rPr>
          <w:rFonts w:hint="eastAsia"/>
        </w:rPr>
      </w:pPr>
      <w:r>
        <w:rPr>
          <w:rFonts w:hint="eastAsia"/>
        </w:rPr>
        <w:t xml:space="preserve">HAPs exhibited potent in vitro activity under both oxic and hypoxic conditions, </w:t>
      </w:r>
    </w:p>
    <w:p w14:paraId="323641C8">
      <w:pPr>
        <w:pStyle w:val="2"/>
        <w:rPr>
          <w:rFonts w:hint="eastAsia"/>
        </w:rPr>
      </w:pPr>
      <w:r>
        <w:rPr>
          <w:rFonts w:hint="eastAsia"/>
        </w:rPr>
        <w:t xml:space="preserve">with consistently lower MIC values observed in the hypoxic assays. Assessment of </w:t>
      </w:r>
    </w:p>
    <w:p w14:paraId="32F31549">
      <w:pPr>
        <w:pStyle w:val="2"/>
        <w:rPr>
          <w:rFonts w:hint="eastAsia"/>
        </w:rPr>
      </w:pPr>
      <w:r>
        <w:rPr>
          <w:rFonts w:hint="eastAsia"/>
        </w:rPr>
        <w:t xml:space="preserve">hypoxic selectivity demonstrated enhanced trigger cleavage under hypoxic </w:t>
      </w:r>
    </w:p>
    <w:p w14:paraId="4FB707A5">
      <w:pPr>
        <w:pStyle w:val="2"/>
        <w:rPr>
          <w:rFonts w:hint="eastAsia"/>
        </w:rPr>
      </w:pPr>
      <w:r>
        <w:rPr>
          <w:rFonts w:hint="eastAsia"/>
        </w:rPr>
        <w:t xml:space="preserve">conditions, providing strong evidence for the hypoxia-selective activation of </w:t>
      </w:r>
    </w:p>
    <w:p w14:paraId="126CEB23">
      <w:pPr>
        <w:pStyle w:val="2"/>
        <w:rPr>
          <w:rFonts w:hint="eastAsia"/>
        </w:rPr>
      </w:pPr>
      <w:r>
        <w:rPr>
          <w:rFonts w:hint="eastAsia"/>
        </w:rPr>
        <w:t xml:space="preserve">these compounds. Collectively, these findings highlight the therapeutic </w:t>
      </w:r>
    </w:p>
    <w:p w14:paraId="40628B78">
      <w:pPr>
        <w:pStyle w:val="2"/>
        <w:rPr>
          <w:rFonts w:hint="eastAsia"/>
        </w:rPr>
      </w:pPr>
      <w:r>
        <w:rPr>
          <w:rFonts w:hint="eastAsia"/>
        </w:rPr>
        <w:t xml:space="preserve">potential of hypoxia-mediated strategies for the treatment of latent </w:t>
      </w:r>
    </w:p>
    <w:p w14:paraId="245D4917">
      <w:pPr>
        <w:pStyle w:val="2"/>
        <w:rPr>
          <w:rFonts w:hint="eastAsia"/>
        </w:rPr>
      </w:pPr>
      <w:r>
        <w:rPr>
          <w:rFonts w:hint="eastAsia"/>
        </w:rPr>
        <w:t xml:space="preserve">tuberculosis, particularly within hypoxic niches that drive disease persistence </w:t>
      </w:r>
    </w:p>
    <w:p w14:paraId="7E98EF0B">
      <w:pPr>
        <w:pStyle w:val="2"/>
        <w:rPr>
          <w:rFonts w:hint="eastAsia"/>
        </w:rPr>
      </w:pPr>
      <w:r>
        <w:rPr>
          <w:rFonts w:hint="eastAsia"/>
        </w:rPr>
        <w:t>and prolonged treatment regimens.</w:t>
      </w:r>
    </w:p>
    <w:p w14:paraId="015EE4DD">
      <w:pPr>
        <w:pStyle w:val="2"/>
        <w:rPr>
          <w:rFonts w:hint="eastAsia"/>
        </w:rPr>
      </w:pPr>
    </w:p>
    <w:p w14:paraId="55715A41">
      <w:pPr>
        <w:pStyle w:val="2"/>
        <w:rPr>
          <w:rFonts w:hint="eastAsia"/>
        </w:rPr>
      </w:pPr>
      <w:r>
        <w:rPr>
          <w:rFonts w:hint="eastAsia"/>
        </w:rPr>
        <w:t>© 2026 The Authors. Published by American Chemical Society.</w:t>
      </w:r>
    </w:p>
    <w:p w14:paraId="62103269">
      <w:pPr>
        <w:pStyle w:val="2"/>
        <w:rPr>
          <w:rFonts w:hint="eastAsia"/>
        </w:rPr>
      </w:pPr>
    </w:p>
    <w:p w14:paraId="4F256979">
      <w:pPr>
        <w:pStyle w:val="2"/>
        <w:rPr>
          <w:rFonts w:hint="eastAsia"/>
        </w:rPr>
      </w:pPr>
      <w:r>
        <w:rPr>
          <w:rFonts w:hint="eastAsia"/>
        </w:rPr>
        <w:t>DOI: 10.1021/acsmedchemlett.6c00238</w:t>
      </w:r>
    </w:p>
    <w:p w14:paraId="4B4BACA8">
      <w:pPr>
        <w:pStyle w:val="2"/>
        <w:rPr>
          <w:rFonts w:hint="eastAsia"/>
        </w:rPr>
      </w:pPr>
      <w:r>
        <w:rPr>
          <w:rFonts w:hint="eastAsia"/>
        </w:rPr>
        <w:t>PMCID: PMC13656266</w:t>
      </w:r>
    </w:p>
    <w:p w14:paraId="2AD1547A">
      <w:pPr>
        <w:pStyle w:val="2"/>
        <w:rPr>
          <w:rFonts w:hint="eastAsia"/>
        </w:rPr>
      </w:pPr>
      <w:r>
        <w:rPr>
          <w:rFonts w:hint="eastAsia"/>
        </w:rPr>
        <w:t>PMID: 42866428</w:t>
      </w:r>
    </w:p>
    <w:p w14:paraId="0AE17F31">
      <w:pPr>
        <w:pStyle w:val="2"/>
        <w:rPr>
          <w:rFonts w:hint="eastAsia"/>
        </w:rPr>
      </w:pPr>
    </w:p>
    <w:p w14:paraId="7BB5221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87</w:t>
      </w:r>
      <w:r>
        <w:rPr>
          <w:rFonts w:hint="eastAsia"/>
          <w:b/>
          <w:bCs/>
          <w:color w:val="FF0000"/>
        </w:rPr>
        <w:t xml:space="preserve">. BMJ Public Health. 2026 Oct 9;4(4):e005566. doi: 10.1136/bmjph-2026-005566. </w:t>
      </w:r>
    </w:p>
    <w:p w14:paraId="6F0A5F60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2026.</w:t>
      </w:r>
    </w:p>
    <w:p w14:paraId="562F0F5D">
      <w:pPr>
        <w:pStyle w:val="2"/>
        <w:rPr>
          <w:rFonts w:hint="eastAsia"/>
        </w:rPr>
      </w:pPr>
    </w:p>
    <w:p w14:paraId="118D753E">
      <w:pPr>
        <w:pStyle w:val="2"/>
        <w:rPr>
          <w:rFonts w:hint="eastAsia"/>
        </w:rPr>
      </w:pPr>
      <w:r>
        <w:rPr>
          <w:rFonts w:hint="eastAsia"/>
        </w:rPr>
        <w:t xml:space="preserve">Accuracy and operational performance of computer-aided detection software use </w:t>
      </w:r>
    </w:p>
    <w:p w14:paraId="2791483B">
      <w:pPr>
        <w:pStyle w:val="2"/>
        <w:rPr>
          <w:rFonts w:hint="eastAsia"/>
        </w:rPr>
      </w:pPr>
      <w:r>
        <w:rPr>
          <w:rFonts w:hint="eastAsia"/>
        </w:rPr>
        <w:t xml:space="preserve">cases for TB screening: a retrospective comparative evaluation in Ho Chi Minh </w:t>
      </w:r>
    </w:p>
    <w:p w14:paraId="59D1D9D3">
      <w:pPr>
        <w:pStyle w:val="2"/>
        <w:rPr>
          <w:rFonts w:hint="eastAsia"/>
        </w:rPr>
      </w:pPr>
      <w:r>
        <w:rPr>
          <w:rFonts w:hint="eastAsia"/>
        </w:rPr>
        <w:t>City, Viet Nam.</w:t>
      </w:r>
    </w:p>
    <w:p w14:paraId="68C10E89">
      <w:pPr>
        <w:pStyle w:val="2"/>
        <w:rPr>
          <w:rFonts w:hint="eastAsia"/>
        </w:rPr>
      </w:pPr>
    </w:p>
    <w:p w14:paraId="4614510A">
      <w:pPr>
        <w:pStyle w:val="2"/>
        <w:rPr>
          <w:rFonts w:hint="eastAsia"/>
        </w:rPr>
      </w:pPr>
      <w:r>
        <w:rPr>
          <w:rFonts w:hint="eastAsia"/>
        </w:rPr>
        <w:t xml:space="preserve">Codlin AJ(1)(2), Dao TP(1), Vo LNQ(1)(2), Forse R(1)(2), Nguyen BH(1), Trinh </w:t>
      </w:r>
    </w:p>
    <w:p w14:paraId="60C72495">
      <w:pPr>
        <w:pStyle w:val="2"/>
        <w:rPr>
          <w:rFonts w:hint="eastAsia"/>
        </w:rPr>
      </w:pPr>
      <w:r>
        <w:rPr>
          <w:rFonts w:hint="eastAsia"/>
        </w:rPr>
        <w:t xml:space="preserve">PN(1), Dang HTM(3), Nguyen LH(3), Nguyen HB(4), Dinh LV(4), Annerstedt KS(2), </w:t>
      </w:r>
    </w:p>
    <w:p w14:paraId="7D907384">
      <w:pPr>
        <w:pStyle w:val="2"/>
        <w:rPr>
          <w:rFonts w:hint="eastAsia"/>
        </w:rPr>
      </w:pPr>
      <w:r>
        <w:rPr>
          <w:rFonts w:hint="eastAsia"/>
        </w:rPr>
        <w:t>Lundin J(2)(5), Lönnroth K(2).</w:t>
      </w:r>
    </w:p>
    <w:p w14:paraId="36ED0973">
      <w:pPr>
        <w:pStyle w:val="2"/>
        <w:rPr>
          <w:rFonts w:hint="eastAsia"/>
        </w:rPr>
      </w:pPr>
    </w:p>
    <w:p w14:paraId="67D839DA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9212653">
      <w:pPr>
        <w:pStyle w:val="2"/>
        <w:rPr>
          <w:rFonts w:hint="eastAsia"/>
        </w:rPr>
      </w:pPr>
      <w:r>
        <w:rPr>
          <w:rFonts w:hint="eastAsia"/>
        </w:rPr>
        <w:t>(1)Friends for International Tuberculosis Relief, Ha Noi, Viet Nam.</w:t>
      </w:r>
    </w:p>
    <w:p w14:paraId="053B90A5">
      <w:pPr>
        <w:pStyle w:val="2"/>
        <w:rPr>
          <w:rFonts w:hint="eastAsia"/>
        </w:rPr>
      </w:pPr>
      <w:r>
        <w:rPr>
          <w:rFonts w:hint="eastAsia"/>
        </w:rPr>
        <w:t>(2)Department of Global Public Health, Karolinska Institutet, Stockholm, Sweden.</w:t>
      </w:r>
    </w:p>
    <w:p w14:paraId="0776F5E0">
      <w:pPr>
        <w:pStyle w:val="2"/>
        <w:rPr>
          <w:rFonts w:hint="eastAsia"/>
        </w:rPr>
      </w:pPr>
      <w:r>
        <w:rPr>
          <w:rFonts w:hint="eastAsia"/>
        </w:rPr>
        <w:t>(3)Pham Ngoc Thach Hospital, Ho Chi Minh City, Viet Nam.</w:t>
      </w:r>
    </w:p>
    <w:p w14:paraId="1DAA847B">
      <w:pPr>
        <w:pStyle w:val="2"/>
        <w:rPr>
          <w:rFonts w:hint="eastAsia"/>
        </w:rPr>
      </w:pPr>
      <w:r>
        <w:rPr>
          <w:rFonts w:hint="eastAsia"/>
        </w:rPr>
        <w:t>(4)Viet Nam National Lung Hospital, Ha Noi, Viet Nam.</w:t>
      </w:r>
    </w:p>
    <w:p w14:paraId="12FC9816">
      <w:pPr>
        <w:pStyle w:val="2"/>
        <w:rPr>
          <w:rFonts w:hint="eastAsia"/>
        </w:rPr>
      </w:pPr>
      <w:r>
        <w:rPr>
          <w:rFonts w:hint="eastAsia"/>
        </w:rPr>
        <w:t xml:space="preserve">(5)Institute for Molecular Medicine Finland, HiLIFE, University of Helsinki, </w:t>
      </w:r>
    </w:p>
    <w:p w14:paraId="30D4B472">
      <w:pPr>
        <w:pStyle w:val="2"/>
        <w:rPr>
          <w:rFonts w:hint="eastAsia"/>
        </w:rPr>
      </w:pPr>
      <w:r>
        <w:rPr>
          <w:rFonts w:hint="eastAsia"/>
        </w:rPr>
        <w:t>Helsinki, Finland.</w:t>
      </w:r>
    </w:p>
    <w:p w14:paraId="709DA126">
      <w:pPr>
        <w:pStyle w:val="2"/>
        <w:rPr>
          <w:rFonts w:hint="eastAsia"/>
        </w:rPr>
      </w:pPr>
    </w:p>
    <w:p w14:paraId="77D6C15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Human reader variability and workforce constraints limit the quality </w:t>
      </w:r>
    </w:p>
    <w:p w14:paraId="6E85BC10">
      <w:pPr>
        <w:pStyle w:val="2"/>
        <w:rPr>
          <w:rFonts w:hint="eastAsia"/>
        </w:rPr>
      </w:pPr>
      <w:r>
        <w:rPr>
          <w:rFonts w:hint="eastAsia"/>
        </w:rPr>
        <w:t xml:space="preserve">and scale of chest X-ray (CXR) screening for tuberculosis (TB) in many </w:t>
      </w:r>
    </w:p>
    <w:p w14:paraId="6F0E2CE3">
      <w:pPr>
        <w:pStyle w:val="2"/>
        <w:rPr>
          <w:rFonts w:hint="eastAsia"/>
        </w:rPr>
      </w:pPr>
      <w:r>
        <w:rPr>
          <w:rFonts w:hint="eastAsia"/>
        </w:rPr>
        <w:t xml:space="preserve">high-burden settings. Although the WHO endorses computer-aided detection (CAD) </w:t>
      </w:r>
    </w:p>
    <w:p w14:paraId="30E7E4B6">
      <w:pPr>
        <w:pStyle w:val="2"/>
        <w:rPr>
          <w:rFonts w:hint="eastAsia"/>
        </w:rPr>
      </w:pPr>
      <w:r>
        <w:rPr>
          <w:rFonts w:hint="eastAsia"/>
        </w:rPr>
        <w:t xml:space="preserve">software, most evaluations have focused on the use case where CAD software </w:t>
      </w:r>
    </w:p>
    <w:p w14:paraId="5CD2D22E">
      <w:pPr>
        <w:pStyle w:val="2"/>
        <w:rPr>
          <w:rFonts w:hint="eastAsia"/>
        </w:rPr>
      </w:pPr>
      <w:r>
        <w:rPr>
          <w:rFonts w:hint="eastAsia"/>
        </w:rPr>
        <w:t xml:space="preserve">entirely replaces human readers. Evidence on alternate CAD software deployment </w:t>
      </w:r>
    </w:p>
    <w:p w14:paraId="22E438B6">
      <w:pPr>
        <w:pStyle w:val="2"/>
        <w:rPr>
          <w:rFonts w:hint="eastAsia"/>
        </w:rPr>
      </w:pPr>
      <w:r>
        <w:rPr>
          <w:rFonts w:hint="eastAsia"/>
        </w:rPr>
        <w:t>models for TB screening and head-to-head comparisons remains limited.</w:t>
      </w:r>
    </w:p>
    <w:p w14:paraId="01811A21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 test library of 1466 CXR images was curated after an active case </w:t>
      </w:r>
    </w:p>
    <w:p w14:paraId="4F1D0727">
      <w:pPr>
        <w:pStyle w:val="2"/>
        <w:rPr>
          <w:rFonts w:hint="eastAsia"/>
        </w:rPr>
      </w:pPr>
      <w:r>
        <w:rPr>
          <w:rFonts w:hint="eastAsia"/>
        </w:rPr>
        <w:t xml:space="preserve">finding initiative in Ho Chi Minh City, Viet Nam. Images were processed by Lunit </w:t>
      </w:r>
    </w:p>
    <w:p w14:paraId="77D35412">
      <w:pPr>
        <w:pStyle w:val="2"/>
        <w:rPr>
          <w:rFonts w:hint="eastAsia"/>
        </w:rPr>
      </w:pPr>
      <w:r>
        <w:rPr>
          <w:rFonts w:hint="eastAsia"/>
        </w:rPr>
        <w:t xml:space="preserve">INSIGHT CXR CAD software and independently interpreted by 10 human readers </w:t>
      </w:r>
    </w:p>
    <w:p w14:paraId="5A0B4B94">
      <w:pPr>
        <w:pStyle w:val="2"/>
        <w:rPr>
          <w:rFonts w:hint="eastAsia"/>
        </w:rPr>
      </w:pPr>
      <w:r>
        <w:rPr>
          <w:rFonts w:hint="eastAsia"/>
        </w:rPr>
        <w:t xml:space="preserve">across two rounds separated by a wash-out period. Five CXR interpretation </w:t>
      </w:r>
    </w:p>
    <w:p w14:paraId="292DF0C5">
      <w:pPr>
        <w:pStyle w:val="2"/>
        <w:rPr>
          <w:rFonts w:hint="eastAsia"/>
        </w:rPr>
      </w:pPr>
      <w:r>
        <w:rPr>
          <w:rFonts w:hint="eastAsia"/>
        </w:rPr>
        <w:t xml:space="preserve">methods were simulated: human-only reading, CAD-only reading, CAD-assisted human </w:t>
      </w:r>
    </w:p>
    <w:p w14:paraId="2FE9913A">
      <w:pPr>
        <w:pStyle w:val="2"/>
        <w:rPr>
          <w:rFonts w:hint="eastAsia"/>
        </w:rPr>
      </w:pPr>
      <w:r>
        <w:rPr>
          <w:rFonts w:hint="eastAsia"/>
        </w:rPr>
        <w:t xml:space="preserve">reading, independent double reading and sequential reading. Generalised </w:t>
      </w:r>
    </w:p>
    <w:p w14:paraId="7F05A99F">
      <w:pPr>
        <w:pStyle w:val="2"/>
        <w:rPr>
          <w:rFonts w:hint="eastAsia"/>
        </w:rPr>
      </w:pPr>
      <w:r>
        <w:rPr>
          <w:rFonts w:hint="eastAsia"/>
        </w:rPr>
        <w:t xml:space="preserve">estimating equations were used to estimate adjusted incidence rate ratios </w:t>
      </w:r>
    </w:p>
    <w:p w14:paraId="2DE26262">
      <w:pPr>
        <w:pStyle w:val="2"/>
        <w:rPr>
          <w:rFonts w:hint="eastAsia"/>
        </w:rPr>
      </w:pPr>
      <w:r>
        <w:rPr>
          <w:rFonts w:hint="eastAsia"/>
        </w:rPr>
        <w:t xml:space="preserve">comparing the sensitivity and specificity of CAD-containing CXR interpretation </w:t>
      </w:r>
    </w:p>
    <w:p w14:paraId="4DC15D8A">
      <w:pPr>
        <w:pStyle w:val="2"/>
        <w:rPr>
          <w:rFonts w:hint="eastAsia"/>
        </w:rPr>
      </w:pPr>
      <w:r>
        <w:rPr>
          <w:rFonts w:hint="eastAsia"/>
        </w:rPr>
        <w:t xml:space="preserve">methods with human-only reading, while operational performance metrics were </w:t>
      </w:r>
    </w:p>
    <w:p w14:paraId="6566B54C">
      <w:pPr>
        <w:pStyle w:val="2"/>
        <w:rPr>
          <w:rFonts w:hint="eastAsia"/>
        </w:rPr>
      </w:pPr>
      <w:r>
        <w:rPr>
          <w:rFonts w:hint="eastAsia"/>
        </w:rPr>
        <w:t>summarised as percentage changes relative to human-only reading.</w:t>
      </w:r>
    </w:p>
    <w:p w14:paraId="0A823141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Human-only reading achieved mean sensitivity 79.0% and specificity </w:t>
      </w:r>
    </w:p>
    <w:p w14:paraId="0BB68A48">
      <w:pPr>
        <w:pStyle w:val="2"/>
        <w:rPr>
          <w:rFonts w:hint="eastAsia"/>
        </w:rPr>
      </w:pPr>
      <w:r>
        <w:rPr>
          <w:rFonts w:hint="eastAsia"/>
        </w:rPr>
        <w:t xml:space="preserve">84.8%. CAD-only reading significantly increased sensitivity (91.4%, adjusted </w:t>
      </w:r>
    </w:p>
    <w:p w14:paraId="35BBB5C0">
      <w:pPr>
        <w:pStyle w:val="2"/>
        <w:rPr>
          <w:rFonts w:hint="eastAsia"/>
        </w:rPr>
      </w:pPr>
      <w:r>
        <w:rPr>
          <w:rFonts w:hint="eastAsia"/>
        </w:rPr>
        <w:t xml:space="preserve">incidence rate ratio (aIRR) 1.16, 95% CI 1.06 to 1.27, p=0.002) and </w:t>
      </w:r>
    </w:p>
    <w:p w14:paraId="49123DC3">
      <w:pPr>
        <w:pStyle w:val="2"/>
        <w:rPr>
          <w:rFonts w:hint="eastAsia"/>
        </w:rPr>
      </w:pPr>
      <w:r>
        <w:rPr>
          <w:rFonts w:hint="eastAsia"/>
        </w:rPr>
        <w:t xml:space="preserve">significantly reduced specificity (81.9%, aIRR 0.96, 95% CI 0.94 to 0.98, </w:t>
      </w:r>
    </w:p>
    <w:p w14:paraId="010B62D9">
      <w:pPr>
        <w:pStyle w:val="2"/>
        <w:rPr>
          <w:rFonts w:hint="eastAsia"/>
        </w:rPr>
      </w:pPr>
      <w:r>
        <w:rPr>
          <w:rFonts w:hint="eastAsia"/>
        </w:rPr>
        <w:t xml:space="preserve">p&lt;0.001). Independent double reading achieved the highest sensitivity (95.0%, </w:t>
      </w:r>
    </w:p>
    <w:p w14:paraId="3BC7196E">
      <w:pPr>
        <w:pStyle w:val="2"/>
        <w:rPr>
          <w:rFonts w:hint="eastAsia"/>
        </w:rPr>
      </w:pPr>
      <w:r>
        <w:rPr>
          <w:rFonts w:hint="eastAsia"/>
        </w:rPr>
        <w:t xml:space="preserve">aIRR 1.20, 95% CI 1.12 to 1.30, p&lt;0.001), but the lowest specificity (74.5%, </w:t>
      </w:r>
    </w:p>
    <w:p w14:paraId="339A17AC">
      <w:pPr>
        <w:pStyle w:val="2"/>
        <w:rPr>
          <w:rFonts w:hint="eastAsia"/>
        </w:rPr>
      </w:pPr>
      <w:r>
        <w:rPr>
          <w:rFonts w:hint="eastAsia"/>
        </w:rPr>
        <w:t xml:space="preserve">aIRR 0.87, 95% CI 0.86 to 0.89, p&lt;0.001) and increased diagnostic testing by </w:t>
      </w:r>
    </w:p>
    <w:p w14:paraId="2F3D3F71">
      <w:pPr>
        <w:pStyle w:val="2"/>
        <w:rPr>
          <w:rFonts w:hint="eastAsia"/>
        </w:rPr>
      </w:pPr>
      <w:r>
        <w:rPr>
          <w:rFonts w:hint="eastAsia"/>
        </w:rPr>
        <w:t xml:space="preserve">+59.2% and the number needed to test by +32.3%. Sequential reading maintained </w:t>
      </w:r>
    </w:p>
    <w:p w14:paraId="06ECEBCB">
      <w:pPr>
        <w:pStyle w:val="2"/>
        <w:rPr>
          <w:rFonts w:hint="eastAsia"/>
        </w:rPr>
      </w:pPr>
      <w:r>
        <w:rPr>
          <w:rFonts w:hint="eastAsia"/>
        </w:rPr>
        <w:t xml:space="preserve">sensitivity comparable to human-only reading (78.8%, aIRR 1.00, 95% CI 0.99 to </w:t>
      </w:r>
    </w:p>
    <w:p w14:paraId="35F33517">
      <w:pPr>
        <w:pStyle w:val="2"/>
        <w:rPr>
          <w:rFonts w:hint="eastAsia"/>
        </w:rPr>
      </w:pPr>
      <w:r>
        <w:rPr>
          <w:rFonts w:hint="eastAsia"/>
        </w:rPr>
        <w:t xml:space="preserve">1.00, p=0.326), while achieving the highest specificity (90.3%, aIRR 1.07, </w:t>
      </w:r>
    </w:p>
    <w:p w14:paraId="05C1BE07">
      <w:pPr>
        <w:pStyle w:val="2"/>
        <w:rPr>
          <w:rFonts w:hint="eastAsia"/>
        </w:rPr>
      </w:pPr>
      <w:r>
        <w:rPr>
          <w:rFonts w:hint="eastAsia"/>
        </w:rPr>
        <w:t xml:space="preserve">95% CI 1.06 to 1.07, p&lt;0.001), reducing human workload by -67.5%, and lowering </w:t>
      </w:r>
    </w:p>
    <w:p w14:paraId="0E9BB046">
      <w:pPr>
        <w:pStyle w:val="2"/>
        <w:rPr>
          <w:rFonts w:hint="eastAsia"/>
        </w:rPr>
      </w:pPr>
      <w:r>
        <w:rPr>
          <w:rFonts w:hint="eastAsia"/>
        </w:rPr>
        <w:t xml:space="preserve">the number needed to test by -29.9%. CAD-assisted human reading produced </w:t>
      </w:r>
    </w:p>
    <w:p w14:paraId="74713FE7">
      <w:pPr>
        <w:pStyle w:val="2"/>
        <w:rPr>
          <w:rFonts w:hint="eastAsia"/>
        </w:rPr>
      </w:pPr>
      <w:r>
        <w:rPr>
          <w:rFonts w:hint="eastAsia"/>
        </w:rPr>
        <w:t xml:space="preserve">non-significant sensitivity gains (82.9%, aIRR 1.05, 95% CI 1.00 to 1.11, </w:t>
      </w:r>
    </w:p>
    <w:p w14:paraId="4B6ABBE9">
      <w:pPr>
        <w:pStyle w:val="2"/>
        <w:rPr>
          <w:rFonts w:hint="eastAsia"/>
        </w:rPr>
      </w:pPr>
      <w:r>
        <w:rPr>
          <w:rFonts w:hint="eastAsia"/>
        </w:rPr>
        <w:t xml:space="preserve">p=0.057) and reduced specificity (82.2%, aIRR 0.97, 95% CI 0.96 to 0.98, </w:t>
      </w:r>
    </w:p>
    <w:p w14:paraId="61E06B15">
      <w:pPr>
        <w:pStyle w:val="2"/>
        <w:rPr>
          <w:rFonts w:hint="eastAsia"/>
        </w:rPr>
      </w:pPr>
      <w:r>
        <w:rPr>
          <w:rFonts w:hint="eastAsia"/>
        </w:rPr>
        <w:t xml:space="preserve">p&lt;0.001), with substantial inter-reader variability. Sensitivity gains were </w:t>
      </w:r>
    </w:p>
    <w:p w14:paraId="1B27E1E4">
      <w:pPr>
        <w:pStyle w:val="2"/>
        <w:rPr>
          <w:rFonts w:hint="eastAsia"/>
        </w:rPr>
      </w:pPr>
      <w:r>
        <w:rPr>
          <w:rFonts w:hint="eastAsia"/>
        </w:rPr>
        <w:t xml:space="preserve">greatest among participants without prior TB, and specificity improvements were </w:t>
      </w:r>
    </w:p>
    <w:p w14:paraId="7C3773F9">
      <w:pPr>
        <w:pStyle w:val="2"/>
        <w:rPr>
          <w:rFonts w:hint="eastAsia"/>
        </w:rPr>
      </w:pPr>
      <w:r>
        <w:rPr>
          <w:rFonts w:hint="eastAsia"/>
        </w:rPr>
        <w:t>most pronounced among less experienced readers.</w:t>
      </w:r>
    </w:p>
    <w:p w14:paraId="7EA2DD4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No single CAD software use case optimally balanced accuracy and </w:t>
      </w:r>
    </w:p>
    <w:p w14:paraId="47ADE63C">
      <w:pPr>
        <w:pStyle w:val="2"/>
        <w:rPr>
          <w:rFonts w:hint="eastAsia"/>
        </w:rPr>
      </w:pPr>
      <w:r>
        <w:rPr>
          <w:rFonts w:hint="eastAsia"/>
        </w:rPr>
        <w:t xml:space="preserve">operational efficiency. CAD-only and independent double reading maximised TB </w:t>
      </w:r>
    </w:p>
    <w:p w14:paraId="04F4CCD6">
      <w:pPr>
        <w:pStyle w:val="2"/>
        <w:rPr>
          <w:rFonts w:hint="eastAsia"/>
        </w:rPr>
      </w:pPr>
      <w:r>
        <w:rPr>
          <w:rFonts w:hint="eastAsia"/>
        </w:rPr>
        <w:t xml:space="preserve">detection, while sequential reading improved efficiency and conserved resources. </w:t>
      </w:r>
    </w:p>
    <w:p w14:paraId="782F1AAC">
      <w:pPr>
        <w:pStyle w:val="2"/>
        <w:rPr>
          <w:rFonts w:hint="eastAsia"/>
        </w:rPr>
      </w:pPr>
      <w:r>
        <w:rPr>
          <w:rFonts w:hint="eastAsia"/>
        </w:rPr>
        <w:t xml:space="preserve">CAD software deployment should align with local workforce capacity, diagnostic </w:t>
      </w:r>
    </w:p>
    <w:p w14:paraId="29A0E449">
      <w:pPr>
        <w:pStyle w:val="2"/>
        <w:rPr>
          <w:rFonts w:hint="eastAsia"/>
        </w:rPr>
      </w:pPr>
      <w:r>
        <w:rPr>
          <w:rFonts w:hint="eastAsia"/>
        </w:rPr>
        <w:t xml:space="preserve">infrastructure and programmatic priorities. Prospective evaluations of these use </w:t>
      </w:r>
    </w:p>
    <w:p w14:paraId="54F6FEB5">
      <w:pPr>
        <w:pStyle w:val="2"/>
        <w:rPr>
          <w:rFonts w:hint="eastAsia"/>
        </w:rPr>
      </w:pPr>
      <w:r>
        <w:rPr>
          <w:rFonts w:hint="eastAsia"/>
        </w:rPr>
        <w:t>cases are warranted.</w:t>
      </w:r>
    </w:p>
    <w:p w14:paraId="5BB09701">
      <w:pPr>
        <w:pStyle w:val="2"/>
        <w:rPr>
          <w:rFonts w:hint="eastAsia"/>
        </w:rPr>
      </w:pPr>
    </w:p>
    <w:p w14:paraId="31322738">
      <w:pPr>
        <w:pStyle w:val="2"/>
        <w:rPr>
          <w:rFonts w:hint="eastAsia"/>
        </w:rPr>
      </w:pPr>
      <w:r>
        <w:rPr>
          <w:rFonts w:hint="eastAsia"/>
        </w:rPr>
        <w:t xml:space="preserve">Copyright © Author(s) (or their employer(s)) 2026. Re-use permitted under CC </w:t>
      </w:r>
    </w:p>
    <w:p w14:paraId="73499010">
      <w:pPr>
        <w:pStyle w:val="2"/>
        <w:rPr>
          <w:rFonts w:hint="eastAsia"/>
        </w:rPr>
      </w:pPr>
      <w:r>
        <w:rPr>
          <w:rFonts w:hint="eastAsia"/>
        </w:rPr>
        <w:t>BY-NC. Published by BMJ Group.</w:t>
      </w:r>
    </w:p>
    <w:p w14:paraId="4E80B698">
      <w:pPr>
        <w:pStyle w:val="2"/>
        <w:rPr>
          <w:rFonts w:hint="eastAsia"/>
        </w:rPr>
      </w:pPr>
    </w:p>
    <w:p w14:paraId="2F1A8DAB">
      <w:pPr>
        <w:pStyle w:val="2"/>
        <w:rPr>
          <w:rFonts w:hint="eastAsia"/>
        </w:rPr>
      </w:pPr>
      <w:r>
        <w:rPr>
          <w:rFonts w:hint="eastAsia"/>
        </w:rPr>
        <w:t>DOI: 10.1136/bmjph-2026-005566</w:t>
      </w:r>
    </w:p>
    <w:p w14:paraId="33E4EE28">
      <w:pPr>
        <w:pStyle w:val="2"/>
        <w:rPr>
          <w:rFonts w:hint="eastAsia"/>
        </w:rPr>
      </w:pPr>
      <w:r>
        <w:rPr>
          <w:rFonts w:hint="eastAsia"/>
        </w:rPr>
        <w:t>PMCID: PMC13656142</w:t>
      </w:r>
    </w:p>
    <w:p w14:paraId="17479E6C">
      <w:pPr>
        <w:pStyle w:val="2"/>
        <w:rPr>
          <w:rFonts w:hint="eastAsia"/>
        </w:rPr>
      </w:pPr>
      <w:r>
        <w:rPr>
          <w:rFonts w:hint="eastAsia"/>
        </w:rPr>
        <w:t>PMID: 42866391</w:t>
      </w:r>
    </w:p>
    <w:p w14:paraId="4F39DF11">
      <w:pPr>
        <w:pStyle w:val="2"/>
        <w:rPr>
          <w:rFonts w:hint="eastAsia"/>
        </w:rPr>
      </w:pPr>
    </w:p>
    <w:p w14:paraId="1AB95AB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88</w:t>
      </w:r>
      <w:r>
        <w:rPr>
          <w:rFonts w:hint="eastAsia"/>
          <w:b/>
          <w:bCs/>
          <w:color w:val="FF0000"/>
        </w:rPr>
        <w:t xml:space="preserve">. Ann Med Surg (Lond). 2026 Sep 2;88(10):6802-6806. doi: </w:t>
      </w:r>
    </w:p>
    <w:p w14:paraId="6DB5274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10.1097/MS9.0000000000005612. eCollection 2026 Oct.</w:t>
      </w:r>
    </w:p>
    <w:p w14:paraId="5A4AD31D">
      <w:pPr>
        <w:pStyle w:val="2"/>
        <w:rPr>
          <w:rFonts w:hint="eastAsia"/>
        </w:rPr>
      </w:pPr>
    </w:p>
    <w:p w14:paraId="67A39142">
      <w:pPr>
        <w:pStyle w:val="2"/>
        <w:rPr>
          <w:rFonts w:hint="eastAsia"/>
        </w:rPr>
      </w:pPr>
      <w:r>
        <w:rPr>
          <w:rFonts w:hint="eastAsia"/>
        </w:rPr>
        <w:t xml:space="preserve">A rare case report of Rasmussen's aneurysm in multidrug-resistant tuberculosis </w:t>
      </w:r>
    </w:p>
    <w:p w14:paraId="121C1472">
      <w:pPr>
        <w:pStyle w:val="2"/>
        <w:rPr>
          <w:rFonts w:hint="eastAsia"/>
        </w:rPr>
      </w:pPr>
      <w:r>
        <w:rPr>
          <w:rFonts w:hint="eastAsia"/>
        </w:rPr>
        <w:t>from Nepal.</w:t>
      </w:r>
    </w:p>
    <w:p w14:paraId="6A7350EF">
      <w:pPr>
        <w:pStyle w:val="2"/>
        <w:rPr>
          <w:rFonts w:hint="eastAsia"/>
        </w:rPr>
      </w:pPr>
    </w:p>
    <w:p w14:paraId="54F2D4B2">
      <w:pPr>
        <w:pStyle w:val="2"/>
        <w:rPr>
          <w:rFonts w:hint="eastAsia"/>
        </w:rPr>
      </w:pPr>
      <w:r>
        <w:rPr>
          <w:rFonts w:hint="eastAsia"/>
        </w:rPr>
        <w:t>Lamichhane A(1), Pokhrel A(1), Sharma S(2), Adhikari B(1).</w:t>
      </w:r>
    </w:p>
    <w:p w14:paraId="34B1EF02">
      <w:pPr>
        <w:pStyle w:val="2"/>
        <w:rPr>
          <w:rFonts w:hint="eastAsia"/>
        </w:rPr>
      </w:pPr>
    </w:p>
    <w:p w14:paraId="0AAB6AE7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DA28BF6">
      <w:pPr>
        <w:pStyle w:val="2"/>
        <w:rPr>
          <w:rFonts w:hint="eastAsia"/>
        </w:rPr>
      </w:pPr>
      <w:r>
        <w:rPr>
          <w:rFonts w:hint="eastAsia"/>
        </w:rPr>
        <w:t>(1)Provincial Center for Disease Control, Pokhara, Kaski, Nepal.</w:t>
      </w:r>
    </w:p>
    <w:p w14:paraId="2D8F6317">
      <w:pPr>
        <w:pStyle w:val="2"/>
        <w:rPr>
          <w:rFonts w:hint="eastAsia"/>
        </w:rPr>
      </w:pPr>
      <w:r>
        <w:rPr>
          <w:rFonts w:hint="eastAsia"/>
        </w:rPr>
        <w:t>(2)Province Hospital, Beni, Myagdi, Nepal.</w:t>
      </w:r>
    </w:p>
    <w:p w14:paraId="2CC13C11">
      <w:pPr>
        <w:pStyle w:val="2"/>
        <w:rPr>
          <w:rFonts w:hint="eastAsia"/>
        </w:rPr>
      </w:pPr>
    </w:p>
    <w:p w14:paraId="20DDFE76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 AND IMPORTANCE:</w:t>
      </w:r>
      <w:r>
        <w:rPr>
          <w:rFonts w:hint="eastAsia"/>
        </w:rPr>
        <w:t xml:space="preserve"> Rasmussen's aneurysm is a radiological finding and </w:t>
      </w:r>
    </w:p>
    <w:p w14:paraId="2E1485F4">
      <w:pPr>
        <w:pStyle w:val="2"/>
        <w:rPr>
          <w:rFonts w:hint="eastAsia"/>
        </w:rPr>
      </w:pPr>
      <w:r>
        <w:rPr>
          <w:rFonts w:hint="eastAsia"/>
        </w:rPr>
        <w:t xml:space="preserve">an uncommon cause of hemoptysis in pulmonary tuberculosis. It results from </w:t>
      </w:r>
    </w:p>
    <w:p w14:paraId="17C26F52">
      <w:pPr>
        <w:pStyle w:val="2"/>
        <w:rPr>
          <w:rFonts w:hint="eastAsia"/>
        </w:rPr>
      </w:pPr>
      <w:r>
        <w:rPr>
          <w:rFonts w:hint="eastAsia"/>
        </w:rPr>
        <w:t xml:space="preserve">weakening of pulmonary arterial wall due to inflammation adjacent to a </w:t>
      </w:r>
    </w:p>
    <w:p w14:paraId="49E458B3">
      <w:pPr>
        <w:pStyle w:val="2"/>
        <w:rPr>
          <w:rFonts w:hint="eastAsia"/>
        </w:rPr>
      </w:pPr>
      <w:r>
        <w:rPr>
          <w:rFonts w:hint="eastAsia"/>
        </w:rPr>
        <w:t>tuberculous cavity.</w:t>
      </w:r>
    </w:p>
    <w:p w14:paraId="229877EC">
      <w:pPr>
        <w:pStyle w:val="2"/>
        <w:rPr>
          <w:rFonts w:hint="eastAsia"/>
        </w:rPr>
      </w:pPr>
      <w:r>
        <w:rPr>
          <w:rFonts w:hint="eastAsia"/>
          <w:b/>
          <w:bCs/>
        </w:rPr>
        <w:t>CASE PRESENTATION:</w:t>
      </w:r>
      <w:r>
        <w:rPr>
          <w:rFonts w:hint="eastAsia"/>
        </w:rPr>
        <w:t xml:space="preserve"> We report a case of 52-year-old male diagnosed with pulmonary </w:t>
      </w:r>
    </w:p>
    <w:p w14:paraId="52FD8D57">
      <w:pPr>
        <w:pStyle w:val="2"/>
        <w:rPr>
          <w:rFonts w:hint="eastAsia"/>
        </w:rPr>
      </w:pPr>
      <w:r>
        <w:rPr>
          <w:rFonts w:hint="eastAsia"/>
        </w:rPr>
        <w:t xml:space="preserve">tuberculosis, who presented with recurrent hemoptysis despite being on </w:t>
      </w:r>
    </w:p>
    <w:p w14:paraId="7E7CB097">
      <w:pPr>
        <w:pStyle w:val="2"/>
        <w:rPr>
          <w:rFonts w:hint="eastAsia"/>
        </w:rPr>
      </w:pPr>
      <w:r>
        <w:rPr>
          <w:rFonts w:hint="eastAsia"/>
        </w:rPr>
        <w:t xml:space="preserve">anti-tubercular therapy. Bacteriological examination using line probe assay </w:t>
      </w:r>
    </w:p>
    <w:p w14:paraId="0D388378">
      <w:pPr>
        <w:pStyle w:val="2"/>
        <w:rPr>
          <w:rFonts w:hint="eastAsia"/>
        </w:rPr>
      </w:pPr>
      <w:r>
        <w:rPr>
          <w:rFonts w:hint="eastAsia"/>
        </w:rPr>
        <w:t xml:space="preserve">revealed resistance to Rifampicin and Isoniazid, confirming multidrug resistant </w:t>
      </w:r>
    </w:p>
    <w:p w14:paraId="00B4131F">
      <w:pPr>
        <w:pStyle w:val="2"/>
        <w:rPr>
          <w:rFonts w:hint="eastAsia"/>
        </w:rPr>
      </w:pPr>
      <w:r>
        <w:rPr>
          <w:rFonts w:hint="eastAsia"/>
        </w:rPr>
        <w:t xml:space="preserve">tuberculosis (MDR-TB). CT pulmonary angiogram (CT-PA) was performed, which </w:t>
      </w:r>
    </w:p>
    <w:p w14:paraId="447AB3A2">
      <w:pPr>
        <w:pStyle w:val="2"/>
        <w:rPr>
          <w:rFonts w:hint="eastAsia"/>
        </w:rPr>
      </w:pPr>
      <w:r>
        <w:rPr>
          <w:rFonts w:hint="eastAsia"/>
        </w:rPr>
        <w:t xml:space="preserve">demonstrated a dilated vascular channel adjacent to a cavity in the left upper </w:t>
      </w:r>
    </w:p>
    <w:p w14:paraId="10C424C6">
      <w:pPr>
        <w:pStyle w:val="2"/>
        <w:rPr>
          <w:rFonts w:hint="eastAsia"/>
        </w:rPr>
      </w:pPr>
      <w:r>
        <w:rPr>
          <w:rFonts w:hint="eastAsia"/>
        </w:rPr>
        <w:t xml:space="preserve">lobe of the lung, suggestive of Rasmussen's aneurysm. It was managed with </w:t>
      </w:r>
    </w:p>
    <w:p w14:paraId="1FC8005B">
      <w:pPr>
        <w:pStyle w:val="2"/>
        <w:rPr>
          <w:rFonts w:hint="eastAsia"/>
        </w:rPr>
      </w:pPr>
      <w:r>
        <w:rPr>
          <w:rFonts w:hint="eastAsia"/>
        </w:rPr>
        <w:t xml:space="preserve">trans-arterial embolization, followed by initiation of second-line regimen for </w:t>
      </w:r>
    </w:p>
    <w:p w14:paraId="752EA204">
      <w:pPr>
        <w:pStyle w:val="2"/>
        <w:rPr>
          <w:rFonts w:hint="eastAsia"/>
        </w:rPr>
      </w:pPr>
      <w:r>
        <w:rPr>
          <w:rFonts w:hint="eastAsia"/>
        </w:rPr>
        <w:t>MDR-TB.</w:t>
      </w:r>
    </w:p>
    <w:p w14:paraId="563DFB00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CLINICAL DISCUSSION: </w:t>
      </w:r>
      <w:r>
        <w:rPr>
          <w:rFonts w:hint="eastAsia"/>
        </w:rPr>
        <w:t xml:space="preserve">As Rasmussen's aneurysm is rare, it is often overlooked </w:t>
      </w:r>
    </w:p>
    <w:p w14:paraId="0B6EAE26">
      <w:pPr>
        <w:pStyle w:val="2"/>
        <w:rPr>
          <w:rFonts w:hint="eastAsia"/>
        </w:rPr>
      </w:pPr>
      <w:r>
        <w:rPr>
          <w:rFonts w:hint="eastAsia"/>
        </w:rPr>
        <w:t xml:space="preserve">when a TB case presents with massive hemoptysis. If left untreated, it could be </w:t>
      </w:r>
    </w:p>
    <w:p w14:paraId="550FAE6C">
      <w:pPr>
        <w:pStyle w:val="2"/>
        <w:rPr>
          <w:rFonts w:hint="eastAsia"/>
        </w:rPr>
      </w:pPr>
      <w:r>
        <w:rPr>
          <w:rFonts w:hint="eastAsia"/>
        </w:rPr>
        <w:t xml:space="preserve">fatal. This case highlights the utility of prompt investigation and intervention </w:t>
      </w:r>
    </w:p>
    <w:p w14:paraId="771F9F68">
      <w:pPr>
        <w:pStyle w:val="2"/>
        <w:rPr>
          <w:rFonts w:hint="eastAsia"/>
        </w:rPr>
      </w:pPr>
      <w:r>
        <w:rPr>
          <w:rFonts w:hint="eastAsia"/>
        </w:rPr>
        <w:t>to manage the complication and prevent further deterioration.</w:t>
      </w:r>
    </w:p>
    <w:p w14:paraId="779703F3">
      <w:pPr>
        <w:pStyle w:val="2"/>
        <w:rPr>
          <w:rFonts w:hint="eastAsia"/>
        </w:rPr>
      </w:pPr>
      <w:r>
        <w:rPr>
          <w:rFonts w:hint="eastAsia"/>
        </w:rPr>
        <w:t xml:space="preserve">CONCLUSION: Rasmussen's aneurysm is a rare cause of hemoptysis, especially in </w:t>
      </w:r>
    </w:p>
    <w:p w14:paraId="0324BD4B">
      <w:pPr>
        <w:pStyle w:val="2"/>
        <w:rPr>
          <w:rFonts w:hint="eastAsia"/>
        </w:rPr>
      </w:pPr>
      <w:r>
        <w:rPr>
          <w:rFonts w:hint="eastAsia"/>
        </w:rPr>
        <w:t xml:space="preserve">cavitary or MDR-TB. Early diagnosis with CT-PA and management with endovascular </w:t>
      </w:r>
    </w:p>
    <w:p w14:paraId="10D951BC">
      <w:pPr>
        <w:pStyle w:val="2"/>
        <w:rPr>
          <w:rFonts w:hint="eastAsia"/>
        </w:rPr>
      </w:pPr>
      <w:r>
        <w:rPr>
          <w:rFonts w:hint="eastAsia"/>
        </w:rPr>
        <w:t>approach could be life-saving.</w:t>
      </w:r>
    </w:p>
    <w:p w14:paraId="312579BF">
      <w:pPr>
        <w:pStyle w:val="2"/>
        <w:rPr>
          <w:rFonts w:hint="eastAsia"/>
        </w:rPr>
      </w:pPr>
    </w:p>
    <w:p w14:paraId="55EC76C0">
      <w:pPr>
        <w:pStyle w:val="2"/>
        <w:rPr>
          <w:rFonts w:hint="eastAsia"/>
        </w:rPr>
      </w:pPr>
      <w:r>
        <w:rPr>
          <w:rFonts w:hint="eastAsia"/>
        </w:rPr>
        <w:t>Copyright © 2026 The Author(s). Published by Wolters Kluwer Health, LLC.</w:t>
      </w:r>
    </w:p>
    <w:p w14:paraId="5FFBDBA0">
      <w:pPr>
        <w:pStyle w:val="2"/>
        <w:rPr>
          <w:rFonts w:hint="eastAsia"/>
        </w:rPr>
      </w:pPr>
    </w:p>
    <w:p w14:paraId="6CDBEE90">
      <w:pPr>
        <w:pStyle w:val="2"/>
        <w:rPr>
          <w:rFonts w:hint="eastAsia"/>
        </w:rPr>
      </w:pPr>
      <w:r>
        <w:rPr>
          <w:rFonts w:hint="eastAsia"/>
        </w:rPr>
        <w:t>DOI: 10.1097/MS9.0000000000005612</w:t>
      </w:r>
    </w:p>
    <w:p w14:paraId="172C0CE1">
      <w:pPr>
        <w:pStyle w:val="2"/>
        <w:rPr>
          <w:rFonts w:hint="eastAsia"/>
        </w:rPr>
      </w:pPr>
      <w:r>
        <w:rPr>
          <w:rFonts w:hint="eastAsia"/>
        </w:rPr>
        <w:t>PMCID: PMC13657444</w:t>
      </w:r>
    </w:p>
    <w:p w14:paraId="0C630587">
      <w:pPr>
        <w:pStyle w:val="2"/>
        <w:rPr>
          <w:rFonts w:hint="eastAsia"/>
        </w:rPr>
      </w:pPr>
      <w:r>
        <w:rPr>
          <w:rFonts w:hint="eastAsia"/>
        </w:rPr>
        <w:t>PMID: 42866299</w:t>
      </w:r>
    </w:p>
    <w:p w14:paraId="33A50E11">
      <w:pPr>
        <w:pStyle w:val="2"/>
        <w:rPr>
          <w:rFonts w:hint="eastAsia"/>
        </w:rPr>
      </w:pPr>
    </w:p>
    <w:p w14:paraId="2624B21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8</w:t>
      </w:r>
      <w:r>
        <w:rPr>
          <w:rFonts w:hint="eastAsia"/>
          <w:b/>
          <w:bCs/>
          <w:color w:val="FF0000"/>
        </w:rPr>
        <w:t xml:space="preserve">9. Front Cell Infect Microbiol. 2026 Sep 28;16:1918881. doi: </w:t>
      </w:r>
    </w:p>
    <w:p w14:paraId="7511C614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10.3389/fcimb.2026.1918881. eCollection 2026.</w:t>
      </w:r>
    </w:p>
    <w:p w14:paraId="0E2CE4F3">
      <w:pPr>
        <w:pStyle w:val="2"/>
        <w:rPr>
          <w:rFonts w:hint="eastAsia"/>
        </w:rPr>
      </w:pPr>
    </w:p>
    <w:p w14:paraId="41603DCF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 small RNAs MTS0997 and MTS1338 regulate both pathogen </w:t>
      </w:r>
    </w:p>
    <w:p w14:paraId="1AF7C9DB">
      <w:pPr>
        <w:pStyle w:val="2"/>
        <w:rPr>
          <w:rFonts w:hint="eastAsia"/>
        </w:rPr>
      </w:pPr>
      <w:r>
        <w:rPr>
          <w:rFonts w:hint="eastAsia"/>
        </w:rPr>
        <w:t>virulence and host immune responses.</w:t>
      </w:r>
    </w:p>
    <w:p w14:paraId="07E947EE">
      <w:pPr>
        <w:pStyle w:val="2"/>
        <w:rPr>
          <w:rFonts w:hint="eastAsia"/>
        </w:rPr>
      </w:pPr>
    </w:p>
    <w:p w14:paraId="4549412A">
      <w:pPr>
        <w:pStyle w:val="2"/>
        <w:rPr>
          <w:rFonts w:hint="eastAsia"/>
        </w:rPr>
      </w:pPr>
      <w:r>
        <w:rPr>
          <w:rFonts w:hint="eastAsia"/>
        </w:rPr>
        <w:t xml:space="preserve">Salina EG(1)(2), Grigorov A(1), Martini B(2), Skvortsova Y(1), Logunova N(3), </w:t>
      </w:r>
    </w:p>
    <w:p w14:paraId="3B57DF24">
      <w:pPr>
        <w:pStyle w:val="2"/>
        <w:rPr>
          <w:rFonts w:hint="eastAsia"/>
        </w:rPr>
      </w:pPr>
      <w:r>
        <w:rPr>
          <w:rFonts w:hint="eastAsia"/>
        </w:rPr>
        <w:t xml:space="preserve">Kapina M(3), Shumkov M(2), Bychenko O(1), Svirshchevskaya E(1), Bocharova I(3), </w:t>
      </w:r>
    </w:p>
    <w:p w14:paraId="6059AF3A">
      <w:pPr>
        <w:pStyle w:val="2"/>
        <w:rPr>
          <w:rFonts w:hint="eastAsia"/>
        </w:rPr>
      </w:pPr>
      <w:r>
        <w:rPr>
          <w:rFonts w:hint="eastAsia"/>
        </w:rPr>
        <w:t>Majorov K(3), Linge I(3), Apt A(3), Azhikina T(1).</w:t>
      </w:r>
    </w:p>
    <w:p w14:paraId="5233A2E8">
      <w:pPr>
        <w:pStyle w:val="2"/>
        <w:rPr>
          <w:rFonts w:hint="eastAsia"/>
        </w:rPr>
      </w:pPr>
    </w:p>
    <w:p w14:paraId="404EE13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022B507">
      <w:pPr>
        <w:pStyle w:val="2"/>
        <w:rPr>
          <w:rFonts w:hint="eastAsia"/>
        </w:rPr>
      </w:pPr>
      <w:r>
        <w:rPr>
          <w:rFonts w:hint="eastAsia"/>
        </w:rPr>
        <w:t xml:space="preserve">(1)Shemyakin-Ovchinnikov Institute of Bioorganic Chemistry of the Russian </w:t>
      </w:r>
    </w:p>
    <w:p w14:paraId="55A0504B">
      <w:pPr>
        <w:pStyle w:val="2"/>
        <w:rPr>
          <w:rFonts w:hint="eastAsia"/>
        </w:rPr>
      </w:pPr>
      <w:r>
        <w:rPr>
          <w:rFonts w:hint="eastAsia"/>
        </w:rPr>
        <w:t>Academy of Sciences, Moscow, Russia.</w:t>
      </w:r>
    </w:p>
    <w:p w14:paraId="4A12F2BB">
      <w:pPr>
        <w:pStyle w:val="2"/>
        <w:rPr>
          <w:rFonts w:hint="eastAsia"/>
        </w:rPr>
      </w:pPr>
      <w:r>
        <w:rPr>
          <w:rFonts w:hint="eastAsia"/>
        </w:rPr>
        <w:t xml:space="preserve">(2)Bach Institute of Biochemistry, Research Center of Biotechnology of the </w:t>
      </w:r>
    </w:p>
    <w:p w14:paraId="1E48CA26">
      <w:pPr>
        <w:pStyle w:val="2"/>
        <w:rPr>
          <w:rFonts w:hint="eastAsia"/>
        </w:rPr>
      </w:pPr>
      <w:r>
        <w:rPr>
          <w:rFonts w:hint="eastAsia"/>
        </w:rPr>
        <w:t>Russian Academy of Sciences, Moscow, Russia.</w:t>
      </w:r>
    </w:p>
    <w:p w14:paraId="5D413412">
      <w:pPr>
        <w:pStyle w:val="2"/>
        <w:rPr>
          <w:rFonts w:hint="eastAsia"/>
        </w:rPr>
      </w:pPr>
      <w:r>
        <w:rPr>
          <w:rFonts w:hint="eastAsia"/>
        </w:rPr>
        <w:t>(3)Immunology Department, Central TB Research Institute, Moscow, Russia.</w:t>
      </w:r>
    </w:p>
    <w:p w14:paraId="6AA2E92B">
      <w:pPr>
        <w:pStyle w:val="2"/>
        <w:rPr>
          <w:rFonts w:hint="eastAsia"/>
        </w:rPr>
      </w:pPr>
    </w:p>
    <w:p w14:paraId="0B3EAC89">
      <w:pPr>
        <w:pStyle w:val="2"/>
        <w:rPr>
          <w:rFonts w:hint="eastAsia"/>
        </w:rPr>
      </w:pPr>
      <w:r>
        <w:rPr>
          <w:rFonts w:hint="eastAsia"/>
        </w:rPr>
        <w:t xml:space="preserve">Previously, others and we demonstrated that small RNAs MTS1338 and MTS0997 of </w:t>
      </w:r>
    </w:p>
    <w:p w14:paraId="6B0B37CB">
      <w:pPr>
        <w:pStyle w:val="2"/>
        <w:rPr>
          <w:rFonts w:hint="eastAsia"/>
        </w:rPr>
      </w:pPr>
      <w:r>
        <w:rPr>
          <w:rFonts w:hint="eastAsia"/>
        </w:rPr>
        <w:t xml:space="preserve">Mycobacterium tuberculosis, the causative agent of tuberculosis (TB), are </w:t>
      </w:r>
    </w:p>
    <w:p w14:paraId="56E25505">
      <w:pPr>
        <w:pStyle w:val="2"/>
        <w:rPr>
          <w:rFonts w:hint="eastAsia"/>
        </w:rPr>
      </w:pPr>
      <w:r>
        <w:rPr>
          <w:rFonts w:hint="eastAsia"/>
        </w:rPr>
        <w:t xml:space="preserve">essential for persistence inside host macrophages. However, their role in </w:t>
      </w:r>
    </w:p>
    <w:p w14:paraId="76BD6ED5">
      <w:pPr>
        <w:pStyle w:val="2"/>
        <w:rPr>
          <w:rFonts w:hint="eastAsia"/>
        </w:rPr>
      </w:pPr>
      <w:r>
        <w:rPr>
          <w:rFonts w:hint="eastAsia"/>
        </w:rPr>
        <w:t xml:space="preserve">mycobacterial transcriptional profile regulation was characterized incompletely, </w:t>
      </w:r>
    </w:p>
    <w:p w14:paraId="1DDEBA6F">
      <w:pPr>
        <w:pStyle w:val="2"/>
        <w:rPr>
          <w:rFonts w:hint="eastAsia"/>
        </w:rPr>
      </w:pPr>
      <w:r>
        <w:rPr>
          <w:rFonts w:hint="eastAsia"/>
        </w:rPr>
        <w:t xml:space="preserve">and potential influence on host immune responses and the outcome of infection </w:t>
      </w:r>
    </w:p>
    <w:p w14:paraId="5E97C346">
      <w:pPr>
        <w:pStyle w:val="2"/>
        <w:rPr>
          <w:rFonts w:hint="eastAsia"/>
        </w:rPr>
      </w:pPr>
      <w:r>
        <w:rPr>
          <w:rFonts w:hint="eastAsia"/>
        </w:rPr>
        <w:t xml:space="preserve">remained obscure. To obtain new insights in M. tuberculosis biology and TB </w:t>
      </w:r>
    </w:p>
    <w:p w14:paraId="6CDACA22">
      <w:pPr>
        <w:pStyle w:val="2"/>
        <w:rPr>
          <w:rFonts w:hint="eastAsia"/>
        </w:rPr>
      </w:pPr>
      <w:r>
        <w:rPr>
          <w:rFonts w:hint="eastAsia"/>
        </w:rPr>
        <w:t xml:space="preserve">pathogenesis we established unmarked single-knockout (KO) M. tuberculosis </w:t>
      </w:r>
    </w:p>
    <w:p w14:paraId="72CA1105">
      <w:pPr>
        <w:pStyle w:val="2"/>
        <w:rPr>
          <w:rFonts w:hint="eastAsia"/>
        </w:rPr>
      </w:pPr>
      <w:r>
        <w:rPr>
          <w:rFonts w:hint="eastAsia"/>
        </w:rPr>
        <w:t xml:space="preserve">strains with deleted genes for MTS0997, or MTS1338, as well as the double KO </w:t>
      </w:r>
    </w:p>
    <w:p w14:paraId="03B815F8">
      <w:pPr>
        <w:pStyle w:val="2"/>
        <w:rPr>
          <w:rFonts w:hint="eastAsia"/>
        </w:rPr>
      </w:pPr>
      <w:r>
        <w:rPr>
          <w:rFonts w:hint="eastAsia"/>
        </w:rPr>
        <w:t xml:space="preserve">strain. These strains, their parental wild type progenitor and complemented </w:t>
      </w:r>
    </w:p>
    <w:p w14:paraId="6C208936">
      <w:pPr>
        <w:pStyle w:val="2"/>
        <w:rPr>
          <w:rFonts w:hint="eastAsia"/>
        </w:rPr>
      </w:pPr>
      <w:r>
        <w:rPr>
          <w:rFonts w:hint="eastAsia"/>
        </w:rPr>
        <w:t xml:space="preserve">double KO variant were explored in three experimental settings: (i) whole genome </w:t>
      </w:r>
    </w:p>
    <w:p w14:paraId="79E4B641">
      <w:pPr>
        <w:pStyle w:val="2"/>
        <w:rPr>
          <w:rFonts w:hint="eastAsia"/>
        </w:rPr>
      </w:pPr>
      <w:r>
        <w:rPr>
          <w:rFonts w:hint="eastAsia"/>
        </w:rPr>
        <w:t xml:space="preserve">expression profiling during cultural growth, (ii) whole genome transcriptional </w:t>
      </w:r>
    </w:p>
    <w:p w14:paraId="5DF58D9A">
      <w:pPr>
        <w:pStyle w:val="2"/>
        <w:rPr>
          <w:rFonts w:hint="eastAsia"/>
        </w:rPr>
      </w:pPr>
      <w:r>
        <w:rPr>
          <w:rFonts w:hint="eastAsia"/>
        </w:rPr>
        <w:t xml:space="preserve">analysis of murine bone marrow-derived macrophages activated or not with IFN-γ, </w:t>
      </w:r>
    </w:p>
    <w:p w14:paraId="74AA20C6">
      <w:pPr>
        <w:pStyle w:val="2"/>
        <w:rPr>
          <w:rFonts w:hint="eastAsia"/>
        </w:rPr>
      </w:pPr>
      <w:r>
        <w:rPr>
          <w:rFonts w:hint="eastAsia"/>
        </w:rPr>
        <w:t xml:space="preserve">and (iii) TB infection in genetically highly TB-susceptible mice. The results of </w:t>
      </w:r>
    </w:p>
    <w:p w14:paraId="4E1ACBBF">
      <w:pPr>
        <w:pStyle w:val="2"/>
        <w:rPr>
          <w:rFonts w:hint="eastAsia"/>
        </w:rPr>
      </w:pPr>
      <w:r>
        <w:rPr>
          <w:rFonts w:hint="eastAsia"/>
        </w:rPr>
        <w:t xml:space="preserve">our experiments indicate that deletion of MTS0997 sRNA results in a more </w:t>
      </w:r>
    </w:p>
    <w:p w14:paraId="3649147F">
      <w:pPr>
        <w:pStyle w:val="2"/>
        <w:rPr>
          <w:rFonts w:hint="eastAsia"/>
        </w:rPr>
      </w:pPr>
      <w:r>
        <w:rPr>
          <w:rFonts w:hint="eastAsia"/>
        </w:rPr>
        <w:t xml:space="preserve">pronounced impact on M. tuberculosis biology compared to MTS1338. The most </w:t>
      </w:r>
    </w:p>
    <w:p w14:paraId="11C957B1">
      <w:pPr>
        <w:pStyle w:val="2"/>
        <w:rPr>
          <w:rFonts w:hint="eastAsia"/>
        </w:rPr>
      </w:pPr>
      <w:r>
        <w:rPr>
          <w:rFonts w:hint="eastAsia"/>
        </w:rPr>
        <w:t xml:space="preserve">prominent phenotypic shifts in MTS0997-deleted strain were modulation of </w:t>
      </w:r>
    </w:p>
    <w:p w14:paraId="54A26521">
      <w:pPr>
        <w:pStyle w:val="2"/>
        <w:rPr>
          <w:rFonts w:hint="eastAsia"/>
        </w:rPr>
      </w:pPr>
      <w:r>
        <w:rPr>
          <w:rFonts w:hint="eastAsia"/>
        </w:rPr>
        <w:t xml:space="preserve">bacterial succinate/fumarate respiration, up-regulation of genes belonging to </w:t>
      </w:r>
    </w:p>
    <w:p w14:paraId="24574BE9">
      <w:pPr>
        <w:pStyle w:val="2"/>
        <w:rPr>
          <w:rFonts w:hint="eastAsia"/>
        </w:rPr>
      </w:pPr>
      <w:r>
        <w:rPr>
          <w:rFonts w:hint="eastAsia"/>
        </w:rPr>
        <w:t xml:space="preserve">the ESX-1 secretion system, increase in pathogen virulence for the murine host </w:t>
      </w:r>
    </w:p>
    <w:p w14:paraId="3D2BB657">
      <w:pPr>
        <w:pStyle w:val="2"/>
        <w:rPr>
          <w:rFonts w:hint="eastAsia"/>
        </w:rPr>
      </w:pPr>
      <w:r>
        <w:rPr>
          <w:rFonts w:hint="eastAsia"/>
        </w:rPr>
        <w:t xml:space="preserve">and decreased production of a few pro-inflammatory cytokines in the lung tissue. </w:t>
      </w:r>
    </w:p>
    <w:p w14:paraId="4B7747C3">
      <w:pPr>
        <w:pStyle w:val="2"/>
        <w:rPr>
          <w:rFonts w:hint="eastAsia"/>
        </w:rPr>
      </w:pPr>
      <w:r>
        <w:rPr>
          <w:rFonts w:hint="eastAsia"/>
        </w:rPr>
        <w:t xml:space="preserve">In addition, differences in the sizes of B-cell and other MHC-II-expressing cell </w:t>
      </w:r>
    </w:p>
    <w:p w14:paraId="56EDDF59">
      <w:pPr>
        <w:pStyle w:val="2"/>
        <w:rPr>
          <w:rFonts w:hint="eastAsia"/>
        </w:rPr>
      </w:pPr>
      <w:r>
        <w:rPr>
          <w:rFonts w:hint="eastAsia"/>
        </w:rPr>
        <w:t xml:space="preserve">populations in lungs of mice infected with single- compared to double-KO strains </w:t>
      </w:r>
    </w:p>
    <w:p w14:paraId="1762DC71">
      <w:pPr>
        <w:pStyle w:val="2"/>
        <w:rPr>
          <w:rFonts w:hint="eastAsia"/>
        </w:rPr>
      </w:pPr>
      <w:r>
        <w:rPr>
          <w:rFonts w:hint="eastAsia"/>
        </w:rPr>
        <w:t xml:space="preserve">provided evidence for transcriptional epistasis, a phenomenon that remains </w:t>
      </w:r>
    </w:p>
    <w:p w14:paraId="67FF581C">
      <w:pPr>
        <w:pStyle w:val="2"/>
        <w:rPr>
          <w:rFonts w:hint="eastAsia"/>
        </w:rPr>
      </w:pPr>
      <w:r>
        <w:rPr>
          <w:rFonts w:hint="eastAsia"/>
        </w:rPr>
        <w:t>poorly understood in mycobacteria.</w:t>
      </w:r>
    </w:p>
    <w:p w14:paraId="680579ED">
      <w:pPr>
        <w:pStyle w:val="2"/>
        <w:rPr>
          <w:rFonts w:hint="eastAsia"/>
        </w:rPr>
      </w:pPr>
    </w:p>
    <w:p w14:paraId="66D92EA1">
      <w:pPr>
        <w:pStyle w:val="2"/>
        <w:rPr>
          <w:rFonts w:hint="eastAsia"/>
        </w:rPr>
      </w:pPr>
      <w:r>
        <w:rPr>
          <w:rFonts w:hint="eastAsia"/>
        </w:rPr>
        <w:t xml:space="preserve">Copyright © 2026 Salina, Grigorov, Martini, Skvortsova, Logunova, Kapina, </w:t>
      </w:r>
    </w:p>
    <w:p w14:paraId="12038AE9">
      <w:pPr>
        <w:pStyle w:val="2"/>
        <w:rPr>
          <w:rFonts w:hint="eastAsia"/>
        </w:rPr>
      </w:pPr>
      <w:r>
        <w:rPr>
          <w:rFonts w:hint="eastAsia"/>
        </w:rPr>
        <w:t>Shumkov, Bychenko, Svirshchevskaya, Bocharova, Majorov, Linge, Apt and Azhikina.</w:t>
      </w:r>
    </w:p>
    <w:p w14:paraId="6E405C7C">
      <w:pPr>
        <w:pStyle w:val="2"/>
        <w:rPr>
          <w:rFonts w:hint="eastAsia"/>
        </w:rPr>
      </w:pPr>
    </w:p>
    <w:p w14:paraId="2AC44235">
      <w:pPr>
        <w:pStyle w:val="2"/>
        <w:rPr>
          <w:rFonts w:hint="eastAsia"/>
        </w:rPr>
      </w:pPr>
      <w:r>
        <w:rPr>
          <w:rFonts w:hint="eastAsia"/>
        </w:rPr>
        <w:t>DOI: 10.3389/fcimb.2026.1918881</w:t>
      </w:r>
    </w:p>
    <w:p w14:paraId="4F685EA6">
      <w:pPr>
        <w:pStyle w:val="2"/>
        <w:rPr>
          <w:rFonts w:hint="eastAsia"/>
        </w:rPr>
      </w:pPr>
      <w:r>
        <w:rPr>
          <w:rFonts w:hint="eastAsia"/>
        </w:rPr>
        <w:t>PMCID: PMC13654791</w:t>
      </w:r>
    </w:p>
    <w:p w14:paraId="5C73EAF8">
      <w:pPr>
        <w:pStyle w:val="2"/>
        <w:rPr>
          <w:rFonts w:hint="eastAsia"/>
        </w:rPr>
      </w:pPr>
      <w:r>
        <w:rPr>
          <w:rFonts w:hint="eastAsia"/>
        </w:rPr>
        <w:t>PMID: 42865507 [Indexed for MEDLINE]</w:t>
      </w:r>
    </w:p>
    <w:p w14:paraId="648B157F">
      <w:pPr>
        <w:pStyle w:val="2"/>
        <w:rPr>
          <w:rFonts w:hint="eastAsia"/>
        </w:rPr>
      </w:pPr>
    </w:p>
    <w:p w14:paraId="7E7691A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</w:t>
      </w:r>
      <w:r>
        <w:rPr>
          <w:rFonts w:hint="eastAsia"/>
          <w:b/>
          <w:bCs/>
          <w:color w:val="FF0000"/>
        </w:rPr>
        <w:t xml:space="preserve">0. Public Health Wkly Rep. 2026 Sep 1;19(38):1633-1647. doi: </w:t>
      </w:r>
    </w:p>
    <w:p w14:paraId="4F52B8D9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10.56786/PHWR.2026.19.38.3. eCollection 2026.</w:t>
      </w:r>
    </w:p>
    <w:p w14:paraId="14C1F855">
      <w:pPr>
        <w:pStyle w:val="2"/>
        <w:rPr>
          <w:rFonts w:hint="eastAsia"/>
        </w:rPr>
      </w:pPr>
    </w:p>
    <w:p w14:paraId="024DD00D">
      <w:pPr>
        <w:pStyle w:val="2"/>
        <w:rPr>
          <w:rFonts w:hint="eastAsia"/>
        </w:rPr>
      </w:pPr>
      <w:r>
        <w:rPr>
          <w:rFonts w:hint="eastAsia"/>
        </w:rPr>
        <w:t xml:space="preserve">Results of the Vulnerable Populations Tuberculosis Screening Project 2025 in the </w:t>
      </w:r>
    </w:p>
    <w:p w14:paraId="1A604412">
      <w:pPr>
        <w:pStyle w:val="2"/>
        <w:rPr>
          <w:rFonts w:hint="eastAsia"/>
        </w:rPr>
      </w:pPr>
      <w:r>
        <w:rPr>
          <w:rFonts w:hint="eastAsia"/>
        </w:rPr>
        <w:t>Republic of Korea.</w:t>
      </w:r>
    </w:p>
    <w:p w14:paraId="21F3DEA4">
      <w:pPr>
        <w:pStyle w:val="2"/>
        <w:rPr>
          <w:rFonts w:hint="eastAsia"/>
        </w:rPr>
      </w:pPr>
    </w:p>
    <w:p w14:paraId="62939DBD">
      <w:pPr>
        <w:pStyle w:val="2"/>
        <w:rPr>
          <w:rFonts w:hint="eastAsia"/>
        </w:rPr>
      </w:pPr>
      <w:r>
        <w:rPr>
          <w:rFonts w:hint="eastAsia"/>
        </w:rPr>
        <w:t>Kim Y(#)(1), Kim H(#)(1), Kim Y(1), Lee S(1).</w:t>
      </w:r>
    </w:p>
    <w:p w14:paraId="251DD6AC">
      <w:pPr>
        <w:pStyle w:val="2"/>
        <w:rPr>
          <w:rFonts w:hint="eastAsia"/>
        </w:rPr>
      </w:pPr>
    </w:p>
    <w:p w14:paraId="5C6996E6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CF11AD5">
      <w:pPr>
        <w:pStyle w:val="2"/>
        <w:rPr>
          <w:rFonts w:hint="eastAsia"/>
        </w:rPr>
      </w:pPr>
      <w:r>
        <w:rPr>
          <w:rFonts w:hint="eastAsia"/>
        </w:rPr>
        <w:t xml:space="preserve">(1)Division of Tuberculosis Policy, Department of Infectious Disease Policy, </w:t>
      </w:r>
    </w:p>
    <w:p w14:paraId="22D461B2">
      <w:pPr>
        <w:pStyle w:val="2"/>
        <w:rPr>
          <w:rFonts w:hint="eastAsia"/>
        </w:rPr>
      </w:pPr>
      <w:r>
        <w:rPr>
          <w:rFonts w:hint="eastAsia"/>
        </w:rPr>
        <w:t>Korea Disease Control and Prevention Agency Cheongju Korea.</w:t>
      </w:r>
    </w:p>
    <w:p w14:paraId="589F1935">
      <w:pPr>
        <w:pStyle w:val="2"/>
        <w:rPr>
          <w:rFonts w:hint="eastAsia"/>
        </w:rPr>
      </w:pPr>
      <w:r>
        <w:rPr>
          <w:rFonts w:hint="eastAsia"/>
        </w:rPr>
        <w:t>(#)Contributed equally</w:t>
      </w:r>
    </w:p>
    <w:p w14:paraId="62E73B93">
      <w:pPr>
        <w:pStyle w:val="2"/>
        <w:rPr>
          <w:rFonts w:hint="eastAsia"/>
        </w:rPr>
      </w:pPr>
    </w:p>
    <w:p w14:paraId="23DF5AFA">
      <w:pPr>
        <w:pStyle w:val="2"/>
        <w:rPr>
          <w:rFonts w:hint="eastAsia"/>
        </w:rPr>
      </w:pPr>
      <w:r>
        <w:rPr>
          <w:rFonts w:hint="eastAsia"/>
          <w:b/>
          <w:bCs/>
        </w:rPr>
        <w:t>OBJECTIVES:</w:t>
      </w:r>
      <w:r>
        <w:rPr>
          <w:rFonts w:hint="eastAsia"/>
        </w:rPr>
        <w:t xml:space="preserve"> This study aimed to analyze and report the results of the 2025 </w:t>
      </w:r>
    </w:p>
    <w:p w14:paraId="1FF7D0EC">
      <w:pPr>
        <w:pStyle w:val="2"/>
        <w:rPr>
          <w:rFonts w:hint="eastAsia"/>
        </w:rPr>
      </w:pPr>
      <w:r>
        <w:rPr>
          <w:rFonts w:hint="eastAsia"/>
        </w:rPr>
        <w:t xml:space="preserve">mobile tuberculosis (TB) screening program targeting vulnerable populations and </w:t>
      </w:r>
    </w:p>
    <w:p w14:paraId="54D7E786">
      <w:pPr>
        <w:pStyle w:val="2"/>
        <w:rPr>
          <w:rFonts w:hint="eastAsia"/>
        </w:rPr>
      </w:pPr>
      <w:r>
        <w:rPr>
          <w:rFonts w:hint="eastAsia"/>
        </w:rPr>
        <w:t xml:space="preserve">to suggest directions for improving TB prevention and control policies for these </w:t>
      </w:r>
    </w:p>
    <w:p w14:paraId="10F82BEE">
      <w:pPr>
        <w:pStyle w:val="2"/>
        <w:rPr>
          <w:rFonts w:hint="eastAsia"/>
        </w:rPr>
      </w:pPr>
      <w:r>
        <w:rPr>
          <w:rFonts w:hint="eastAsia"/>
        </w:rPr>
        <w:t>groups.</w:t>
      </w:r>
    </w:p>
    <w:p w14:paraId="5E9CE952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METHODS: </w:t>
      </w:r>
      <w:r>
        <w:rPr>
          <w:rFonts w:hint="eastAsia"/>
        </w:rPr>
        <w:t xml:space="preserve">Screening followed a three-step process: a pre-screening questionnaire, </w:t>
      </w:r>
    </w:p>
    <w:p w14:paraId="3A5379AE">
      <w:pPr>
        <w:pStyle w:val="2"/>
        <w:rPr>
          <w:rFonts w:hint="eastAsia"/>
        </w:rPr>
      </w:pPr>
      <w:r>
        <w:rPr>
          <w:rFonts w:hint="eastAsia"/>
        </w:rPr>
        <w:t xml:space="preserve">chest X-ray examination, and sputum testing. Sputum testing was administered to </w:t>
      </w:r>
    </w:p>
    <w:p w14:paraId="5EF9C036">
      <w:pPr>
        <w:pStyle w:val="2"/>
        <w:rPr>
          <w:rFonts w:hint="eastAsia"/>
        </w:rPr>
      </w:pPr>
      <w:r>
        <w:rPr>
          <w:rFonts w:hint="eastAsia"/>
        </w:rPr>
        <w:t xml:space="preserve">individuals reporting TB-like symptoms or exhibiting suspicious findings on </w:t>
      </w:r>
    </w:p>
    <w:p w14:paraId="071C52ED">
      <w:pPr>
        <w:pStyle w:val="2"/>
        <w:rPr>
          <w:rFonts w:hint="eastAsia"/>
        </w:rPr>
      </w:pPr>
      <w:r>
        <w:rPr>
          <w:rFonts w:hint="eastAsia"/>
        </w:rPr>
        <w:t>chest X-rays, including inactive TB lesions.</w:t>
      </w:r>
    </w:p>
    <w:p w14:paraId="79FCAE5B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 total of 167,636 older adults participated in the screening program, </w:t>
      </w:r>
    </w:p>
    <w:p w14:paraId="3196951E">
      <w:pPr>
        <w:pStyle w:val="2"/>
        <w:rPr>
          <w:rFonts w:hint="eastAsia"/>
        </w:rPr>
      </w:pPr>
      <w:r>
        <w:rPr>
          <w:rFonts w:hint="eastAsia"/>
        </w:rPr>
        <w:t xml:space="preserve">yielding 119 identified TB cases. Among homeless individuals and jjokbang </w:t>
      </w:r>
    </w:p>
    <w:p w14:paraId="4D0D3C62">
      <w:pPr>
        <w:pStyle w:val="2"/>
        <w:rPr>
          <w:rFonts w:hint="eastAsia"/>
        </w:rPr>
      </w:pPr>
      <w:r>
        <w:rPr>
          <w:rFonts w:hint="eastAsia"/>
        </w:rPr>
        <w:t xml:space="preserve">residents, 15,178 individuals participated, and 18 patients with TB were </w:t>
      </w:r>
    </w:p>
    <w:p w14:paraId="1DF261AE">
      <w:pPr>
        <w:pStyle w:val="2"/>
        <w:rPr>
          <w:rFonts w:hint="eastAsia"/>
        </w:rPr>
      </w:pPr>
      <w:r>
        <w:rPr>
          <w:rFonts w:hint="eastAsia"/>
        </w:rPr>
        <w:t xml:space="preserve">identified. In the older adult group, higher TB detection rates were observed </w:t>
      </w:r>
    </w:p>
    <w:p w14:paraId="1CB52E9F">
      <w:pPr>
        <w:pStyle w:val="2"/>
        <w:rPr>
          <w:rFonts w:hint="eastAsia"/>
        </w:rPr>
      </w:pPr>
      <w:r>
        <w:rPr>
          <w:rFonts w:hint="eastAsia"/>
        </w:rPr>
        <w:t xml:space="preserve">among males, older age groups, individuals with symptoms suggestive of TB, and </w:t>
      </w:r>
    </w:p>
    <w:p w14:paraId="5B21545B">
      <w:pPr>
        <w:pStyle w:val="2"/>
        <w:rPr>
          <w:rFonts w:hint="eastAsia"/>
        </w:rPr>
      </w:pPr>
      <w:r>
        <w:rPr>
          <w:rFonts w:hint="eastAsia"/>
        </w:rPr>
        <w:t xml:space="preserve">those with suspicious chest X-ray findings (p&lt;0.001). Among homeless individuals </w:t>
      </w:r>
    </w:p>
    <w:p w14:paraId="026732AD">
      <w:pPr>
        <w:pStyle w:val="2"/>
        <w:rPr>
          <w:rFonts w:hint="eastAsia"/>
        </w:rPr>
      </w:pPr>
      <w:r>
        <w:rPr>
          <w:rFonts w:hint="eastAsia"/>
        </w:rPr>
        <w:t xml:space="preserve">and jjokbang residents, significant differences in detection rates were </w:t>
      </w:r>
    </w:p>
    <w:p w14:paraId="3041D78B">
      <w:pPr>
        <w:pStyle w:val="2"/>
        <w:rPr>
          <w:rFonts w:hint="eastAsia"/>
        </w:rPr>
      </w:pPr>
      <w:r>
        <w:rPr>
          <w:rFonts w:hint="eastAsia"/>
        </w:rPr>
        <w:t xml:space="preserve">associated with poor living environments and suspicious chest X-ray findings </w:t>
      </w:r>
    </w:p>
    <w:p w14:paraId="3252C8DD">
      <w:pPr>
        <w:pStyle w:val="2"/>
        <w:rPr>
          <w:rFonts w:hint="eastAsia"/>
        </w:rPr>
      </w:pPr>
      <w:r>
        <w:rPr>
          <w:rFonts w:hint="eastAsia"/>
        </w:rPr>
        <w:t xml:space="preserve">(p&lt;0.05). Notably, 81.0% of patients identified through the screening program </w:t>
      </w:r>
    </w:p>
    <w:p w14:paraId="04581F0C">
      <w:pPr>
        <w:pStyle w:val="2"/>
        <w:rPr>
          <w:rFonts w:hint="eastAsia"/>
        </w:rPr>
      </w:pPr>
      <w:r>
        <w:rPr>
          <w:rFonts w:hint="eastAsia"/>
        </w:rPr>
        <w:t>reported having no cough lasting two weeks or longer.</w:t>
      </w:r>
    </w:p>
    <w:p w14:paraId="694F0D97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CONCLUSIONS: </w:t>
      </w:r>
      <w:r>
        <w:rPr>
          <w:rFonts w:hint="eastAsia"/>
        </w:rPr>
        <w:t xml:space="preserve">The mobile TB screening program is an effective policy tool for the </w:t>
      </w:r>
    </w:p>
    <w:p w14:paraId="3E39894F">
      <w:pPr>
        <w:pStyle w:val="2"/>
        <w:rPr>
          <w:rFonts w:hint="eastAsia"/>
        </w:rPr>
      </w:pPr>
      <w:r>
        <w:rPr>
          <w:rFonts w:hint="eastAsia"/>
        </w:rPr>
        <w:t xml:space="preserve">early detection of TB among vulnerable populations and for linking patients to </w:t>
      </w:r>
    </w:p>
    <w:p w14:paraId="73C4AD60">
      <w:pPr>
        <w:pStyle w:val="2"/>
        <w:rPr>
          <w:rFonts w:hint="eastAsia"/>
        </w:rPr>
      </w:pPr>
      <w:r>
        <w:rPr>
          <w:rFonts w:hint="eastAsia"/>
        </w:rPr>
        <w:t xml:space="preserve">appropriate treatment. These findings provide empirical evidence for identifying </w:t>
      </w:r>
    </w:p>
    <w:p w14:paraId="71323F96">
      <w:pPr>
        <w:pStyle w:val="2"/>
        <w:rPr>
          <w:rFonts w:hint="eastAsia"/>
        </w:rPr>
      </w:pPr>
      <w:r>
        <w:rPr>
          <w:rFonts w:hint="eastAsia"/>
        </w:rPr>
        <w:t xml:space="preserve">high-risk groups for future screening initiatives. Expanding follow-up screening </w:t>
      </w:r>
    </w:p>
    <w:p w14:paraId="24CDDFF3">
      <w:pPr>
        <w:pStyle w:val="2"/>
        <w:rPr>
          <w:rFonts w:hint="eastAsia"/>
        </w:rPr>
      </w:pPr>
      <w:r>
        <w:rPr>
          <w:rFonts w:hint="eastAsia"/>
        </w:rPr>
        <w:t xml:space="preserve">and maintaining continuous treatment support are necessary to maximize the </w:t>
      </w:r>
    </w:p>
    <w:p w14:paraId="1FA01BE7">
      <w:pPr>
        <w:pStyle w:val="2"/>
        <w:rPr>
          <w:rFonts w:hint="eastAsia"/>
        </w:rPr>
      </w:pPr>
      <w:r>
        <w:rPr>
          <w:rFonts w:hint="eastAsia"/>
        </w:rPr>
        <w:t>effectiveness of the program.</w:t>
      </w:r>
    </w:p>
    <w:p w14:paraId="5FE98E4D">
      <w:pPr>
        <w:pStyle w:val="2"/>
        <w:rPr>
          <w:rFonts w:hint="eastAsia"/>
        </w:rPr>
      </w:pPr>
    </w:p>
    <w:p w14:paraId="1E244ACF">
      <w:pPr>
        <w:pStyle w:val="2"/>
        <w:rPr>
          <w:rFonts w:hint="eastAsia"/>
        </w:rPr>
      </w:pPr>
      <w:r>
        <w:rPr>
          <w:rFonts w:hint="eastAsia"/>
        </w:rPr>
        <w:t>Copyright © Korea Disease Control and Prevention Agency.</w:t>
      </w:r>
    </w:p>
    <w:p w14:paraId="45FAFC50">
      <w:pPr>
        <w:pStyle w:val="2"/>
        <w:rPr>
          <w:rFonts w:hint="eastAsia"/>
        </w:rPr>
      </w:pPr>
    </w:p>
    <w:p w14:paraId="52973CD8">
      <w:pPr>
        <w:pStyle w:val="2"/>
        <w:rPr>
          <w:rFonts w:hint="eastAsia"/>
        </w:rPr>
      </w:pPr>
      <w:r>
        <w:rPr>
          <w:rFonts w:hint="eastAsia"/>
        </w:rPr>
        <w:t>DOI: 10.56786/PHWR.2026.19.38.3</w:t>
      </w:r>
    </w:p>
    <w:p w14:paraId="41275A77">
      <w:pPr>
        <w:pStyle w:val="2"/>
        <w:rPr>
          <w:rFonts w:hint="eastAsia"/>
        </w:rPr>
      </w:pPr>
      <w:r>
        <w:rPr>
          <w:rFonts w:hint="eastAsia"/>
        </w:rPr>
        <w:t>PMCID: PMC13654658</w:t>
      </w:r>
    </w:p>
    <w:p w14:paraId="52CE1BCE">
      <w:pPr>
        <w:pStyle w:val="2"/>
        <w:rPr>
          <w:rFonts w:hint="eastAsia"/>
        </w:rPr>
      </w:pPr>
      <w:r>
        <w:rPr>
          <w:rFonts w:hint="eastAsia"/>
        </w:rPr>
        <w:t>PMID: 42865344</w:t>
      </w:r>
    </w:p>
    <w:p w14:paraId="4B6D671B">
      <w:pPr>
        <w:pStyle w:val="2"/>
        <w:rPr>
          <w:rFonts w:hint="eastAsia"/>
        </w:rPr>
      </w:pPr>
    </w:p>
    <w:p w14:paraId="562FE46D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</w:t>
      </w:r>
      <w:r>
        <w:rPr>
          <w:rFonts w:hint="eastAsia"/>
          <w:b/>
          <w:bCs/>
          <w:color w:val="FF0000"/>
        </w:rPr>
        <w:t>1. AIDS Rev. 2026;28(3):118-125. doi: 10.24875/AIDSRev.26000010.</w:t>
      </w:r>
    </w:p>
    <w:p w14:paraId="3E2354FC">
      <w:pPr>
        <w:pStyle w:val="2"/>
        <w:rPr>
          <w:rFonts w:hint="eastAsia"/>
        </w:rPr>
      </w:pPr>
    </w:p>
    <w:p w14:paraId="75F0F645">
      <w:pPr>
        <w:pStyle w:val="2"/>
        <w:rPr>
          <w:rFonts w:hint="eastAsia"/>
        </w:rPr>
      </w:pPr>
      <w:r>
        <w:rPr>
          <w:rFonts w:hint="eastAsia"/>
        </w:rPr>
        <w:t xml:space="preserve">Association between tuberculosis, HIV infection, and diabetes mellitus: should </w:t>
      </w:r>
    </w:p>
    <w:p w14:paraId="21EB11A3">
      <w:pPr>
        <w:pStyle w:val="2"/>
        <w:rPr>
          <w:rFonts w:hint="eastAsia"/>
        </w:rPr>
      </w:pPr>
      <w:r>
        <w:rPr>
          <w:rFonts w:hint="eastAsia"/>
        </w:rPr>
        <w:t>we integrate screening and care? A systematic review.</w:t>
      </w:r>
    </w:p>
    <w:p w14:paraId="4E13632A">
      <w:pPr>
        <w:pStyle w:val="2"/>
        <w:rPr>
          <w:rFonts w:hint="eastAsia"/>
        </w:rPr>
      </w:pPr>
    </w:p>
    <w:p w14:paraId="2934E0D7">
      <w:pPr>
        <w:pStyle w:val="2"/>
        <w:rPr>
          <w:rFonts w:hint="eastAsia"/>
        </w:rPr>
      </w:pPr>
      <w:r>
        <w:rPr>
          <w:rFonts w:hint="eastAsia"/>
        </w:rPr>
        <w:t xml:space="preserve">Latif AI(1), Sari M(2), Mandysová P(3), Suzuki K(4), Tiala NH(5), Pabetting </w:t>
      </w:r>
    </w:p>
    <w:p w14:paraId="5DE7D243">
      <w:pPr>
        <w:pStyle w:val="2"/>
        <w:rPr>
          <w:rFonts w:hint="eastAsia"/>
        </w:rPr>
      </w:pPr>
      <w:r>
        <w:rPr>
          <w:rFonts w:hint="eastAsia"/>
        </w:rPr>
        <w:t>OFH(6), Harisa A(7), Abu M(6).</w:t>
      </w:r>
    </w:p>
    <w:p w14:paraId="22E95F16">
      <w:pPr>
        <w:pStyle w:val="2"/>
        <w:rPr>
          <w:rFonts w:hint="eastAsia"/>
        </w:rPr>
      </w:pPr>
    </w:p>
    <w:p w14:paraId="3EC9BB81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40928D3">
      <w:pPr>
        <w:pStyle w:val="2"/>
        <w:rPr>
          <w:rFonts w:hint="eastAsia"/>
        </w:rPr>
      </w:pPr>
      <w:r>
        <w:rPr>
          <w:rFonts w:hint="eastAsia"/>
        </w:rPr>
        <w:t xml:space="preserve">(1)Department of Medical Surgical Nursing, Faculty of Nursing, Hasanuddin </w:t>
      </w:r>
    </w:p>
    <w:p w14:paraId="754FA339">
      <w:pPr>
        <w:pStyle w:val="2"/>
        <w:rPr>
          <w:rFonts w:hint="eastAsia"/>
        </w:rPr>
      </w:pPr>
      <w:r>
        <w:rPr>
          <w:rFonts w:hint="eastAsia"/>
        </w:rPr>
        <w:t>University, Makassar, Indonesia.</w:t>
      </w:r>
    </w:p>
    <w:p w14:paraId="3F6D88CB">
      <w:pPr>
        <w:pStyle w:val="2"/>
        <w:rPr>
          <w:rFonts w:hint="eastAsia"/>
        </w:rPr>
      </w:pPr>
      <w:r>
        <w:rPr>
          <w:rFonts w:hint="eastAsia"/>
        </w:rPr>
        <w:t xml:space="preserve">(2)Emergency Department, La Patarai General Hospital, Barru Regency, South </w:t>
      </w:r>
    </w:p>
    <w:p w14:paraId="5A58FBF2">
      <w:pPr>
        <w:pStyle w:val="2"/>
        <w:rPr>
          <w:rFonts w:hint="eastAsia"/>
        </w:rPr>
      </w:pPr>
      <w:r>
        <w:rPr>
          <w:rFonts w:hint="eastAsia"/>
        </w:rPr>
        <w:t>Sulawesi, Indonesia.</w:t>
      </w:r>
    </w:p>
    <w:p w14:paraId="52710690">
      <w:pPr>
        <w:pStyle w:val="2"/>
        <w:rPr>
          <w:rFonts w:hint="eastAsia"/>
        </w:rPr>
      </w:pPr>
      <w:r>
        <w:rPr>
          <w:rFonts w:hint="eastAsia"/>
        </w:rPr>
        <w:t xml:space="preserve">(3)Department of Nursing, Faculty of Health Studies, University of Pardubice, </w:t>
      </w:r>
    </w:p>
    <w:p w14:paraId="50D5FD71">
      <w:pPr>
        <w:pStyle w:val="2"/>
        <w:rPr>
          <w:rFonts w:hint="eastAsia"/>
        </w:rPr>
      </w:pPr>
      <w:r>
        <w:rPr>
          <w:rFonts w:hint="eastAsia"/>
        </w:rPr>
        <w:t>Pardubice, Czech Republic.</w:t>
      </w:r>
    </w:p>
    <w:p w14:paraId="34594A0F">
      <w:pPr>
        <w:pStyle w:val="2"/>
        <w:rPr>
          <w:rFonts w:hint="eastAsia"/>
        </w:rPr>
      </w:pPr>
      <w:r>
        <w:rPr>
          <w:rFonts w:hint="eastAsia"/>
        </w:rPr>
        <w:t xml:space="preserve">(4)Department of Nursing, Graduate School of Medicine, Yokohama City University, </w:t>
      </w:r>
    </w:p>
    <w:p w14:paraId="3C73F790">
      <w:pPr>
        <w:pStyle w:val="2"/>
        <w:rPr>
          <w:rFonts w:hint="eastAsia"/>
        </w:rPr>
      </w:pPr>
      <w:r>
        <w:rPr>
          <w:rFonts w:hint="eastAsia"/>
        </w:rPr>
        <w:t>Yokohama, Japan.</w:t>
      </w:r>
    </w:p>
    <w:p w14:paraId="236DA28E">
      <w:pPr>
        <w:pStyle w:val="2"/>
        <w:rPr>
          <w:rFonts w:hint="eastAsia"/>
        </w:rPr>
      </w:pPr>
      <w:r>
        <w:rPr>
          <w:rFonts w:hint="eastAsia"/>
        </w:rPr>
        <w:t xml:space="preserve">(5)Department of Pediatric Nursing, Health Polytechnic of Tanjungkarang, </w:t>
      </w:r>
    </w:p>
    <w:p w14:paraId="2A4DE413">
      <w:pPr>
        <w:pStyle w:val="2"/>
        <w:rPr>
          <w:rFonts w:hint="eastAsia"/>
        </w:rPr>
      </w:pPr>
      <w:r>
        <w:rPr>
          <w:rFonts w:hint="eastAsia"/>
        </w:rPr>
        <w:t>Lampung, Indonesia.</w:t>
      </w:r>
    </w:p>
    <w:p w14:paraId="1737F8AE">
      <w:pPr>
        <w:pStyle w:val="2"/>
        <w:rPr>
          <w:rFonts w:hint="eastAsia"/>
        </w:rPr>
      </w:pPr>
      <w:r>
        <w:rPr>
          <w:rFonts w:hint="eastAsia"/>
        </w:rPr>
        <w:t xml:space="preserve">(6)Department of Medical Surgical Nursing, Pelamonia Institute of Health </w:t>
      </w:r>
    </w:p>
    <w:p w14:paraId="779F7DC9">
      <w:pPr>
        <w:pStyle w:val="2"/>
        <w:rPr>
          <w:rFonts w:hint="eastAsia"/>
        </w:rPr>
      </w:pPr>
      <w:r>
        <w:rPr>
          <w:rFonts w:hint="eastAsia"/>
        </w:rPr>
        <w:t>Sciences, Makassar, Indonesia.</w:t>
      </w:r>
    </w:p>
    <w:p w14:paraId="38B92C11">
      <w:pPr>
        <w:pStyle w:val="2"/>
        <w:rPr>
          <w:rFonts w:hint="eastAsia"/>
        </w:rPr>
      </w:pPr>
      <w:r>
        <w:rPr>
          <w:rFonts w:hint="eastAsia"/>
        </w:rPr>
        <w:t xml:space="preserve">(7)Department of Mental Health Nursing, Faculty of Nursing, Hasanuddin </w:t>
      </w:r>
    </w:p>
    <w:p w14:paraId="0C651B76">
      <w:pPr>
        <w:pStyle w:val="2"/>
        <w:rPr>
          <w:rFonts w:hint="eastAsia"/>
        </w:rPr>
      </w:pPr>
      <w:r>
        <w:rPr>
          <w:rFonts w:hint="eastAsia"/>
        </w:rPr>
        <w:t>University, Makassar, Indonesia.</w:t>
      </w:r>
    </w:p>
    <w:p w14:paraId="1DEED176">
      <w:pPr>
        <w:pStyle w:val="2"/>
        <w:rPr>
          <w:rFonts w:hint="eastAsia"/>
        </w:rPr>
      </w:pPr>
    </w:p>
    <w:p w14:paraId="5EBB9AC0">
      <w:pPr>
        <w:pStyle w:val="2"/>
        <w:rPr>
          <w:rFonts w:hint="eastAsia"/>
        </w:rPr>
      </w:pPr>
      <w:r>
        <w:rPr>
          <w:rFonts w:hint="eastAsia"/>
        </w:rPr>
        <w:t xml:space="preserve">Tuberculosis (TB) and HIV/AIDS are among the leading infectious diseases </w:t>
      </w:r>
    </w:p>
    <w:p w14:paraId="7644C4D7">
      <w:pPr>
        <w:pStyle w:val="2"/>
        <w:rPr>
          <w:rFonts w:hint="eastAsia"/>
        </w:rPr>
      </w:pPr>
      <w:r>
        <w:rPr>
          <w:rFonts w:hint="eastAsia"/>
        </w:rPr>
        <w:t xml:space="preserve">worldwide, while diabetes mellitus (DM) is a major chronic endocrine and </w:t>
      </w:r>
    </w:p>
    <w:p w14:paraId="0DB95156">
      <w:pPr>
        <w:pStyle w:val="2"/>
        <w:rPr>
          <w:rFonts w:hint="eastAsia"/>
        </w:rPr>
      </w:pPr>
      <w:r>
        <w:rPr>
          <w:rFonts w:hint="eastAsia"/>
        </w:rPr>
        <w:t xml:space="preserve">metabolic disorder. Together, these conditions contribute substantially to the </w:t>
      </w:r>
    </w:p>
    <w:p w14:paraId="51734664">
      <w:pPr>
        <w:pStyle w:val="2"/>
        <w:rPr>
          <w:rFonts w:hint="eastAsia"/>
        </w:rPr>
      </w:pPr>
      <w:r>
        <w:rPr>
          <w:rFonts w:hint="eastAsia"/>
        </w:rPr>
        <w:t xml:space="preserve">global burden of disease and mortality and are increasingly recognized as </w:t>
      </w:r>
    </w:p>
    <w:p w14:paraId="1FD4A45F">
      <w:pPr>
        <w:pStyle w:val="2"/>
        <w:rPr>
          <w:rFonts w:hint="eastAsia"/>
        </w:rPr>
      </w:pPr>
      <w:r>
        <w:rPr>
          <w:rFonts w:hint="eastAsia"/>
        </w:rPr>
        <w:t xml:space="preserve">interconnected comorbidities. The combination of these three diseases can worsen </w:t>
      </w:r>
    </w:p>
    <w:p w14:paraId="5B97A801">
      <w:pPr>
        <w:pStyle w:val="2"/>
        <w:rPr>
          <w:rFonts w:hint="eastAsia"/>
        </w:rPr>
      </w:pPr>
      <w:r>
        <w:rPr>
          <w:rFonts w:hint="eastAsia"/>
        </w:rPr>
        <w:t xml:space="preserve">patients' health conditions, increase mortality risk, and complicate treatment, </w:t>
      </w:r>
    </w:p>
    <w:p w14:paraId="2B26BD53">
      <w:pPr>
        <w:pStyle w:val="2"/>
        <w:rPr>
          <w:rFonts w:hint="eastAsia"/>
        </w:rPr>
      </w:pPr>
      <w:r>
        <w:rPr>
          <w:rFonts w:hint="eastAsia"/>
        </w:rPr>
        <w:t xml:space="preserve">which is why this study aims to summarize the relationship between HIV, TB, and </w:t>
      </w:r>
    </w:p>
    <w:p w14:paraId="677BAD17">
      <w:pPr>
        <w:pStyle w:val="2"/>
        <w:rPr>
          <w:rFonts w:hint="eastAsia"/>
        </w:rPr>
      </w:pPr>
      <w:r>
        <w:rPr>
          <w:rFonts w:hint="eastAsia"/>
        </w:rPr>
        <w:t xml:space="preserve">DM. To achieve this, a systematic literature search was conducted across four </w:t>
      </w:r>
    </w:p>
    <w:p w14:paraId="0CE4644C">
      <w:pPr>
        <w:pStyle w:val="2"/>
        <w:rPr>
          <w:rFonts w:hint="eastAsia"/>
        </w:rPr>
      </w:pPr>
      <w:r>
        <w:rPr>
          <w:rFonts w:hint="eastAsia"/>
        </w:rPr>
        <w:t xml:space="preserve">databases PubMed, Wiley, ScienceDirect, and Scopus focusing on English articles </w:t>
      </w:r>
    </w:p>
    <w:p w14:paraId="2CA2AD9B">
      <w:pPr>
        <w:pStyle w:val="2"/>
        <w:rPr>
          <w:rFonts w:hint="eastAsia"/>
        </w:rPr>
      </w:pPr>
      <w:r>
        <w:rPr>
          <w:rFonts w:hint="eastAsia"/>
        </w:rPr>
        <w:t xml:space="preserve">from the last 5 years, where researchers independently established eligibility </w:t>
      </w:r>
    </w:p>
    <w:p w14:paraId="6588F763">
      <w:pPr>
        <w:pStyle w:val="2"/>
        <w:rPr>
          <w:rFonts w:hint="eastAsia"/>
        </w:rPr>
      </w:pPr>
      <w:r>
        <w:rPr>
          <w:rFonts w:hint="eastAsia"/>
        </w:rPr>
        <w:t xml:space="preserve">criteria, conducted a comprehensive search, meticulously extracted data, and </w:t>
      </w:r>
    </w:p>
    <w:p w14:paraId="467CD9F8">
      <w:pPr>
        <w:pStyle w:val="2"/>
        <w:rPr>
          <w:rFonts w:hint="eastAsia"/>
        </w:rPr>
      </w:pPr>
      <w:r>
        <w:rPr>
          <w:rFonts w:hint="eastAsia"/>
        </w:rPr>
        <w:t xml:space="preserve">determined the risk of bias. The findings indicate a significant relationship </w:t>
      </w:r>
    </w:p>
    <w:p w14:paraId="7DAE446A">
      <w:pPr>
        <w:pStyle w:val="2"/>
        <w:rPr>
          <w:rFonts w:hint="eastAsia"/>
        </w:rPr>
      </w:pPr>
      <w:r>
        <w:rPr>
          <w:rFonts w:hint="eastAsia"/>
        </w:rPr>
        <w:t xml:space="preserve">between these conditions, as the six articles analyzed showed that the </w:t>
      </w:r>
    </w:p>
    <w:p w14:paraId="60210FAE">
      <w:pPr>
        <w:pStyle w:val="2"/>
        <w:rPr>
          <w:rFonts w:hint="eastAsia"/>
        </w:rPr>
      </w:pPr>
      <w:r>
        <w:rPr>
          <w:rFonts w:hint="eastAsia"/>
        </w:rPr>
        <w:t xml:space="preserve">prevalence of DM in TB patients ranged from 7.6% to 22.6%, while the prevalence </w:t>
      </w:r>
    </w:p>
    <w:p w14:paraId="7FDB5F44">
      <w:pPr>
        <w:pStyle w:val="2"/>
        <w:rPr>
          <w:rFonts w:hint="eastAsia"/>
        </w:rPr>
      </w:pPr>
      <w:r>
        <w:rPr>
          <w:rFonts w:hint="eastAsia"/>
        </w:rPr>
        <w:t xml:space="preserve">of HIV in TB patients reached up to 38.57%. Specifically, DM increases the risk </w:t>
      </w:r>
    </w:p>
    <w:p w14:paraId="060FD182">
      <w:pPr>
        <w:pStyle w:val="2"/>
        <w:rPr>
          <w:rFonts w:hint="eastAsia"/>
        </w:rPr>
      </w:pPr>
      <w:r>
        <w:rPr>
          <w:rFonts w:hint="eastAsia"/>
        </w:rPr>
        <w:t xml:space="preserve">of developing active TB and is associated with unfavorable treatment outcomes, </w:t>
      </w:r>
    </w:p>
    <w:p w14:paraId="50AB0CE3">
      <w:pPr>
        <w:pStyle w:val="2"/>
        <w:rPr>
          <w:rFonts w:hint="eastAsia"/>
        </w:rPr>
      </w:pPr>
      <w:r>
        <w:rPr>
          <w:rFonts w:hint="eastAsia"/>
        </w:rPr>
        <w:t xml:space="preserve">whereas HIV progressively impairs cell-mediated immunity through CD4+ T-cell </w:t>
      </w:r>
    </w:p>
    <w:p w14:paraId="51B55933">
      <w:pPr>
        <w:pStyle w:val="2"/>
        <w:rPr>
          <w:rFonts w:hint="eastAsia"/>
        </w:rPr>
      </w:pPr>
      <w:r>
        <w:rPr>
          <w:rFonts w:hint="eastAsia"/>
        </w:rPr>
        <w:t xml:space="preserve">depletion, substantially increasing the risk of progression from latent TB </w:t>
      </w:r>
    </w:p>
    <w:p w14:paraId="01F08F59">
      <w:pPr>
        <w:pStyle w:val="2"/>
        <w:rPr>
          <w:rFonts w:hint="eastAsia"/>
        </w:rPr>
      </w:pPr>
      <w:r>
        <w:rPr>
          <w:rFonts w:hint="eastAsia"/>
        </w:rPr>
        <w:t xml:space="preserve">infection to active disease. Ultimately, there is a complex relationship between </w:t>
      </w:r>
    </w:p>
    <w:p w14:paraId="36E5759D">
      <w:pPr>
        <w:pStyle w:val="2"/>
        <w:rPr>
          <w:rFonts w:hint="eastAsia"/>
        </w:rPr>
      </w:pPr>
      <w:r>
        <w:rPr>
          <w:rFonts w:hint="eastAsia"/>
        </w:rPr>
        <w:t xml:space="preserve">HIV, TB, and DM that adversely affects patients' overall health, leading to the </w:t>
      </w:r>
    </w:p>
    <w:p w14:paraId="61BB2245">
      <w:pPr>
        <w:pStyle w:val="2"/>
        <w:rPr>
          <w:rFonts w:hint="eastAsia"/>
        </w:rPr>
      </w:pPr>
      <w:r>
        <w:rPr>
          <w:rFonts w:hint="eastAsia"/>
        </w:rPr>
        <w:t xml:space="preserve">conclusion that integrated screening and management for these three diseases are </w:t>
      </w:r>
    </w:p>
    <w:p w14:paraId="4C8CDC70">
      <w:pPr>
        <w:pStyle w:val="2"/>
        <w:rPr>
          <w:rFonts w:hint="eastAsia"/>
        </w:rPr>
      </w:pPr>
      <w:r>
        <w:rPr>
          <w:rFonts w:hint="eastAsia"/>
        </w:rPr>
        <w:t>essential to reduce mortality risk and improve treatment outcomes.</w:t>
      </w:r>
    </w:p>
    <w:p w14:paraId="6BB7B239">
      <w:pPr>
        <w:pStyle w:val="2"/>
        <w:rPr>
          <w:rFonts w:hint="eastAsia"/>
        </w:rPr>
      </w:pPr>
    </w:p>
    <w:p w14:paraId="1AFE17A6">
      <w:pPr>
        <w:pStyle w:val="2"/>
        <w:rPr>
          <w:rFonts w:hint="eastAsia"/>
        </w:rPr>
      </w:pPr>
      <w:r>
        <w:rPr>
          <w:rFonts w:hint="eastAsia"/>
        </w:rPr>
        <w:t>Copyright: © 2026 Permanyer.</w:t>
      </w:r>
    </w:p>
    <w:p w14:paraId="424F87AD">
      <w:pPr>
        <w:pStyle w:val="2"/>
        <w:rPr>
          <w:rFonts w:hint="eastAsia"/>
        </w:rPr>
      </w:pPr>
    </w:p>
    <w:p w14:paraId="5A3DDE55">
      <w:pPr>
        <w:pStyle w:val="2"/>
        <w:rPr>
          <w:rFonts w:hint="eastAsia"/>
        </w:rPr>
      </w:pPr>
      <w:r>
        <w:rPr>
          <w:rFonts w:hint="eastAsia"/>
        </w:rPr>
        <w:t>DOI: 10.24875/AIDSRev.26000010</w:t>
      </w:r>
    </w:p>
    <w:p w14:paraId="374BE505">
      <w:pPr>
        <w:pStyle w:val="2"/>
        <w:rPr>
          <w:rFonts w:hint="eastAsia"/>
        </w:rPr>
      </w:pPr>
      <w:r>
        <w:rPr>
          <w:rFonts w:hint="eastAsia"/>
        </w:rPr>
        <w:t>PMID: 42863504 [Indexed for MEDLINE]</w:t>
      </w:r>
    </w:p>
    <w:p w14:paraId="1D52A519">
      <w:pPr>
        <w:pStyle w:val="2"/>
        <w:rPr>
          <w:rFonts w:hint="eastAsia"/>
        </w:rPr>
      </w:pPr>
    </w:p>
    <w:p w14:paraId="640E248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</w:t>
      </w:r>
      <w:r>
        <w:rPr>
          <w:rFonts w:hint="eastAsia"/>
          <w:b/>
          <w:bCs/>
          <w:color w:val="FF0000"/>
        </w:rPr>
        <w:t xml:space="preserve">2. Immunobiology. 2026 Oct 10;231(6):153253. doi: 10.1016/j.imbio.2026.153253. </w:t>
      </w:r>
    </w:p>
    <w:p w14:paraId="0A7DF51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1EE95F25">
      <w:pPr>
        <w:pStyle w:val="2"/>
        <w:rPr>
          <w:rFonts w:hint="eastAsia"/>
        </w:rPr>
      </w:pPr>
    </w:p>
    <w:p w14:paraId="01C41E7C">
      <w:pPr>
        <w:pStyle w:val="2"/>
        <w:rPr>
          <w:rFonts w:hint="eastAsia"/>
        </w:rPr>
      </w:pPr>
      <w:r>
        <w:rPr>
          <w:rFonts w:hint="eastAsia"/>
        </w:rPr>
        <w:t xml:space="preserve">Gpr84 activation induces anti-mycobacterial defense in macrophages via MAPK </w:t>
      </w:r>
    </w:p>
    <w:p w14:paraId="72FD3BF3">
      <w:pPr>
        <w:pStyle w:val="2"/>
        <w:rPr>
          <w:rFonts w:hint="eastAsia"/>
        </w:rPr>
      </w:pPr>
      <w:r>
        <w:rPr>
          <w:rFonts w:hint="eastAsia"/>
        </w:rPr>
        <w:t>signaling.</w:t>
      </w:r>
    </w:p>
    <w:p w14:paraId="2D856A1E">
      <w:pPr>
        <w:pStyle w:val="2"/>
        <w:rPr>
          <w:rFonts w:hint="eastAsia"/>
        </w:rPr>
      </w:pPr>
    </w:p>
    <w:p w14:paraId="5C4BF36F">
      <w:pPr>
        <w:pStyle w:val="2"/>
        <w:rPr>
          <w:rFonts w:hint="eastAsia"/>
        </w:rPr>
      </w:pPr>
      <w:r>
        <w:rPr>
          <w:rFonts w:hint="eastAsia"/>
        </w:rPr>
        <w:t>Jo S(1), Lee J(2), Kim J(1), Choi JA(2), Nguyen TD(1), Choi S(1), Song CH(3).</w:t>
      </w:r>
    </w:p>
    <w:p w14:paraId="4B2D998B">
      <w:pPr>
        <w:pStyle w:val="2"/>
        <w:rPr>
          <w:rFonts w:hint="eastAsia"/>
        </w:rPr>
      </w:pPr>
    </w:p>
    <w:p w14:paraId="121011A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628B1CD">
      <w:pPr>
        <w:pStyle w:val="2"/>
        <w:rPr>
          <w:rFonts w:hint="eastAsia"/>
        </w:rPr>
      </w:pPr>
      <w:r>
        <w:rPr>
          <w:rFonts w:hint="eastAsia"/>
        </w:rPr>
        <w:t xml:space="preserve">(1)Department of Medical Science, College of Medicine, Chungnam National </w:t>
      </w:r>
    </w:p>
    <w:p w14:paraId="75A63D6D">
      <w:pPr>
        <w:pStyle w:val="2"/>
        <w:rPr>
          <w:rFonts w:hint="eastAsia"/>
        </w:rPr>
      </w:pPr>
      <w:r>
        <w:rPr>
          <w:rFonts w:hint="eastAsia"/>
        </w:rPr>
        <w:t xml:space="preserve">University, Daejeon, 35015, Republic of Korea; Department of Microbiology, </w:t>
      </w:r>
    </w:p>
    <w:p w14:paraId="082D1DC7">
      <w:pPr>
        <w:pStyle w:val="2"/>
        <w:rPr>
          <w:rFonts w:hint="eastAsia"/>
        </w:rPr>
      </w:pPr>
      <w:r>
        <w:rPr>
          <w:rFonts w:hint="eastAsia"/>
        </w:rPr>
        <w:t xml:space="preserve">College of Medicine, Chungnam National University, Daejeon, 35015, Republic of </w:t>
      </w:r>
    </w:p>
    <w:p w14:paraId="12708E65">
      <w:pPr>
        <w:pStyle w:val="2"/>
        <w:rPr>
          <w:rFonts w:hint="eastAsia"/>
        </w:rPr>
      </w:pPr>
      <w:r>
        <w:rPr>
          <w:rFonts w:hint="eastAsia"/>
        </w:rPr>
        <w:t>Korea.</w:t>
      </w:r>
    </w:p>
    <w:p w14:paraId="7358E2A0">
      <w:pPr>
        <w:pStyle w:val="2"/>
        <w:rPr>
          <w:rFonts w:hint="eastAsia"/>
        </w:rPr>
      </w:pPr>
      <w:r>
        <w:rPr>
          <w:rFonts w:hint="eastAsia"/>
        </w:rPr>
        <w:t xml:space="preserve">(2)Department of Medical Science, College of Medicine, Chungnam National </w:t>
      </w:r>
    </w:p>
    <w:p w14:paraId="747940F2">
      <w:pPr>
        <w:pStyle w:val="2"/>
        <w:rPr>
          <w:rFonts w:hint="eastAsia"/>
        </w:rPr>
      </w:pPr>
      <w:r>
        <w:rPr>
          <w:rFonts w:hint="eastAsia"/>
        </w:rPr>
        <w:t xml:space="preserve">University, Daejeon, 35015, Republic of Korea; Department of Microbiology, </w:t>
      </w:r>
    </w:p>
    <w:p w14:paraId="7B54B890">
      <w:pPr>
        <w:pStyle w:val="2"/>
        <w:rPr>
          <w:rFonts w:hint="eastAsia"/>
        </w:rPr>
      </w:pPr>
      <w:r>
        <w:rPr>
          <w:rFonts w:hint="eastAsia"/>
        </w:rPr>
        <w:t xml:space="preserve">College of Medicine, Chungnam National University, Daejeon, 35015, Republic of </w:t>
      </w:r>
    </w:p>
    <w:p w14:paraId="16488EFE">
      <w:pPr>
        <w:pStyle w:val="2"/>
        <w:rPr>
          <w:rFonts w:hint="eastAsia"/>
        </w:rPr>
      </w:pPr>
      <w:r>
        <w:rPr>
          <w:rFonts w:hint="eastAsia"/>
        </w:rPr>
        <w:t xml:space="preserve">Korea; Translational Immunology Institute, Chungnam National University, </w:t>
      </w:r>
    </w:p>
    <w:p w14:paraId="5EA32FAC">
      <w:pPr>
        <w:pStyle w:val="2"/>
        <w:rPr>
          <w:rFonts w:hint="eastAsia"/>
        </w:rPr>
      </w:pPr>
      <w:r>
        <w:rPr>
          <w:rFonts w:hint="eastAsia"/>
        </w:rPr>
        <w:t>Daejeon, South Korea.</w:t>
      </w:r>
    </w:p>
    <w:p w14:paraId="15C3F633">
      <w:pPr>
        <w:pStyle w:val="2"/>
        <w:rPr>
          <w:rFonts w:hint="eastAsia"/>
        </w:rPr>
      </w:pPr>
      <w:r>
        <w:rPr>
          <w:rFonts w:hint="eastAsia"/>
        </w:rPr>
        <w:t xml:space="preserve">(3)Department of Medical Science, College of Medicine, Chungnam National </w:t>
      </w:r>
    </w:p>
    <w:p w14:paraId="288A7A32">
      <w:pPr>
        <w:pStyle w:val="2"/>
        <w:rPr>
          <w:rFonts w:hint="eastAsia"/>
        </w:rPr>
      </w:pPr>
      <w:r>
        <w:rPr>
          <w:rFonts w:hint="eastAsia"/>
        </w:rPr>
        <w:t xml:space="preserve">University, Daejeon, 35015, Republic of Korea; Department of Microbiology, </w:t>
      </w:r>
    </w:p>
    <w:p w14:paraId="25AC9783">
      <w:pPr>
        <w:pStyle w:val="2"/>
        <w:rPr>
          <w:rFonts w:hint="eastAsia"/>
        </w:rPr>
      </w:pPr>
      <w:r>
        <w:rPr>
          <w:rFonts w:hint="eastAsia"/>
        </w:rPr>
        <w:t xml:space="preserve">College of Medicine, Chungnam National University, Daejeon, 35015, Republic of </w:t>
      </w:r>
    </w:p>
    <w:p w14:paraId="194CF4E7">
      <w:pPr>
        <w:pStyle w:val="2"/>
        <w:rPr>
          <w:rFonts w:hint="eastAsia"/>
        </w:rPr>
      </w:pPr>
      <w:r>
        <w:rPr>
          <w:rFonts w:hint="eastAsia"/>
        </w:rPr>
        <w:t xml:space="preserve">Korea; Translational Immunology Institute, Chungnam National University, </w:t>
      </w:r>
    </w:p>
    <w:p w14:paraId="2E5D1D6E">
      <w:pPr>
        <w:pStyle w:val="2"/>
        <w:rPr>
          <w:rFonts w:hint="eastAsia"/>
        </w:rPr>
      </w:pPr>
      <w:r>
        <w:rPr>
          <w:rFonts w:hint="eastAsia"/>
        </w:rPr>
        <w:t>Daejeon, South Korea. Electronic address: songch@cnu.ac.kr.</w:t>
      </w:r>
    </w:p>
    <w:p w14:paraId="788C12A6">
      <w:pPr>
        <w:pStyle w:val="2"/>
        <w:rPr>
          <w:rFonts w:hint="eastAsia"/>
        </w:rPr>
      </w:pPr>
    </w:p>
    <w:p w14:paraId="1BF9A936">
      <w:pPr>
        <w:pStyle w:val="2"/>
        <w:rPr>
          <w:rFonts w:hint="eastAsia"/>
        </w:rPr>
      </w:pPr>
      <w:r>
        <w:rPr>
          <w:rFonts w:hint="eastAsia"/>
        </w:rPr>
        <w:t xml:space="preserve">Tuberculosis (TB), a disease caused by Mycobacterium tuberculosis (Mtb), remains </w:t>
      </w:r>
    </w:p>
    <w:p w14:paraId="501A7DBE">
      <w:pPr>
        <w:pStyle w:val="2"/>
        <w:rPr>
          <w:rFonts w:hint="eastAsia"/>
        </w:rPr>
      </w:pPr>
      <w:r>
        <w:rPr>
          <w:rFonts w:hint="eastAsia"/>
        </w:rPr>
        <w:t xml:space="preserve">a significant global health threat. The complete pathogenesis of Mtb infection </w:t>
      </w:r>
    </w:p>
    <w:p w14:paraId="0EFC56CE">
      <w:pPr>
        <w:pStyle w:val="2"/>
        <w:rPr>
          <w:rFonts w:hint="eastAsia"/>
        </w:rPr>
      </w:pPr>
      <w:r>
        <w:rPr>
          <w:rFonts w:hint="eastAsia"/>
        </w:rPr>
        <w:t xml:space="preserve">within the host remains insufficiently elucidated, highlighting the urgent need </w:t>
      </w:r>
    </w:p>
    <w:p w14:paraId="2B66DA77">
      <w:pPr>
        <w:pStyle w:val="2"/>
        <w:rPr>
          <w:rFonts w:hint="eastAsia"/>
        </w:rPr>
      </w:pPr>
      <w:r>
        <w:rPr>
          <w:rFonts w:hint="eastAsia"/>
        </w:rPr>
        <w:t xml:space="preserve">for research focused on host-directed therapeutic strategies targeting infected </w:t>
      </w:r>
    </w:p>
    <w:p w14:paraId="6FEAE306">
      <w:pPr>
        <w:pStyle w:val="2"/>
        <w:rPr>
          <w:rFonts w:hint="eastAsia"/>
        </w:rPr>
      </w:pPr>
      <w:r>
        <w:rPr>
          <w:rFonts w:hint="eastAsia"/>
        </w:rPr>
        <w:t xml:space="preserve">immune cells. G protein-coupled receptor 84 (Gpr84), an inflammatory receptor </w:t>
      </w:r>
    </w:p>
    <w:p w14:paraId="32829D05">
      <w:pPr>
        <w:pStyle w:val="2"/>
        <w:rPr>
          <w:rFonts w:hint="eastAsia"/>
        </w:rPr>
      </w:pPr>
      <w:r>
        <w:rPr>
          <w:rFonts w:hint="eastAsia"/>
        </w:rPr>
        <w:t xml:space="preserve">expressed on the surface of immune cells, is known to induce inflammatory </w:t>
      </w:r>
    </w:p>
    <w:p w14:paraId="67FE46C0">
      <w:pPr>
        <w:pStyle w:val="2"/>
        <w:rPr>
          <w:rFonts w:hint="eastAsia"/>
        </w:rPr>
      </w:pPr>
      <w:r>
        <w:rPr>
          <w:rFonts w:hint="eastAsia"/>
        </w:rPr>
        <w:t xml:space="preserve">responses upon activation. We hypothesized that Gpr84 plays a pivotal role in </w:t>
      </w:r>
    </w:p>
    <w:p w14:paraId="2689F390">
      <w:pPr>
        <w:pStyle w:val="2"/>
        <w:rPr>
          <w:rFonts w:hint="eastAsia"/>
        </w:rPr>
      </w:pPr>
      <w:r>
        <w:rPr>
          <w:rFonts w:hint="eastAsia"/>
        </w:rPr>
        <w:t xml:space="preserve">regulating the macrophage response to Mtb infection. In this study, we </w:t>
      </w:r>
    </w:p>
    <w:p w14:paraId="2F7AD47D">
      <w:pPr>
        <w:pStyle w:val="2"/>
        <w:rPr>
          <w:rFonts w:hint="eastAsia"/>
        </w:rPr>
      </w:pPr>
      <w:r>
        <w:rPr>
          <w:rFonts w:hint="eastAsia"/>
        </w:rPr>
        <w:t xml:space="preserve">investigated the role of Gpr84 in controlling intracellular Mtb survival within </w:t>
      </w:r>
    </w:p>
    <w:p w14:paraId="65099F6D">
      <w:pPr>
        <w:pStyle w:val="2"/>
        <w:rPr>
          <w:rFonts w:hint="eastAsia"/>
        </w:rPr>
      </w:pPr>
      <w:r>
        <w:rPr>
          <w:rFonts w:hint="eastAsia"/>
        </w:rPr>
        <w:t xml:space="preserve">macrophages. Genetic knockdown of Gpr84 using small interfering RNA (siRNA) </w:t>
      </w:r>
    </w:p>
    <w:p w14:paraId="2F7BC8E1">
      <w:pPr>
        <w:pStyle w:val="2"/>
        <w:rPr>
          <w:rFonts w:hint="eastAsia"/>
        </w:rPr>
      </w:pPr>
      <w:r>
        <w:rPr>
          <w:rFonts w:hint="eastAsia"/>
        </w:rPr>
        <w:t xml:space="preserve">significantly increased the Mtb burden. Conversely, treating Mtb-infected </w:t>
      </w:r>
    </w:p>
    <w:p w14:paraId="585D56A9">
      <w:pPr>
        <w:pStyle w:val="2"/>
        <w:rPr>
          <w:rFonts w:hint="eastAsia"/>
        </w:rPr>
      </w:pPr>
      <w:r>
        <w:rPr>
          <w:rFonts w:hint="eastAsia"/>
        </w:rPr>
        <w:t xml:space="preserve">macrophages with the Gpr84 agonist 6-n-octylaminouracil (6-OAU) led to a </w:t>
      </w:r>
    </w:p>
    <w:p w14:paraId="6F12E0EB">
      <w:pPr>
        <w:pStyle w:val="2"/>
        <w:rPr>
          <w:rFonts w:hint="eastAsia"/>
        </w:rPr>
      </w:pPr>
      <w:r>
        <w:rPr>
          <w:rFonts w:hint="eastAsia"/>
        </w:rPr>
        <w:t xml:space="preserve">pronounced, dose-dependent reduction in bacterial load. Mechanistically, Gpr84 </w:t>
      </w:r>
    </w:p>
    <w:p w14:paraId="6FAECBCD">
      <w:pPr>
        <w:pStyle w:val="2"/>
        <w:rPr>
          <w:rFonts w:hint="eastAsia"/>
        </w:rPr>
      </w:pPr>
      <w:r>
        <w:rPr>
          <w:rFonts w:hint="eastAsia"/>
        </w:rPr>
        <w:t xml:space="preserve">activation enhanced the production of pro-inflammatory cytokines and robustly </w:t>
      </w:r>
    </w:p>
    <w:p w14:paraId="04F917AA">
      <w:pPr>
        <w:pStyle w:val="2"/>
        <w:rPr>
          <w:rFonts w:hint="eastAsia"/>
        </w:rPr>
      </w:pPr>
      <w:r>
        <w:rPr>
          <w:rFonts w:hint="eastAsia"/>
        </w:rPr>
        <w:t xml:space="preserve">increased the activation of the MAPK pathway (Erk and Jnk), suggesting a direct </w:t>
      </w:r>
    </w:p>
    <w:p w14:paraId="1371EB25">
      <w:pPr>
        <w:pStyle w:val="2"/>
        <w:rPr>
          <w:rFonts w:hint="eastAsia"/>
        </w:rPr>
      </w:pPr>
      <w:r>
        <w:rPr>
          <w:rFonts w:hint="eastAsia"/>
        </w:rPr>
        <w:t xml:space="preserve">mechanism for bacterial clearance. Our findings define Gpr84 as a critical </w:t>
      </w:r>
    </w:p>
    <w:p w14:paraId="7DCD4DAE">
      <w:pPr>
        <w:pStyle w:val="2"/>
        <w:rPr>
          <w:rFonts w:hint="eastAsia"/>
        </w:rPr>
      </w:pPr>
      <w:r>
        <w:rPr>
          <w:rFonts w:hint="eastAsia"/>
        </w:rPr>
        <w:t xml:space="preserve">component of host anti-mycobacterial defense, inhibiting Mtb growth in </w:t>
      </w:r>
    </w:p>
    <w:p w14:paraId="198D1E54">
      <w:pPr>
        <w:pStyle w:val="2"/>
        <w:rPr>
          <w:rFonts w:hint="eastAsia"/>
        </w:rPr>
      </w:pPr>
      <w:r>
        <w:rPr>
          <w:rFonts w:hint="eastAsia"/>
        </w:rPr>
        <w:t xml:space="preserve">macrophages via the MAPK signaling cascade. This study strongly identifies Gpr84 </w:t>
      </w:r>
    </w:p>
    <w:p w14:paraId="180580DD">
      <w:pPr>
        <w:pStyle w:val="2"/>
        <w:rPr>
          <w:rFonts w:hint="eastAsia"/>
        </w:rPr>
      </w:pPr>
      <w:r>
        <w:rPr>
          <w:rFonts w:hint="eastAsia"/>
        </w:rPr>
        <w:t>as a promising host-directed therapeutic target for combating drug-resistant TB.</w:t>
      </w:r>
    </w:p>
    <w:p w14:paraId="5380D05A">
      <w:pPr>
        <w:pStyle w:val="2"/>
        <w:rPr>
          <w:rFonts w:hint="eastAsia"/>
        </w:rPr>
      </w:pPr>
    </w:p>
    <w:p w14:paraId="46558AA4">
      <w:pPr>
        <w:pStyle w:val="2"/>
        <w:rPr>
          <w:rFonts w:hint="eastAsia"/>
        </w:rPr>
      </w:pPr>
      <w:r>
        <w:rPr>
          <w:rFonts w:hint="eastAsia"/>
        </w:rPr>
        <w:t>Copyright © 2026. Published by Elsevier GmbH.</w:t>
      </w:r>
    </w:p>
    <w:p w14:paraId="2FC60008">
      <w:pPr>
        <w:pStyle w:val="2"/>
        <w:rPr>
          <w:rFonts w:hint="eastAsia"/>
        </w:rPr>
      </w:pPr>
    </w:p>
    <w:p w14:paraId="01182FE0">
      <w:pPr>
        <w:pStyle w:val="2"/>
        <w:rPr>
          <w:rFonts w:hint="eastAsia"/>
        </w:rPr>
      </w:pPr>
      <w:r>
        <w:rPr>
          <w:rFonts w:hint="eastAsia"/>
        </w:rPr>
        <w:t>DOI: 10.1016/j.imbio.2026.153253</w:t>
      </w:r>
    </w:p>
    <w:p w14:paraId="69BB91AB">
      <w:pPr>
        <w:pStyle w:val="2"/>
        <w:rPr>
          <w:rFonts w:hint="eastAsia"/>
        </w:rPr>
      </w:pPr>
      <w:r>
        <w:rPr>
          <w:rFonts w:hint="eastAsia"/>
        </w:rPr>
        <w:t>PMID: 42863344</w:t>
      </w:r>
    </w:p>
    <w:p w14:paraId="2C592154">
      <w:pPr>
        <w:pStyle w:val="2"/>
        <w:rPr>
          <w:rFonts w:hint="eastAsia"/>
        </w:rPr>
      </w:pPr>
    </w:p>
    <w:p w14:paraId="6AB4BE4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93</w:t>
      </w:r>
      <w:r>
        <w:rPr>
          <w:rFonts w:hint="eastAsia"/>
          <w:b/>
          <w:bCs/>
          <w:color w:val="FF0000"/>
        </w:rPr>
        <w:t xml:space="preserve">. Curr Mol Med. 2026 Oct 1. doi: 10.2174/0115665240483646260915075032. Online </w:t>
      </w:r>
    </w:p>
    <w:p w14:paraId="7741D0E1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6513BFAC">
      <w:pPr>
        <w:pStyle w:val="2"/>
        <w:rPr>
          <w:rFonts w:hint="eastAsia"/>
        </w:rPr>
      </w:pPr>
    </w:p>
    <w:p w14:paraId="5C342050">
      <w:pPr>
        <w:pStyle w:val="2"/>
        <w:rPr>
          <w:rFonts w:hint="eastAsia"/>
        </w:rPr>
      </w:pPr>
      <w:r>
        <w:rPr>
          <w:rFonts w:hint="eastAsia"/>
        </w:rPr>
        <w:t xml:space="preserve">Diagnostic Accuracy of Pleural Fluid Biomarkers and Nucleic Acid Amplification </w:t>
      </w:r>
    </w:p>
    <w:p w14:paraId="46D2A2D5">
      <w:pPr>
        <w:pStyle w:val="2"/>
        <w:rPr>
          <w:rFonts w:hint="eastAsia"/>
        </w:rPr>
      </w:pPr>
      <w:r>
        <w:rPr>
          <w:rFonts w:hint="eastAsia"/>
        </w:rPr>
        <w:t>Tests in Tuberculous Pleural Effusion: An Umbrella Review.</w:t>
      </w:r>
    </w:p>
    <w:p w14:paraId="339E8A12">
      <w:pPr>
        <w:pStyle w:val="2"/>
        <w:rPr>
          <w:rFonts w:hint="eastAsia"/>
        </w:rPr>
      </w:pPr>
    </w:p>
    <w:p w14:paraId="4C2C88B6">
      <w:pPr>
        <w:pStyle w:val="2"/>
        <w:rPr>
          <w:rFonts w:hint="eastAsia"/>
        </w:rPr>
      </w:pPr>
      <w:r>
        <w:rPr>
          <w:rFonts w:hint="eastAsia"/>
        </w:rPr>
        <w:t xml:space="preserve">Nurhayati(1), Shidiq A(1), Wirasmi S(1), Despitasari M(1), Anggraeni R(1)(2), </w:t>
      </w:r>
    </w:p>
    <w:p w14:paraId="64993475">
      <w:pPr>
        <w:pStyle w:val="2"/>
        <w:rPr>
          <w:rFonts w:hint="eastAsia"/>
        </w:rPr>
      </w:pPr>
      <w:r>
        <w:rPr>
          <w:rFonts w:hint="eastAsia"/>
        </w:rPr>
        <w:t xml:space="preserve">Normakristagaluh P(3), Lestriandoko NH(3), Wibowanto GS(3), Hindratno MN(3), </w:t>
      </w:r>
    </w:p>
    <w:p w14:paraId="2621B3D4">
      <w:pPr>
        <w:pStyle w:val="2"/>
        <w:rPr>
          <w:rFonts w:hint="eastAsia"/>
        </w:rPr>
      </w:pPr>
      <w:r>
        <w:rPr>
          <w:rFonts w:hint="eastAsia"/>
        </w:rPr>
        <w:t xml:space="preserve">Purnomo J(4), Novianti Z(4), Syamsul Hadi W(4), Lusinta H(4), Manety R(4), </w:t>
      </w:r>
    </w:p>
    <w:p w14:paraId="1F618502">
      <w:pPr>
        <w:pStyle w:val="2"/>
        <w:rPr>
          <w:rFonts w:hint="eastAsia"/>
        </w:rPr>
      </w:pPr>
      <w:r>
        <w:rPr>
          <w:rFonts w:hint="eastAsia"/>
        </w:rPr>
        <w:t>Jayanti A(4), Widihartono E(5), Hendarwan H(1)(6).</w:t>
      </w:r>
    </w:p>
    <w:p w14:paraId="52D23E33">
      <w:pPr>
        <w:pStyle w:val="2"/>
        <w:rPr>
          <w:rFonts w:hint="eastAsia"/>
        </w:rPr>
      </w:pPr>
    </w:p>
    <w:p w14:paraId="47122B85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222F0157">
      <w:pPr>
        <w:pStyle w:val="2"/>
        <w:rPr>
          <w:rFonts w:hint="eastAsia"/>
        </w:rPr>
      </w:pPr>
      <w:r>
        <w:rPr>
          <w:rFonts w:hint="eastAsia"/>
        </w:rPr>
        <w:t xml:space="preserve">(1)Research Center for Preclinical and Clinical Medicine, National Research and </w:t>
      </w:r>
    </w:p>
    <w:p w14:paraId="7EA9DE60">
      <w:pPr>
        <w:pStyle w:val="2"/>
        <w:rPr>
          <w:rFonts w:hint="eastAsia"/>
        </w:rPr>
      </w:pPr>
      <w:r>
        <w:rPr>
          <w:rFonts w:hint="eastAsia"/>
        </w:rPr>
        <w:t>Innovation Agency (BRIN), Cibinong, West Java 16915, Indonesia.</w:t>
      </w:r>
    </w:p>
    <w:p w14:paraId="6A0CBFCD">
      <w:pPr>
        <w:pStyle w:val="2"/>
        <w:rPr>
          <w:rFonts w:hint="eastAsia"/>
        </w:rPr>
      </w:pPr>
      <w:r>
        <w:rPr>
          <w:rFonts w:hint="eastAsia"/>
        </w:rPr>
        <w:t xml:space="preserve">(2)Research Collaboration Center for Biomedical Scaffolds, BRIN and Universitas </w:t>
      </w:r>
    </w:p>
    <w:p w14:paraId="2DFDFBF2">
      <w:pPr>
        <w:pStyle w:val="2"/>
        <w:rPr>
          <w:rFonts w:hint="eastAsia"/>
        </w:rPr>
      </w:pPr>
      <w:r>
        <w:rPr>
          <w:rFonts w:hint="eastAsia"/>
        </w:rPr>
        <w:t>Gadjah Mada, Yogyakarta 55281, Indonesia.</w:t>
      </w:r>
    </w:p>
    <w:p w14:paraId="0A0663CF">
      <w:pPr>
        <w:pStyle w:val="2"/>
        <w:rPr>
          <w:rFonts w:hint="eastAsia"/>
        </w:rPr>
      </w:pPr>
      <w:r>
        <w:rPr>
          <w:rFonts w:hint="eastAsia"/>
        </w:rPr>
        <w:t xml:space="preserve">(3)Research Center for Artificial Intelligence and Cyber Security, BRIN, </w:t>
      </w:r>
    </w:p>
    <w:p w14:paraId="69632274">
      <w:pPr>
        <w:pStyle w:val="2"/>
        <w:rPr>
          <w:rFonts w:hint="eastAsia"/>
        </w:rPr>
      </w:pPr>
      <w:r>
        <w:rPr>
          <w:rFonts w:hint="eastAsia"/>
        </w:rPr>
        <w:t>Bandung, West Java 40135, Indonesia.</w:t>
      </w:r>
    </w:p>
    <w:p w14:paraId="6EB54476">
      <w:pPr>
        <w:pStyle w:val="2"/>
        <w:rPr>
          <w:rFonts w:hint="eastAsia"/>
        </w:rPr>
      </w:pPr>
      <w:r>
        <w:rPr>
          <w:rFonts w:hint="eastAsia"/>
        </w:rPr>
        <w:t>(4)Soeradji Tirtonegoro General Hospital, Klaten, Central Java 57424, Indonesia.</w:t>
      </w:r>
    </w:p>
    <w:p w14:paraId="26BE6BAC">
      <w:pPr>
        <w:pStyle w:val="2"/>
        <w:rPr>
          <w:rFonts w:hint="eastAsia"/>
        </w:rPr>
      </w:pPr>
      <w:r>
        <w:rPr>
          <w:rFonts w:hint="eastAsia"/>
        </w:rPr>
        <w:t>(5)Ministry of Health of the Republic of Indonesia, Jakarta, Indonesia.</w:t>
      </w:r>
    </w:p>
    <w:p w14:paraId="08B3BCDB">
      <w:pPr>
        <w:pStyle w:val="2"/>
        <w:rPr>
          <w:rFonts w:hint="eastAsia"/>
        </w:rPr>
      </w:pPr>
      <w:r>
        <w:rPr>
          <w:rFonts w:hint="eastAsia"/>
        </w:rPr>
        <w:t xml:space="preserve">(6)Faculty of Health Sciences, Universitas Indonesia Maju (UIMA), South Jakarta, </w:t>
      </w:r>
    </w:p>
    <w:p w14:paraId="417C4C22">
      <w:pPr>
        <w:pStyle w:val="2"/>
        <w:rPr>
          <w:rFonts w:hint="eastAsia"/>
        </w:rPr>
      </w:pPr>
      <w:r>
        <w:rPr>
          <w:rFonts w:hint="eastAsia"/>
        </w:rPr>
        <w:t>Jakarta, Indonesia.</w:t>
      </w:r>
    </w:p>
    <w:p w14:paraId="57BF1A72">
      <w:pPr>
        <w:pStyle w:val="2"/>
        <w:rPr>
          <w:rFonts w:hint="eastAsia"/>
        </w:rPr>
      </w:pPr>
    </w:p>
    <w:p w14:paraId="375B026D">
      <w:pPr>
        <w:pStyle w:val="2"/>
        <w:rPr>
          <w:rFonts w:hint="eastAsia"/>
        </w:rPr>
      </w:pPr>
      <w:r>
        <w:rPr>
          <w:rFonts w:hint="eastAsia"/>
          <w:b/>
          <w:bCs/>
        </w:rPr>
        <w:t>INTRODUCTION/OBJECTIVE:</w:t>
      </w:r>
      <w:r>
        <w:rPr>
          <w:rFonts w:hint="eastAsia"/>
        </w:rPr>
        <w:t xml:space="preserve"> Tuberculous Pleural Effusion (TPE) is a common but </w:t>
      </w:r>
    </w:p>
    <w:p w14:paraId="417CA2D1">
      <w:pPr>
        <w:pStyle w:val="2"/>
        <w:rPr>
          <w:rFonts w:hint="eastAsia"/>
        </w:rPr>
      </w:pPr>
      <w:r>
        <w:rPr>
          <w:rFonts w:hint="eastAsia"/>
        </w:rPr>
        <w:t xml:space="preserve">diagnostically challenging form of extrapulmonary tuberculosis. Many overlapping </w:t>
      </w:r>
    </w:p>
    <w:p w14:paraId="1D009A5D">
      <w:pPr>
        <w:pStyle w:val="2"/>
        <w:rPr>
          <w:rFonts w:hint="eastAsia"/>
        </w:rPr>
      </w:pPr>
      <w:r>
        <w:rPr>
          <w:rFonts w:hint="eastAsia"/>
        </w:rPr>
        <w:t xml:space="preserve">systematic reviews have evaluated pleural-fluid biomarkers and Nucleic Acid </w:t>
      </w:r>
    </w:p>
    <w:p w14:paraId="798F3624">
      <w:pPr>
        <w:pStyle w:val="2"/>
        <w:rPr>
          <w:rFonts w:hint="eastAsia"/>
        </w:rPr>
      </w:pPr>
      <w:r>
        <w:rPr>
          <w:rFonts w:hint="eastAsia"/>
        </w:rPr>
        <w:t xml:space="preserve">Amplification Tests (NAATs). This umbrella review aimed to synthesise and </w:t>
      </w:r>
    </w:p>
    <w:p w14:paraId="2D04E839">
      <w:pPr>
        <w:pStyle w:val="2"/>
        <w:rPr>
          <w:rFonts w:hint="eastAsia"/>
        </w:rPr>
      </w:pPr>
      <w:r>
        <w:rPr>
          <w:rFonts w:hint="eastAsia"/>
        </w:rPr>
        <w:t xml:space="preserve">compare the diagnostic accuracy of pleural-fluid tests for TPE within a single </w:t>
      </w:r>
    </w:p>
    <w:p w14:paraId="1A23298B">
      <w:pPr>
        <w:pStyle w:val="2"/>
        <w:rPr>
          <w:rFonts w:hint="eastAsia"/>
        </w:rPr>
      </w:pPr>
      <w:r>
        <w:rPr>
          <w:rFonts w:hint="eastAsia"/>
        </w:rPr>
        <w:t>appraised framework.</w:t>
      </w:r>
    </w:p>
    <w:p w14:paraId="638FF077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We conducted an umbrella review (JBI methodology; PRISMA 2020 </w:t>
      </w:r>
    </w:p>
    <w:p w14:paraId="36FC8384">
      <w:pPr>
        <w:pStyle w:val="2"/>
        <w:rPr>
          <w:rFonts w:hint="eastAsia"/>
        </w:rPr>
      </w:pPr>
      <w:r>
        <w:rPr>
          <w:rFonts w:hint="eastAsia"/>
        </w:rPr>
        <w:t xml:space="preserve">reporting) of 20 systematic reviews with meta-analysis, appraised them using </w:t>
      </w:r>
    </w:p>
    <w:p w14:paraId="62D2EC68">
      <w:pPr>
        <w:pStyle w:val="2"/>
        <w:rPr>
          <w:rFonts w:hint="eastAsia"/>
        </w:rPr>
      </w:pPr>
      <w:r>
        <w:rPr>
          <w:rFonts w:hint="eastAsia"/>
        </w:rPr>
        <w:t xml:space="preserve">AMSTAR 2, quantified primary-study overlap with the Corrected Covered Area </w:t>
      </w:r>
    </w:p>
    <w:p w14:paraId="696D205A">
      <w:pPr>
        <w:pStyle w:val="2"/>
        <w:rPr>
          <w:rFonts w:hint="eastAsia"/>
        </w:rPr>
      </w:pPr>
      <w:r>
        <w:rPr>
          <w:rFonts w:hint="eastAsia"/>
        </w:rPr>
        <w:t xml:space="preserve">(CCA), and summarised the certainty of evidence reported by the source reviews </w:t>
      </w:r>
    </w:p>
    <w:p w14:paraId="063C0AF4">
      <w:pPr>
        <w:pStyle w:val="2"/>
        <w:rPr>
          <w:rFonts w:hint="eastAsia"/>
        </w:rPr>
      </w:pPr>
      <w:r>
        <w:rPr>
          <w:rFonts w:hint="eastAsia"/>
        </w:rPr>
        <w:t>(GRADE).</w:t>
      </w:r>
    </w:p>
    <w:p w14:paraId="51C7F6AD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Cytokine markers showed the highest accuracy (IFN-γ sensitivity 0.93, </w:t>
      </w:r>
    </w:p>
    <w:p w14:paraId="5B899CD4">
      <w:pPr>
        <w:pStyle w:val="2"/>
        <w:rPr>
          <w:rFonts w:hint="eastAsia"/>
        </w:rPr>
      </w:pPr>
      <w:r>
        <w:rPr>
          <w:rFonts w:hint="eastAsia"/>
        </w:rPr>
        <w:t xml:space="preserve">specificity 0.96; IL-27 0.94/0.97). ADA was a robust rule-out test (0.92/0.90). </w:t>
      </w:r>
    </w:p>
    <w:p w14:paraId="17DE2B21">
      <w:pPr>
        <w:pStyle w:val="2"/>
        <w:rPr>
          <w:rFonts w:hint="eastAsia"/>
        </w:rPr>
      </w:pPr>
      <w:r>
        <w:rPr>
          <w:rFonts w:hint="eastAsia"/>
        </w:rPr>
        <w:t xml:space="preserve">NAATs were highly specific but insensitive (Xpert MTB/RIF 0.52/0.99; Xpert Ultra </w:t>
      </w:r>
    </w:p>
    <w:p w14:paraId="3CA7F875">
      <w:pPr>
        <w:pStyle w:val="2"/>
        <w:rPr>
          <w:rFonts w:hint="eastAsia"/>
        </w:rPr>
      </w:pPr>
      <w:r>
        <w:rPr>
          <w:rFonts w:hint="eastAsia"/>
        </w:rPr>
        <w:t>0.68/0.97).</w:t>
      </w:r>
    </w:p>
    <w:p w14:paraId="102B7BE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DISCUSSION: </w:t>
      </w:r>
      <w:r>
        <w:rPr>
          <w:rFonts w:hint="eastAsia"/>
        </w:rPr>
        <w:t xml:space="preserve">The overlap among reviews was high to very high, and the apparent </w:t>
      </w:r>
    </w:p>
    <w:p w14:paraId="0531A160">
      <w:pPr>
        <w:pStyle w:val="2"/>
        <w:rPr>
          <w:rFonts w:hint="eastAsia"/>
        </w:rPr>
      </w:pPr>
      <w:r>
        <w:rPr>
          <w:rFonts w:hint="eastAsia"/>
        </w:rPr>
        <w:t xml:space="preserve">hierarchy was found to be influenced by reference-standard heterogeneity, </w:t>
      </w:r>
    </w:p>
    <w:p w14:paraId="2DECAF50">
      <w:pPr>
        <w:pStyle w:val="2"/>
        <w:rPr>
          <w:rFonts w:hint="eastAsia"/>
        </w:rPr>
      </w:pPr>
      <w:r>
        <w:rPr>
          <w:rFonts w:hint="eastAsia"/>
        </w:rPr>
        <w:t xml:space="preserve">indicating that the observed ranking should not be interpreted as free of </w:t>
      </w:r>
    </w:p>
    <w:p w14:paraId="02FC4E9C">
      <w:pPr>
        <w:pStyle w:val="2"/>
        <w:rPr>
          <w:rFonts w:hint="eastAsia"/>
        </w:rPr>
      </w:pPr>
      <w:r>
        <w:rPr>
          <w:rFonts w:hint="eastAsia"/>
        </w:rPr>
        <w:t>methodological bias.</w:t>
      </w:r>
    </w:p>
    <w:p w14:paraId="583B352A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CONCLUSION: </w:t>
      </w:r>
      <w:r>
        <w:rPr>
          <w:rFonts w:hint="eastAsia"/>
        </w:rPr>
        <w:t xml:space="preserve">No single test is optimal; pleural-fluid biomarkers and NAATs play </w:t>
      </w:r>
    </w:p>
    <w:p w14:paraId="0D975686">
      <w:pPr>
        <w:pStyle w:val="2"/>
        <w:rPr>
          <w:rFonts w:hint="eastAsia"/>
        </w:rPr>
      </w:pPr>
      <w:r>
        <w:rPr>
          <w:rFonts w:hint="eastAsia"/>
        </w:rPr>
        <w:t>complementary roles that depend on pre-test probability.</w:t>
      </w:r>
    </w:p>
    <w:p w14:paraId="0D75C799">
      <w:pPr>
        <w:pStyle w:val="2"/>
        <w:rPr>
          <w:rFonts w:hint="eastAsia"/>
        </w:rPr>
      </w:pPr>
    </w:p>
    <w:p w14:paraId="4E23DCFB">
      <w:pPr>
        <w:pStyle w:val="2"/>
        <w:rPr>
          <w:rFonts w:hint="eastAsia"/>
        </w:rPr>
      </w:pPr>
      <w:r>
        <w:rPr>
          <w:rFonts w:hint="eastAsia"/>
        </w:rPr>
        <w:t xml:space="preserve">Copyright© Bentham Science Publishers; For any queries, please email at </w:t>
      </w:r>
    </w:p>
    <w:p w14:paraId="45A9D8FF">
      <w:pPr>
        <w:pStyle w:val="2"/>
        <w:rPr>
          <w:rFonts w:hint="eastAsia"/>
        </w:rPr>
      </w:pPr>
      <w:r>
        <w:rPr>
          <w:rFonts w:hint="eastAsia"/>
        </w:rPr>
        <w:t>epub@benthamscience.net.</w:t>
      </w:r>
    </w:p>
    <w:p w14:paraId="05B2B377">
      <w:pPr>
        <w:pStyle w:val="2"/>
        <w:rPr>
          <w:rFonts w:hint="eastAsia"/>
        </w:rPr>
      </w:pPr>
    </w:p>
    <w:p w14:paraId="26B9B674">
      <w:pPr>
        <w:pStyle w:val="2"/>
        <w:rPr>
          <w:rFonts w:hint="eastAsia"/>
        </w:rPr>
      </w:pPr>
      <w:r>
        <w:rPr>
          <w:rFonts w:hint="eastAsia"/>
        </w:rPr>
        <w:t>DOI: 10.2174/0115665240483646260915075032</w:t>
      </w:r>
    </w:p>
    <w:p w14:paraId="372E2C60">
      <w:pPr>
        <w:pStyle w:val="2"/>
        <w:rPr>
          <w:rFonts w:hint="eastAsia"/>
        </w:rPr>
      </w:pPr>
      <w:r>
        <w:rPr>
          <w:rFonts w:hint="eastAsia"/>
        </w:rPr>
        <w:t>PMID: 42861742</w:t>
      </w:r>
    </w:p>
    <w:p w14:paraId="0AC91912">
      <w:pPr>
        <w:pStyle w:val="2"/>
        <w:rPr>
          <w:rFonts w:hint="eastAsia"/>
        </w:rPr>
      </w:pPr>
    </w:p>
    <w:p w14:paraId="54FDC34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94</w:t>
      </w:r>
      <w:r>
        <w:rPr>
          <w:rFonts w:hint="eastAsia"/>
          <w:b/>
          <w:bCs/>
          <w:color w:val="FF0000"/>
        </w:rPr>
        <w:t xml:space="preserve">. Gynecol Oncol Rep. 2026 Sep 28;67:102223. doi: 10.1016/j.gore.2026.102223. </w:t>
      </w:r>
    </w:p>
    <w:p w14:paraId="7B6EBFF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eCollection 2026 Oct.</w:t>
      </w:r>
    </w:p>
    <w:p w14:paraId="4C685196">
      <w:pPr>
        <w:pStyle w:val="2"/>
        <w:rPr>
          <w:rFonts w:hint="eastAsia"/>
        </w:rPr>
      </w:pPr>
    </w:p>
    <w:p w14:paraId="1A9056E2">
      <w:pPr>
        <w:pStyle w:val="2"/>
        <w:rPr>
          <w:rFonts w:hint="eastAsia"/>
        </w:rPr>
      </w:pPr>
      <w:r>
        <w:rPr>
          <w:rFonts w:hint="eastAsia"/>
        </w:rPr>
        <w:t xml:space="preserve">Endometrial tuberculosis mimicking gynecological malignancy in a postmenopausal </w:t>
      </w:r>
    </w:p>
    <w:p w14:paraId="7BE730BB">
      <w:pPr>
        <w:pStyle w:val="2"/>
        <w:rPr>
          <w:rFonts w:hint="eastAsia"/>
        </w:rPr>
      </w:pPr>
      <w:r>
        <w:rPr>
          <w:rFonts w:hint="eastAsia"/>
        </w:rPr>
        <w:t>woman.</w:t>
      </w:r>
    </w:p>
    <w:p w14:paraId="610DB42B">
      <w:pPr>
        <w:pStyle w:val="2"/>
        <w:rPr>
          <w:rFonts w:hint="eastAsia"/>
        </w:rPr>
      </w:pPr>
    </w:p>
    <w:p w14:paraId="0A36D80C">
      <w:pPr>
        <w:pStyle w:val="2"/>
        <w:rPr>
          <w:rFonts w:hint="eastAsia"/>
        </w:rPr>
      </w:pPr>
      <w:r>
        <w:rPr>
          <w:rFonts w:hint="eastAsia"/>
        </w:rPr>
        <w:t xml:space="preserve">Dávid KL(1), Orrego E(1), Macari-Jorge A(2), Fumagalli D(1), Yorke R(2), </w:t>
      </w:r>
    </w:p>
    <w:p w14:paraId="440726A9">
      <w:pPr>
        <w:pStyle w:val="2"/>
        <w:rPr>
          <w:rFonts w:hint="eastAsia"/>
        </w:rPr>
      </w:pPr>
      <w:r>
        <w:rPr>
          <w:rFonts w:hint="eastAsia"/>
        </w:rPr>
        <w:t>Schwartz MR(2), Kamat AA(1).</w:t>
      </w:r>
    </w:p>
    <w:p w14:paraId="2D1AE6BA">
      <w:pPr>
        <w:pStyle w:val="2"/>
        <w:rPr>
          <w:rFonts w:hint="eastAsia"/>
        </w:rPr>
      </w:pPr>
    </w:p>
    <w:p w14:paraId="7D67274F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1263301A">
      <w:pPr>
        <w:pStyle w:val="2"/>
        <w:rPr>
          <w:rFonts w:hint="eastAsia"/>
        </w:rPr>
      </w:pPr>
      <w:r>
        <w:rPr>
          <w:rFonts w:hint="eastAsia"/>
        </w:rPr>
        <w:t xml:space="preserve">(1)Department of Obstetrics and Gynecology, Division of Gynecologic Oncology, </w:t>
      </w:r>
    </w:p>
    <w:p w14:paraId="564AFB1E">
      <w:pPr>
        <w:pStyle w:val="2"/>
        <w:rPr>
          <w:rFonts w:hint="eastAsia"/>
        </w:rPr>
      </w:pPr>
      <w:r>
        <w:rPr>
          <w:rFonts w:hint="eastAsia"/>
        </w:rPr>
        <w:t>Houston Methodist Hospital, Houston, TX, USA.</w:t>
      </w:r>
    </w:p>
    <w:p w14:paraId="55861556">
      <w:pPr>
        <w:pStyle w:val="2"/>
        <w:rPr>
          <w:rFonts w:hint="eastAsia"/>
        </w:rPr>
      </w:pPr>
      <w:r>
        <w:rPr>
          <w:rFonts w:hint="eastAsia"/>
        </w:rPr>
        <w:t xml:space="preserve">(2)Department of Pathology and Genomic Medicine, Houston Methodist Hospital, </w:t>
      </w:r>
    </w:p>
    <w:p w14:paraId="0659F59C">
      <w:pPr>
        <w:pStyle w:val="2"/>
        <w:rPr>
          <w:rFonts w:hint="eastAsia"/>
        </w:rPr>
      </w:pPr>
      <w:r>
        <w:rPr>
          <w:rFonts w:hint="eastAsia"/>
        </w:rPr>
        <w:t>Houston, TX, USA.</w:t>
      </w:r>
    </w:p>
    <w:p w14:paraId="1A251A1B">
      <w:pPr>
        <w:pStyle w:val="2"/>
        <w:rPr>
          <w:rFonts w:hint="eastAsia"/>
        </w:rPr>
      </w:pPr>
    </w:p>
    <w:p w14:paraId="7DEEEF5D">
      <w:pPr>
        <w:pStyle w:val="2"/>
        <w:rPr>
          <w:rFonts w:hint="eastAsia"/>
        </w:rPr>
      </w:pPr>
      <w:r>
        <w:rPr>
          <w:rFonts w:hint="eastAsia"/>
          <w:b/>
          <w:bCs/>
        </w:rPr>
        <w:t>BACKGROUND</w:t>
      </w:r>
      <w:r>
        <w:rPr>
          <w:rFonts w:hint="eastAsia"/>
        </w:rPr>
        <w:t xml:space="preserve">: Female genital tuberculosis is a rare form of extrapulmonary </w:t>
      </w:r>
    </w:p>
    <w:p w14:paraId="3A6A36EF">
      <w:pPr>
        <w:pStyle w:val="2"/>
        <w:rPr>
          <w:rFonts w:hint="eastAsia"/>
        </w:rPr>
      </w:pPr>
      <w:r>
        <w:rPr>
          <w:rFonts w:hint="eastAsia"/>
        </w:rPr>
        <w:t xml:space="preserve">tuberculosis that may mimic gynecologic malignancy, particularly when clinical </w:t>
      </w:r>
    </w:p>
    <w:p w14:paraId="0E509897">
      <w:pPr>
        <w:pStyle w:val="2"/>
        <w:rPr>
          <w:rFonts w:hint="eastAsia"/>
        </w:rPr>
      </w:pPr>
      <w:r>
        <w:rPr>
          <w:rFonts w:hint="eastAsia"/>
        </w:rPr>
        <w:t xml:space="preserve">and imaging findings are nonspecific. Diagnosis can be especially challenging in </w:t>
      </w:r>
    </w:p>
    <w:p w14:paraId="58A54A7A">
      <w:pPr>
        <w:pStyle w:val="2"/>
        <w:rPr>
          <w:rFonts w:hint="eastAsia"/>
        </w:rPr>
      </w:pPr>
      <w:r>
        <w:rPr>
          <w:rFonts w:hint="eastAsia"/>
        </w:rPr>
        <w:t>postmenopausal women.</w:t>
      </w:r>
    </w:p>
    <w:p w14:paraId="2BBA1FDE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CASE PRESENTATION: </w:t>
      </w:r>
      <w:r>
        <w:rPr>
          <w:rFonts w:hint="eastAsia"/>
        </w:rPr>
        <w:t xml:space="preserve">A 78-year-old postmenopausal woman presented with pelvic pain </w:t>
      </w:r>
    </w:p>
    <w:p w14:paraId="6CD87120">
      <w:pPr>
        <w:pStyle w:val="2"/>
        <w:rPr>
          <w:rFonts w:hint="eastAsia"/>
        </w:rPr>
      </w:pPr>
      <w:r>
        <w:rPr>
          <w:rFonts w:hint="eastAsia"/>
        </w:rPr>
        <w:t xml:space="preserve">and was found to have marked endometrial cavity distention, hematometra, and a </w:t>
      </w:r>
    </w:p>
    <w:p w14:paraId="667C1555">
      <w:pPr>
        <w:pStyle w:val="2"/>
        <w:rPr>
          <w:rFonts w:hint="eastAsia"/>
        </w:rPr>
      </w:pPr>
      <w:r>
        <w:rPr>
          <w:rFonts w:hint="eastAsia"/>
        </w:rPr>
        <w:t xml:space="preserve">cervical lesion concerning for malignancy. Severe cervical stenosis prevented </w:t>
      </w:r>
    </w:p>
    <w:p w14:paraId="5F54B3B2">
      <w:pPr>
        <w:pStyle w:val="2"/>
        <w:rPr>
          <w:rFonts w:hint="eastAsia"/>
        </w:rPr>
      </w:pPr>
      <w:r>
        <w:rPr>
          <w:rFonts w:hint="eastAsia"/>
        </w:rPr>
        <w:t xml:space="preserve">adequate endometrial sampling despite examination under anesthesia, attempted </w:t>
      </w:r>
    </w:p>
    <w:p w14:paraId="40C3CE5C">
      <w:pPr>
        <w:pStyle w:val="2"/>
        <w:rPr>
          <w:rFonts w:hint="eastAsia"/>
        </w:rPr>
      </w:pPr>
      <w:r>
        <w:rPr>
          <w:rFonts w:hint="eastAsia"/>
        </w:rPr>
        <w:t xml:space="preserve">hysteroscopy, and dilation and curettage. Because malignancy could not be </w:t>
      </w:r>
    </w:p>
    <w:p w14:paraId="58157427">
      <w:pPr>
        <w:pStyle w:val="2"/>
        <w:rPr>
          <w:rFonts w:hint="eastAsia"/>
        </w:rPr>
      </w:pPr>
      <w:r>
        <w:rPr>
          <w:rFonts w:hint="eastAsia"/>
        </w:rPr>
        <w:t xml:space="preserve">excluded, she underwent robotic-assisted total laparoscopic hysterectomy with </w:t>
      </w:r>
    </w:p>
    <w:p w14:paraId="5501B70A">
      <w:pPr>
        <w:pStyle w:val="2"/>
        <w:rPr>
          <w:rFonts w:hint="eastAsia"/>
        </w:rPr>
      </w:pPr>
      <w:r>
        <w:rPr>
          <w:rFonts w:hint="eastAsia"/>
        </w:rPr>
        <w:t xml:space="preserve">bilateral salpingo-oophorectomy. Histopathologic examination demonstrated </w:t>
      </w:r>
    </w:p>
    <w:p w14:paraId="74050A9B">
      <w:pPr>
        <w:pStyle w:val="2"/>
        <w:rPr>
          <w:rFonts w:hint="eastAsia"/>
        </w:rPr>
      </w:pPr>
      <w:r>
        <w:rPr>
          <w:rFonts w:hint="eastAsia"/>
        </w:rPr>
        <w:t xml:space="preserve">extensive necrotizing granulomatous inflammation involving the endometrium, </w:t>
      </w:r>
    </w:p>
    <w:p w14:paraId="4692D883">
      <w:pPr>
        <w:pStyle w:val="2"/>
        <w:rPr>
          <w:rFonts w:hint="eastAsia"/>
        </w:rPr>
      </w:pPr>
      <w:r>
        <w:rPr>
          <w:rFonts w:hint="eastAsia"/>
        </w:rPr>
        <w:t xml:space="preserve">myometrium, endocervix, and left adnexal soft tissue, without evidence of </w:t>
      </w:r>
    </w:p>
    <w:p w14:paraId="26514B33">
      <w:pPr>
        <w:pStyle w:val="2"/>
        <w:rPr>
          <w:rFonts w:hint="eastAsia"/>
        </w:rPr>
      </w:pPr>
      <w:r>
        <w:rPr>
          <w:rFonts w:hint="eastAsia"/>
        </w:rPr>
        <w:t xml:space="preserve">malignancy. Although acid-fast staining was negative, tissue mycobacterial </w:t>
      </w:r>
    </w:p>
    <w:p w14:paraId="31FB951A">
      <w:pPr>
        <w:pStyle w:val="2"/>
        <w:rPr>
          <w:rFonts w:hint="eastAsia"/>
        </w:rPr>
      </w:pPr>
      <w:r>
        <w:rPr>
          <w:rFonts w:hint="eastAsia"/>
        </w:rPr>
        <w:t xml:space="preserve">culture grew Mycobacterium tuberculosis complex, and molecular testing confirmed </w:t>
      </w:r>
    </w:p>
    <w:p w14:paraId="7E17293D">
      <w:pPr>
        <w:pStyle w:val="2"/>
        <w:rPr>
          <w:rFonts w:hint="eastAsia"/>
        </w:rPr>
      </w:pPr>
      <w:r>
        <w:rPr>
          <w:rFonts w:hint="eastAsia"/>
        </w:rPr>
        <w:t xml:space="preserve">M. tuberculosis complex DNA. Subsequent evaluation showed no evidence of active </w:t>
      </w:r>
    </w:p>
    <w:p w14:paraId="3C376C58">
      <w:pPr>
        <w:pStyle w:val="2"/>
        <w:rPr>
          <w:rFonts w:hint="eastAsia"/>
        </w:rPr>
      </w:pPr>
      <w:r>
        <w:rPr>
          <w:rFonts w:hint="eastAsia"/>
        </w:rPr>
        <w:t>pulmonary tuberculosis, and antituberculosis therapy was initiated.</w:t>
      </w:r>
    </w:p>
    <w:p w14:paraId="461B43A6">
      <w:pPr>
        <w:pStyle w:val="2"/>
        <w:rPr>
          <w:rFonts w:hint="eastAsia"/>
        </w:rPr>
      </w:pPr>
      <w:r>
        <w:rPr>
          <w:rFonts w:hint="eastAsia"/>
          <w:b/>
          <w:bCs/>
        </w:rPr>
        <w:t>CONCLUSION:</w:t>
      </w:r>
      <w:r>
        <w:rPr>
          <w:rFonts w:hint="eastAsia"/>
        </w:rPr>
        <w:t xml:space="preserve"> Female genital tuberculosis should be considered in the differential </w:t>
      </w:r>
    </w:p>
    <w:p w14:paraId="5FA52D95">
      <w:pPr>
        <w:pStyle w:val="2"/>
        <w:rPr>
          <w:rFonts w:hint="eastAsia"/>
        </w:rPr>
      </w:pPr>
      <w:r>
        <w:rPr>
          <w:rFonts w:hint="eastAsia"/>
        </w:rPr>
        <w:t xml:space="preserve">diagnosis of suspicious intrauterine or cervical lesions, even in postmenopausal </w:t>
      </w:r>
    </w:p>
    <w:p w14:paraId="7813EEAD">
      <w:pPr>
        <w:pStyle w:val="2"/>
        <w:rPr>
          <w:rFonts w:hint="eastAsia"/>
        </w:rPr>
      </w:pPr>
      <w:r>
        <w:rPr>
          <w:rFonts w:hint="eastAsia"/>
        </w:rPr>
        <w:t xml:space="preserve">women, particularly when cervical stenosis prevents adequate preoperative </w:t>
      </w:r>
    </w:p>
    <w:p w14:paraId="3FDEF235">
      <w:pPr>
        <w:pStyle w:val="2"/>
        <w:rPr>
          <w:rFonts w:hint="eastAsia"/>
        </w:rPr>
      </w:pPr>
      <w:r>
        <w:rPr>
          <w:rFonts w:hint="eastAsia"/>
        </w:rPr>
        <w:t xml:space="preserve">sampling and epidemiologic risk factors, including migration from a country with </w:t>
      </w:r>
    </w:p>
    <w:p w14:paraId="61473555">
      <w:pPr>
        <w:pStyle w:val="2"/>
        <w:rPr>
          <w:rFonts w:hint="eastAsia"/>
        </w:rPr>
      </w:pPr>
      <w:r>
        <w:rPr>
          <w:rFonts w:hint="eastAsia"/>
        </w:rPr>
        <w:t>a higher tuberculosis burden, are present.</w:t>
      </w:r>
    </w:p>
    <w:p w14:paraId="2A1CD198">
      <w:pPr>
        <w:pStyle w:val="2"/>
        <w:rPr>
          <w:rFonts w:hint="eastAsia"/>
        </w:rPr>
      </w:pPr>
    </w:p>
    <w:p w14:paraId="176DCA5C">
      <w:pPr>
        <w:pStyle w:val="2"/>
        <w:rPr>
          <w:rFonts w:hint="eastAsia"/>
        </w:rPr>
      </w:pPr>
      <w:r>
        <w:rPr>
          <w:rFonts w:hint="eastAsia"/>
        </w:rPr>
        <w:t>© 2026 Published by Elsevier Inc.</w:t>
      </w:r>
    </w:p>
    <w:p w14:paraId="3DE7EAF7">
      <w:pPr>
        <w:pStyle w:val="2"/>
        <w:rPr>
          <w:rFonts w:hint="eastAsia"/>
        </w:rPr>
      </w:pPr>
    </w:p>
    <w:p w14:paraId="395E390E">
      <w:pPr>
        <w:pStyle w:val="2"/>
        <w:rPr>
          <w:rFonts w:hint="eastAsia"/>
        </w:rPr>
      </w:pPr>
      <w:r>
        <w:rPr>
          <w:rFonts w:hint="eastAsia"/>
        </w:rPr>
        <w:t>DOI: 10.1016/j.gore.2026.102223</w:t>
      </w:r>
    </w:p>
    <w:p w14:paraId="0EEC96AF">
      <w:pPr>
        <w:pStyle w:val="2"/>
        <w:rPr>
          <w:rFonts w:hint="eastAsia"/>
        </w:rPr>
      </w:pPr>
      <w:r>
        <w:rPr>
          <w:rFonts w:hint="eastAsia"/>
        </w:rPr>
        <w:t>PMCID: PMC13654445</w:t>
      </w:r>
    </w:p>
    <w:p w14:paraId="2CB08BD7">
      <w:pPr>
        <w:pStyle w:val="2"/>
        <w:rPr>
          <w:rFonts w:hint="eastAsia"/>
        </w:rPr>
      </w:pPr>
      <w:r>
        <w:rPr>
          <w:rFonts w:hint="eastAsia"/>
        </w:rPr>
        <w:t>PMID: 42861222</w:t>
      </w:r>
    </w:p>
    <w:p w14:paraId="4C34132D">
      <w:pPr>
        <w:pStyle w:val="2"/>
        <w:rPr>
          <w:rFonts w:hint="eastAsia"/>
        </w:rPr>
      </w:pPr>
    </w:p>
    <w:p w14:paraId="4506FF0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95</w:t>
      </w:r>
      <w:r>
        <w:rPr>
          <w:rFonts w:hint="eastAsia"/>
          <w:b/>
          <w:bCs/>
          <w:color w:val="FF0000"/>
        </w:rPr>
        <w:t>. Cureus. 2026 Oct 11;18(10):e117754. doi: 10.7759/cureus.117754. eCollection 2026 Oct.</w:t>
      </w:r>
    </w:p>
    <w:p w14:paraId="62F589A7">
      <w:pPr>
        <w:pStyle w:val="2"/>
        <w:rPr>
          <w:rFonts w:hint="eastAsia"/>
        </w:rPr>
      </w:pPr>
    </w:p>
    <w:p w14:paraId="74D98795">
      <w:pPr>
        <w:pStyle w:val="2"/>
        <w:rPr>
          <w:rFonts w:hint="eastAsia"/>
        </w:rPr>
      </w:pPr>
      <w:r>
        <w:rPr>
          <w:rFonts w:hint="eastAsia"/>
        </w:rPr>
        <w:t xml:space="preserve">Hydropneumothorax as a Diagnostic Clue to Pulmonary Tuberculosis With Pleural </w:t>
      </w:r>
    </w:p>
    <w:p w14:paraId="469B2252">
      <w:pPr>
        <w:pStyle w:val="2"/>
        <w:rPr>
          <w:rFonts w:hint="eastAsia"/>
        </w:rPr>
      </w:pPr>
      <w:r>
        <w:rPr>
          <w:rFonts w:hint="eastAsia"/>
        </w:rPr>
        <w:t>Involvement: A Case Report.</w:t>
      </w:r>
    </w:p>
    <w:p w14:paraId="0E91F784">
      <w:pPr>
        <w:pStyle w:val="2"/>
        <w:rPr>
          <w:rFonts w:hint="eastAsia"/>
        </w:rPr>
      </w:pPr>
    </w:p>
    <w:p w14:paraId="6109B092">
      <w:pPr>
        <w:pStyle w:val="2"/>
        <w:rPr>
          <w:rFonts w:hint="eastAsia"/>
        </w:rPr>
      </w:pPr>
      <w:r>
        <w:rPr>
          <w:rFonts w:hint="eastAsia"/>
        </w:rPr>
        <w:t xml:space="preserve">Bravo S(1), Costa Monteiro S(1), Vieira R(1), Nogueira J(1), Coroado Ferreira </w:t>
      </w:r>
    </w:p>
    <w:p w14:paraId="42605498">
      <w:pPr>
        <w:pStyle w:val="2"/>
        <w:rPr>
          <w:rFonts w:hint="eastAsia"/>
        </w:rPr>
      </w:pPr>
      <w:r>
        <w:rPr>
          <w:rFonts w:hint="eastAsia"/>
        </w:rPr>
        <w:t>F(1).</w:t>
      </w:r>
    </w:p>
    <w:p w14:paraId="79DB5BC4">
      <w:pPr>
        <w:pStyle w:val="2"/>
        <w:rPr>
          <w:rFonts w:hint="eastAsia"/>
        </w:rPr>
      </w:pPr>
    </w:p>
    <w:p w14:paraId="2A1A7A9D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301D3488">
      <w:pPr>
        <w:pStyle w:val="2"/>
        <w:rPr>
          <w:rFonts w:hint="eastAsia"/>
        </w:rPr>
      </w:pPr>
      <w:r>
        <w:rPr>
          <w:rFonts w:hint="eastAsia"/>
        </w:rPr>
        <w:t>(1)Internal Medicine, Unidade Local de Saúde da Região de Aveiro, Aveiro, PRT.</w:t>
      </w:r>
    </w:p>
    <w:p w14:paraId="55A785A2">
      <w:pPr>
        <w:pStyle w:val="2"/>
        <w:rPr>
          <w:rFonts w:hint="eastAsia"/>
        </w:rPr>
      </w:pPr>
    </w:p>
    <w:p w14:paraId="61099FBF">
      <w:pPr>
        <w:pStyle w:val="2"/>
        <w:rPr>
          <w:rFonts w:hint="eastAsia"/>
        </w:rPr>
      </w:pPr>
      <w:r>
        <w:rPr>
          <w:rFonts w:hint="eastAsia"/>
        </w:rPr>
        <w:t xml:space="preserve">Hydropneumothorax represents an unusual presentation of pulmonary tuberculosis </w:t>
      </w:r>
    </w:p>
    <w:p w14:paraId="0EA5B398">
      <w:pPr>
        <w:pStyle w:val="2"/>
        <w:rPr>
          <w:rFonts w:hint="eastAsia"/>
        </w:rPr>
      </w:pPr>
      <w:r>
        <w:rPr>
          <w:rFonts w:hint="eastAsia"/>
        </w:rPr>
        <w:t xml:space="preserve">(TB), posing diagnostic and therapeutic challenges. We report the case of a </w:t>
      </w:r>
    </w:p>
    <w:p w14:paraId="0D1EDD9D">
      <w:pPr>
        <w:pStyle w:val="2"/>
        <w:rPr>
          <w:rFonts w:hint="eastAsia"/>
        </w:rPr>
      </w:pPr>
      <w:r>
        <w:rPr>
          <w:rFonts w:hint="eastAsia"/>
        </w:rPr>
        <w:t xml:space="preserve">36-year-old woman who presented with productive cough, dyspnea, right-sided </w:t>
      </w:r>
    </w:p>
    <w:p w14:paraId="690C0CCD">
      <w:pPr>
        <w:pStyle w:val="2"/>
        <w:rPr>
          <w:rFonts w:hint="eastAsia"/>
        </w:rPr>
      </w:pPr>
      <w:r>
        <w:rPr>
          <w:rFonts w:hint="eastAsia"/>
        </w:rPr>
        <w:t xml:space="preserve">pleuritic chest pain, and constitutional symptoms. Chest imaging revealed a </w:t>
      </w:r>
    </w:p>
    <w:p w14:paraId="0591FDAF">
      <w:pPr>
        <w:pStyle w:val="2"/>
        <w:rPr>
          <w:rFonts w:hint="eastAsia"/>
        </w:rPr>
      </w:pPr>
      <w:r>
        <w:rPr>
          <w:rFonts w:hint="eastAsia"/>
        </w:rPr>
        <w:t xml:space="preserve">large right-sided hydropneumothorax with extensive parenchymal and cavitary </w:t>
      </w:r>
    </w:p>
    <w:p w14:paraId="7420A58A">
      <w:pPr>
        <w:pStyle w:val="2"/>
        <w:rPr>
          <w:rFonts w:hint="eastAsia"/>
        </w:rPr>
      </w:pPr>
      <w:r>
        <w:rPr>
          <w:rFonts w:hint="eastAsia"/>
        </w:rPr>
        <w:t xml:space="preserve">disease. Sputum smear microscopy was positive for acid-fast bacilli, and </w:t>
      </w:r>
    </w:p>
    <w:p w14:paraId="6956C432">
      <w:pPr>
        <w:pStyle w:val="2"/>
        <w:rPr>
          <w:rFonts w:hint="eastAsia"/>
        </w:rPr>
      </w:pPr>
      <w:r>
        <w:rPr>
          <w:rFonts w:hint="eastAsia"/>
        </w:rPr>
        <w:t xml:space="preserve">molecular testing of both sputum and pleural fluid detected Mycobacterium </w:t>
      </w:r>
    </w:p>
    <w:p w14:paraId="606D03AB">
      <w:pPr>
        <w:pStyle w:val="2"/>
        <w:rPr>
          <w:rFonts w:hint="eastAsia"/>
        </w:rPr>
      </w:pPr>
      <w:r>
        <w:rPr>
          <w:rFonts w:hint="eastAsia"/>
        </w:rPr>
        <w:t xml:space="preserve">tuberculosis complex, confirming pulmonary TB with pleural involvement. Anti-TB </w:t>
      </w:r>
    </w:p>
    <w:p w14:paraId="1A3434FD">
      <w:pPr>
        <w:pStyle w:val="2"/>
        <w:rPr>
          <w:rFonts w:hint="eastAsia"/>
        </w:rPr>
      </w:pPr>
      <w:r>
        <w:rPr>
          <w:rFonts w:hint="eastAsia"/>
        </w:rPr>
        <w:t xml:space="preserve">therapy and chest tube drainage resulted in rapid and satisfactory re-expansion </w:t>
      </w:r>
    </w:p>
    <w:p w14:paraId="32881F9A">
      <w:pPr>
        <w:pStyle w:val="2"/>
        <w:rPr>
          <w:rFonts w:hint="eastAsia"/>
        </w:rPr>
      </w:pPr>
      <w:r>
        <w:rPr>
          <w:rFonts w:hint="eastAsia"/>
        </w:rPr>
        <w:t xml:space="preserve">of the right lung. A small residual pneumothorax persisted after chest tube </w:t>
      </w:r>
    </w:p>
    <w:p w14:paraId="570A0C10">
      <w:pPr>
        <w:pStyle w:val="2"/>
        <w:rPr>
          <w:rFonts w:hint="eastAsia"/>
        </w:rPr>
      </w:pPr>
      <w:r>
        <w:rPr>
          <w:rFonts w:hint="eastAsia"/>
        </w:rPr>
        <w:t xml:space="preserve">removal, without recurrence requiring further pleural drainage. This case </w:t>
      </w:r>
    </w:p>
    <w:p w14:paraId="490D9CA1">
      <w:pPr>
        <w:pStyle w:val="2"/>
        <w:rPr>
          <w:rFonts w:hint="eastAsia"/>
        </w:rPr>
      </w:pPr>
      <w:r>
        <w:rPr>
          <w:rFonts w:hint="eastAsia"/>
        </w:rPr>
        <w:t xml:space="preserve">highlights hydropneumothorax as an uncommon but clinically relevant </w:t>
      </w:r>
    </w:p>
    <w:p w14:paraId="6443B7BC">
      <w:pPr>
        <w:pStyle w:val="2"/>
        <w:rPr>
          <w:rFonts w:hint="eastAsia"/>
        </w:rPr>
      </w:pPr>
      <w:r>
        <w:rPr>
          <w:rFonts w:hint="eastAsia"/>
        </w:rPr>
        <w:t xml:space="preserve">manifestation of pulmonary TB and emphasizes the importance of considering TB in </w:t>
      </w:r>
    </w:p>
    <w:p w14:paraId="396ECB17">
      <w:pPr>
        <w:pStyle w:val="2"/>
        <w:rPr>
          <w:rFonts w:hint="eastAsia"/>
        </w:rPr>
      </w:pPr>
      <w:r>
        <w:rPr>
          <w:rFonts w:hint="eastAsia"/>
        </w:rPr>
        <w:t xml:space="preserve">the differential diagnosis of spontaneous hydropneumothorax. Early recognition </w:t>
      </w:r>
    </w:p>
    <w:p w14:paraId="1ECBE16F">
      <w:pPr>
        <w:pStyle w:val="2"/>
        <w:rPr>
          <w:rFonts w:hint="eastAsia"/>
        </w:rPr>
      </w:pPr>
      <w:r>
        <w:rPr>
          <w:rFonts w:hint="eastAsia"/>
        </w:rPr>
        <w:t>and appropriate management may contribute to favorable clinical outcomes.</w:t>
      </w:r>
    </w:p>
    <w:p w14:paraId="6E9EFC25">
      <w:pPr>
        <w:pStyle w:val="2"/>
        <w:rPr>
          <w:rFonts w:hint="eastAsia"/>
        </w:rPr>
      </w:pPr>
    </w:p>
    <w:p w14:paraId="799A3110">
      <w:pPr>
        <w:pStyle w:val="2"/>
        <w:rPr>
          <w:rFonts w:hint="eastAsia"/>
        </w:rPr>
      </w:pPr>
      <w:r>
        <w:rPr>
          <w:rFonts w:hint="eastAsia"/>
        </w:rPr>
        <w:t>Copyright © 2026, Bravo et al.</w:t>
      </w:r>
    </w:p>
    <w:p w14:paraId="7A54E441">
      <w:pPr>
        <w:pStyle w:val="2"/>
        <w:rPr>
          <w:rFonts w:hint="eastAsia"/>
        </w:rPr>
      </w:pPr>
    </w:p>
    <w:p w14:paraId="05CE5A63">
      <w:pPr>
        <w:pStyle w:val="2"/>
        <w:rPr>
          <w:rFonts w:hint="eastAsia"/>
        </w:rPr>
      </w:pPr>
      <w:r>
        <w:rPr>
          <w:rFonts w:hint="eastAsia"/>
        </w:rPr>
        <w:t>DOI: 10.7759/cureus.117754</w:t>
      </w:r>
    </w:p>
    <w:p w14:paraId="77E9F0B5">
      <w:pPr>
        <w:pStyle w:val="2"/>
        <w:rPr>
          <w:rFonts w:hint="eastAsia"/>
        </w:rPr>
      </w:pPr>
      <w:r>
        <w:rPr>
          <w:rFonts w:hint="eastAsia"/>
        </w:rPr>
        <w:t>PMCID: PMC13654142</w:t>
      </w:r>
    </w:p>
    <w:p w14:paraId="6FFAD1DF">
      <w:pPr>
        <w:pStyle w:val="2"/>
        <w:rPr>
          <w:rFonts w:hint="eastAsia"/>
        </w:rPr>
      </w:pPr>
      <w:r>
        <w:rPr>
          <w:rFonts w:hint="eastAsia"/>
        </w:rPr>
        <w:t>PMID: 42861113</w:t>
      </w:r>
    </w:p>
    <w:p w14:paraId="365BD4A8">
      <w:pPr>
        <w:pStyle w:val="2"/>
        <w:rPr>
          <w:rFonts w:hint="eastAsia"/>
        </w:rPr>
      </w:pPr>
    </w:p>
    <w:p w14:paraId="3FB90808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96</w:t>
      </w:r>
      <w:r>
        <w:rPr>
          <w:rFonts w:hint="eastAsia"/>
          <w:b/>
          <w:bCs/>
          <w:color w:val="FF0000"/>
        </w:rPr>
        <w:t xml:space="preserve">. J Clin Tuberc Other Mycobact Dis. 2026 Sep 30;45:100646. doi: </w:t>
      </w:r>
    </w:p>
    <w:p w14:paraId="00940465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10.1016/j.jctube.2026.100646. eCollection 2026 Dec.</w:t>
      </w:r>
    </w:p>
    <w:p w14:paraId="2360CA3F">
      <w:pPr>
        <w:pStyle w:val="2"/>
        <w:rPr>
          <w:rFonts w:hint="eastAsia"/>
        </w:rPr>
      </w:pPr>
    </w:p>
    <w:p w14:paraId="54A5414F">
      <w:pPr>
        <w:pStyle w:val="2"/>
        <w:rPr>
          <w:rFonts w:hint="eastAsia"/>
        </w:rPr>
      </w:pPr>
      <w:r>
        <w:rPr>
          <w:rFonts w:hint="eastAsia"/>
        </w:rPr>
        <w:t xml:space="preserve">Drivers of drug-resistant tuberculosis treatment initiation delay at three </w:t>
      </w:r>
    </w:p>
    <w:p w14:paraId="6E59B9E6">
      <w:pPr>
        <w:pStyle w:val="2"/>
        <w:rPr>
          <w:rFonts w:hint="eastAsia"/>
        </w:rPr>
      </w:pPr>
      <w:r>
        <w:rPr>
          <w:rFonts w:hint="eastAsia"/>
        </w:rPr>
        <w:t>tertiary health facilities in Uganda: A mixed-methods study.</w:t>
      </w:r>
    </w:p>
    <w:p w14:paraId="0AB7DDE0">
      <w:pPr>
        <w:pStyle w:val="2"/>
        <w:rPr>
          <w:rFonts w:hint="eastAsia"/>
        </w:rPr>
      </w:pPr>
    </w:p>
    <w:p w14:paraId="087FF934">
      <w:pPr>
        <w:pStyle w:val="2"/>
        <w:rPr>
          <w:rFonts w:hint="eastAsia"/>
        </w:rPr>
      </w:pPr>
      <w:r>
        <w:rPr>
          <w:rFonts w:hint="eastAsia"/>
        </w:rPr>
        <w:t xml:space="preserve">Nakiyingi L(1)(2)(3), Kayonga H(1)(4), Zawedde-Muyanja S(3), Baluku J(5), </w:t>
      </w:r>
    </w:p>
    <w:p w14:paraId="4849F040">
      <w:pPr>
        <w:pStyle w:val="2"/>
        <w:rPr>
          <w:rFonts w:hint="eastAsia"/>
        </w:rPr>
      </w:pPr>
      <w:r>
        <w:rPr>
          <w:rFonts w:hint="eastAsia"/>
        </w:rPr>
        <w:t xml:space="preserve">Musaazi J(3), Adakun S(5), Kimuli I(1), Mayanja-Kizza H(1), Ssengooba W(2), </w:t>
      </w:r>
    </w:p>
    <w:p w14:paraId="408280FC">
      <w:pPr>
        <w:pStyle w:val="2"/>
        <w:rPr>
          <w:rFonts w:hint="eastAsia"/>
        </w:rPr>
      </w:pPr>
      <w:r>
        <w:rPr>
          <w:rFonts w:hint="eastAsia"/>
        </w:rPr>
        <w:t>Worodria W(5).</w:t>
      </w:r>
    </w:p>
    <w:p w14:paraId="438E9B52">
      <w:pPr>
        <w:pStyle w:val="2"/>
        <w:rPr>
          <w:rFonts w:hint="eastAsia"/>
        </w:rPr>
      </w:pPr>
    </w:p>
    <w:p w14:paraId="6BBB08AB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C73CEC4">
      <w:pPr>
        <w:pStyle w:val="2"/>
        <w:rPr>
          <w:rFonts w:hint="eastAsia"/>
        </w:rPr>
      </w:pPr>
      <w:r>
        <w:rPr>
          <w:rFonts w:hint="eastAsia"/>
        </w:rPr>
        <w:t xml:space="preserve">(1)Department of Internal Medicine, Makerere University School of Medicine, </w:t>
      </w:r>
    </w:p>
    <w:p w14:paraId="00B5DE53">
      <w:pPr>
        <w:pStyle w:val="2"/>
        <w:rPr>
          <w:rFonts w:hint="eastAsia"/>
        </w:rPr>
      </w:pPr>
      <w:r>
        <w:rPr>
          <w:rFonts w:hint="eastAsia"/>
        </w:rPr>
        <w:t>Kampala, Uganda.</w:t>
      </w:r>
    </w:p>
    <w:p w14:paraId="6527F974">
      <w:pPr>
        <w:pStyle w:val="2"/>
        <w:rPr>
          <w:rFonts w:hint="eastAsia"/>
        </w:rPr>
      </w:pPr>
      <w:r>
        <w:rPr>
          <w:rFonts w:hint="eastAsia"/>
        </w:rPr>
        <w:t xml:space="preserve">(2)Makerere University Biomedical Research Centre, Makerere University College </w:t>
      </w:r>
    </w:p>
    <w:p w14:paraId="66A177FD">
      <w:pPr>
        <w:pStyle w:val="2"/>
        <w:rPr>
          <w:rFonts w:hint="eastAsia"/>
        </w:rPr>
      </w:pPr>
      <w:r>
        <w:rPr>
          <w:rFonts w:hint="eastAsia"/>
        </w:rPr>
        <w:t>of Health Sciences, Kampala, Uganda.</w:t>
      </w:r>
    </w:p>
    <w:p w14:paraId="790561B2">
      <w:pPr>
        <w:pStyle w:val="2"/>
        <w:rPr>
          <w:rFonts w:hint="eastAsia"/>
        </w:rPr>
      </w:pPr>
      <w:r>
        <w:rPr>
          <w:rFonts w:hint="eastAsia"/>
        </w:rPr>
        <w:t>(3)Infectious Disease Institute, Makerere University, Kampala, Uganda.</w:t>
      </w:r>
    </w:p>
    <w:p w14:paraId="554AC58B">
      <w:pPr>
        <w:pStyle w:val="2"/>
        <w:rPr>
          <w:rFonts w:hint="eastAsia"/>
        </w:rPr>
      </w:pPr>
      <w:r>
        <w:rPr>
          <w:rFonts w:hint="eastAsia"/>
        </w:rPr>
        <w:t>(4)Pandya Memorial Hospital, Mombasa, Kenya.</w:t>
      </w:r>
    </w:p>
    <w:p w14:paraId="51CFC1EB">
      <w:pPr>
        <w:pStyle w:val="2"/>
        <w:rPr>
          <w:rFonts w:hint="eastAsia"/>
        </w:rPr>
      </w:pPr>
      <w:r>
        <w:rPr>
          <w:rFonts w:hint="eastAsia"/>
        </w:rPr>
        <w:t>(5)Pulmonology unit, Mulago National Referral Hospital, Kampala, Uganda.</w:t>
      </w:r>
    </w:p>
    <w:p w14:paraId="7549C8A9">
      <w:pPr>
        <w:pStyle w:val="2"/>
        <w:rPr>
          <w:rFonts w:hint="eastAsia"/>
        </w:rPr>
      </w:pPr>
    </w:p>
    <w:p w14:paraId="7113BE1F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Timely treatment initiation is central to drug-resistant </w:t>
      </w:r>
    </w:p>
    <w:p w14:paraId="414D4C28">
      <w:pPr>
        <w:pStyle w:val="2"/>
        <w:rPr>
          <w:rFonts w:hint="eastAsia"/>
        </w:rPr>
      </w:pPr>
      <w:r>
        <w:rPr>
          <w:rFonts w:hint="eastAsia"/>
        </w:rPr>
        <w:t xml:space="preserve">tuberculosis (DR-TB) control. Uganda's National TB and Leprosy Programme </w:t>
      </w:r>
    </w:p>
    <w:p w14:paraId="7B0B0974">
      <w:pPr>
        <w:pStyle w:val="2"/>
        <w:rPr>
          <w:rFonts w:hint="eastAsia"/>
        </w:rPr>
      </w:pPr>
      <w:r>
        <w:rPr>
          <w:rFonts w:hint="eastAsia"/>
        </w:rPr>
        <w:t xml:space="preserve">recommends DR-TB treatment initiation within seven (Okethwangu et al., 2019 (7)) </w:t>
      </w:r>
    </w:p>
    <w:p w14:paraId="3A7FB14A">
      <w:pPr>
        <w:pStyle w:val="2"/>
        <w:rPr>
          <w:rFonts w:hint="eastAsia"/>
        </w:rPr>
      </w:pPr>
      <w:r>
        <w:rPr>
          <w:rFonts w:hint="eastAsia"/>
        </w:rPr>
        <w:t xml:space="preserve">days of rifampicin-resistant TB (RR-TB) diagnosis, but the extent of delay and </w:t>
      </w:r>
    </w:p>
    <w:p w14:paraId="27E16C4F">
      <w:pPr>
        <w:pStyle w:val="2"/>
        <w:rPr>
          <w:rFonts w:hint="eastAsia"/>
        </w:rPr>
      </w:pPr>
      <w:r>
        <w:rPr>
          <w:rFonts w:hint="eastAsia"/>
        </w:rPr>
        <w:t xml:space="preserve">its drivers are poorly documented at tertiary hospitals in Uganda. This study </w:t>
      </w:r>
    </w:p>
    <w:p w14:paraId="4AEB7FD1">
      <w:pPr>
        <w:pStyle w:val="2"/>
        <w:rPr>
          <w:rFonts w:hint="eastAsia"/>
        </w:rPr>
      </w:pPr>
      <w:r>
        <w:rPr>
          <w:rFonts w:hint="eastAsia"/>
        </w:rPr>
        <w:t xml:space="preserve">aimed to determine the prevalence and drivers of DR-TB treatment initiation </w:t>
      </w:r>
    </w:p>
    <w:p w14:paraId="2DC692CB">
      <w:pPr>
        <w:pStyle w:val="2"/>
        <w:rPr>
          <w:rFonts w:hint="eastAsia"/>
        </w:rPr>
      </w:pPr>
      <w:r>
        <w:rPr>
          <w:rFonts w:hint="eastAsia"/>
        </w:rPr>
        <w:t>delay at three tertiary hospitals in Uganda.</w:t>
      </w:r>
    </w:p>
    <w:p w14:paraId="169851A6">
      <w:pPr>
        <w:pStyle w:val="2"/>
        <w:rPr>
          <w:rFonts w:hint="eastAsia"/>
        </w:rPr>
      </w:pPr>
      <w:r>
        <w:rPr>
          <w:rFonts w:hint="eastAsia"/>
          <w:b/>
          <w:bCs/>
        </w:rPr>
        <w:t>METHODS:</w:t>
      </w:r>
      <w:r>
        <w:rPr>
          <w:rFonts w:hint="eastAsia"/>
        </w:rPr>
        <w:t xml:space="preserve"> A mixed-methods cross-sectional study conducted at Mulago National </w:t>
      </w:r>
    </w:p>
    <w:p w14:paraId="529CB86C">
      <w:pPr>
        <w:pStyle w:val="2"/>
        <w:rPr>
          <w:rFonts w:hint="eastAsia"/>
        </w:rPr>
      </w:pPr>
      <w:r>
        <w:rPr>
          <w:rFonts w:hint="eastAsia"/>
        </w:rPr>
        <w:t xml:space="preserve">Referral Hospital (NRH), Hoima Regional Referral Hospital (RRH), and Arua RRH </w:t>
      </w:r>
    </w:p>
    <w:p w14:paraId="0D6CC873">
      <w:pPr>
        <w:pStyle w:val="2"/>
        <w:rPr>
          <w:rFonts w:hint="eastAsia"/>
        </w:rPr>
      </w:pPr>
      <w:r>
        <w:rPr>
          <w:rFonts w:hint="eastAsia"/>
        </w:rPr>
        <w:t xml:space="preserve">(December 2018-March 2019), enrolling 203 patients with Xpert MTB/RIF-confirmed </w:t>
      </w:r>
    </w:p>
    <w:p w14:paraId="7B6F06E8">
      <w:pPr>
        <w:pStyle w:val="2"/>
        <w:rPr>
          <w:rFonts w:hint="eastAsia"/>
        </w:rPr>
      </w:pPr>
      <w:r>
        <w:rPr>
          <w:rFonts w:hint="eastAsia"/>
        </w:rPr>
        <w:t xml:space="preserve">RR-TB who had started DR-TB treatment. Data was from MDR-TB registers, patient </w:t>
      </w:r>
    </w:p>
    <w:p w14:paraId="609E74C4">
      <w:pPr>
        <w:pStyle w:val="2"/>
        <w:rPr>
          <w:rFonts w:hint="eastAsia"/>
        </w:rPr>
      </w:pPr>
      <w:r>
        <w:rPr>
          <w:rFonts w:hint="eastAsia"/>
        </w:rPr>
        <w:t xml:space="preserve">charts, structured questionnaires, and 15 key informant interviews with </w:t>
      </w:r>
    </w:p>
    <w:p w14:paraId="0DE66414">
      <w:pPr>
        <w:pStyle w:val="2"/>
        <w:rPr>
          <w:rFonts w:hint="eastAsia"/>
        </w:rPr>
      </w:pPr>
      <w:r>
        <w:rPr>
          <w:rFonts w:hint="eastAsia"/>
        </w:rPr>
        <w:t xml:space="preserve">healthcare workers. Delay was defined as treatment initiation more than seven </w:t>
      </w:r>
    </w:p>
    <w:p w14:paraId="02EDA278">
      <w:pPr>
        <w:pStyle w:val="2"/>
        <w:rPr>
          <w:rFonts w:hint="eastAsia"/>
        </w:rPr>
      </w:pPr>
      <w:r>
        <w:rPr>
          <w:rFonts w:hint="eastAsia"/>
        </w:rPr>
        <w:t xml:space="preserve">(Okethwangu et al., 2019 (7)) days after diagnosis. Poisson regression with </w:t>
      </w:r>
    </w:p>
    <w:p w14:paraId="7C21C045">
      <w:pPr>
        <w:pStyle w:val="2"/>
        <w:rPr>
          <w:rFonts w:hint="eastAsia"/>
        </w:rPr>
      </w:pPr>
      <w:r>
        <w:rPr>
          <w:rFonts w:hint="eastAsia"/>
        </w:rPr>
        <w:t>robust standard errors identified associated factors for delay.</w:t>
      </w:r>
    </w:p>
    <w:p w14:paraId="3110581A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DR-TB treatment delay occurred in 65.5% (133/203) of patients overall </w:t>
      </w:r>
    </w:p>
    <w:p w14:paraId="027BFBCD">
      <w:pPr>
        <w:pStyle w:val="2"/>
        <w:rPr>
          <w:rFonts w:hint="eastAsia"/>
        </w:rPr>
      </w:pPr>
      <w:r>
        <w:rPr>
          <w:rFonts w:hint="eastAsia"/>
        </w:rPr>
        <w:t xml:space="preserve">(73.6% Mulago, 53.9% Hoima, 48.6% Arua), with median diagnosis-to-treatment time </w:t>
      </w:r>
    </w:p>
    <w:p w14:paraId="370CDCF0">
      <w:pPr>
        <w:pStyle w:val="2"/>
        <w:rPr>
          <w:rFonts w:hint="eastAsia"/>
        </w:rPr>
      </w:pPr>
      <w:r>
        <w:rPr>
          <w:rFonts w:hint="eastAsia"/>
        </w:rPr>
        <w:t xml:space="preserve">of ten (Tefera et al., 2019 (10)) days (IQR 6-20). HIV-positive status (aRR </w:t>
      </w:r>
    </w:p>
    <w:p w14:paraId="15D72201">
      <w:pPr>
        <w:pStyle w:val="2"/>
        <w:rPr>
          <w:rFonts w:hint="eastAsia"/>
        </w:rPr>
      </w:pPr>
      <w:r>
        <w:rPr>
          <w:rFonts w:hint="eastAsia"/>
        </w:rPr>
        <w:t xml:space="preserve">1.48), female sex (aRR 1.31), and age ≥ 35 years (aRR 1.32) were independently </w:t>
      </w:r>
    </w:p>
    <w:p w14:paraId="01670977">
      <w:pPr>
        <w:pStyle w:val="2"/>
        <w:rPr>
          <w:rFonts w:hint="eastAsia"/>
        </w:rPr>
      </w:pPr>
      <w:r>
        <w:rPr>
          <w:rFonts w:hint="eastAsia"/>
        </w:rPr>
        <w:t xml:space="preserve">associated with delay at the diagnostic level, while MDR-TB awareness was </w:t>
      </w:r>
    </w:p>
    <w:p w14:paraId="58EFC8AB">
      <w:pPr>
        <w:pStyle w:val="2"/>
        <w:rPr>
          <w:rFonts w:hint="eastAsia"/>
        </w:rPr>
      </w:pPr>
      <w:r>
        <w:rPr>
          <w:rFonts w:hint="eastAsia"/>
        </w:rPr>
        <w:t xml:space="preserve">protective (aRR 0.71) and care at Mulago NRH increased delay risk (aRR 1.65). </w:t>
      </w:r>
    </w:p>
    <w:p w14:paraId="4F365C2D">
      <w:pPr>
        <w:pStyle w:val="2"/>
        <w:rPr>
          <w:rFonts w:hint="eastAsia"/>
        </w:rPr>
      </w:pPr>
      <w:r>
        <w:rPr>
          <w:rFonts w:hint="eastAsia"/>
        </w:rPr>
        <w:t xml:space="preserve">Qualitative findings pointed to delayed result notification, incomplete </w:t>
      </w:r>
    </w:p>
    <w:p w14:paraId="7DE58057">
      <w:pPr>
        <w:pStyle w:val="2"/>
        <w:rPr>
          <w:rFonts w:hint="eastAsia"/>
        </w:rPr>
      </w:pPr>
      <w:r>
        <w:rPr>
          <w:rFonts w:hint="eastAsia"/>
        </w:rPr>
        <w:t xml:space="preserve">laboratory forms, missing baseline investigation equipment, and lack of </w:t>
      </w:r>
    </w:p>
    <w:p w14:paraId="05235C92">
      <w:pPr>
        <w:pStyle w:val="2"/>
        <w:rPr>
          <w:rFonts w:hint="eastAsia"/>
        </w:rPr>
      </w:pPr>
      <w:r>
        <w:rPr>
          <w:rFonts w:hint="eastAsia"/>
        </w:rPr>
        <w:t>transport funds as delay drivers.</w:t>
      </w:r>
    </w:p>
    <w:p w14:paraId="61CF7B8C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Nearly two-thirds of DR-TB patients exceed the national seven </w:t>
      </w:r>
    </w:p>
    <w:p w14:paraId="500BF2CB">
      <w:pPr>
        <w:pStyle w:val="2"/>
        <w:rPr>
          <w:rFonts w:hint="eastAsia"/>
        </w:rPr>
      </w:pPr>
      <w:r>
        <w:rPr>
          <w:rFonts w:hint="eastAsia"/>
        </w:rPr>
        <w:t xml:space="preserve">(7)-day treatment initiation target, mainly affecting HIV-positives, women, </w:t>
      </w:r>
    </w:p>
    <w:p w14:paraId="01161468">
      <w:pPr>
        <w:pStyle w:val="2"/>
        <w:rPr>
          <w:rFonts w:hint="eastAsia"/>
        </w:rPr>
      </w:pPr>
      <w:r>
        <w:rPr>
          <w:rFonts w:hint="eastAsia"/>
        </w:rPr>
        <w:t xml:space="preserve">older adults, and those at the NRH. Improved result notification, patient </w:t>
      </w:r>
    </w:p>
    <w:p w14:paraId="325165C6">
      <w:pPr>
        <w:pStyle w:val="2"/>
        <w:rPr>
          <w:rFonts w:hint="eastAsia"/>
        </w:rPr>
      </w:pPr>
      <w:r>
        <w:rPr>
          <w:rFonts w:hint="eastAsia"/>
        </w:rPr>
        <w:t xml:space="preserve">tracing, decentralised diagnostics, and community awareness campaigns are needed </w:t>
      </w:r>
    </w:p>
    <w:p w14:paraId="3473F1EE">
      <w:pPr>
        <w:pStyle w:val="2"/>
        <w:rPr>
          <w:rFonts w:hint="eastAsia"/>
        </w:rPr>
      </w:pPr>
      <w:r>
        <w:rPr>
          <w:rFonts w:hint="eastAsia"/>
        </w:rPr>
        <w:t>to reduce delays.</w:t>
      </w:r>
    </w:p>
    <w:p w14:paraId="34ADF10F">
      <w:pPr>
        <w:pStyle w:val="2"/>
        <w:rPr>
          <w:rFonts w:hint="eastAsia"/>
        </w:rPr>
      </w:pPr>
    </w:p>
    <w:p w14:paraId="0833A65D">
      <w:pPr>
        <w:pStyle w:val="2"/>
        <w:rPr>
          <w:rFonts w:hint="eastAsia"/>
        </w:rPr>
      </w:pPr>
      <w:r>
        <w:rPr>
          <w:rFonts w:hint="eastAsia"/>
        </w:rPr>
        <w:t>© 2026 The Authors.</w:t>
      </w:r>
    </w:p>
    <w:p w14:paraId="23AF4269">
      <w:pPr>
        <w:pStyle w:val="2"/>
        <w:rPr>
          <w:rFonts w:hint="eastAsia"/>
        </w:rPr>
      </w:pPr>
    </w:p>
    <w:p w14:paraId="4F87BFF4">
      <w:pPr>
        <w:pStyle w:val="2"/>
        <w:rPr>
          <w:rFonts w:hint="eastAsia"/>
        </w:rPr>
      </w:pPr>
      <w:r>
        <w:rPr>
          <w:rFonts w:hint="eastAsia"/>
        </w:rPr>
        <w:t>DOI: 10.1016/j.jctube.2026.100646</w:t>
      </w:r>
    </w:p>
    <w:p w14:paraId="25267548">
      <w:pPr>
        <w:pStyle w:val="2"/>
        <w:rPr>
          <w:rFonts w:hint="eastAsia"/>
        </w:rPr>
      </w:pPr>
      <w:r>
        <w:rPr>
          <w:rFonts w:hint="eastAsia"/>
        </w:rPr>
        <w:t>PMCID: PMC13654042</w:t>
      </w:r>
    </w:p>
    <w:p w14:paraId="6902ADE0">
      <w:pPr>
        <w:pStyle w:val="2"/>
        <w:rPr>
          <w:rFonts w:hint="eastAsia"/>
        </w:rPr>
      </w:pPr>
      <w:r>
        <w:rPr>
          <w:rFonts w:hint="eastAsia"/>
        </w:rPr>
        <w:t>PMID: 42861069</w:t>
      </w:r>
    </w:p>
    <w:p w14:paraId="329647C1">
      <w:pPr>
        <w:pStyle w:val="2"/>
        <w:rPr>
          <w:rFonts w:hint="eastAsia"/>
        </w:rPr>
      </w:pPr>
    </w:p>
    <w:p w14:paraId="59ED667C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97</w:t>
      </w:r>
      <w:r>
        <w:rPr>
          <w:rFonts w:hint="eastAsia"/>
          <w:b/>
          <w:bCs/>
          <w:color w:val="FF0000"/>
        </w:rPr>
        <w:t xml:space="preserve">. J Clin Tuberc Other Mycobact Dis. 2026 Sep 29;45:100647. doi: </w:t>
      </w:r>
    </w:p>
    <w:p w14:paraId="655AE4B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10.1016/j.jctube.2026.100647. eCollection 2026 Dec.</w:t>
      </w:r>
    </w:p>
    <w:p w14:paraId="3A478B23">
      <w:pPr>
        <w:pStyle w:val="2"/>
        <w:rPr>
          <w:rFonts w:hint="eastAsia"/>
        </w:rPr>
      </w:pPr>
    </w:p>
    <w:p w14:paraId="2BDC58FF">
      <w:pPr>
        <w:pStyle w:val="2"/>
        <w:rPr>
          <w:rFonts w:hint="eastAsia"/>
        </w:rPr>
      </w:pPr>
      <w:r>
        <w:rPr>
          <w:rFonts w:hint="eastAsia"/>
        </w:rPr>
        <w:t>Prevalence and predictors of HIV/TB co-infection in Sub-Saharan Africa.</w:t>
      </w:r>
    </w:p>
    <w:p w14:paraId="7E7549A7">
      <w:pPr>
        <w:pStyle w:val="2"/>
        <w:rPr>
          <w:rFonts w:hint="eastAsia"/>
        </w:rPr>
      </w:pPr>
    </w:p>
    <w:p w14:paraId="10506228">
      <w:pPr>
        <w:pStyle w:val="2"/>
        <w:rPr>
          <w:rFonts w:hint="eastAsia"/>
        </w:rPr>
      </w:pPr>
      <w:r>
        <w:rPr>
          <w:rFonts w:hint="eastAsia"/>
        </w:rPr>
        <w:t>Elbur AI(1), Gandla S(2), Nakka R(2), Khan R(3), Ghebremichael M(4).</w:t>
      </w:r>
    </w:p>
    <w:p w14:paraId="17B9F9F1">
      <w:pPr>
        <w:pStyle w:val="2"/>
        <w:rPr>
          <w:rFonts w:hint="eastAsia"/>
        </w:rPr>
      </w:pPr>
    </w:p>
    <w:p w14:paraId="77CC20E2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014C5321">
      <w:pPr>
        <w:pStyle w:val="2"/>
        <w:rPr>
          <w:rFonts w:hint="eastAsia"/>
        </w:rPr>
      </w:pPr>
      <w:r>
        <w:rPr>
          <w:rFonts w:hint="eastAsia"/>
        </w:rPr>
        <w:t xml:space="preserve">(1)Division of Global Health Equity, Brigham and Women's Hospital, Boston, MA, </w:t>
      </w:r>
    </w:p>
    <w:p w14:paraId="360D1B17">
      <w:pPr>
        <w:pStyle w:val="2"/>
        <w:rPr>
          <w:rFonts w:hint="eastAsia"/>
        </w:rPr>
      </w:pPr>
      <w:r>
        <w:rPr>
          <w:rFonts w:hint="eastAsia"/>
        </w:rPr>
        <w:t>USA.</w:t>
      </w:r>
    </w:p>
    <w:p w14:paraId="13C5545B">
      <w:pPr>
        <w:pStyle w:val="2"/>
        <w:rPr>
          <w:rFonts w:hint="eastAsia"/>
        </w:rPr>
      </w:pPr>
      <w:r>
        <w:rPr>
          <w:rFonts w:hint="eastAsia"/>
        </w:rPr>
        <w:t>(2)Ragon Institute of MGH, MIT, and Harvard, Cambridge, MA, USA.</w:t>
      </w:r>
    </w:p>
    <w:p w14:paraId="1C999B65">
      <w:pPr>
        <w:pStyle w:val="2"/>
        <w:rPr>
          <w:rFonts w:hint="eastAsia"/>
        </w:rPr>
      </w:pPr>
      <w:r>
        <w:rPr>
          <w:rFonts w:hint="eastAsia"/>
        </w:rPr>
        <w:t xml:space="preserve">(3)Ragon Institute of MGH, MIT, and Harvard, Cambridge, &amp; Harvard Medical </w:t>
      </w:r>
    </w:p>
    <w:p w14:paraId="1F2B8AD5">
      <w:pPr>
        <w:pStyle w:val="2"/>
        <w:rPr>
          <w:rFonts w:hint="eastAsia"/>
        </w:rPr>
      </w:pPr>
      <w:r>
        <w:rPr>
          <w:rFonts w:hint="eastAsia"/>
        </w:rPr>
        <w:t>School, Cambridge, MA, USA.</w:t>
      </w:r>
    </w:p>
    <w:p w14:paraId="63A345FE">
      <w:pPr>
        <w:pStyle w:val="2"/>
        <w:rPr>
          <w:rFonts w:hint="eastAsia"/>
        </w:rPr>
      </w:pPr>
      <w:r>
        <w:rPr>
          <w:rFonts w:hint="eastAsia"/>
        </w:rPr>
        <w:t xml:space="preserve">(4)Ragon Institute of MGH, MIT, and Harvard, Cambridge, &amp; Harvard Medical </w:t>
      </w:r>
    </w:p>
    <w:p w14:paraId="159B3357">
      <w:pPr>
        <w:pStyle w:val="2"/>
        <w:rPr>
          <w:rFonts w:hint="eastAsia"/>
        </w:rPr>
      </w:pPr>
      <w:r>
        <w:rPr>
          <w:rFonts w:hint="eastAsia"/>
        </w:rPr>
        <w:t>School, and MGH Biostatistics Center, Boston, MA, USA.</w:t>
      </w:r>
    </w:p>
    <w:p w14:paraId="4137E0CB">
      <w:pPr>
        <w:pStyle w:val="2"/>
        <w:rPr>
          <w:rFonts w:hint="eastAsia"/>
        </w:rPr>
      </w:pPr>
    </w:p>
    <w:p w14:paraId="43AE98FB">
      <w:pPr>
        <w:pStyle w:val="2"/>
        <w:rPr>
          <w:rFonts w:hint="eastAsia"/>
        </w:rPr>
      </w:pPr>
      <w:r>
        <w:rPr>
          <w:rFonts w:hint="eastAsia"/>
          <w:b/>
          <w:bCs/>
        </w:rPr>
        <w:t xml:space="preserve">BACKGROUND: </w:t>
      </w:r>
      <w:r>
        <w:rPr>
          <w:rFonts w:hint="eastAsia"/>
        </w:rPr>
        <w:t xml:space="preserve">In Sub-Saharan Africa (SSA), tuberculosis is a leading cause of </w:t>
      </w:r>
    </w:p>
    <w:p w14:paraId="41303A50">
      <w:pPr>
        <w:pStyle w:val="2"/>
        <w:rPr>
          <w:rFonts w:hint="eastAsia"/>
        </w:rPr>
      </w:pPr>
      <w:r>
        <w:rPr>
          <w:rFonts w:hint="eastAsia"/>
        </w:rPr>
        <w:t xml:space="preserve">morbidity and mortality among people with HIV (PWH). This study aimed to </w:t>
      </w:r>
    </w:p>
    <w:p w14:paraId="003C3144">
      <w:pPr>
        <w:pStyle w:val="2"/>
        <w:rPr>
          <w:rFonts w:hint="eastAsia"/>
        </w:rPr>
      </w:pPr>
      <w:r>
        <w:rPr>
          <w:rFonts w:hint="eastAsia"/>
        </w:rPr>
        <w:t xml:space="preserve">determine the prevalence of self-reported TB disease and identify the </w:t>
      </w:r>
    </w:p>
    <w:p w14:paraId="1B1DFDEB">
      <w:pPr>
        <w:pStyle w:val="2"/>
        <w:rPr>
          <w:rFonts w:hint="eastAsia"/>
        </w:rPr>
      </w:pPr>
      <w:r>
        <w:rPr>
          <w:rFonts w:hint="eastAsia"/>
        </w:rPr>
        <w:t xml:space="preserve">demographic, socioeconomic, and clinical factors associated with it among PWH in </w:t>
      </w:r>
    </w:p>
    <w:p w14:paraId="4CDB59B8">
      <w:pPr>
        <w:pStyle w:val="2"/>
        <w:rPr>
          <w:rFonts w:hint="eastAsia"/>
        </w:rPr>
      </w:pPr>
      <w:r>
        <w:rPr>
          <w:rFonts w:hint="eastAsia"/>
        </w:rPr>
        <w:t>SSA.</w:t>
      </w:r>
    </w:p>
    <w:p w14:paraId="7291F427">
      <w:pPr>
        <w:pStyle w:val="2"/>
        <w:rPr>
          <w:rFonts w:hint="eastAsia"/>
        </w:rPr>
      </w:pPr>
      <w:r>
        <w:rPr>
          <w:rFonts w:hint="eastAsia"/>
          <w:b/>
          <w:bCs/>
        </w:rPr>
        <w:t>METHODS</w:t>
      </w:r>
      <w:r>
        <w:rPr>
          <w:rFonts w:hint="eastAsia"/>
        </w:rPr>
        <w:t xml:space="preserve">: We conducted a cross-sectional secondary analysis of data from the </w:t>
      </w:r>
    </w:p>
    <w:p w14:paraId="384370C1">
      <w:pPr>
        <w:pStyle w:val="2"/>
        <w:rPr>
          <w:rFonts w:hint="eastAsia"/>
        </w:rPr>
      </w:pPr>
      <w:r>
        <w:rPr>
          <w:rFonts w:hint="eastAsia"/>
        </w:rPr>
        <w:t xml:space="preserve">Population-based HIV Impact Assessment (PHIA) surveys (2015-2019), including PWH </w:t>
      </w:r>
    </w:p>
    <w:p w14:paraId="26A6BFA9">
      <w:pPr>
        <w:pStyle w:val="2"/>
        <w:rPr>
          <w:rFonts w:hint="eastAsia"/>
        </w:rPr>
      </w:pPr>
      <w:r>
        <w:rPr>
          <w:rFonts w:hint="eastAsia"/>
        </w:rPr>
        <w:t xml:space="preserve">aged ≥15 years from 13 countries in the SSA region. TB status was self-reported, </w:t>
      </w:r>
    </w:p>
    <w:p w14:paraId="1AD30220">
      <w:pPr>
        <w:pStyle w:val="2"/>
        <w:rPr>
          <w:rFonts w:hint="eastAsia"/>
        </w:rPr>
      </w:pPr>
      <w:r>
        <w:rPr>
          <w:rFonts w:hint="eastAsia"/>
        </w:rPr>
        <w:t xml:space="preserve">and standardized questionnaires and biomarker data provided demographic, </w:t>
      </w:r>
    </w:p>
    <w:p w14:paraId="467E8BDC">
      <w:pPr>
        <w:pStyle w:val="2"/>
        <w:rPr>
          <w:rFonts w:hint="eastAsia"/>
        </w:rPr>
      </w:pPr>
      <w:r>
        <w:rPr>
          <w:rFonts w:hint="eastAsia"/>
        </w:rPr>
        <w:t xml:space="preserve">socioeconomic, and clinical covariates. Logistic regression models were applied </w:t>
      </w:r>
    </w:p>
    <w:p w14:paraId="697489AE">
      <w:pPr>
        <w:pStyle w:val="2"/>
        <w:rPr>
          <w:rFonts w:hint="eastAsia"/>
        </w:rPr>
      </w:pPr>
      <w:r>
        <w:rPr>
          <w:rFonts w:hint="eastAsia"/>
        </w:rPr>
        <w:t xml:space="preserve">using survey weights and jackknife variance estimation to identify predictors of </w:t>
      </w:r>
    </w:p>
    <w:p w14:paraId="0ECE1698">
      <w:pPr>
        <w:pStyle w:val="2"/>
        <w:rPr>
          <w:rFonts w:hint="eastAsia"/>
        </w:rPr>
      </w:pPr>
      <w:r>
        <w:rPr>
          <w:rFonts w:hint="eastAsia"/>
        </w:rPr>
        <w:t>HIV/TB co-infection.</w:t>
      </w:r>
    </w:p>
    <w:p w14:paraId="4DDA17CD">
      <w:pPr>
        <w:pStyle w:val="2"/>
        <w:rPr>
          <w:rFonts w:hint="eastAsia"/>
        </w:rPr>
      </w:pPr>
      <w:r>
        <w:rPr>
          <w:rFonts w:hint="eastAsia"/>
          <w:b/>
          <w:bCs/>
        </w:rPr>
        <w:t>RESULTS:</w:t>
      </w:r>
      <w:r>
        <w:rPr>
          <w:rFonts w:hint="eastAsia"/>
        </w:rPr>
        <w:t xml:space="preserve"> Among 11,663 participants, 31.5% were people with TB. Co-infection </w:t>
      </w:r>
    </w:p>
    <w:p w14:paraId="2C427D09">
      <w:pPr>
        <w:pStyle w:val="2"/>
        <w:rPr>
          <w:rFonts w:hint="eastAsia"/>
        </w:rPr>
      </w:pPr>
      <w:r>
        <w:rPr>
          <w:rFonts w:hint="eastAsia"/>
        </w:rPr>
        <w:t xml:space="preserve">prevalence varied widely by country, ranging from 7.5% in Cameroon to 59.5% in </w:t>
      </w:r>
    </w:p>
    <w:p w14:paraId="4BB0E5DB">
      <w:pPr>
        <w:pStyle w:val="2"/>
        <w:rPr>
          <w:rFonts w:hint="eastAsia"/>
        </w:rPr>
      </w:pPr>
      <w:r>
        <w:rPr>
          <w:rFonts w:hint="eastAsia"/>
        </w:rPr>
        <w:t xml:space="preserve">Eswatini, with the highest prevalence observed in Southern African countries. </w:t>
      </w:r>
    </w:p>
    <w:p w14:paraId="55CF6BF1">
      <w:pPr>
        <w:pStyle w:val="2"/>
        <w:rPr>
          <w:rFonts w:hint="eastAsia"/>
        </w:rPr>
      </w:pPr>
      <w:r>
        <w:rPr>
          <w:rFonts w:hint="eastAsia"/>
        </w:rPr>
        <w:t xml:space="preserve">Predictors of increased TB risk include older age [Adjusted (aOR): 1.01; 95% CI: </w:t>
      </w:r>
    </w:p>
    <w:p w14:paraId="6B504DD2">
      <w:pPr>
        <w:pStyle w:val="2"/>
        <w:rPr>
          <w:rFonts w:hint="eastAsia"/>
        </w:rPr>
      </w:pPr>
      <w:r>
        <w:rPr>
          <w:rFonts w:hint="eastAsia"/>
        </w:rPr>
        <w:t xml:space="preserve">1.00-1.02; p = 0.012], higher wealth quintile (aOR: 1.09; 95% CI: 1.02-1.16; </w:t>
      </w:r>
    </w:p>
    <w:p w14:paraId="01939502">
      <w:pPr>
        <w:pStyle w:val="2"/>
        <w:rPr>
          <w:rFonts w:hint="eastAsia"/>
        </w:rPr>
      </w:pPr>
      <w:r>
        <w:rPr>
          <w:rFonts w:hint="eastAsia"/>
        </w:rPr>
        <w:t xml:space="preserve">p &lt; 0.01), and longer ART duration (aOR: 1.41; 95% CI: 1.30-1.52; p &lt; 0.001), </w:t>
      </w:r>
    </w:p>
    <w:p w14:paraId="7699DD2C">
      <w:pPr>
        <w:pStyle w:val="2"/>
        <w:rPr>
          <w:rFonts w:hint="eastAsia"/>
        </w:rPr>
      </w:pPr>
      <w:r>
        <w:rPr>
          <w:rFonts w:hint="eastAsia"/>
        </w:rPr>
        <w:t xml:space="preserve">while protective factors include female sex (aOR: 0.6; 95% CI: 0.51-0.70; </w:t>
      </w:r>
    </w:p>
    <w:p w14:paraId="2A6BD17A">
      <w:pPr>
        <w:pStyle w:val="2"/>
        <w:rPr>
          <w:rFonts w:hint="eastAsia"/>
        </w:rPr>
      </w:pPr>
      <w:r>
        <w:rPr>
          <w:rFonts w:hint="eastAsia"/>
        </w:rPr>
        <w:t xml:space="preserve">p &lt; 0.001), being married or cohabitating (aOR: 0.81; 95% CI: 0.70-0.96; </w:t>
      </w:r>
    </w:p>
    <w:p w14:paraId="0FBA3D9A">
      <w:pPr>
        <w:pStyle w:val="2"/>
        <w:rPr>
          <w:rFonts w:hint="eastAsia"/>
        </w:rPr>
      </w:pPr>
      <w:r>
        <w:rPr>
          <w:rFonts w:hint="eastAsia"/>
        </w:rPr>
        <w:t xml:space="preserve">p = 0.01), urban residence (aOR: 0.82; 95% CI: 0.69-0.98; p = 0.028), and a </w:t>
      </w:r>
    </w:p>
    <w:p w14:paraId="49C1BC83">
      <w:pPr>
        <w:pStyle w:val="2"/>
        <w:rPr>
          <w:rFonts w:hint="eastAsia"/>
        </w:rPr>
      </w:pPr>
      <w:r>
        <w:rPr>
          <w:rFonts w:hint="eastAsia"/>
        </w:rPr>
        <w:t>higher CD4-cell count (aOR: 0.999; 95% CI: 0.998-0.9995; p &lt; 0.001).</w:t>
      </w:r>
    </w:p>
    <w:p w14:paraId="564A7846">
      <w:pPr>
        <w:pStyle w:val="2"/>
        <w:rPr>
          <w:rFonts w:hint="eastAsia"/>
        </w:rPr>
      </w:pPr>
      <w:r>
        <w:rPr>
          <w:rFonts w:hint="eastAsia"/>
          <w:b/>
          <w:bCs/>
        </w:rPr>
        <w:t>CONCLUSIONS:</w:t>
      </w:r>
      <w:r>
        <w:rPr>
          <w:rFonts w:hint="eastAsia"/>
        </w:rPr>
        <w:t xml:space="preserve"> HIV/TB co-infection remains highly prevalent in SSA, shaped by </w:t>
      </w:r>
    </w:p>
    <w:p w14:paraId="2171D797">
      <w:pPr>
        <w:pStyle w:val="2"/>
        <w:rPr>
          <w:rFonts w:hint="eastAsia"/>
        </w:rPr>
      </w:pPr>
      <w:r>
        <w:rPr>
          <w:rFonts w:hint="eastAsia"/>
        </w:rPr>
        <w:t xml:space="preserve">demographic, socioeconomic, and clinical factors. Tailored HIV/TB interventions </w:t>
      </w:r>
    </w:p>
    <w:p w14:paraId="287EE17E">
      <w:pPr>
        <w:pStyle w:val="2"/>
        <w:rPr>
          <w:rFonts w:hint="eastAsia"/>
        </w:rPr>
      </w:pPr>
      <w:r>
        <w:rPr>
          <w:rFonts w:hint="eastAsia"/>
        </w:rPr>
        <w:t xml:space="preserve">are urgently needed in SSA, prioritizing Southern and Eastern regions and </w:t>
      </w:r>
    </w:p>
    <w:p w14:paraId="30019646">
      <w:pPr>
        <w:pStyle w:val="2"/>
        <w:rPr>
          <w:rFonts w:hint="eastAsia"/>
        </w:rPr>
      </w:pPr>
      <w:r>
        <w:rPr>
          <w:rFonts w:hint="eastAsia"/>
        </w:rPr>
        <w:t xml:space="preserve">high-risk groups through integrated, community-based, and male-friendly care. </w:t>
      </w:r>
    </w:p>
    <w:p w14:paraId="49078710">
      <w:pPr>
        <w:pStyle w:val="2"/>
        <w:rPr>
          <w:rFonts w:hint="eastAsia"/>
        </w:rPr>
      </w:pPr>
      <w:r>
        <w:rPr>
          <w:rFonts w:hint="eastAsia"/>
        </w:rPr>
        <w:t xml:space="preserve">Strengthening health systems, improving diagnostics, and addressing social and </w:t>
      </w:r>
    </w:p>
    <w:p w14:paraId="0567E96B">
      <w:pPr>
        <w:pStyle w:val="2"/>
        <w:rPr>
          <w:rFonts w:hint="eastAsia"/>
        </w:rPr>
      </w:pPr>
      <w:r>
        <w:rPr>
          <w:rFonts w:hint="eastAsia"/>
        </w:rPr>
        <w:t>structural barriers are critical for equitable, sustained progress.</w:t>
      </w:r>
    </w:p>
    <w:p w14:paraId="63310EBB">
      <w:pPr>
        <w:pStyle w:val="2"/>
        <w:rPr>
          <w:rFonts w:hint="eastAsia"/>
        </w:rPr>
      </w:pPr>
    </w:p>
    <w:p w14:paraId="04824622">
      <w:pPr>
        <w:pStyle w:val="2"/>
        <w:rPr>
          <w:rFonts w:hint="eastAsia"/>
        </w:rPr>
      </w:pPr>
      <w:r>
        <w:rPr>
          <w:rFonts w:hint="eastAsia"/>
        </w:rPr>
        <w:t>© 2026 The Authors. Published by Elsevier Ltd.</w:t>
      </w:r>
    </w:p>
    <w:p w14:paraId="495C3F3D">
      <w:pPr>
        <w:pStyle w:val="2"/>
        <w:rPr>
          <w:rFonts w:hint="eastAsia"/>
        </w:rPr>
      </w:pPr>
    </w:p>
    <w:p w14:paraId="16FB2D7E">
      <w:pPr>
        <w:pStyle w:val="2"/>
        <w:rPr>
          <w:rFonts w:hint="eastAsia"/>
        </w:rPr>
      </w:pPr>
      <w:r>
        <w:rPr>
          <w:rFonts w:hint="eastAsia"/>
        </w:rPr>
        <w:t>DOI: 10.1016/j.jctube.2026.100647</w:t>
      </w:r>
    </w:p>
    <w:p w14:paraId="1B97706D">
      <w:pPr>
        <w:pStyle w:val="2"/>
        <w:rPr>
          <w:rFonts w:hint="eastAsia"/>
        </w:rPr>
      </w:pPr>
      <w:r>
        <w:rPr>
          <w:rFonts w:hint="eastAsia"/>
        </w:rPr>
        <w:t>PMCID: PMC13654043</w:t>
      </w:r>
    </w:p>
    <w:p w14:paraId="219DE849">
      <w:pPr>
        <w:pStyle w:val="2"/>
        <w:rPr>
          <w:rFonts w:hint="eastAsia"/>
        </w:rPr>
      </w:pPr>
      <w:r>
        <w:rPr>
          <w:rFonts w:hint="eastAsia"/>
        </w:rPr>
        <w:t>PMID: 42861056</w:t>
      </w:r>
    </w:p>
    <w:p w14:paraId="49B2A468">
      <w:pPr>
        <w:pStyle w:val="2"/>
        <w:rPr>
          <w:rFonts w:hint="eastAsia"/>
        </w:rPr>
      </w:pPr>
    </w:p>
    <w:p w14:paraId="5C2EAD52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98</w:t>
      </w:r>
      <w:r>
        <w:rPr>
          <w:rFonts w:hint="eastAsia"/>
          <w:b/>
          <w:bCs/>
          <w:color w:val="FF0000"/>
        </w:rPr>
        <w:t>. Reumatismo. 2026 Sep 30;78(3). doi: 10.4081/reumatismo.2026.2434. Epub 2026 Oct 6.</w:t>
      </w:r>
    </w:p>
    <w:p w14:paraId="6229CD50">
      <w:pPr>
        <w:pStyle w:val="2"/>
        <w:rPr>
          <w:rFonts w:hint="eastAsia"/>
        </w:rPr>
      </w:pPr>
    </w:p>
    <w:p w14:paraId="3B1DF6B9">
      <w:pPr>
        <w:pStyle w:val="2"/>
        <w:rPr>
          <w:rFonts w:hint="eastAsia"/>
        </w:rPr>
      </w:pPr>
      <w:r>
        <w:rPr>
          <w:rFonts w:hint="eastAsia"/>
        </w:rPr>
        <w:t xml:space="preserve">Comments on "An overview of the relation between tuberculosis and </w:t>
      </w:r>
    </w:p>
    <w:p w14:paraId="47969789">
      <w:pPr>
        <w:pStyle w:val="2"/>
        <w:rPr>
          <w:rFonts w:hint="eastAsia"/>
        </w:rPr>
      </w:pPr>
      <w:r>
        <w:rPr>
          <w:rFonts w:hint="eastAsia"/>
        </w:rPr>
        <w:t>autoantibodies: a systematic review".</w:t>
      </w:r>
    </w:p>
    <w:p w14:paraId="60E1DFA5">
      <w:pPr>
        <w:pStyle w:val="2"/>
        <w:rPr>
          <w:rFonts w:hint="eastAsia"/>
        </w:rPr>
      </w:pPr>
    </w:p>
    <w:p w14:paraId="2EDE4D86">
      <w:pPr>
        <w:pStyle w:val="2"/>
        <w:rPr>
          <w:rFonts w:hint="eastAsia"/>
        </w:rPr>
      </w:pPr>
      <w:r>
        <w:rPr>
          <w:rFonts w:hint="eastAsia"/>
        </w:rPr>
        <w:t>Takahashi H(1).</w:t>
      </w:r>
    </w:p>
    <w:p w14:paraId="3AB8834C">
      <w:pPr>
        <w:pStyle w:val="2"/>
        <w:rPr>
          <w:rFonts w:hint="eastAsia"/>
        </w:rPr>
      </w:pPr>
    </w:p>
    <w:p w14:paraId="115DFF12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5F2601D3">
      <w:pPr>
        <w:pStyle w:val="2"/>
        <w:rPr>
          <w:rFonts w:hint="eastAsia"/>
        </w:rPr>
      </w:pPr>
      <w:r>
        <w:rPr>
          <w:rFonts w:hint="eastAsia"/>
        </w:rPr>
        <w:t>(1)Department of Respiratory Medicine, Tokyo Shinagawa Hospital, Tokyo.</w:t>
      </w:r>
    </w:p>
    <w:p w14:paraId="56280C7E">
      <w:pPr>
        <w:pStyle w:val="2"/>
        <w:rPr>
          <w:rFonts w:hint="eastAsia"/>
        </w:rPr>
      </w:pPr>
    </w:p>
    <w:p w14:paraId="44579331">
      <w:pPr>
        <w:pStyle w:val="2"/>
        <w:rPr>
          <w:rFonts w:hint="eastAsia"/>
        </w:rPr>
      </w:pPr>
      <w:r>
        <w:rPr>
          <w:rFonts w:hint="eastAsia"/>
        </w:rPr>
        <w:t xml:space="preserve">Dear Editor, I read with interest the systematic review by Mohamadzadeh et al., </w:t>
      </w:r>
    </w:p>
    <w:p w14:paraId="440AA138">
      <w:pPr>
        <w:pStyle w:val="2"/>
        <w:rPr>
          <w:rFonts w:hint="eastAsia"/>
        </w:rPr>
      </w:pPr>
      <w:r>
        <w:rPr>
          <w:rFonts w:hint="eastAsia"/>
        </w:rPr>
        <w:t xml:space="preserve">which synthesized evidence on autoantibodies associated with rheumatic diseases </w:t>
      </w:r>
    </w:p>
    <w:p w14:paraId="2711FDB1">
      <w:pPr>
        <w:pStyle w:val="2"/>
        <w:rPr>
          <w:rFonts w:hint="eastAsia"/>
        </w:rPr>
      </w:pPr>
      <w:r>
        <w:rPr>
          <w:rFonts w:hint="eastAsia"/>
        </w:rPr>
        <w:t>in active tuberculosis...</w:t>
      </w:r>
    </w:p>
    <w:p w14:paraId="3DBFBFA5">
      <w:pPr>
        <w:pStyle w:val="2"/>
        <w:rPr>
          <w:rFonts w:hint="eastAsia"/>
        </w:rPr>
      </w:pPr>
    </w:p>
    <w:p w14:paraId="2B2C2A06">
      <w:pPr>
        <w:pStyle w:val="2"/>
        <w:rPr>
          <w:rFonts w:hint="eastAsia"/>
        </w:rPr>
      </w:pPr>
      <w:r>
        <w:rPr>
          <w:rFonts w:hint="eastAsia"/>
        </w:rPr>
        <w:t>DOI: 10.4081/reumatismo.2026.2434</w:t>
      </w:r>
    </w:p>
    <w:p w14:paraId="211AA6E3">
      <w:pPr>
        <w:pStyle w:val="2"/>
        <w:rPr>
          <w:rFonts w:hint="eastAsia"/>
        </w:rPr>
      </w:pPr>
      <w:r>
        <w:rPr>
          <w:rFonts w:hint="eastAsia"/>
        </w:rPr>
        <w:t>PMID: 42860916 [Indexed for MEDLINE]</w:t>
      </w:r>
    </w:p>
    <w:p w14:paraId="4B7DE78E">
      <w:pPr>
        <w:rPr>
          <w:rFonts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32F0043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99</w:t>
      </w:r>
      <w:r>
        <w:rPr>
          <w:rFonts w:hint="eastAsia"/>
          <w:b/>
          <w:bCs/>
          <w:color w:val="FF0000"/>
        </w:rPr>
        <w:t xml:space="preserve">. Acta Trop. 2026 Oct 17:108374. doi: 10.1016/j.actatropica.2026.108374. Online </w:t>
      </w:r>
    </w:p>
    <w:p w14:paraId="66F8885B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ahead of print.</w:t>
      </w:r>
    </w:p>
    <w:p w14:paraId="5B2339A8">
      <w:pPr>
        <w:pStyle w:val="2"/>
        <w:rPr>
          <w:rFonts w:hint="eastAsia"/>
        </w:rPr>
      </w:pPr>
    </w:p>
    <w:p w14:paraId="4880BA1A">
      <w:pPr>
        <w:pStyle w:val="2"/>
        <w:rPr>
          <w:rFonts w:hint="eastAsia"/>
        </w:rPr>
      </w:pPr>
      <w:r>
        <w:rPr>
          <w:rFonts w:hint="eastAsia"/>
        </w:rPr>
        <w:t xml:space="preserve">Comment on "Mathematical modeling and spatial evolutionary analysis of </w:t>
      </w:r>
    </w:p>
    <w:p w14:paraId="2BCD9830">
      <w:pPr>
        <w:pStyle w:val="2"/>
        <w:rPr>
          <w:rFonts w:hint="eastAsia"/>
        </w:rPr>
      </w:pPr>
      <w:r>
        <w:rPr>
          <w:rFonts w:hint="eastAsia"/>
        </w:rPr>
        <w:t xml:space="preserve">tuberculosis transmission across diverse demographic settings in West Java, </w:t>
      </w:r>
    </w:p>
    <w:p w14:paraId="1A2A8C16">
      <w:pPr>
        <w:pStyle w:val="2"/>
        <w:rPr>
          <w:rFonts w:hint="eastAsia"/>
        </w:rPr>
      </w:pPr>
      <w:r>
        <w:rPr>
          <w:rFonts w:hint="eastAsia"/>
        </w:rPr>
        <w:t>Indonesia".</w:t>
      </w:r>
    </w:p>
    <w:p w14:paraId="404D7743">
      <w:pPr>
        <w:pStyle w:val="2"/>
        <w:rPr>
          <w:rFonts w:hint="eastAsia"/>
        </w:rPr>
      </w:pPr>
    </w:p>
    <w:p w14:paraId="1F4A8107">
      <w:pPr>
        <w:pStyle w:val="2"/>
        <w:rPr>
          <w:rFonts w:hint="eastAsia"/>
        </w:rPr>
      </w:pPr>
      <w:r>
        <w:rPr>
          <w:rFonts w:hint="eastAsia"/>
        </w:rPr>
        <w:t>Arya R(1), Mohapatra AK(2), Kar SK(3).</w:t>
      </w:r>
    </w:p>
    <w:p w14:paraId="74FA78E1">
      <w:pPr>
        <w:pStyle w:val="2"/>
        <w:rPr>
          <w:rFonts w:hint="eastAsia"/>
        </w:rPr>
      </w:pPr>
    </w:p>
    <w:p w14:paraId="4F4DF084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664CF8B4">
      <w:pPr>
        <w:pStyle w:val="2"/>
        <w:rPr>
          <w:rFonts w:hint="eastAsia"/>
        </w:rPr>
      </w:pPr>
      <w:r>
        <w:rPr>
          <w:rFonts w:hint="eastAsia"/>
        </w:rPr>
        <w:t xml:space="preserve">(1)Department of Biotechnology, Yeungnam University, Gyeongsan 38541, Republic </w:t>
      </w:r>
    </w:p>
    <w:p w14:paraId="1FABBC39">
      <w:pPr>
        <w:pStyle w:val="2"/>
        <w:rPr>
          <w:rFonts w:hint="eastAsia"/>
        </w:rPr>
      </w:pPr>
      <w:r>
        <w:rPr>
          <w:rFonts w:hint="eastAsia"/>
        </w:rPr>
        <w:t>of Korea. Electronic address: rakesharya101@yu.ac.kr.</w:t>
      </w:r>
    </w:p>
    <w:p w14:paraId="1F96875A">
      <w:pPr>
        <w:pStyle w:val="2"/>
        <w:rPr>
          <w:rFonts w:hint="eastAsia"/>
        </w:rPr>
      </w:pPr>
      <w:r>
        <w:rPr>
          <w:rFonts w:hint="eastAsia"/>
        </w:rPr>
        <w:t xml:space="preserve">(2)School of Life Sciences, Sambalpur University, Odisha, India, 768019. </w:t>
      </w:r>
    </w:p>
    <w:p w14:paraId="6685EFE5">
      <w:pPr>
        <w:pStyle w:val="2"/>
        <w:rPr>
          <w:rFonts w:hint="eastAsia"/>
        </w:rPr>
      </w:pPr>
      <w:r>
        <w:rPr>
          <w:rFonts w:hint="eastAsia"/>
        </w:rPr>
        <w:t>Electronic address: amitkumarmohapatra216@gmail.com.</w:t>
      </w:r>
    </w:p>
    <w:p w14:paraId="35651E46">
      <w:pPr>
        <w:pStyle w:val="2"/>
        <w:rPr>
          <w:rFonts w:hint="eastAsia"/>
        </w:rPr>
      </w:pPr>
      <w:r>
        <w:rPr>
          <w:rFonts w:hint="eastAsia"/>
        </w:rPr>
        <w:t xml:space="preserve">(3)Pharmaceutical Chemistry, Head, Department of Pharmacy, Usha Martin </w:t>
      </w:r>
    </w:p>
    <w:p w14:paraId="73FCBF18">
      <w:pPr>
        <w:pStyle w:val="2"/>
        <w:rPr>
          <w:rFonts w:hint="eastAsia"/>
        </w:rPr>
      </w:pPr>
      <w:r>
        <w:rPr>
          <w:rFonts w:hint="eastAsia"/>
        </w:rPr>
        <w:t xml:space="preserve">University, Ranchi, Jharkhand - 835103, India. Electronic address: </w:t>
      </w:r>
    </w:p>
    <w:p w14:paraId="729ADB0B">
      <w:pPr>
        <w:pStyle w:val="2"/>
        <w:rPr>
          <w:rFonts w:hint="eastAsia"/>
        </w:rPr>
      </w:pPr>
      <w:r>
        <w:rPr>
          <w:rFonts w:hint="eastAsia"/>
        </w:rPr>
        <w:t>sanjeeb.bit@gmail.com.</w:t>
      </w:r>
    </w:p>
    <w:p w14:paraId="16E79E5D">
      <w:pPr>
        <w:pStyle w:val="2"/>
        <w:rPr>
          <w:rFonts w:hint="eastAsia"/>
        </w:rPr>
      </w:pPr>
    </w:p>
    <w:p w14:paraId="13CBBE18">
      <w:pPr>
        <w:pStyle w:val="2"/>
        <w:rPr>
          <w:rFonts w:hint="eastAsia"/>
        </w:rPr>
      </w:pPr>
      <w:r>
        <w:rPr>
          <w:rFonts w:hint="eastAsia"/>
        </w:rPr>
        <w:t>DOI: 10.1016/j.actatropica.2026.108374</w:t>
      </w:r>
    </w:p>
    <w:p w14:paraId="334CA0AC">
      <w:pPr>
        <w:pStyle w:val="2"/>
        <w:rPr>
          <w:rFonts w:hint="eastAsia"/>
        </w:rPr>
      </w:pPr>
      <w:r>
        <w:rPr>
          <w:rFonts w:hint="eastAsia"/>
        </w:rPr>
        <w:t>PMID: 42892423</w:t>
      </w:r>
    </w:p>
    <w:p w14:paraId="4100FC00">
      <w:pPr>
        <w:pStyle w:val="2"/>
        <w:rPr>
          <w:rFonts w:hint="eastAsia"/>
        </w:rPr>
      </w:pPr>
    </w:p>
    <w:p w14:paraId="07C5C04A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val="en-US" w:eastAsia="zh-CN"/>
        </w:rPr>
        <w:t>100</w:t>
      </w:r>
      <w:r>
        <w:rPr>
          <w:rFonts w:hint="eastAsia"/>
          <w:b/>
          <w:bCs/>
          <w:color w:val="FF0000"/>
        </w:rPr>
        <w:t xml:space="preserve">. Int J Med Microbiol. 2026 Oct 7;323:151748. doi: 10.1016/j.ijmm.2026.151748. </w:t>
      </w:r>
    </w:p>
    <w:p w14:paraId="36EA18D7">
      <w:pPr>
        <w:pStyle w:val="2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Online ahead of print.</w:t>
      </w:r>
    </w:p>
    <w:p w14:paraId="74EC47E3">
      <w:pPr>
        <w:pStyle w:val="2"/>
        <w:rPr>
          <w:rFonts w:hint="eastAsia"/>
        </w:rPr>
      </w:pPr>
    </w:p>
    <w:p w14:paraId="04EE7054">
      <w:pPr>
        <w:pStyle w:val="2"/>
        <w:rPr>
          <w:rFonts w:hint="eastAsia"/>
        </w:rPr>
      </w:pPr>
      <w:r>
        <w:rPr>
          <w:rFonts w:hint="eastAsia"/>
        </w:rPr>
        <w:t xml:space="preserve">Mutational profiling of ESX/type VII secretion system-associated genes in </w:t>
      </w:r>
    </w:p>
    <w:p w14:paraId="414D223F">
      <w:pPr>
        <w:pStyle w:val="2"/>
        <w:rPr>
          <w:rFonts w:hint="eastAsia"/>
        </w:rPr>
      </w:pPr>
      <w:r>
        <w:rPr>
          <w:rFonts w:hint="eastAsia"/>
        </w:rPr>
        <w:t>drug-resistant Mycobacterium tuberculosis from Khyber Pakhtunkhwa, Pakistan.</w:t>
      </w:r>
    </w:p>
    <w:p w14:paraId="764C52EE">
      <w:pPr>
        <w:pStyle w:val="2"/>
        <w:rPr>
          <w:rFonts w:hint="eastAsia"/>
        </w:rPr>
      </w:pPr>
    </w:p>
    <w:p w14:paraId="78FBC338">
      <w:pPr>
        <w:pStyle w:val="2"/>
        <w:rPr>
          <w:rFonts w:hint="eastAsia"/>
        </w:rPr>
      </w:pPr>
      <w:r>
        <w:rPr>
          <w:rFonts w:hint="eastAsia"/>
        </w:rPr>
        <w:t xml:space="preserve">Muhammad N(1), Khan TA(2), Ali S(3), Khan MT(4), Haq IU(5), Khan AS(6), Ahmad </w:t>
      </w:r>
    </w:p>
    <w:p w14:paraId="536155F0">
      <w:pPr>
        <w:pStyle w:val="2"/>
        <w:rPr>
          <w:rFonts w:hint="eastAsia"/>
        </w:rPr>
      </w:pPr>
      <w:r>
        <w:rPr>
          <w:rFonts w:hint="eastAsia"/>
        </w:rPr>
        <w:t>S(7), Clark TG(8), Phelan JE(9), Campino S(10), Qasim M(11).</w:t>
      </w:r>
    </w:p>
    <w:p w14:paraId="36F4DB65">
      <w:pPr>
        <w:pStyle w:val="2"/>
        <w:rPr>
          <w:rFonts w:hint="eastAsia"/>
        </w:rPr>
      </w:pPr>
    </w:p>
    <w:p w14:paraId="6FCE90A3">
      <w:pPr>
        <w:pStyle w:val="2"/>
        <w:rPr>
          <w:rFonts w:hint="eastAsia"/>
        </w:rPr>
      </w:pPr>
      <w:r>
        <w:rPr>
          <w:rFonts w:hint="eastAsia"/>
        </w:rPr>
        <w:t>Author information:</w:t>
      </w:r>
    </w:p>
    <w:p w14:paraId="42C37C07">
      <w:pPr>
        <w:pStyle w:val="2"/>
        <w:rPr>
          <w:rFonts w:hint="eastAsia"/>
        </w:rPr>
      </w:pPr>
      <w:r>
        <w:rPr>
          <w:rFonts w:hint="eastAsia"/>
        </w:rPr>
        <w:t xml:space="preserve">(1)Department of Microbiology, Kohat University of Science and Technology, </w:t>
      </w:r>
    </w:p>
    <w:p w14:paraId="242407EC">
      <w:pPr>
        <w:pStyle w:val="2"/>
        <w:rPr>
          <w:rFonts w:hint="eastAsia"/>
        </w:rPr>
      </w:pPr>
      <w:r>
        <w:rPr>
          <w:rFonts w:hint="eastAsia"/>
        </w:rPr>
        <w:t>Khyber Pakhtunkhwa, Kohat, 26000, Pakistan.</w:t>
      </w:r>
    </w:p>
    <w:p w14:paraId="4EC9AA97">
      <w:pPr>
        <w:pStyle w:val="2"/>
        <w:rPr>
          <w:rFonts w:hint="eastAsia"/>
        </w:rPr>
      </w:pPr>
      <w:r>
        <w:rPr>
          <w:rFonts w:hint="eastAsia"/>
        </w:rPr>
        <w:t xml:space="preserve">(2)Institute of Basic Medical Sciences, Khyber Medical University, Peshawar, </w:t>
      </w:r>
    </w:p>
    <w:p w14:paraId="65816A7E">
      <w:pPr>
        <w:pStyle w:val="2"/>
        <w:rPr>
          <w:rFonts w:hint="eastAsia"/>
        </w:rPr>
      </w:pPr>
      <w:r>
        <w:rPr>
          <w:rFonts w:hint="eastAsia"/>
        </w:rPr>
        <w:t xml:space="preserve">25100, Pakistan; Institute of Pathology and Diagnostic Medicines, Khyber Medical </w:t>
      </w:r>
    </w:p>
    <w:p w14:paraId="4064369A">
      <w:pPr>
        <w:pStyle w:val="2"/>
        <w:rPr>
          <w:rFonts w:hint="eastAsia"/>
        </w:rPr>
      </w:pPr>
      <w:r>
        <w:rPr>
          <w:rFonts w:hint="eastAsia"/>
        </w:rPr>
        <w:t xml:space="preserve">University, Peshawar, 25100, Pakistan. Electronic address: </w:t>
      </w:r>
    </w:p>
    <w:p w14:paraId="1209D792">
      <w:pPr>
        <w:pStyle w:val="2"/>
        <w:rPr>
          <w:rFonts w:hint="eastAsia"/>
        </w:rPr>
      </w:pPr>
      <w:r>
        <w:rPr>
          <w:rFonts w:hint="eastAsia"/>
        </w:rPr>
        <w:t>tajalikhan.ibms@kmu.edu.pk.</w:t>
      </w:r>
    </w:p>
    <w:p w14:paraId="51293E4A">
      <w:pPr>
        <w:pStyle w:val="2"/>
        <w:rPr>
          <w:rFonts w:hint="eastAsia"/>
        </w:rPr>
      </w:pPr>
      <w:r>
        <w:rPr>
          <w:rFonts w:hint="eastAsia"/>
        </w:rPr>
        <w:t xml:space="preserve">(3)Department of Microbiology &amp; Biotechnology, Bacha Khan University, Charsadda, </w:t>
      </w:r>
    </w:p>
    <w:p w14:paraId="5218E76E">
      <w:pPr>
        <w:pStyle w:val="2"/>
        <w:rPr>
          <w:rFonts w:hint="eastAsia"/>
        </w:rPr>
      </w:pPr>
      <w:r>
        <w:rPr>
          <w:rFonts w:hint="eastAsia"/>
        </w:rPr>
        <w:t>24550, Pakistan. Electronic address: sajidjan@live.com.</w:t>
      </w:r>
    </w:p>
    <w:p w14:paraId="71458E93">
      <w:pPr>
        <w:pStyle w:val="2"/>
        <w:rPr>
          <w:rFonts w:hint="eastAsia"/>
        </w:rPr>
      </w:pPr>
      <w:r>
        <w:rPr>
          <w:rFonts w:hint="eastAsia"/>
        </w:rPr>
        <w:t xml:space="preserve">(4)International Center for Interdisciplinary Research in Sciences (ICIRS), The </w:t>
      </w:r>
    </w:p>
    <w:p w14:paraId="45618484">
      <w:pPr>
        <w:pStyle w:val="2"/>
        <w:rPr>
          <w:rFonts w:hint="eastAsia"/>
        </w:rPr>
      </w:pPr>
      <w:r>
        <w:rPr>
          <w:rFonts w:hint="eastAsia"/>
        </w:rPr>
        <w:t xml:space="preserve">University of Lahore, 1 KM Defence Road, Lahore, 58810, Pakistan; State Key </w:t>
      </w:r>
    </w:p>
    <w:p w14:paraId="091CFAC2">
      <w:pPr>
        <w:pStyle w:val="2"/>
        <w:rPr>
          <w:rFonts w:hint="eastAsia"/>
        </w:rPr>
      </w:pPr>
      <w:r>
        <w:rPr>
          <w:rFonts w:hint="eastAsia"/>
        </w:rPr>
        <w:t xml:space="preserve">Laboratory of Respiratory Disease, Guangzhou Key Laboratory of Tuberculosis </w:t>
      </w:r>
    </w:p>
    <w:p w14:paraId="3590392A">
      <w:pPr>
        <w:pStyle w:val="2"/>
        <w:rPr>
          <w:rFonts w:hint="eastAsia"/>
        </w:rPr>
      </w:pPr>
      <w:r>
        <w:rPr>
          <w:rFonts w:hint="eastAsia"/>
        </w:rPr>
        <w:t xml:space="preserve">Research, Department of Clinical Laboratory, Guangzhou Chest Hospital, Institute </w:t>
      </w:r>
    </w:p>
    <w:p w14:paraId="09FAA22D">
      <w:pPr>
        <w:pStyle w:val="2"/>
        <w:rPr>
          <w:rFonts w:hint="eastAsia"/>
        </w:rPr>
      </w:pPr>
      <w:r>
        <w:rPr>
          <w:rFonts w:hint="eastAsia"/>
        </w:rPr>
        <w:t xml:space="preserve">of Tuberculosis, Guangzhou Medical University, Guangzhou, China. Electronic </w:t>
      </w:r>
    </w:p>
    <w:p w14:paraId="1316D8EF">
      <w:pPr>
        <w:pStyle w:val="2"/>
        <w:rPr>
          <w:rFonts w:hint="eastAsia"/>
        </w:rPr>
      </w:pPr>
      <w:r>
        <w:rPr>
          <w:rFonts w:hint="eastAsia"/>
        </w:rPr>
        <w:t>address: muhammad.tahir8@imbb.uol.edu.pk.</w:t>
      </w:r>
    </w:p>
    <w:p w14:paraId="37906547">
      <w:pPr>
        <w:pStyle w:val="2"/>
        <w:rPr>
          <w:rFonts w:hint="eastAsia"/>
        </w:rPr>
      </w:pPr>
      <w:r>
        <w:rPr>
          <w:rFonts w:hint="eastAsia"/>
        </w:rPr>
        <w:t xml:space="preserve">(5)Programa de Pós-graduação em Inovação Tecnológica, Universidade Federal de </w:t>
      </w:r>
    </w:p>
    <w:p w14:paraId="1C57B590">
      <w:pPr>
        <w:pStyle w:val="2"/>
        <w:rPr>
          <w:rFonts w:hint="eastAsia"/>
        </w:rPr>
      </w:pPr>
      <w:r>
        <w:rPr>
          <w:rFonts w:hint="eastAsia"/>
        </w:rPr>
        <w:t>Minas Gerais, Belo Horizonte, MG, 31270-901, Brazil.</w:t>
      </w:r>
    </w:p>
    <w:p w14:paraId="34C8D9BF">
      <w:pPr>
        <w:pStyle w:val="2"/>
        <w:rPr>
          <w:rFonts w:hint="eastAsia"/>
        </w:rPr>
      </w:pPr>
      <w:r>
        <w:rPr>
          <w:rFonts w:hint="eastAsia"/>
        </w:rPr>
        <w:t xml:space="preserve">(6)Institute of Pathology and Diagnostic Medicines, Khyber Medical University, </w:t>
      </w:r>
    </w:p>
    <w:p w14:paraId="03F8DC0C">
      <w:pPr>
        <w:pStyle w:val="2"/>
        <w:rPr>
          <w:rFonts w:hint="eastAsia"/>
        </w:rPr>
      </w:pPr>
      <w:r>
        <w:rPr>
          <w:rFonts w:hint="eastAsia"/>
        </w:rPr>
        <w:t>Peshawar, 25100, Pakistan.</w:t>
      </w:r>
    </w:p>
    <w:p w14:paraId="190D9117">
      <w:pPr>
        <w:pStyle w:val="2"/>
        <w:rPr>
          <w:rFonts w:hint="eastAsia"/>
        </w:rPr>
      </w:pPr>
      <w:r>
        <w:rPr>
          <w:rFonts w:hint="eastAsia"/>
        </w:rPr>
        <w:t xml:space="preserve">(7)Institute of Basic Medical Sciences, Khyber Medical University, Peshawar, </w:t>
      </w:r>
    </w:p>
    <w:p w14:paraId="00B745F4">
      <w:pPr>
        <w:pStyle w:val="2"/>
        <w:rPr>
          <w:rFonts w:hint="eastAsia"/>
        </w:rPr>
      </w:pPr>
      <w:r>
        <w:rPr>
          <w:rFonts w:hint="eastAsia"/>
        </w:rPr>
        <w:t>25100, Pakistan. Electronic address: sajjadahmad.ibms@kmu.edu.pk.</w:t>
      </w:r>
    </w:p>
    <w:p w14:paraId="515EC3AD">
      <w:pPr>
        <w:pStyle w:val="2"/>
        <w:rPr>
          <w:rFonts w:hint="eastAsia"/>
        </w:rPr>
      </w:pPr>
      <w:r>
        <w:rPr>
          <w:rFonts w:hint="eastAsia"/>
        </w:rPr>
        <w:t xml:space="preserve">(8)Faculty of Infectious and Tropical Diseases, London School of Hygiene and </w:t>
      </w:r>
    </w:p>
    <w:p w14:paraId="464C117F">
      <w:pPr>
        <w:pStyle w:val="2"/>
        <w:rPr>
          <w:rFonts w:hint="eastAsia"/>
        </w:rPr>
      </w:pPr>
      <w:r>
        <w:rPr>
          <w:rFonts w:hint="eastAsia"/>
        </w:rPr>
        <w:t xml:space="preserve">Tropical Medicine, London, UK; Faculty of Epidemiology and Population health, </w:t>
      </w:r>
    </w:p>
    <w:p w14:paraId="031BFC4C">
      <w:pPr>
        <w:pStyle w:val="2"/>
        <w:rPr>
          <w:rFonts w:hint="eastAsia"/>
        </w:rPr>
      </w:pPr>
      <w:r>
        <w:rPr>
          <w:rFonts w:hint="eastAsia"/>
        </w:rPr>
        <w:t xml:space="preserve">London, School of Hygiene and Tropical Medicine, London, UK. Electronic address: </w:t>
      </w:r>
    </w:p>
    <w:p w14:paraId="5FB3C7EA">
      <w:pPr>
        <w:pStyle w:val="2"/>
        <w:rPr>
          <w:rFonts w:hint="eastAsia"/>
        </w:rPr>
      </w:pPr>
      <w:r>
        <w:rPr>
          <w:rFonts w:hint="eastAsia"/>
        </w:rPr>
        <w:t>taane.clark@lshtm.ac.uk.</w:t>
      </w:r>
    </w:p>
    <w:p w14:paraId="6E0AC581">
      <w:pPr>
        <w:pStyle w:val="2"/>
        <w:rPr>
          <w:rFonts w:hint="eastAsia"/>
        </w:rPr>
      </w:pPr>
      <w:r>
        <w:rPr>
          <w:rFonts w:hint="eastAsia"/>
        </w:rPr>
        <w:t xml:space="preserve">(9)Faculty of Infectious and Tropical Diseases, London School of Hygiene and </w:t>
      </w:r>
    </w:p>
    <w:p w14:paraId="786D74F1">
      <w:pPr>
        <w:pStyle w:val="2"/>
        <w:rPr>
          <w:rFonts w:hint="eastAsia"/>
        </w:rPr>
      </w:pPr>
      <w:r>
        <w:rPr>
          <w:rFonts w:hint="eastAsia"/>
        </w:rPr>
        <w:t>Tropical Medicine, London, UK. Electronic address: Jody.Phelan@lshtm.ac.uk.</w:t>
      </w:r>
    </w:p>
    <w:p w14:paraId="1B6EF90C">
      <w:pPr>
        <w:pStyle w:val="2"/>
        <w:rPr>
          <w:rFonts w:hint="eastAsia"/>
        </w:rPr>
      </w:pPr>
      <w:r>
        <w:rPr>
          <w:rFonts w:hint="eastAsia"/>
        </w:rPr>
        <w:t xml:space="preserve">(10)Faculty of Infectious and Tropical Diseases, London School of Hygiene and </w:t>
      </w:r>
    </w:p>
    <w:p w14:paraId="6176484A">
      <w:pPr>
        <w:pStyle w:val="2"/>
        <w:rPr>
          <w:rFonts w:hint="eastAsia"/>
        </w:rPr>
      </w:pPr>
      <w:r>
        <w:rPr>
          <w:rFonts w:hint="eastAsia"/>
        </w:rPr>
        <w:t>Tropical Medicine, London, UK. Electronic address: susano.campino@lshtm.ac.uk.</w:t>
      </w:r>
    </w:p>
    <w:p w14:paraId="4838F627">
      <w:pPr>
        <w:pStyle w:val="2"/>
        <w:rPr>
          <w:rFonts w:hint="eastAsia"/>
        </w:rPr>
      </w:pPr>
      <w:r>
        <w:rPr>
          <w:rFonts w:hint="eastAsia"/>
        </w:rPr>
        <w:t xml:space="preserve">(11)Department of Microbiology, Kohat University of Science and Technology, </w:t>
      </w:r>
    </w:p>
    <w:p w14:paraId="73E756BF">
      <w:pPr>
        <w:pStyle w:val="2"/>
        <w:rPr>
          <w:rFonts w:hint="eastAsia"/>
        </w:rPr>
      </w:pPr>
      <w:r>
        <w:rPr>
          <w:rFonts w:hint="eastAsia"/>
        </w:rPr>
        <w:t xml:space="preserve">Khyber Pakhtunkhwa, Kohat, 26000, Pakistan. Electronic address: </w:t>
      </w:r>
    </w:p>
    <w:p w14:paraId="48EA3FFE">
      <w:pPr>
        <w:pStyle w:val="2"/>
        <w:rPr>
          <w:rFonts w:hint="eastAsia"/>
        </w:rPr>
      </w:pPr>
      <w:r>
        <w:rPr>
          <w:rFonts w:hint="eastAsia"/>
        </w:rPr>
        <w:t>qasim@kust.edu.pk.</w:t>
      </w:r>
    </w:p>
    <w:p w14:paraId="5C537E42">
      <w:pPr>
        <w:pStyle w:val="2"/>
        <w:rPr>
          <w:rFonts w:hint="eastAsia"/>
        </w:rPr>
      </w:pPr>
    </w:p>
    <w:p w14:paraId="05601914">
      <w:pPr>
        <w:pStyle w:val="2"/>
        <w:rPr>
          <w:rFonts w:hint="eastAsia"/>
        </w:rPr>
      </w:pPr>
      <w:r>
        <w:rPr>
          <w:rFonts w:hint="eastAsia"/>
        </w:rPr>
        <w:t xml:space="preserve">Tuberculosis (TB) remains a major global public health challenge, and the </w:t>
      </w:r>
    </w:p>
    <w:p w14:paraId="1726848D">
      <w:pPr>
        <w:pStyle w:val="2"/>
        <w:rPr>
          <w:rFonts w:hint="eastAsia"/>
        </w:rPr>
      </w:pPr>
      <w:r>
        <w:rPr>
          <w:rFonts w:hint="eastAsia"/>
        </w:rPr>
        <w:t xml:space="preserve">increasing burden of drug-resistant Mycobacterium tuberculosis (MTB) strains </w:t>
      </w:r>
    </w:p>
    <w:p w14:paraId="449C89DA">
      <w:pPr>
        <w:pStyle w:val="2"/>
        <w:rPr>
          <w:rFonts w:hint="eastAsia"/>
        </w:rPr>
      </w:pPr>
      <w:r>
        <w:rPr>
          <w:rFonts w:hint="eastAsia"/>
        </w:rPr>
        <w:t xml:space="preserve">poses a significant obstacle to the success of TB control programs. This study </w:t>
      </w:r>
    </w:p>
    <w:p w14:paraId="074F031A">
      <w:pPr>
        <w:pStyle w:val="2"/>
        <w:rPr>
          <w:rFonts w:hint="eastAsia"/>
        </w:rPr>
      </w:pPr>
      <w:r>
        <w:rPr>
          <w:rFonts w:hint="eastAsia"/>
        </w:rPr>
        <w:t xml:space="preserve">aimed to characterize the phenotypic and genotypic drug-resistance profiles and </w:t>
      </w:r>
    </w:p>
    <w:p w14:paraId="4F61ABB8">
      <w:pPr>
        <w:pStyle w:val="2"/>
        <w:rPr>
          <w:rFonts w:hint="eastAsia"/>
        </w:rPr>
      </w:pPr>
      <w:r>
        <w:rPr>
          <w:rFonts w:hint="eastAsia"/>
        </w:rPr>
        <w:t xml:space="preserve">to investigate mutations in ESX/type VII secretion system-associated secretory </w:t>
      </w:r>
    </w:p>
    <w:p w14:paraId="37B82A07">
      <w:pPr>
        <w:pStyle w:val="2"/>
        <w:rPr>
          <w:rFonts w:hint="eastAsia"/>
        </w:rPr>
      </w:pPr>
      <w:r>
        <w:rPr>
          <w:rFonts w:hint="eastAsia"/>
        </w:rPr>
        <w:t xml:space="preserve">genes. Whole-genome sequencing (WGS) was performed to detect mutations behind </w:t>
      </w:r>
    </w:p>
    <w:p w14:paraId="5FC321BD">
      <w:pPr>
        <w:pStyle w:val="2"/>
        <w:rPr>
          <w:rFonts w:hint="eastAsia"/>
        </w:rPr>
      </w:pPr>
      <w:r>
        <w:rPr>
          <w:rFonts w:hint="eastAsia"/>
        </w:rPr>
        <w:t xml:space="preserve">resistance to rifampicin (rpoB, rpoC), isoniazid (katG, inhA), fluoroquinolones </w:t>
      </w:r>
    </w:p>
    <w:p w14:paraId="08486CD3">
      <w:pPr>
        <w:pStyle w:val="2"/>
        <w:rPr>
          <w:rFonts w:hint="eastAsia"/>
        </w:rPr>
      </w:pPr>
      <w:r>
        <w:rPr>
          <w:rFonts w:hint="eastAsia"/>
        </w:rPr>
        <w:t xml:space="preserve">(gyrA, gyrB), and bedaquiline (Rv0678, Rv2535c (pepQ) and Rv1979c). The genomic </w:t>
      </w:r>
    </w:p>
    <w:p w14:paraId="4B316E39">
      <w:pPr>
        <w:pStyle w:val="2"/>
        <w:rPr>
          <w:rFonts w:hint="eastAsia"/>
        </w:rPr>
      </w:pPr>
      <w:r>
        <w:rPr>
          <w:rFonts w:hint="eastAsia"/>
        </w:rPr>
        <w:t xml:space="preserve">analysis identified 16 MDR (33.3%), and 32 pre-XDR (66.6%) MTB isolates, while </w:t>
      </w:r>
    </w:p>
    <w:p w14:paraId="775E54E5">
      <w:pPr>
        <w:pStyle w:val="2"/>
        <w:rPr>
          <w:rFonts w:hint="eastAsia"/>
        </w:rPr>
      </w:pPr>
      <w:r>
        <w:rPr>
          <w:rFonts w:hint="eastAsia"/>
        </w:rPr>
        <w:t xml:space="preserve">phenotypic DST identified slightly higher counts for MDR (18, 37.5%) and pre-XDR </w:t>
      </w:r>
    </w:p>
    <w:p w14:paraId="77C995C5">
      <w:pPr>
        <w:pStyle w:val="2"/>
        <w:rPr>
          <w:rFonts w:hint="eastAsia"/>
        </w:rPr>
      </w:pPr>
      <w:r>
        <w:rPr>
          <w:rFonts w:hint="eastAsia"/>
        </w:rPr>
        <w:t xml:space="preserve">(28, 58.3%), with only 1 XDR (2.0%) and one pan-susceptible isolate (2.0%). The </w:t>
      </w:r>
    </w:p>
    <w:p w14:paraId="65A238F5">
      <w:pPr>
        <w:pStyle w:val="2"/>
        <w:rPr>
          <w:rFonts w:hint="eastAsia"/>
        </w:rPr>
      </w:pPr>
      <w:r>
        <w:rPr>
          <w:rFonts w:hint="eastAsia"/>
        </w:rPr>
        <w:t xml:space="preserve">predominant lineage being Mycobacterium tuberculosis lineage 3 (n = 25 </w:t>
      </w:r>
    </w:p>
    <w:p w14:paraId="380EC401">
      <w:pPr>
        <w:pStyle w:val="2"/>
        <w:rPr>
          <w:rFonts w:hint="eastAsia"/>
        </w:rPr>
      </w:pPr>
      <w:r>
        <w:rPr>
          <w:rFonts w:hint="eastAsia"/>
        </w:rPr>
        <w:t xml:space="preserve">occurrences). Importantly, we identified three unreported mutations in rpoC </w:t>
      </w:r>
    </w:p>
    <w:p w14:paraId="4E694FE0">
      <w:pPr>
        <w:pStyle w:val="2"/>
        <w:rPr>
          <w:rFonts w:hint="eastAsia"/>
        </w:rPr>
      </w:pPr>
      <w:r>
        <w:rPr>
          <w:rFonts w:hint="eastAsia"/>
        </w:rPr>
        <w:t xml:space="preserve">(Leu446Gln, Arg356Ser, and Leu446Met). Two unreported mutations were identified </w:t>
      </w:r>
    </w:p>
    <w:p w14:paraId="1E096BC9">
      <w:pPr>
        <w:pStyle w:val="2"/>
        <w:rPr>
          <w:rFonts w:hint="eastAsia"/>
        </w:rPr>
      </w:pPr>
      <w:r>
        <w:rPr>
          <w:rFonts w:hint="eastAsia"/>
        </w:rPr>
        <w:t xml:space="preserve">in katG His116Arg, Val260Asp. In the fluoroquinolone target genes two mutations </w:t>
      </w:r>
    </w:p>
    <w:p w14:paraId="7BF2501F">
      <w:pPr>
        <w:pStyle w:val="2"/>
        <w:rPr>
          <w:rFonts w:hint="eastAsia"/>
        </w:rPr>
      </w:pPr>
      <w:r>
        <w:rPr>
          <w:rFonts w:hint="eastAsia"/>
        </w:rPr>
        <w:t xml:space="preserve">(His272Asn and Met530Thr) were found in gyrB which have not been reported in the </w:t>
      </w:r>
    </w:p>
    <w:p w14:paraId="42293512">
      <w:pPr>
        <w:pStyle w:val="2"/>
        <w:rPr>
          <w:rFonts w:hint="eastAsia"/>
        </w:rPr>
      </w:pPr>
      <w:r>
        <w:rPr>
          <w:rFonts w:hint="eastAsia"/>
        </w:rPr>
        <w:t xml:space="preserve">WHO mutation catalogue and literature. Among the bedaquiline-resistance Rv0678 </w:t>
      </w:r>
    </w:p>
    <w:p w14:paraId="1565E0DF">
      <w:pPr>
        <w:pStyle w:val="2"/>
        <w:rPr>
          <w:rFonts w:hint="eastAsia"/>
        </w:rPr>
      </w:pPr>
      <w:r>
        <w:rPr>
          <w:rFonts w:hint="eastAsia"/>
        </w:rPr>
        <w:t xml:space="preserve">(C779125TG), and Rv1979c (TA2222732T deletion) were not reported. Analysis of </w:t>
      </w:r>
    </w:p>
    <w:p w14:paraId="39B92DC4">
      <w:pPr>
        <w:pStyle w:val="2"/>
        <w:rPr>
          <w:rFonts w:hint="eastAsia"/>
        </w:rPr>
      </w:pPr>
      <w:r>
        <w:rPr>
          <w:rFonts w:hint="eastAsia"/>
        </w:rPr>
        <w:t xml:space="preserve">ESX/Type VII secretion system-associated genes identified several novel </w:t>
      </w:r>
    </w:p>
    <w:p w14:paraId="3E8E6BD3">
      <w:pPr>
        <w:pStyle w:val="2"/>
        <w:rPr>
          <w:rFonts w:hint="eastAsia"/>
        </w:rPr>
      </w:pPr>
      <w:r>
        <w:rPr>
          <w:rFonts w:hint="eastAsia"/>
        </w:rPr>
        <w:t xml:space="preserve">variants, including in espA, resulting in a Thr192Ile substitution in 42 </w:t>
      </w:r>
    </w:p>
    <w:p w14:paraId="53F7A41D">
      <w:pPr>
        <w:pStyle w:val="2"/>
        <w:rPr>
          <w:rFonts w:hint="eastAsia"/>
        </w:rPr>
      </w:pPr>
      <w:r>
        <w:rPr>
          <w:rFonts w:hint="eastAsia"/>
        </w:rPr>
        <w:t xml:space="preserve">isolates, and in the PE35-encoding gene, where a Glu99STOP was observed in 37 </w:t>
      </w:r>
    </w:p>
    <w:p w14:paraId="68259674">
      <w:pPr>
        <w:pStyle w:val="2"/>
        <w:rPr>
          <w:rFonts w:hint="eastAsia"/>
        </w:rPr>
      </w:pPr>
      <w:r>
        <w:rPr>
          <w:rFonts w:hint="eastAsia"/>
        </w:rPr>
        <w:t xml:space="preserve">isolates. Additional novel variants were identified in genes encoding PPE69, </w:t>
      </w:r>
    </w:p>
    <w:p w14:paraId="55222C18">
      <w:pPr>
        <w:pStyle w:val="2"/>
        <w:rPr>
          <w:rFonts w:hint="eastAsia"/>
        </w:rPr>
      </w:pPr>
      <w:r>
        <w:rPr>
          <w:rFonts w:hint="eastAsia"/>
        </w:rPr>
        <w:t xml:space="preserve">EsxU, EsxH, MPT64, EsxT, and PPE68 proteins. These mutations were distributed </w:t>
      </w:r>
    </w:p>
    <w:p w14:paraId="6DC3431C">
      <w:pPr>
        <w:pStyle w:val="2"/>
        <w:rPr>
          <w:rFonts w:hint="eastAsia"/>
        </w:rPr>
      </w:pPr>
      <w:r>
        <w:rPr>
          <w:rFonts w:hint="eastAsia"/>
        </w:rPr>
        <w:t xml:space="preserve">predominantly among pre-XDR isolates. Overall, WGS and phenotypic DST results </w:t>
      </w:r>
    </w:p>
    <w:p w14:paraId="4D4C9F41">
      <w:pPr>
        <w:pStyle w:val="2"/>
        <w:rPr>
          <w:rFonts w:hint="eastAsia"/>
        </w:rPr>
      </w:pPr>
      <w:r>
        <w:rPr>
          <w:rFonts w:hint="eastAsia"/>
        </w:rPr>
        <w:t xml:space="preserve">were largely concordant, with minor discordance in MDR and pre-XDR </w:t>
      </w:r>
    </w:p>
    <w:p w14:paraId="6474CBA2">
      <w:pPr>
        <w:pStyle w:val="2"/>
        <w:rPr>
          <w:rFonts w:hint="eastAsia"/>
        </w:rPr>
      </w:pPr>
      <w:r>
        <w:rPr>
          <w:rFonts w:hint="eastAsia"/>
        </w:rPr>
        <w:t xml:space="preserve">classification. These results highlight the resistance monitoring using WGS to </w:t>
      </w:r>
    </w:p>
    <w:p w14:paraId="586C5F0B">
      <w:pPr>
        <w:pStyle w:val="2"/>
        <w:rPr>
          <w:rFonts w:hint="eastAsia"/>
        </w:rPr>
      </w:pPr>
      <w:r>
        <w:rPr>
          <w:rFonts w:hint="eastAsia"/>
        </w:rPr>
        <w:t>inform targeted public health interventions for MDR, pre-XDR, and XDR TB.</w:t>
      </w:r>
    </w:p>
    <w:p w14:paraId="3BC24C40">
      <w:pPr>
        <w:pStyle w:val="2"/>
        <w:rPr>
          <w:rFonts w:hint="eastAsia"/>
        </w:rPr>
      </w:pPr>
    </w:p>
    <w:p w14:paraId="142392A9">
      <w:pPr>
        <w:pStyle w:val="2"/>
        <w:rPr>
          <w:rFonts w:hint="eastAsia"/>
        </w:rPr>
      </w:pPr>
      <w:r>
        <w:rPr>
          <w:rFonts w:hint="eastAsia"/>
        </w:rPr>
        <w:t>Copyright © 2026 The Authors. Published by Elsevier GmbH.. All rights reserved.</w:t>
      </w:r>
    </w:p>
    <w:p w14:paraId="3FDAD9DA">
      <w:pPr>
        <w:pStyle w:val="2"/>
        <w:rPr>
          <w:rFonts w:hint="eastAsia"/>
        </w:rPr>
      </w:pPr>
    </w:p>
    <w:p w14:paraId="39A9304B">
      <w:pPr>
        <w:pStyle w:val="2"/>
        <w:rPr>
          <w:rFonts w:hint="eastAsia"/>
        </w:rPr>
      </w:pPr>
      <w:r>
        <w:rPr>
          <w:rFonts w:hint="eastAsia"/>
        </w:rPr>
        <w:t>DOI: 10.1016/j.ijmm.2026.151748</w:t>
      </w:r>
    </w:p>
    <w:p w14:paraId="22F64BD8">
      <w:pPr>
        <w:pStyle w:val="2"/>
        <w:rPr>
          <w:rFonts w:hint="eastAsia"/>
        </w:rPr>
      </w:pPr>
      <w:r>
        <w:rPr>
          <w:rFonts w:hint="eastAsia"/>
        </w:rPr>
        <w:t>PMID: 42874225</w:t>
      </w:r>
    </w:p>
    <w:p w14:paraId="1D2DD12C">
      <w:pPr>
        <w:pStyle w:val="2"/>
        <w:rPr>
          <w:rFonts w:hint="eastAsia"/>
        </w:rPr>
      </w:pPr>
    </w:p>
    <w:p w14:paraId="522817CD">
      <w:pPr>
        <w:pStyle w:val="2"/>
        <w:rPr>
          <w:rFonts w:hint="eastAsia"/>
        </w:rPr>
      </w:pPr>
    </w:p>
    <w:p w14:paraId="39E506E6">
      <w:pPr>
        <w:pStyle w:val="2"/>
        <w:rPr>
          <w:rFonts w:hint="eastAsia"/>
        </w:rPr>
      </w:pPr>
    </w:p>
    <w:p w14:paraId="5A67B63D">
      <w:pPr>
        <w:rPr>
          <w:rFonts w:ascii="宋体" w:hAnsi="宋体" w:eastAsia="宋体" w:cs="宋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53" w:bottom="1440" w:left="175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88"/>
    <w:rsid w:val="00000EB4"/>
    <w:rsid w:val="00001BCE"/>
    <w:rsid w:val="00004FA0"/>
    <w:rsid w:val="00005480"/>
    <w:rsid w:val="0000548B"/>
    <w:rsid w:val="00005BFA"/>
    <w:rsid w:val="00006312"/>
    <w:rsid w:val="00006445"/>
    <w:rsid w:val="00006AD1"/>
    <w:rsid w:val="00007FE2"/>
    <w:rsid w:val="00010E83"/>
    <w:rsid w:val="0001109E"/>
    <w:rsid w:val="00011EE4"/>
    <w:rsid w:val="00014ACD"/>
    <w:rsid w:val="00014B97"/>
    <w:rsid w:val="00014C5C"/>
    <w:rsid w:val="000151BC"/>
    <w:rsid w:val="000163F8"/>
    <w:rsid w:val="0001793D"/>
    <w:rsid w:val="00017A03"/>
    <w:rsid w:val="00017EFF"/>
    <w:rsid w:val="00020101"/>
    <w:rsid w:val="00020316"/>
    <w:rsid w:val="0002051D"/>
    <w:rsid w:val="00021027"/>
    <w:rsid w:val="00021F93"/>
    <w:rsid w:val="00025A11"/>
    <w:rsid w:val="00026111"/>
    <w:rsid w:val="00026718"/>
    <w:rsid w:val="00030012"/>
    <w:rsid w:val="000309FE"/>
    <w:rsid w:val="000313FC"/>
    <w:rsid w:val="00032CAA"/>
    <w:rsid w:val="00032F94"/>
    <w:rsid w:val="000340CF"/>
    <w:rsid w:val="0003428A"/>
    <w:rsid w:val="00035E04"/>
    <w:rsid w:val="00036F5C"/>
    <w:rsid w:val="000370E0"/>
    <w:rsid w:val="000379B3"/>
    <w:rsid w:val="00037A3B"/>
    <w:rsid w:val="00040872"/>
    <w:rsid w:val="00042020"/>
    <w:rsid w:val="00042414"/>
    <w:rsid w:val="00042556"/>
    <w:rsid w:val="00042899"/>
    <w:rsid w:val="00044A66"/>
    <w:rsid w:val="00044B78"/>
    <w:rsid w:val="00044C28"/>
    <w:rsid w:val="00045FBC"/>
    <w:rsid w:val="000461EE"/>
    <w:rsid w:val="0004682E"/>
    <w:rsid w:val="00047272"/>
    <w:rsid w:val="000474E6"/>
    <w:rsid w:val="00047D13"/>
    <w:rsid w:val="000505E8"/>
    <w:rsid w:val="00050E61"/>
    <w:rsid w:val="00051DD5"/>
    <w:rsid w:val="000527D8"/>
    <w:rsid w:val="00052E5C"/>
    <w:rsid w:val="000531C2"/>
    <w:rsid w:val="0005401D"/>
    <w:rsid w:val="0005489E"/>
    <w:rsid w:val="00054996"/>
    <w:rsid w:val="000549F5"/>
    <w:rsid w:val="000552EE"/>
    <w:rsid w:val="000567C6"/>
    <w:rsid w:val="00056ACF"/>
    <w:rsid w:val="0006072D"/>
    <w:rsid w:val="00060930"/>
    <w:rsid w:val="00061C4E"/>
    <w:rsid w:val="00061F05"/>
    <w:rsid w:val="00062062"/>
    <w:rsid w:val="0006216E"/>
    <w:rsid w:val="0006285F"/>
    <w:rsid w:val="00063F03"/>
    <w:rsid w:val="00064D3B"/>
    <w:rsid w:val="000661FE"/>
    <w:rsid w:val="00067B6F"/>
    <w:rsid w:val="00067C37"/>
    <w:rsid w:val="00070238"/>
    <w:rsid w:val="00070407"/>
    <w:rsid w:val="0007049C"/>
    <w:rsid w:val="00071826"/>
    <w:rsid w:val="00072366"/>
    <w:rsid w:val="000724C3"/>
    <w:rsid w:val="00074388"/>
    <w:rsid w:val="00076272"/>
    <w:rsid w:val="00077EC3"/>
    <w:rsid w:val="000802F3"/>
    <w:rsid w:val="0008127A"/>
    <w:rsid w:val="000814BF"/>
    <w:rsid w:val="00082113"/>
    <w:rsid w:val="000823C5"/>
    <w:rsid w:val="00083685"/>
    <w:rsid w:val="00084FA1"/>
    <w:rsid w:val="00085FFF"/>
    <w:rsid w:val="0008630A"/>
    <w:rsid w:val="00086502"/>
    <w:rsid w:val="00087251"/>
    <w:rsid w:val="00090B3F"/>
    <w:rsid w:val="00090B53"/>
    <w:rsid w:val="0009167A"/>
    <w:rsid w:val="00091781"/>
    <w:rsid w:val="00091D4F"/>
    <w:rsid w:val="0009258E"/>
    <w:rsid w:val="00092CA5"/>
    <w:rsid w:val="00092F7F"/>
    <w:rsid w:val="00093EB4"/>
    <w:rsid w:val="000943C3"/>
    <w:rsid w:val="0009444D"/>
    <w:rsid w:val="00094774"/>
    <w:rsid w:val="00094D1C"/>
    <w:rsid w:val="0009523F"/>
    <w:rsid w:val="000961CE"/>
    <w:rsid w:val="000966AA"/>
    <w:rsid w:val="000A087D"/>
    <w:rsid w:val="000A0ACA"/>
    <w:rsid w:val="000A0F96"/>
    <w:rsid w:val="000A124E"/>
    <w:rsid w:val="000A127A"/>
    <w:rsid w:val="000A1434"/>
    <w:rsid w:val="000A1D4B"/>
    <w:rsid w:val="000A2127"/>
    <w:rsid w:val="000A2D53"/>
    <w:rsid w:val="000A2F2E"/>
    <w:rsid w:val="000A37C7"/>
    <w:rsid w:val="000A3943"/>
    <w:rsid w:val="000A3E0E"/>
    <w:rsid w:val="000A47E7"/>
    <w:rsid w:val="000A496C"/>
    <w:rsid w:val="000A4A7D"/>
    <w:rsid w:val="000A51E6"/>
    <w:rsid w:val="000A5D84"/>
    <w:rsid w:val="000A6101"/>
    <w:rsid w:val="000A72A6"/>
    <w:rsid w:val="000B00E0"/>
    <w:rsid w:val="000B0CA1"/>
    <w:rsid w:val="000B0CAE"/>
    <w:rsid w:val="000B1016"/>
    <w:rsid w:val="000B115F"/>
    <w:rsid w:val="000B13CA"/>
    <w:rsid w:val="000B16AA"/>
    <w:rsid w:val="000B18A0"/>
    <w:rsid w:val="000B2704"/>
    <w:rsid w:val="000B2997"/>
    <w:rsid w:val="000B2D0A"/>
    <w:rsid w:val="000B39CD"/>
    <w:rsid w:val="000B579D"/>
    <w:rsid w:val="000B58BE"/>
    <w:rsid w:val="000B5A38"/>
    <w:rsid w:val="000B5C58"/>
    <w:rsid w:val="000B6618"/>
    <w:rsid w:val="000B6906"/>
    <w:rsid w:val="000B6914"/>
    <w:rsid w:val="000B6D3C"/>
    <w:rsid w:val="000B7B81"/>
    <w:rsid w:val="000B7B97"/>
    <w:rsid w:val="000C04D5"/>
    <w:rsid w:val="000C1093"/>
    <w:rsid w:val="000C3590"/>
    <w:rsid w:val="000C3A90"/>
    <w:rsid w:val="000C488A"/>
    <w:rsid w:val="000C5482"/>
    <w:rsid w:val="000C614D"/>
    <w:rsid w:val="000C683A"/>
    <w:rsid w:val="000C71E1"/>
    <w:rsid w:val="000D02D3"/>
    <w:rsid w:val="000D205B"/>
    <w:rsid w:val="000D2241"/>
    <w:rsid w:val="000D2A9B"/>
    <w:rsid w:val="000D2B94"/>
    <w:rsid w:val="000D2F64"/>
    <w:rsid w:val="000D3403"/>
    <w:rsid w:val="000D5656"/>
    <w:rsid w:val="000D6450"/>
    <w:rsid w:val="000D7BF2"/>
    <w:rsid w:val="000E052F"/>
    <w:rsid w:val="000E2388"/>
    <w:rsid w:val="000E2E0D"/>
    <w:rsid w:val="000E4DF7"/>
    <w:rsid w:val="000E615C"/>
    <w:rsid w:val="000E6A33"/>
    <w:rsid w:val="000E6C23"/>
    <w:rsid w:val="000E713B"/>
    <w:rsid w:val="000F0847"/>
    <w:rsid w:val="000F0A49"/>
    <w:rsid w:val="000F0D00"/>
    <w:rsid w:val="000F1E63"/>
    <w:rsid w:val="000F1FFB"/>
    <w:rsid w:val="000F24D7"/>
    <w:rsid w:val="000F3795"/>
    <w:rsid w:val="000F39E9"/>
    <w:rsid w:val="000F3B6A"/>
    <w:rsid w:val="000F41CE"/>
    <w:rsid w:val="000F5BE2"/>
    <w:rsid w:val="000F6938"/>
    <w:rsid w:val="000F6B20"/>
    <w:rsid w:val="000F7FE8"/>
    <w:rsid w:val="001009A0"/>
    <w:rsid w:val="00100A49"/>
    <w:rsid w:val="00101FDC"/>
    <w:rsid w:val="0010360B"/>
    <w:rsid w:val="00103B38"/>
    <w:rsid w:val="001045B5"/>
    <w:rsid w:val="00104C1E"/>
    <w:rsid w:val="00104CC5"/>
    <w:rsid w:val="00106495"/>
    <w:rsid w:val="001100AE"/>
    <w:rsid w:val="001111F4"/>
    <w:rsid w:val="00112102"/>
    <w:rsid w:val="001128DA"/>
    <w:rsid w:val="00113B07"/>
    <w:rsid w:val="001146C5"/>
    <w:rsid w:val="00115AA0"/>
    <w:rsid w:val="001160B6"/>
    <w:rsid w:val="00117A55"/>
    <w:rsid w:val="00117E9C"/>
    <w:rsid w:val="00120200"/>
    <w:rsid w:val="00120C7E"/>
    <w:rsid w:val="00122BB5"/>
    <w:rsid w:val="00123084"/>
    <w:rsid w:val="0012313C"/>
    <w:rsid w:val="001232FE"/>
    <w:rsid w:val="001239BF"/>
    <w:rsid w:val="00123B2B"/>
    <w:rsid w:val="00123D14"/>
    <w:rsid w:val="00124054"/>
    <w:rsid w:val="00124203"/>
    <w:rsid w:val="00124FA0"/>
    <w:rsid w:val="001250F8"/>
    <w:rsid w:val="001258E8"/>
    <w:rsid w:val="00130332"/>
    <w:rsid w:val="00130522"/>
    <w:rsid w:val="00131064"/>
    <w:rsid w:val="00131D02"/>
    <w:rsid w:val="00131F89"/>
    <w:rsid w:val="00132F05"/>
    <w:rsid w:val="0013385F"/>
    <w:rsid w:val="00133BD7"/>
    <w:rsid w:val="00133F6C"/>
    <w:rsid w:val="0013533E"/>
    <w:rsid w:val="00135AEE"/>
    <w:rsid w:val="00135C60"/>
    <w:rsid w:val="00135D11"/>
    <w:rsid w:val="00137D90"/>
    <w:rsid w:val="001400DC"/>
    <w:rsid w:val="00141D76"/>
    <w:rsid w:val="00142DC2"/>
    <w:rsid w:val="00143C23"/>
    <w:rsid w:val="00143FFB"/>
    <w:rsid w:val="001442A6"/>
    <w:rsid w:val="0014482B"/>
    <w:rsid w:val="00144C21"/>
    <w:rsid w:val="00145536"/>
    <w:rsid w:val="00145858"/>
    <w:rsid w:val="001460E6"/>
    <w:rsid w:val="001462BE"/>
    <w:rsid w:val="0014644D"/>
    <w:rsid w:val="00147542"/>
    <w:rsid w:val="00147E95"/>
    <w:rsid w:val="0015022B"/>
    <w:rsid w:val="00151492"/>
    <w:rsid w:val="0015230D"/>
    <w:rsid w:val="00152842"/>
    <w:rsid w:val="00152DAF"/>
    <w:rsid w:val="00152FFB"/>
    <w:rsid w:val="0015436D"/>
    <w:rsid w:val="0015447B"/>
    <w:rsid w:val="00154EEE"/>
    <w:rsid w:val="001555BE"/>
    <w:rsid w:val="00155DAB"/>
    <w:rsid w:val="0016036F"/>
    <w:rsid w:val="00160D5D"/>
    <w:rsid w:val="00161C58"/>
    <w:rsid w:val="00162024"/>
    <w:rsid w:val="00162396"/>
    <w:rsid w:val="00162E0B"/>
    <w:rsid w:val="001631D1"/>
    <w:rsid w:val="00163933"/>
    <w:rsid w:val="001640F5"/>
    <w:rsid w:val="00165111"/>
    <w:rsid w:val="00166D15"/>
    <w:rsid w:val="00166F6B"/>
    <w:rsid w:val="0016722E"/>
    <w:rsid w:val="001678E4"/>
    <w:rsid w:val="00170981"/>
    <w:rsid w:val="00170E44"/>
    <w:rsid w:val="0017293C"/>
    <w:rsid w:val="001730B3"/>
    <w:rsid w:val="00174CD2"/>
    <w:rsid w:val="00176DAB"/>
    <w:rsid w:val="00176EA2"/>
    <w:rsid w:val="00176EA9"/>
    <w:rsid w:val="001770AB"/>
    <w:rsid w:val="00177782"/>
    <w:rsid w:val="00177890"/>
    <w:rsid w:val="00180BC2"/>
    <w:rsid w:val="00182C81"/>
    <w:rsid w:val="001835CE"/>
    <w:rsid w:val="001840C6"/>
    <w:rsid w:val="00184BE2"/>
    <w:rsid w:val="00185015"/>
    <w:rsid w:val="00185DA7"/>
    <w:rsid w:val="001861C1"/>
    <w:rsid w:val="0018793A"/>
    <w:rsid w:val="00187D7F"/>
    <w:rsid w:val="00187F13"/>
    <w:rsid w:val="00190F37"/>
    <w:rsid w:val="0019686E"/>
    <w:rsid w:val="001A062A"/>
    <w:rsid w:val="001A19AA"/>
    <w:rsid w:val="001A19C3"/>
    <w:rsid w:val="001A24D1"/>
    <w:rsid w:val="001A287C"/>
    <w:rsid w:val="001A2B93"/>
    <w:rsid w:val="001A4CD3"/>
    <w:rsid w:val="001A5A10"/>
    <w:rsid w:val="001A61FD"/>
    <w:rsid w:val="001A7D2B"/>
    <w:rsid w:val="001A7F64"/>
    <w:rsid w:val="001B0C50"/>
    <w:rsid w:val="001B1917"/>
    <w:rsid w:val="001B2378"/>
    <w:rsid w:val="001B2393"/>
    <w:rsid w:val="001B2CC5"/>
    <w:rsid w:val="001B2E1D"/>
    <w:rsid w:val="001B3B23"/>
    <w:rsid w:val="001B407D"/>
    <w:rsid w:val="001B48FB"/>
    <w:rsid w:val="001B6473"/>
    <w:rsid w:val="001B6AA0"/>
    <w:rsid w:val="001C143E"/>
    <w:rsid w:val="001C2157"/>
    <w:rsid w:val="001C2709"/>
    <w:rsid w:val="001C3A11"/>
    <w:rsid w:val="001C4AAF"/>
    <w:rsid w:val="001C5349"/>
    <w:rsid w:val="001C55D4"/>
    <w:rsid w:val="001C6150"/>
    <w:rsid w:val="001C71B1"/>
    <w:rsid w:val="001D094C"/>
    <w:rsid w:val="001D12AE"/>
    <w:rsid w:val="001D135A"/>
    <w:rsid w:val="001D193B"/>
    <w:rsid w:val="001D1977"/>
    <w:rsid w:val="001D1E65"/>
    <w:rsid w:val="001D20AE"/>
    <w:rsid w:val="001D243D"/>
    <w:rsid w:val="001D35E3"/>
    <w:rsid w:val="001D3C91"/>
    <w:rsid w:val="001D49D4"/>
    <w:rsid w:val="001D4AFF"/>
    <w:rsid w:val="001D5338"/>
    <w:rsid w:val="001D6792"/>
    <w:rsid w:val="001D680A"/>
    <w:rsid w:val="001D6B99"/>
    <w:rsid w:val="001D6E95"/>
    <w:rsid w:val="001D7211"/>
    <w:rsid w:val="001E002A"/>
    <w:rsid w:val="001E0F47"/>
    <w:rsid w:val="001E184B"/>
    <w:rsid w:val="001E2408"/>
    <w:rsid w:val="001E3564"/>
    <w:rsid w:val="001E4549"/>
    <w:rsid w:val="001E4901"/>
    <w:rsid w:val="001E4B76"/>
    <w:rsid w:val="001E6B7F"/>
    <w:rsid w:val="001E6C66"/>
    <w:rsid w:val="001E7DBB"/>
    <w:rsid w:val="001E7F12"/>
    <w:rsid w:val="001F0B99"/>
    <w:rsid w:val="001F0D20"/>
    <w:rsid w:val="001F13B5"/>
    <w:rsid w:val="001F1AB3"/>
    <w:rsid w:val="001F1DDA"/>
    <w:rsid w:val="001F223F"/>
    <w:rsid w:val="001F3009"/>
    <w:rsid w:val="001F468E"/>
    <w:rsid w:val="001F47BE"/>
    <w:rsid w:val="001F7758"/>
    <w:rsid w:val="001F7BC3"/>
    <w:rsid w:val="002014D3"/>
    <w:rsid w:val="002017C2"/>
    <w:rsid w:val="00201C77"/>
    <w:rsid w:val="00202B36"/>
    <w:rsid w:val="00203139"/>
    <w:rsid w:val="0020332A"/>
    <w:rsid w:val="00203479"/>
    <w:rsid w:val="002035B2"/>
    <w:rsid w:val="00203A11"/>
    <w:rsid w:val="00204451"/>
    <w:rsid w:val="0020501F"/>
    <w:rsid w:val="0020526D"/>
    <w:rsid w:val="00206168"/>
    <w:rsid w:val="00207270"/>
    <w:rsid w:val="00210B36"/>
    <w:rsid w:val="00211D14"/>
    <w:rsid w:val="00212490"/>
    <w:rsid w:val="0021250D"/>
    <w:rsid w:val="00212E84"/>
    <w:rsid w:val="002140A1"/>
    <w:rsid w:val="00214B74"/>
    <w:rsid w:val="00214C10"/>
    <w:rsid w:val="0021558B"/>
    <w:rsid w:val="00215646"/>
    <w:rsid w:val="00217583"/>
    <w:rsid w:val="00217D7F"/>
    <w:rsid w:val="00217EAC"/>
    <w:rsid w:val="00220375"/>
    <w:rsid w:val="00220876"/>
    <w:rsid w:val="002208AD"/>
    <w:rsid w:val="00222583"/>
    <w:rsid w:val="00222BD1"/>
    <w:rsid w:val="00223A24"/>
    <w:rsid w:val="002245BB"/>
    <w:rsid w:val="00224620"/>
    <w:rsid w:val="002246DD"/>
    <w:rsid w:val="002253AA"/>
    <w:rsid w:val="00225946"/>
    <w:rsid w:val="002259F8"/>
    <w:rsid w:val="00225AA2"/>
    <w:rsid w:val="00225FCA"/>
    <w:rsid w:val="00227A3A"/>
    <w:rsid w:val="00227B06"/>
    <w:rsid w:val="00230527"/>
    <w:rsid w:val="002307EA"/>
    <w:rsid w:val="002310DD"/>
    <w:rsid w:val="002327BB"/>
    <w:rsid w:val="00232D13"/>
    <w:rsid w:val="002341B8"/>
    <w:rsid w:val="00234622"/>
    <w:rsid w:val="002354A4"/>
    <w:rsid w:val="00235C0D"/>
    <w:rsid w:val="0023625F"/>
    <w:rsid w:val="002374E2"/>
    <w:rsid w:val="00237947"/>
    <w:rsid w:val="00237F69"/>
    <w:rsid w:val="0024041B"/>
    <w:rsid w:val="0024169A"/>
    <w:rsid w:val="00241991"/>
    <w:rsid w:val="00241AAF"/>
    <w:rsid w:val="00241CCB"/>
    <w:rsid w:val="00241EF5"/>
    <w:rsid w:val="00243AAC"/>
    <w:rsid w:val="00243CAB"/>
    <w:rsid w:val="00245848"/>
    <w:rsid w:val="00247A30"/>
    <w:rsid w:val="00247DD5"/>
    <w:rsid w:val="00251D15"/>
    <w:rsid w:val="00252055"/>
    <w:rsid w:val="0025206B"/>
    <w:rsid w:val="002521B7"/>
    <w:rsid w:val="002531F0"/>
    <w:rsid w:val="0025385D"/>
    <w:rsid w:val="00254746"/>
    <w:rsid w:val="002549C3"/>
    <w:rsid w:val="002553EB"/>
    <w:rsid w:val="002560F7"/>
    <w:rsid w:val="00261FA0"/>
    <w:rsid w:val="002625F3"/>
    <w:rsid w:val="002627B3"/>
    <w:rsid w:val="0026297A"/>
    <w:rsid w:val="002644D4"/>
    <w:rsid w:val="00264B9F"/>
    <w:rsid w:val="00264CEA"/>
    <w:rsid w:val="00264E19"/>
    <w:rsid w:val="00265139"/>
    <w:rsid w:val="00266E21"/>
    <w:rsid w:val="00267E57"/>
    <w:rsid w:val="00270108"/>
    <w:rsid w:val="00270744"/>
    <w:rsid w:val="00270A23"/>
    <w:rsid w:val="002722A7"/>
    <w:rsid w:val="002728C5"/>
    <w:rsid w:val="00273A9C"/>
    <w:rsid w:val="0027416D"/>
    <w:rsid w:val="00274293"/>
    <w:rsid w:val="00275956"/>
    <w:rsid w:val="00275EC1"/>
    <w:rsid w:val="00277AFE"/>
    <w:rsid w:val="00277F10"/>
    <w:rsid w:val="0028042B"/>
    <w:rsid w:val="00280E39"/>
    <w:rsid w:val="00280F31"/>
    <w:rsid w:val="00281CB1"/>
    <w:rsid w:val="0028209D"/>
    <w:rsid w:val="0028230D"/>
    <w:rsid w:val="00282B0E"/>
    <w:rsid w:val="00282F1F"/>
    <w:rsid w:val="0028314F"/>
    <w:rsid w:val="0028424E"/>
    <w:rsid w:val="002848FA"/>
    <w:rsid w:val="00285197"/>
    <w:rsid w:val="00285319"/>
    <w:rsid w:val="00285E4E"/>
    <w:rsid w:val="0028600C"/>
    <w:rsid w:val="00286550"/>
    <w:rsid w:val="00286887"/>
    <w:rsid w:val="002868D6"/>
    <w:rsid w:val="00286A29"/>
    <w:rsid w:val="002874B2"/>
    <w:rsid w:val="002874EE"/>
    <w:rsid w:val="00287640"/>
    <w:rsid w:val="00290B6B"/>
    <w:rsid w:val="00290E55"/>
    <w:rsid w:val="00290E94"/>
    <w:rsid w:val="00292A20"/>
    <w:rsid w:val="00292BA6"/>
    <w:rsid w:val="00294663"/>
    <w:rsid w:val="00295075"/>
    <w:rsid w:val="00295697"/>
    <w:rsid w:val="00295B81"/>
    <w:rsid w:val="00295B85"/>
    <w:rsid w:val="0029689E"/>
    <w:rsid w:val="00296D7C"/>
    <w:rsid w:val="00296E3B"/>
    <w:rsid w:val="00297519"/>
    <w:rsid w:val="00297B5A"/>
    <w:rsid w:val="00297DED"/>
    <w:rsid w:val="002A042C"/>
    <w:rsid w:val="002A07FE"/>
    <w:rsid w:val="002A0E2E"/>
    <w:rsid w:val="002A0F6A"/>
    <w:rsid w:val="002A1472"/>
    <w:rsid w:val="002A1A26"/>
    <w:rsid w:val="002A1AAB"/>
    <w:rsid w:val="002A1B06"/>
    <w:rsid w:val="002A3C42"/>
    <w:rsid w:val="002A41A5"/>
    <w:rsid w:val="002A547E"/>
    <w:rsid w:val="002A5D78"/>
    <w:rsid w:val="002A65AC"/>
    <w:rsid w:val="002A75CF"/>
    <w:rsid w:val="002A7D07"/>
    <w:rsid w:val="002B16D1"/>
    <w:rsid w:val="002B18EF"/>
    <w:rsid w:val="002B1A87"/>
    <w:rsid w:val="002B3BDD"/>
    <w:rsid w:val="002B3D2D"/>
    <w:rsid w:val="002B4B9B"/>
    <w:rsid w:val="002B5B8F"/>
    <w:rsid w:val="002B6556"/>
    <w:rsid w:val="002B7F0A"/>
    <w:rsid w:val="002C0EEC"/>
    <w:rsid w:val="002C2226"/>
    <w:rsid w:val="002C3527"/>
    <w:rsid w:val="002C589E"/>
    <w:rsid w:val="002C6147"/>
    <w:rsid w:val="002C656A"/>
    <w:rsid w:val="002C6883"/>
    <w:rsid w:val="002C6919"/>
    <w:rsid w:val="002C6A30"/>
    <w:rsid w:val="002C729F"/>
    <w:rsid w:val="002D063A"/>
    <w:rsid w:val="002D1294"/>
    <w:rsid w:val="002D1B15"/>
    <w:rsid w:val="002D259B"/>
    <w:rsid w:val="002D2D2F"/>
    <w:rsid w:val="002D31AF"/>
    <w:rsid w:val="002D38DC"/>
    <w:rsid w:val="002D3BE5"/>
    <w:rsid w:val="002D3C81"/>
    <w:rsid w:val="002D465E"/>
    <w:rsid w:val="002D4F47"/>
    <w:rsid w:val="002D538B"/>
    <w:rsid w:val="002D5586"/>
    <w:rsid w:val="002D5B3D"/>
    <w:rsid w:val="002D724F"/>
    <w:rsid w:val="002D7ADC"/>
    <w:rsid w:val="002E0C52"/>
    <w:rsid w:val="002E131C"/>
    <w:rsid w:val="002E1548"/>
    <w:rsid w:val="002E1CF6"/>
    <w:rsid w:val="002E1DE8"/>
    <w:rsid w:val="002E27A4"/>
    <w:rsid w:val="002E28FD"/>
    <w:rsid w:val="002E3CE7"/>
    <w:rsid w:val="002E40C2"/>
    <w:rsid w:val="002E75F4"/>
    <w:rsid w:val="002E7B15"/>
    <w:rsid w:val="002E7C80"/>
    <w:rsid w:val="002F014F"/>
    <w:rsid w:val="002F1E20"/>
    <w:rsid w:val="002F2207"/>
    <w:rsid w:val="002F3F3D"/>
    <w:rsid w:val="002F476D"/>
    <w:rsid w:val="002F53B0"/>
    <w:rsid w:val="002F6002"/>
    <w:rsid w:val="002F7D45"/>
    <w:rsid w:val="00300B54"/>
    <w:rsid w:val="00300C4C"/>
    <w:rsid w:val="00300CA5"/>
    <w:rsid w:val="00300DAB"/>
    <w:rsid w:val="00301687"/>
    <w:rsid w:val="003029A2"/>
    <w:rsid w:val="00302A36"/>
    <w:rsid w:val="003030D7"/>
    <w:rsid w:val="00303164"/>
    <w:rsid w:val="003040D8"/>
    <w:rsid w:val="0030565A"/>
    <w:rsid w:val="0030587F"/>
    <w:rsid w:val="00305F0C"/>
    <w:rsid w:val="003064FE"/>
    <w:rsid w:val="003074D8"/>
    <w:rsid w:val="003077B3"/>
    <w:rsid w:val="00307B01"/>
    <w:rsid w:val="00307B4A"/>
    <w:rsid w:val="00311A67"/>
    <w:rsid w:val="00311FA9"/>
    <w:rsid w:val="003126AE"/>
    <w:rsid w:val="00312C1D"/>
    <w:rsid w:val="00312E3F"/>
    <w:rsid w:val="0031350B"/>
    <w:rsid w:val="00313587"/>
    <w:rsid w:val="003142FD"/>
    <w:rsid w:val="003146B0"/>
    <w:rsid w:val="003146D6"/>
    <w:rsid w:val="00314966"/>
    <w:rsid w:val="00314BE0"/>
    <w:rsid w:val="00314F1F"/>
    <w:rsid w:val="0031631B"/>
    <w:rsid w:val="00316533"/>
    <w:rsid w:val="00317ED1"/>
    <w:rsid w:val="003209BB"/>
    <w:rsid w:val="003215E0"/>
    <w:rsid w:val="003220BD"/>
    <w:rsid w:val="003226F0"/>
    <w:rsid w:val="0032285D"/>
    <w:rsid w:val="00322D2F"/>
    <w:rsid w:val="0032331B"/>
    <w:rsid w:val="00323932"/>
    <w:rsid w:val="00325675"/>
    <w:rsid w:val="00325F86"/>
    <w:rsid w:val="003269F0"/>
    <w:rsid w:val="003278EB"/>
    <w:rsid w:val="00327C93"/>
    <w:rsid w:val="00330401"/>
    <w:rsid w:val="00330A46"/>
    <w:rsid w:val="0033263C"/>
    <w:rsid w:val="00332F79"/>
    <w:rsid w:val="00333688"/>
    <w:rsid w:val="00333A35"/>
    <w:rsid w:val="00334B36"/>
    <w:rsid w:val="003356DC"/>
    <w:rsid w:val="00335CCC"/>
    <w:rsid w:val="00335F35"/>
    <w:rsid w:val="003363F3"/>
    <w:rsid w:val="00336859"/>
    <w:rsid w:val="00336944"/>
    <w:rsid w:val="003372AB"/>
    <w:rsid w:val="00337545"/>
    <w:rsid w:val="0033783D"/>
    <w:rsid w:val="003406AB"/>
    <w:rsid w:val="00341F54"/>
    <w:rsid w:val="00342039"/>
    <w:rsid w:val="00342091"/>
    <w:rsid w:val="00342913"/>
    <w:rsid w:val="0034466B"/>
    <w:rsid w:val="00344804"/>
    <w:rsid w:val="00346EFA"/>
    <w:rsid w:val="00350F89"/>
    <w:rsid w:val="003529D4"/>
    <w:rsid w:val="003535CE"/>
    <w:rsid w:val="003541CB"/>
    <w:rsid w:val="0036034D"/>
    <w:rsid w:val="00360C14"/>
    <w:rsid w:val="0036168A"/>
    <w:rsid w:val="00362B9A"/>
    <w:rsid w:val="00362EE3"/>
    <w:rsid w:val="003645BC"/>
    <w:rsid w:val="003648C3"/>
    <w:rsid w:val="00364A17"/>
    <w:rsid w:val="00364EE5"/>
    <w:rsid w:val="00365E7B"/>
    <w:rsid w:val="0036630B"/>
    <w:rsid w:val="0036772D"/>
    <w:rsid w:val="00370021"/>
    <w:rsid w:val="00370067"/>
    <w:rsid w:val="00370FE4"/>
    <w:rsid w:val="003712DE"/>
    <w:rsid w:val="003718DB"/>
    <w:rsid w:val="00372093"/>
    <w:rsid w:val="003736DE"/>
    <w:rsid w:val="003738F1"/>
    <w:rsid w:val="00375393"/>
    <w:rsid w:val="003759FA"/>
    <w:rsid w:val="00375EDD"/>
    <w:rsid w:val="00376FA2"/>
    <w:rsid w:val="00377122"/>
    <w:rsid w:val="003777B5"/>
    <w:rsid w:val="0038000A"/>
    <w:rsid w:val="0038007F"/>
    <w:rsid w:val="00380B8A"/>
    <w:rsid w:val="00380E38"/>
    <w:rsid w:val="00380E48"/>
    <w:rsid w:val="0038188B"/>
    <w:rsid w:val="00381BDE"/>
    <w:rsid w:val="00381CCA"/>
    <w:rsid w:val="00383DE7"/>
    <w:rsid w:val="00384F9F"/>
    <w:rsid w:val="0038579F"/>
    <w:rsid w:val="00385874"/>
    <w:rsid w:val="0038597F"/>
    <w:rsid w:val="003909A2"/>
    <w:rsid w:val="00391EB5"/>
    <w:rsid w:val="00392265"/>
    <w:rsid w:val="00392AC6"/>
    <w:rsid w:val="00393A15"/>
    <w:rsid w:val="00393DEA"/>
    <w:rsid w:val="003946E6"/>
    <w:rsid w:val="00394EE4"/>
    <w:rsid w:val="00396814"/>
    <w:rsid w:val="00396D0C"/>
    <w:rsid w:val="00397151"/>
    <w:rsid w:val="00397B01"/>
    <w:rsid w:val="00397FD1"/>
    <w:rsid w:val="003A0553"/>
    <w:rsid w:val="003A0926"/>
    <w:rsid w:val="003A1FAA"/>
    <w:rsid w:val="003A1FFA"/>
    <w:rsid w:val="003A444E"/>
    <w:rsid w:val="003A58E9"/>
    <w:rsid w:val="003A78A7"/>
    <w:rsid w:val="003A79FB"/>
    <w:rsid w:val="003B0585"/>
    <w:rsid w:val="003B066E"/>
    <w:rsid w:val="003B0F3B"/>
    <w:rsid w:val="003B14F6"/>
    <w:rsid w:val="003B1A72"/>
    <w:rsid w:val="003B2353"/>
    <w:rsid w:val="003B2FBC"/>
    <w:rsid w:val="003B3FE2"/>
    <w:rsid w:val="003B42D8"/>
    <w:rsid w:val="003B4B60"/>
    <w:rsid w:val="003B5AED"/>
    <w:rsid w:val="003B7E64"/>
    <w:rsid w:val="003B7EE8"/>
    <w:rsid w:val="003C18CE"/>
    <w:rsid w:val="003C237E"/>
    <w:rsid w:val="003C323A"/>
    <w:rsid w:val="003C3D28"/>
    <w:rsid w:val="003C455F"/>
    <w:rsid w:val="003C4CED"/>
    <w:rsid w:val="003C5A64"/>
    <w:rsid w:val="003C750E"/>
    <w:rsid w:val="003C7907"/>
    <w:rsid w:val="003C7F17"/>
    <w:rsid w:val="003D03AE"/>
    <w:rsid w:val="003D0460"/>
    <w:rsid w:val="003D04A0"/>
    <w:rsid w:val="003D070F"/>
    <w:rsid w:val="003D09D8"/>
    <w:rsid w:val="003D1089"/>
    <w:rsid w:val="003D1633"/>
    <w:rsid w:val="003D1D73"/>
    <w:rsid w:val="003D357E"/>
    <w:rsid w:val="003D46F1"/>
    <w:rsid w:val="003D5569"/>
    <w:rsid w:val="003D6513"/>
    <w:rsid w:val="003E00FA"/>
    <w:rsid w:val="003E083A"/>
    <w:rsid w:val="003E1C2A"/>
    <w:rsid w:val="003E3CDD"/>
    <w:rsid w:val="003E4726"/>
    <w:rsid w:val="003E4DBD"/>
    <w:rsid w:val="003E6317"/>
    <w:rsid w:val="003E71B7"/>
    <w:rsid w:val="003E7B60"/>
    <w:rsid w:val="003E7ED3"/>
    <w:rsid w:val="003E7F6D"/>
    <w:rsid w:val="003F0272"/>
    <w:rsid w:val="003F031F"/>
    <w:rsid w:val="003F08C1"/>
    <w:rsid w:val="003F0AD7"/>
    <w:rsid w:val="003F2BA8"/>
    <w:rsid w:val="003F4118"/>
    <w:rsid w:val="003F4499"/>
    <w:rsid w:val="003F5554"/>
    <w:rsid w:val="003F57D2"/>
    <w:rsid w:val="00401169"/>
    <w:rsid w:val="00401365"/>
    <w:rsid w:val="00401A85"/>
    <w:rsid w:val="00403465"/>
    <w:rsid w:val="00406903"/>
    <w:rsid w:val="0040767C"/>
    <w:rsid w:val="00407CFA"/>
    <w:rsid w:val="004101F1"/>
    <w:rsid w:val="00410F68"/>
    <w:rsid w:val="0041101A"/>
    <w:rsid w:val="00411B7C"/>
    <w:rsid w:val="004151E5"/>
    <w:rsid w:val="00415641"/>
    <w:rsid w:val="00415C72"/>
    <w:rsid w:val="00417747"/>
    <w:rsid w:val="00417B69"/>
    <w:rsid w:val="00417BBC"/>
    <w:rsid w:val="004209F6"/>
    <w:rsid w:val="00420CA6"/>
    <w:rsid w:val="00421470"/>
    <w:rsid w:val="00421A67"/>
    <w:rsid w:val="004226A8"/>
    <w:rsid w:val="00422E27"/>
    <w:rsid w:val="00423A83"/>
    <w:rsid w:val="004241F2"/>
    <w:rsid w:val="00427072"/>
    <w:rsid w:val="00427D12"/>
    <w:rsid w:val="00430C9D"/>
    <w:rsid w:val="00431303"/>
    <w:rsid w:val="00431605"/>
    <w:rsid w:val="004317E7"/>
    <w:rsid w:val="00431BD7"/>
    <w:rsid w:val="0043259D"/>
    <w:rsid w:val="004326CB"/>
    <w:rsid w:val="0043364E"/>
    <w:rsid w:val="004337CA"/>
    <w:rsid w:val="004339F5"/>
    <w:rsid w:val="00434DB0"/>
    <w:rsid w:val="0043521F"/>
    <w:rsid w:val="004369E9"/>
    <w:rsid w:val="00437FB0"/>
    <w:rsid w:val="00440A9B"/>
    <w:rsid w:val="00441CB7"/>
    <w:rsid w:val="00442959"/>
    <w:rsid w:val="00442B95"/>
    <w:rsid w:val="00443E05"/>
    <w:rsid w:val="004440BA"/>
    <w:rsid w:val="004450FB"/>
    <w:rsid w:val="00445797"/>
    <w:rsid w:val="00445F7F"/>
    <w:rsid w:val="0044721A"/>
    <w:rsid w:val="00447302"/>
    <w:rsid w:val="0044758E"/>
    <w:rsid w:val="004476CA"/>
    <w:rsid w:val="00447F3E"/>
    <w:rsid w:val="004504D9"/>
    <w:rsid w:val="00451AAB"/>
    <w:rsid w:val="0045391C"/>
    <w:rsid w:val="00453DFE"/>
    <w:rsid w:val="00454592"/>
    <w:rsid w:val="00455971"/>
    <w:rsid w:val="00456CD2"/>
    <w:rsid w:val="00457209"/>
    <w:rsid w:val="00457EE1"/>
    <w:rsid w:val="004600C7"/>
    <w:rsid w:val="0046037D"/>
    <w:rsid w:val="004607EA"/>
    <w:rsid w:val="004610B6"/>
    <w:rsid w:val="004638B4"/>
    <w:rsid w:val="00463D21"/>
    <w:rsid w:val="00463E85"/>
    <w:rsid w:val="00465181"/>
    <w:rsid w:val="004656EA"/>
    <w:rsid w:val="00465FAF"/>
    <w:rsid w:val="00466B16"/>
    <w:rsid w:val="00466CA2"/>
    <w:rsid w:val="00467E83"/>
    <w:rsid w:val="00470778"/>
    <w:rsid w:val="00470B22"/>
    <w:rsid w:val="004716E4"/>
    <w:rsid w:val="0047269D"/>
    <w:rsid w:val="00472728"/>
    <w:rsid w:val="00472B29"/>
    <w:rsid w:val="00472DC5"/>
    <w:rsid w:val="00473003"/>
    <w:rsid w:val="00473333"/>
    <w:rsid w:val="0047337D"/>
    <w:rsid w:val="00473D73"/>
    <w:rsid w:val="004743FF"/>
    <w:rsid w:val="00474913"/>
    <w:rsid w:val="00474C3C"/>
    <w:rsid w:val="00475D28"/>
    <w:rsid w:val="004762C9"/>
    <w:rsid w:val="00476368"/>
    <w:rsid w:val="004776FB"/>
    <w:rsid w:val="004779D6"/>
    <w:rsid w:val="00480FE5"/>
    <w:rsid w:val="00481EE3"/>
    <w:rsid w:val="004822D6"/>
    <w:rsid w:val="0048348C"/>
    <w:rsid w:val="0048387A"/>
    <w:rsid w:val="00483D06"/>
    <w:rsid w:val="004841C3"/>
    <w:rsid w:val="004843C9"/>
    <w:rsid w:val="0048441B"/>
    <w:rsid w:val="00486346"/>
    <w:rsid w:val="004876BB"/>
    <w:rsid w:val="00487B5D"/>
    <w:rsid w:val="00487D04"/>
    <w:rsid w:val="004901C9"/>
    <w:rsid w:val="00490B2D"/>
    <w:rsid w:val="00491411"/>
    <w:rsid w:val="00491706"/>
    <w:rsid w:val="00493AC3"/>
    <w:rsid w:val="00493E36"/>
    <w:rsid w:val="00495E53"/>
    <w:rsid w:val="00496279"/>
    <w:rsid w:val="004962D2"/>
    <w:rsid w:val="00496518"/>
    <w:rsid w:val="00496A6E"/>
    <w:rsid w:val="004977DA"/>
    <w:rsid w:val="004A016E"/>
    <w:rsid w:val="004A09AB"/>
    <w:rsid w:val="004A1372"/>
    <w:rsid w:val="004A170F"/>
    <w:rsid w:val="004A2A82"/>
    <w:rsid w:val="004A4DB0"/>
    <w:rsid w:val="004A519B"/>
    <w:rsid w:val="004A53E7"/>
    <w:rsid w:val="004A5A3E"/>
    <w:rsid w:val="004A7F7B"/>
    <w:rsid w:val="004A7FBC"/>
    <w:rsid w:val="004B18EA"/>
    <w:rsid w:val="004B1D4D"/>
    <w:rsid w:val="004B350E"/>
    <w:rsid w:val="004B37DE"/>
    <w:rsid w:val="004B4871"/>
    <w:rsid w:val="004B5059"/>
    <w:rsid w:val="004B5B91"/>
    <w:rsid w:val="004B5DF7"/>
    <w:rsid w:val="004B5EFA"/>
    <w:rsid w:val="004B6026"/>
    <w:rsid w:val="004B6861"/>
    <w:rsid w:val="004B7990"/>
    <w:rsid w:val="004B7CF2"/>
    <w:rsid w:val="004C0279"/>
    <w:rsid w:val="004C036D"/>
    <w:rsid w:val="004C0B6E"/>
    <w:rsid w:val="004C1340"/>
    <w:rsid w:val="004C1FE4"/>
    <w:rsid w:val="004C2F84"/>
    <w:rsid w:val="004C3887"/>
    <w:rsid w:val="004C38BD"/>
    <w:rsid w:val="004C3D5D"/>
    <w:rsid w:val="004C3EBD"/>
    <w:rsid w:val="004C44E8"/>
    <w:rsid w:val="004C498E"/>
    <w:rsid w:val="004C4F6F"/>
    <w:rsid w:val="004C5885"/>
    <w:rsid w:val="004C6DDA"/>
    <w:rsid w:val="004C6F15"/>
    <w:rsid w:val="004D13E4"/>
    <w:rsid w:val="004D1EFB"/>
    <w:rsid w:val="004D3490"/>
    <w:rsid w:val="004D499C"/>
    <w:rsid w:val="004D55EA"/>
    <w:rsid w:val="004D716B"/>
    <w:rsid w:val="004D759F"/>
    <w:rsid w:val="004D7C05"/>
    <w:rsid w:val="004E006F"/>
    <w:rsid w:val="004E06C3"/>
    <w:rsid w:val="004E0F3C"/>
    <w:rsid w:val="004E1549"/>
    <w:rsid w:val="004E16E6"/>
    <w:rsid w:val="004E38B3"/>
    <w:rsid w:val="004E39F3"/>
    <w:rsid w:val="004E3AA1"/>
    <w:rsid w:val="004E3BEC"/>
    <w:rsid w:val="004E58E5"/>
    <w:rsid w:val="004E6304"/>
    <w:rsid w:val="004E64F0"/>
    <w:rsid w:val="004E6833"/>
    <w:rsid w:val="004E6FA6"/>
    <w:rsid w:val="004E723F"/>
    <w:rsid w:val="004E7A20"/>
    <w:rsid w:val="004F0CA6"/>
    <w:rsid w:val="004F1C58"/>
    <w:rsid w:val="004F1E5E"/>
    <w:rsid w:val="004F2478"/>
    <w:rsid w:val="004F2E12"/>
    <w:rsid w:val="004F3262"/>
    <w:rsid w:val="004F332B"/>
    <w:rsid w:val="004F3330"/>
    <w:rsid w:val="004F36A2"/>
    <w:rsid w:val="004F3E69"/>
    <w:rsid w:val="004F40F4"/>
    <w:rsid w:val="004F41D3"/>
    <w:rsid w:val="004F4C4D"/>
    <w:rsid w:val="004F4EBC"/>
    <w:rsid w:val="004F57F1"/>
    <w:rsid w:val="004F5A8B"/>
    <w:rsid w:val="004F5D28"/>
    <w:rsid w:val="004F6376"/>
    <w:rsid w:val="004F7CB6"/>
    <w:rsid w:val="004F7F18"/>
    <w:rsid w:val="00500140"/>
    <w:rsid w:val="00500BE7"/>
    <w:rsid w:val="00500F3F"/>
    <w:rsid w:val="00501280"/>
    <w:rsid w:val="00501308"/>
    <w:rsid w:val="00502292"/>
    <w:rsid w:val="00502897"/>
    <w:rsid w:val="00503AE4"/>
    <w:rsid w:val="00503D99"/>
    <w:rsid w:val="005045BA"/>
    <w:rsid w:val="00505213"/>
    <w:rsid w:val="0050552F"/>
    <w:rsid w:val="00505661"/>
    <w:rsid w:val="00505AA2"/>
    <w:rsid w:val="005062F4"/>
    <w:rsid w:val="00510435"/>
    <w:rsid w:val="00510FA6"/>
    <w:rsid w:val="005119D2"/>
    <w:rsid w:val="00512AB0"/>
    <w:rsid w:val="005131D8"/>
    <w:rsid w:val="00514976"/>
    <w:rsid w:val="00516177"/>
    <w:rsid w:val="00520E52"/>
    <w:rsid w:val="00520FC7"/>
    <w:rsid w:val="005227BB"/>
    <w:rsid w:val="0052307E"/>
    <w:rsid w:val="00523642"/>
    <w:rsid w:val="00524110"/>
    <w:rsid w:val="005256F9"/>
    <w:rsid w:val="00526B7C"/>
    <w:rsid w:val="00527B5D"/>
    <w:rsid w:val="00527D60"/>
    <w:rsid w:val="00531720"/>
    <w:rsid w:val="0053254B"/>
    <w:rsid w:val="00532DDD"/>
    <w:rsid w:val="0053308B"/>
    <w:rsid w:val="005343D5"/>
    <w:rsid w:val="00534F88"/>
    <w:rsid w:val="00536087"/>
    <w:rsid w:val="00537779"/>
    <w:rsid w:val="00542E4A"/>
    <w:rsid w:val="00543083"/>
    <w:rsid w:val="005434E7"/>
    <w:rsid w:val="005440A1"/>
    <w:rsid w:val="00544FD6"/>
    <w:rsid w:val="0054651E"/>
    <w:rsid w:val="005500BE"/>
    <w:rsid w:val="005500FD"/>
    <w:rsid w:val="00550355"/>
    <w:rsid w:val="0055091D"/>
    <w:rsid w:val="0055158B"/>
    <w:rsid w:val="0055176C"/>
    <w:rsid w:val="00552259"/>
    <w:rsid w:val="00552BCF"/>
    <w:rsid w:val="005533A6"/>
    <w:rsid w:val="00553431"/>
    <w:rsid w:val="00555475"/>
    <w:rsid w:val="005559FD"/>
    <w:rsid w:val="00555CF2"/>
    <w:rsid w:val="00556014"/>
    <w:rsid w:val="005568CE"/>
    <w:rsid w:val="0055724C"/>
    <w:rsid w:val="00560012"/>
    <w:rsid w:val="005604C8"/>
    <w:rsid w:val="005605CF"/>
    <w:rsid w:val="00560A49"/>
    <w:rsid w:val="00560F93"/>
    <w:rsid w:val="00561556"/>
    <w:rsid w:val="00561FD6"/>
    <w:rsid w:val="00562A0C"/>
    <w:rsid w:val="0056623A"/>
    <w:rsid w:val="00566C79"/>
    <w:rsid w:val="0056769E"/>
    <w:rsid w:val="005719A9"/>
    <w:rsid w:val="00571A07"/>
    <w:rsid w:val="0057219F"/>
    <w:rsid w:val="00573AF6"/>
    <w:rsid w:val="00573EFB"/>
    <w:rsid w:val="00574E7D"/>
    <w:rsid w:val="00575028"/>
    <w:rsid w:val="005767DF"/>
    <w:rsid w:val="00577E7F"/>
    <w:rsid w:val="00580397"/>
    <w:rsid w:val="00580E33"/>
    <w:rsid w:val="00580FA1"/>
    <w:rsid w:val="00580FB2"/>
    <w:rsid w:val="00581EB5"/>
    <w:rsid w:val="00582355"/>
    <w:rsid w:val="00582D45"/>
    <w:rsid w:val="005836A3"/>
    <w:rsid w:val="00583FC8"/>
    <w:rsid w:val="00584AA2"/>
    <w:rsid w:val="00584BFE"/>
    <w:rsid w:val="00584C0C"/>
    <w:rsid w:val="005859CD"/>
    <w:rsid w:val="00585CCD"/>
    <w:rsid w:val="005862F9"/>
    <w:rsid w:val="005867AE"/>
    <w:rsid w:val="00586A6E"/>
    <w:rsid w:val="00587EE0"/>
    <w:rsid w:val="00590CBE"/>
    <w:rsid w:val="00591070"/>
    <w:rsid w:val="00591ADA"/>
    <w:rsid w:val="00594704"/>
    <w:rsid w:val="00594978"/>
    <w:rsid w:val="00594EFF"/>
    <w:rsid w:val="0059543C"/>
    <w:rsid w:val="00596664"/>
    <w:rsid w:val="00597FD4"/>
    <w:rsid w:val="005A1713"/>
    <w:rsid w:val="005A1A36"/>
    <w:rsid w:val="005A1B0A"/>
    <w:rsid w:val="005A1D3F"/>
    <w:rsid w:val="005A1FAA"/>
    <w:rsid w:val="005A30EB"/>
    <w:rsid w:val="005A365F"/>
    <w:rsid w:val="005A3ADD"/>
    <w:rsid w:val="005A5BB5"/>
    <w:rsid w:val="005A5DD5"/>
    <w:rsid w:val="005A6500"/>
    <w:rsid w:val="005A6820"/>
    <w:rsid w:val="005A7CE5"/>
    <w:rsid w:val="005B0A3B"/>
    <w:rsid w:val="005B14FD"/>
    <w:rsid w:val="005B1604"/>
    <w:rsid w:val="005B21CB"/>
    <w:rsid w:val="005B26BF"/>
    <w:rsid w:val="005B2B9A"/>
    <w:rsid w:val="005B336A"/>
    <w:rsid w:val="005B33E8"/>
    <w:rsid w:val="005B3BC9"/>
    <w:rsid w:val="005B3D4D"/>
    <w:rsid w:val="005B685E"/>
    <w:rsid w:val="005B6963"/>
    <w:rsid w:val="005B7F51"/>
    <w:rsid w:val="005C0117"/>
    <w:rsid w:val="005C04D7"/>
    <w:rsid w:val="005C6417"/>
    <w:rsid w:val="005C7568"/>
    <w:rsid w:val="005D2499"/>
    <w:rsid w:val="005D46EA"/>
    <w:rsid w:val="005D4FAA"/>
    <w:rsid w:val="005D566E"/>
    <w:rsid w:val="005E0302"/>
    <w:rsid w:val="005E0886"/>
    <w:rsid w:val="005E243B"/>
    <w:rsid w:val="005E3253"/>
    <w:rsid w:val="005E368E"/>
    <w:rsid w:val="005E3881"/>
    <w:rsid w:val="005E3A20"/>
    <w:rsid w:val="005E4EAB"/>
    <w:rsid w:val="005E5788"/>
    <w:rsid w:val="005E5E8B"/>
    <w:rsid w:val="005E73DF"/>
    <w:rsid w:val="005E7678"/>
    <w:rsid w:val="005E77ED"/>
    <w:rsid w:val="005F36F0"/>
    <w:rsid w:val="005F4DFE"/>
    <w:rsid w:val="005F665A"/>
    <w:rsid w:val="005F66C8"/>
    <w:rsid w:val="005F6B69"/>
    <w:rsid w:val="005F6E87"/>
    <w:rsid w:val="005F7CD3"/>
    <w:rsid w:val="005F7CDC"/>
    <w:rsid w:val="00601843"/>
    <w:rsid w:val="0060267D"/>
    <w:rsid w:val="00603941"/>
    <w:rsid w:val="00603A4A"/>
    <w:rsid w:val="00604600"/>
    <w:rsid w:val="00605731"/>
    <w:rsid w:val="00605D18"/>
    <w:rsid w:val="006065CD"/>
    <w:rsid w:val="0060733E"/>
    <w:rsid w:val="0060746E"/>
    <w:rsid w:val="00607800"/>
    <w:rsid w:val="00607A7E"/>
    <w:rsid w:val="0061122C"/>
    <w:rsid w:val="0061137F"/>
    <w:rsid w:val="0061279E"/>
    <w:rsid w:val="00612904"/>
    <w:rsid w:val="00612C03"/>
    <w:rsid w:val="00614034"/>
    <w:rsid w:val="00614057"/>
    <w:rsid w:val="006146AA"/>
    <w:rsid w:val="00614D50"/>
    <w:rsid w:val="00615240"/>
    <w:rsid w:val="00617459"/>
    <w:rsid w:val="00620628"/>
    <w:rsid w:val="00620942"/>
    <w:rsid w:val="006214DA"/>
    <w:rsid w:val="006221C0"/>
    <w:rsid w:val="00622294"/>
    <w:rsid w:val="0062411A"/>
    <w:rsid w:val="006246C9"/>
    <w:rsid w:val="0062475A"/>
    <w:rsid w:val="006259BB"/>
    <w:rsid w:val="00626322"/>
    <w:rsid w:val="006268F3"/>
    <w:rsid w:val="00626ABB"/>
    <w:rsid w:val="006276AC"/>
    <w:rsid w:val="006304DE"/>
    <w:rsid w:val="00630676"/>
    <w:rsid w:val="006308E8"/>
    <w:rsid w:val="00630A8A"/>
    <w:rsid w:val="00630FE5"/>
    <w:rsid w:val="0063276D"/>
    <w:rsid w:val="00632EAA"/>
    <w:rsid w:val="00634070"/>
    <w:rsid w:val="00634756"/>
    <w:rsid w:val="0063675E"/>
    <w:rsid w:val="00636DBE"/>
    <w:rsid w:val="00637ABC"/>
    <w:rsid w:val="00640BE3"/>
    <w:rsid w:val="006423D9"/>
    <w:rsid w:val="00642548"/>
    <w:rsid w:val="00642FD9"/>
    <w:rsid w:val="00643A42"/>
    <w:rsid w:val="00644819"/>
    <w:rsid w:val="00644A7E"/>
    <w:rsid w:val="006457E1"/>
    <w:rsid w:val="0064584B"/>
    <w:rsid w:val="00645C55"/>
    <w:rsid w:val="00645D15"/>
    <w:rsid w:val="00645DBD"/>
    <w:rsid w:val="00647B03"/>
    <w:rsid w:val="006501EE"/>
    <w:rsid w:val="0065022E"/>
    <w:rsid w:val="00650944"/>
    <w:rsid w:val="0065216A"/>
    <w:rsid w:val="00652A4F"/>
    <w:rsid w:val="00653E9B"/>
    <w:rsid w:val="0065478C"/>
    <w:rsid w:val="00655260"/>
    <w:rsid w:val="006553A2"/>
    <w:rsid w:val="00656486"/>
    <w:rsid w:val="00660339"/>
    <w:rsid w:val="00660A4C"/>
    <w:rsid w:val="00662C6F"/>
    <w:rsid w:val="00663451"/>
    <w:rsid w:val="0066396D"/>
    <w:rsid w:val="00665757"/>
    <w:rsid w:val="00666F8E"/>
    <w:rsid w:val="00670279"/>
    <w:rsid w:val="006707A1"/>
    <w:rsid w:val="00671ADF"/>
    <w:rsid w:val="00671C09"/>
    <w:rsid w:val="006725C1"/>
    <w:rsid w:val="006728FE"/>
    <w:rsid w:val="00672F9F"/>
    <w:rsid w:val="00673D83"/>
    <w:rsid w:val="00674865"/>
    <w:rsid w:val="006751A5"/>
    <w:rsid w:val="00675412"/>
    <w:rsid w:val="006765E9"/>
    <w:rsid w:val="00676B7D"/>
    <w:rsid w:val="00676C52"/>
    <w:rsid w:val="00676CDC"/>
    <w:rsid w:val="0067732F"/>
    <w:rsid w:val="00677367"/>
    <w:rsid w:val="00680351"/>
    <w:rsid w:val="006805D5"/>
    <w:rsid w:val="00681486"/>
    <w:rsid w:val="00681783"/>
    <w:rsid w:val="00682B47"/>
    <w:rsid w:val="00682B87"/>
    <w:rsid w:val="00682DA4"/>
    <w:rsid w:val="00683E1A"/>
    <w:rsid w:val="006853BD"/>
    <w:rsid w:val="00685B2F"/>
    <w:rsid w:val="0068688D"/>
    <w:rsid w:val="00686E49"/>
    <w:rsid w:val="00687C5A"/>
    <w:rsid w:val="00690174"/>
    <w:rsid w:val="00690588"/>
    <w:rsid w:val="0069110E"/>
    <w:rsid w:val="00692029"/>
    <w:rsid w:val="00693354"/>
    <w:rsid w:val="0069353B"/>
    <w:rsid w:val="006936D5"/>
    <w:rsid w:val="00693AAB"/>
    <w:rsid w:val="00693B45"/>
    <w:rsid w:val="00694CCE"/>
    <w:rsid w:val="0069536D"/>
    <w:rsid w:val="00695883"/>
    <w:rsid w:val="00695C08"/>
    <w:rsid w:val="0069605C"/>
    <w:rsid w:val="00696B95"/>
    <w:rsid w:val="00697748"/>
    <w:rsid w:val="00697925"/>
    <w:rsid w:val="00697F17"/>
    <w:rsid w:val="006A26ED"/>
    <w:rsid w:val="006A288A"/>
    <w:rsid w:val="006A2991"/>
    <w:rsid w:val="006A389B"/>
    <w:rsid w:val="006A39F1"/>
    <w:rsid w:val="006A45A7"/>
    <w:rsid w:val="006A476A"/>
    <w:rsid w:val="006A49D8"/>
    <w:rsid w:val="006A5421"/>
    <w:rsid w:val="006A559E"/>
    <w:rsid w:val="006A64A1"/>
    <w:rsid w:val="006A6BA0"/>
    <w:rsid w:val="006B0B94"/>
    <w:rsid w:val="006B0BB7"/>
    <w:rsid w:val="006B19D3"/>
    <w:rsid w:val="006B1A82"/>
    <w:rsid w:val="006B1BD4"/>
    <w:rsid w:val="006B203F"/>
    <w:rsid w:val="006B257F"/>
    <w:rsid w:val="006B313B"/>
    <w:rsid w:val="006B49EC"/>
    <w:rsid w:val="006B4E7B"/>
    <w:rsid w:val="006B5D1B"/>
    <w:rsid w:val="006B5FD8"/>
    <w:rsid w:val="006B61E7"/>
    <w:rsid w:val="006B76F2"/>
    <w:rsid w:val="006B77EE"/>
    <w:rsid w:val="006B7918"/>
    <w:rsid w:val="006C09CB"/>
    <w:rsid w:val="006C139C"/>
    <w:rsid w:val="006C1614"/>
    <w:rsid w:val="006C3F55"/>
    <w:rsid w:val="006C4E9E"/>
    <w:rsid w:val="006C598B"/>
    <w:rsid w:val="006C613E"/>
    <w:rsid w:val="006C64AA"/>
    <w:rsid w:val="006C6659"/>
    <w:rsid w:val="006C751A"/>
    <w:rsid w:val="006C7BDE"/>
    <w:rsid w:val="006D0305"/>
    <w:rsid w:val="006D0AEC"/>
    <w:rsid w:val="006D188E"/>
    <w:rsid w:val="006D2ACD"/>
    <w:rsid w:val="006D2B74"/>
    <w:rsid w:val="006D5356"/>
    <w:rsid w:val="006D58CE"/>
    <w:rsid w:val="006D68F1"/>
    <w:rsid w:val="006D7065"/>
    <w:rsid w:val="006E2E53"/>
    <w:rsid w:val="006E31D9"/>
    <w:rsid w:val="006E57D3"/>
    <w:rsid w:val="006E5B89"/>
    <w:rsid w:val="006E5CEC"/>
    <w:rsid w:val="006E64E2"/>
    <w:rsid w:val="006E7A68"/>
    <w:rsid w:val="006E7D6C"/>
    <w:rsid w:val="006F086B"/>
    <w:rsid w:val="006F103D"/>
    <w:rsid w:val="006F161D"/>
    <w:rsid w:val="006F1B13"/>
    <w:rsid w:val="006F31B9"/>
    <w:rsid w:val="006F4F52"/>
    <w:rsid w:val="006F5310"/>
    <w:rsid w:val="006F5843"/>
    <w:rsid w:val="006F6C83"/>
    <w:rsid w:val="006F783B"/>
    <w:rsid w:val="006F7BE3"/>
    <w:rsid w:val="0070113E"/>
    <w:rsid w:val="0070150F"/>
    <w:rsid w:val="00701DDD"/>
    <w:rsid w:val="007026D3"/>
    <w:rsid w:val="0070283B"/>
    <w:rsid w:val="00702DF3"/>
    <w:rsid w:val="00703052"/>
    <w:rsid w:val="00703ABB"/>
    <w:rsid w:val="00704642"/>
    <w:rsid w:val="007049B7"/>
    <w:rsid w:val="0070562F"/>
    <w:rsid w:val="007060AB"/>
    <w:rsid w:val="007066F4"/>
    <w:rsid w:val="00706749"/>
    <w:rsid w:val="007068C8"/>
    <w:rsid w:val="0070719A"/>
    <w:rsid w:val="007076B3"/>
    <w:rsid w:val="00707F3F"/>
    <w:rsid w:val="00710372"/>
    <w:rsid w:val="00710B2F"/>
    <w:rsid w:val="00710F02"/>
    <w:rsid w:val="007116B2"/>
    <w:rsid w:val="00711992"/>
    <w:rsid w:val="0071273C"/>
    <w:rsid w:val="00715717"/>
    <w:rsid w:val="00716A2C"/>
    <w:rsid w:val="00717026"/>
    <w:rsid w:val="00717C7B"/>
    <w:rsid w:val="00717DAD"/>
    <w:rsid w:val="007205E8"/>
    <w:rsid w:val="00720E51"/>
    <w:rsid w:val="007214B7"/>
    <w:rsid w:val="00723162"/>
    <w:rsid w:val="007233A8"/>
    <w:rsid w:val="00724FE4"/>
    <w:rsid w:val="00725D1A"/>
    <w:rsid w:val="00730E88"/>
    <w:rsid w:val="007323CD"/>
    <w:rsid w:val="00733B24"/>
    <w:rsid w:val="007340EE"/>
    <w:rsid w:val="00734C38"/>
    <w:rsid w:val="00734C7D"/>
    <w:rsid w:val="007365F0"/>
    <w:rsid w:val="00736A6E"/>
    <w:rsid w:val="00737D18"/>
    <w:rsid w:val="007424C3"/>
    <w:rsid w:val="00742CA2"/>
    <w:rsid w:val="00742DE8"/>
    <w:rsid w:val="00742E73"/>
    <w:rsid w:val="00743D96"/>
    <w:rsid w:val="007444E6"/>
    <w:rsid w:val="007469DD"/>
    <w:rsid w:val="00746F03"/>
    <w:rsid w:val="00751FB3"/>
    <w:rsid w:val="0075261C"/>
    <w:rsid w:val="007528F3"/>
    <w:rsid w:val="00753018"/>
    <w:rsid w:val="00753E76"/>
    <w:rsid w:val="007544EA"/>
    <w:rsid w:val="007548A8"/>
    <w:rsid w:val="00754B0A"/>
    <w:rsid w:val="00754BE8"/>
    <w:rsid w:val="00754D34"/>
    <w:rsid w:val="00755002"/>
    <w:rsid w:val="0075573A"/>
    <w:rsid w:val="007574C4"/>
    <w:rsid w:val="00757660"/>
    <w:rsid w:val="00757754"/>
    <w:rsid w:val="007607D7"/>
    <w:rsid w:val="007608DE"/>
    <w:rsid w:val="0076121E"/>
    <w:rsid w:val="00761F10"/>
    <w:rsid w:val="00762457"/>
    <w:rsid w:val="00763AE2"/>
    <w:rsid w:val="007643D9"/>
    <w:rsid w:val="00765C23"/>
    <w:rsid w:val="007662FC"/>
    <w:rsid w:val="00766326"/>
    <w:rsid w:val="00766511"/>
    <w:rsid w:val="00766CC0"/>
    <w:rsid w:val="00770327"/>
    <w:rsid w:val="0077161C"/>
    <w:rsid w:val="007720E1"/>
    <w:rsid w:val="00772677"/>
    <w:rsid w:val="00772D3E"/>
    <w:rsid w:val="007733D0"/>
    <w:rsid w:val="0077356F"/>
    <w:rsid w:val="007744E8"/>
    <w:rsid w:val="00775069"/>
    <w:rsid w:val="007754DF"/>
    <w:rsid w:val="00775979"/>
    <w:rsid w:val="007764BA"/>
    <w:rsid w:val="00776E2F"/>
    <w:rsid w:val="00780696"/>
    <w:rsid w:val="007807A9"/>
    <w:rsid w:val="007809AF"/>
    <w:rsid w:val="00780D4D"/>
    <w:rsid w:val="00781158"/>
    <w:rsid w:val="00781446"/>
    <w:rsid w:val="007828F3"/>
    <w:rsid w:val="00783809"/>
    <w:rsid w:val="00783DE6"/>
    <w:rsid w:val="0079006D"/>
    <w:rsid w:val="0079022D"/>
    <w:rsid w:val="00790CEB"/>
    <w:rsid w:val="0079106D"/>
    <w:rsid w:val="00791612"/>
    <w:rsid w:val="00791C24"/>
    <w:rsid w:val="0079256D"/>
    <w:rsid w:val="00793177"/>
    <w:rsid w:val="0079326E"/>
    <w:rsid w:val="007935A5"/>
    <w:rsid w:val="00794408"/>
    <w:rsid w:val="00794CBE"/>
    <w:rsid w:val="00795A0C"/>
    <w:rsid w:val="00797428"/>
    <w:rsid w:val="00797622"/>
    <w:rsid w:val="007977FD"/>
    <w:rsid w:val="007979C7"/>
    <w:rsid w:val="00797D46"/>
    <w:rsid w:val="00797ECF"/>
    <w:rsid w:val="007A2179"/>
    <w:rsid w:val="007A25FA"/>
    <w:rsid w:val="007A2B0B"/>
    <w:rsid w:val="007A2B84"/>
    <w:rsid w:val="007A37F7"/>
    <w:rsid w:val="007A550B"/>
    <w:rsid w:val="007A55CC"/>
    <w:rsid w:val="007A5E95"/>
    <w:rsid w:val="007A60F5"/>
    <w:rsid w:val="007A793E"/>
    <w:rsid w:val="007A7EE8"/>
    <w:rsid w:val="007A7EF6"/>
    <w:rsid w:val="007B04D6"/>
    <w:rsid w:val="007B15E1"/>
    <w:rsid w:val="007B1E0D"/>
    <w:rsid w:val="007B3263"/>
    <w:rsid w:val="007B4141"/>
    <w:rsid w:val="007B41B2"/>
    <w:rsid w:val="007B56EE"/>
    <w:rsid w:val="007B5C3C"/>
    <w:rsid w:val="007B727B"/>
    <w:rsid w:val="007B744D"/>
    <w:rsid w:val="007B7954"/>
    <w:rsid w:val="007B7B8F"/>
    <w:rsid w:val="007B7D3C"/>
    <w:rsid w:val="007C0473"/>
    <w:rsid w:val="007C0D92"/>
    <w:rsid w:val="007C1BAB"/>
    <w:rsid w:val="007C25F3"/>
    <w:rsid w:val="007C37C5"/>
    <w:rsid w:val="007C43F6"/>
    <w:rsid w:val="007C620E"/>
    <w:rsid w:val="007C6E4E"/>
    <w:rsid w:val="007D02E4"/>
    <w:rsid w:val="007D0FDE"/>
    <w:rsid w:val="007D157B"/>
    <w:rsid w:val="007D1E0C"/>
    <w:rsid w:val="007D1FD9"/>
    <w:rsid w:val="007D24D1"/>
    <w:rsid w:val="007D27C1"/>
    <w:rsid w:val="007D294D"/>
    <w:rsid w:val="007D4746"/>
    <w:rsid w:val="007D52D0"/>
    <w:rsid w:val="007D5F61"/>
    <w:rsid w:val="007D6625"/>
    <w:rsid w:val="007D7D7A"/>
    <w:rsid w:val="007E008D"/>
    <w:rsid w:val="007E0128"/>
    <w:rsid w:val="007E07AB"/>
    <w:rsid w:val="007E1406"/>
    <w:rsid w:val="007E19E6"/>
    <w:rsid w:val="007E24B1"/>
    <w:rsid w:val="007E2CD0"/>
    <w:rsid w:val="007E4034"/>
    <w:rsid w:val="007E414C"/>
    <w:rsid w:val="007E523C"/>
    <w:rsid w:val="007E5D77"/>
    <w:rsid w:val="007E5E42"/>
    <w:rsid w:val="007E6CF6"/>
    <w:rsid w:val="007E7882"/>
    <w:rsid w:val="007E7943"/>
    <w:rsid w:val="007F078C"/>
    <w:rsid w:val="007F0FD1"/>
    <w:rsid w:val="007F23FE"/>
    <w:rsid w:val="007F30CD"/>
    <w:rsid w:val="007F31B8"/>
    <w:rsid w:val="007F3608"/>
    <w:rsid w:val="007F4289"/>
    <w:rsid w:val="007F4FB1"/>
    <w:rsid w:val="007F5105"/>
    <w:rsid w:val="007F5115"/>
    <w:rsid w:val="007F5EAD"/>
    <w:rsid w:val="007F6CCD"/>
    <w:rsid w:val="007F6DE0"/>
    <w:rsid w:val="007F7674"/>
    <w:rsid w:val="007F7D36"/>
    <w:rsid w:val="00800693"/>
    <w:rsid w:val="008007BB"/>
    <w:rsid w:val="00800B51"/>
    <w:rsid w:val="00802366"/>
    <w:rsid w:val="00803359"/>
    <w:rsid w:val="00803587"/>
    <w:rsid w:val="00803A8E"/>
    <w:rsid w:val="008043AF"/>
    <w:rsid w:val="0080521F"/>
    <w:rsid w:val="00805810"/>
    <w:rsid w:val="00805C01"/>
    <w:rsid w:val="00806006"/>
    <w:rsid w:val="00806070"/>
    <w:rsid w:val="0080662B"/>
    <w:rsid w:val="00806C33"/>
    <w:rsid w:val="00807368"/>
    <w:rsid w:val="008118FC"/>
    <w:rsid w:val="00811998"/>
    <w:rsid w:val="00811BD3"/>
    <w:rsid w:val="00814B48"/>
    <w:rsid w:val="00815001"/>
    <w:rsid w:val="00815481"/>
    <w:rsid w:val="00815B6D"/>
    <w:rsid w:val="008160EB"/>
    <w:rsid w:val="00820C60"/>
    <w:rsid w:val="00820EBC"/>
    <w:rsid w:val="0082117A"/>
    <w:rsid w:val="00821B48"/>
    <w:rsid w:val="00822D80"/>
    <w:rsid w:val="00822F6F"/>
    <w:rsid w:val="00823448"/>
    <w:rsid w:val="008236E7"/>
    <w:rsid w:val="0082609A"/>
    <w:rsid w:val="0082744B"/>
    <w:rsid w:val="00827D32"/>
    <w:rsid w:val="00830734"/>
    <w:rsid w:val="00831B03"/>
    <w:rsid w:val="00831E6A"/>
    <w:rsid w:val="00831F4D"/>
    <w:rsid w:val="00833000"/>
    <w:rsid w:val="008338CD"/>
    <w:rsid w:val="0083487D"/>
    <w:rsid w:val="00834B4C"/>
    <w:rsid w:val="00834E29"/>
    <w:rsid w:val="008350DF"/>
    <w:rsid w:val="00835B02"/>
    <w:rsid w:val="00835C2A"/>
    <w:rsid w:val="00835EC1"/>
    <w:rsid w:val="00836122"/>
    <w:rsid w:val="00837BA5"/>
    <w:rsid w:val="00841641"/>
    <w:rsid w:val="008422BB"/>
    <w:rsid w:val="008422E8"/>
    <w:rsid w:val="008433D2"/>
    <w:rsid w:val="00845A6F"/>
    <w:rsid w:val="008476FE"/>
    <w:rsid w:val="008500E9"/>
    <w:rsid w:val="00850279"/>
    <w:rsid w:val="00850D35"/>
    <w:rsid w:val="0085244A"/>
    <w:rsid w:val="00852797"/>
    <w:rsid w:val="00852D8F"/>
    <w:rsid w:val="00853C57"/>
    <w:rsid w:val="00853DA9"/>
    <w:rsid w:val="00854EE3"/>
    <w:rsid w:val="00855D78"/>
    <w:rsid w:val="0085793B"/>
    <w:rsid w:val="00857E4A"/>
    <w:rsid w:val="008603D1"/>
    <w:rsid w:val="008606BD"/>
    <w:rsid w:val="008625D6"/>
    <w:rsid w:val="00862F82"/>
    <w:rsid w:val="008635F0"/>
    <w:rsid w:val="00863EA7"/>
    <w:rsid w:val="00864409"/>
    <w:rsid w:val="0086443E"/>
    <w:rsid w:val="00864A9D"/>
    <w:rsid w:val="008650C0"/>
    <w:rsid w:val="0086514D"/>
    <w:rsid w:val="008656DC"/>
    <w:rsid w:val="008661C0"/>
    <w:rsid w:val="00866DF1"/>
    <w:rsid w:val="00867075"/>
    <w:rsid w:val="008677D7"/>
    <w:rsid w:val="0087027E"/>
    <w:rsid w:val="00871515"/>
    <w:rsid w:val="008731AA"/>
    <w:rsid w:val="00874AD5"/>
    <w:rsid w:val="00874EAB"/>
    <w:rsid w:val="008753FE"/>
    <w:rsid w:val="0087647C"/>
    <w:rsid w:val="0088077B"/>
    <w:rsid w:val="008819FF"/>
    <w:rsid w:val="00881A4C"/>
    <w:rsid w:val="00881F4A"/>
    <w:rsid w:val="008820C4"/>
    <w:rsid w:val="008824AD"/>
    <w:rsid w:val="0088339E"/>
    <w:rsid w:val="0088377D"/>
    <w:rsid w:val="00883B72"/>
    <w:rsid w:val="0088426D"/>
    <w:rsid w:val="008854E9"/>
    <w:rsid w:val="00886133"/>
    <w:rsid w:val="0088715C"/>
    <w:rsid w:val="00887E62"/>
    <w:rsid w:val="00891168"/>
    <w:rsid w:val="0089250D"/>
    <w:rsid w:val="008939D0"/>
    <w:rsid w:val="008945C5"/>
    <w:rsid w:val="008949EB"/>
    <w:rsid w:val="00894CEE"/>
    <w:rsid w:val="00894E16"/>
    <w:rsid w:val="00897163"/>
    <w:rsid w:val="0089724A"/>
    <w:rsid w:val="008972A9"/>
    <w:rsid w:val="008974EA"/>
    <w:rsid w:val="008A0307"/>
    <w:rsid w:val="008A0374"/>
    <w:rsid w:val="008A0A6F"/>
    <w:rsid w:val="008A0E2E"/>
    <w:rsid w:val="008A0EF3"/>
    <w:rsid w:val="008A2EEA"/>
    <w:rsid w:val="008A3CBA"/>
    <w:rsid w:val="008A4603"/>
    <w:rsid w:val="008A4BC3"/>
    <w:rsid w:val="008A6C40"/>
    <w:rsid w:val="008A6D5C"/>
    <w:rsid w:val="008A6EFF"/>
    <w:rsid w:val="008A7DF8"/>
    <w:rsid w:val="008B0559"/>
    <w:rsid w:val="008B0825"/>
    <w:rsid w:val="008B0A3D"/>
    <w:rsid w:val="008B10DC"/>
    <w:rsid w:val="008B111B"/>
    <w:rsid w:val="008B145D"/>
    <w:rsid w:val="008B21F5"/>
    <w:rsid w:val="008B245B"/>
    <w:rsid w:val="008B27DF"/>
    <w:rsid w:val="008B404A"/>
    <w:rsid w:val="008B4C58"/>
    <w:rsid w:val="008B5313"/>
    <w:rsid w:val="008B591F"/>
    <w:rsid w:val="008B6FD0"/>
    <w:rsid w:val="008B710E"/>
    <w:rsid w:val="008B7446"/>
    <w:rsid w:val="008C1109"/>
    <w:rsid w:val="008C33D9"/>
    <w:rsid w:val="008C3604"/>
    <w:rsid w:val="008C3946"/>
    <w:rsid w:val="008C43C2"/>
    <w:rsid w:val="008C45C4"/>
    <w:rsid w:val="008C69A4"/>
    <w:rsid w:val="008D0F6F"/>
    <w:rsid w:val="008D1209"/>
    <w:rsid w:val="008D304D"/>
    <w:rsid w:val="008D4799"/>
    <w:rsid w:val="008D4B0B"/>
    <w:rsid w:val="008D4E19"/>
    <w:rsid w:val="008D588A"/>
    <w:rsid w:val="008D5990"/>
    <w:rsid w:val="008D692A"/>
    <w:rsid w:val="008D6A61"/>
    <w:rsid w:val="008D6C3E"/>
    <w:rsid w:val="008D711D"/>
    <w:rsid w:val="008D7717"/>
    <w:rsid w:val="008E02F1"/>
    <w:rsid w:val="008E0923"/>
    <w:rsid w:val="008E0AEA"/>
    <w:rsid w:val="008E1EAD"/>
    <w:rsid w:val="008E2933"/>
    <w:rsid w:val="008E2D35"/>
    <w:rsid w:val="008E30B5"/>
    <w:rsid w:val="008E3FF3"/>
    <w:rsid w:val="008E4993"/>
    <w:rsid w:val="008E4E32"/>
    <w:rsid w:val="008E4F59"/>
    <w:rsid w:val="008E59A2"/>
    <w:rsid w:val="008E59EC"/>
    <w:rsid w:val="008E5AC3"/>
    <w:rsid w:val="008E6960"/>
    <w:rsid w:val="008E6AA2"/>
    <w:rsid w:val="008E7A60"/>
    <w:rsid w:val="008F1013"/>
    <w:rsid w:val="008F1EDA"/>
    <w:rsid w:val="008F34AB"/>
    <w:rsid w:val="008F3E68"/>
    <w:rsid w:val="008F4C3B"/>
    <w:rsid w:val="008F5F69"/>
    <w:rsid w:val="008F61CD"/>
    <w:rsid w:val="008F6825"/>
    <w:rsid w:val="00900A58"/>
    <w:rsid w:val="00901601"/>
    <w:rsid w:val="0090275B"/>
    <w:rsid w:val="00903B1F"/>
    <w:rsid w:val="00903B87"/>
    <w:rsid w:val="009045A9"/>
    <w:rsid w:val="0090475A"/>
    <w:rsid w:val="00904B14"/>
    <w:rsid w:val="00904BF3"/>
    <w:rsid w:val="00904C74"/>
    <w:rsid w:val="00906BDA"/>
    <w:rsid w:val="009074D0"/>
    <w:rsid w:val="009102FA"/>
    <w:rsid w:val="00910D2C"/>
    <w:rsid w:val="0091119B"/>
    <w:rsid w:val="00911397"/>
    <w:rsid w:val="00911DD0"/>
    <w:rsid w:val="00912783"/>
    <w:rsid w:val="00913DA3"/>
    <w:rsid w:val="00913F6F"/>
    <w:rsid w:val="00914820"/>
    <w:rsid w:val="00914873"/>
    <w:rsid w:val="00914988"/>
    <w:rsid w:val="00914EB6"/>
    <w:rsid w:val="00915498"/>
    <w:rsid w:val="00916AB9"/>
    <w:rsid w:val="00920C78"/>
    <w:rsid w:val="00920EA3"/>
    <w:rsid w:val="00921249"/>
    <w:rsid w:val="009217A7"/>
    <w:rsid w:val="00921E73"/>
    <w:rsid w:val="00922D30"/>
    <w:rsid w:val="0092570D"/>
    <w:rsid w:val="00926193"/>
    <w:rsid w:val="009269E0"/>
    <w:rsid w:val="00927B9B"/>
    <w:rsid w:val="009306A2"/>
    <w:rsid w:val="00931A4B"/>
    <w:rsid w:val="00931D67"/>
    <w:rsid w:val="00932038"/>
    <w:rsid w:val="00932533"/>
    <w:rsid w:val="00933066"/>
    <w:rsid w:val="00933449"/>
    <w:rsid w:val="009340BE"/>
    <w:rsid w:val="00934D31"/>
    <w:rsid w:val="009367B5"/>
    <w:rsid w:val="00936BF7"/>
    <w:rsid w:val="00937309"/>
    <w:rsid w:val="0093745D"/>
    <w:rsid w:val="00941C5A"/>
    <w:rsid w:val="009420EF"/>
    <w:rsid w:val="00943896"/>
    <w:rsid w:val="009448A7"/>
    <w:rsid w:val="00944CAB"/>
    <w:rsid w:val="009454A0"/>
    <w:rsid w:val="00945C34"/>
    <w:rsid w:val="00945C75"/>
    <w:rsid w:val="00945DE2"/>
    <w:rsid w:val="009466A0"/>
    <w:rsid w:val="00946A9A"/>
    <w:rsid w:val="00950965"/>
    <w:rsid w:val="00951433"/>
    <w:rsid w:val="00952765"/>
    <w:rsid w:val="009529F5"/>
    <w:rsid w:val="009554C0"/>
    <w:rsid w:val="009567A0"/>
    <w:rsid w:val="00956934"/>
    <w:rsid w:val="00960241"/>
    <w:rsid w:val="009608AF"/>
    <w:rsid w:val="0096380E"/>
    <w:rsid w:val="00964EEA"/>
    <w:rsid w:val="009651B1"/>
    <w:rsid w:val="00965924"/>
    <w:rsid w:val="009661C7"/>
    <w:rsid w:val="00966305"/>
    <w:rsid w:val="0096658C"/>
    <w:rsid w:val="00967268"/>
    <w:rsid w:val="0096743A"/>
    <w:rsid w:val="0097205F"/>
    <w:rsid w:val="0097259C"/>
    <w:rsid w:val="00972808"/>
    <w:rsid w:val="009731CC"/>
    <w:rsid w:val="009747B8"/>
    <w:rsid w:val="00975CDF"/>
    <w:rsid w:val="009767A2"/>
    <w:rsid w:val="00980293"/>
    <w:rsid w:val="00980E7B"/>
    <w:rsid w:val="00981742"/>
    <w:rsid w:val="0098177B"/>
    <w:rsid w:val="00981F2B"/>
    <w:rsid w:val="009826A9"/>
    <w:rsid w:val="00982ADE"/>
    <w:rsid w:val="00982EA9"/>
    <w:rsid w:val="009830F6"/>
    <w:rsid w:val="00983CC1"/>
    <w:rsid w:val="00984DA0"/>
    <w:rsid w:val="00985066"/>
    <w:rsid w:val="00985140"/>
    <w:rsid w:val="00986E28"/>
    <w:rsid w:val="00990011"/>
    <w:rsid w:val="009904EA"/>
    <w:rsid w:val="00990986"/>
    <w:rsid w:val="00990ED2"/>
    <w:rsid w:val="0099150C"/>
    <w:rsid w:val="00991BBB"/>
    <w:rsid w:val="00992762"/>
    <w:rsid w:val="00992A12"/>
    <w:rsid w:val="009931FA"/>
    <w:rsid w:val="00993245"/>
    <w:rsid w:val="00994B69"/>
    <w:rsid w:val="009951ED"/>
    <w:rsid w:val="0099622A"/>
    <w:rsid w:val="00997AA0"/>
    <w:rsid w:val="00997B73"/>
    <w:rsid w:val="00997F98"/>
    <w:rsid w:val="009A0355"/>
    <w:rsid w:val="009A03B9"/>
    <w:rsid w:val="009A074D"/>
    <w:rsid w:val="009A0F2F"/>
    <w:rsid w:val="009A1543"/>
    <w:rsid w:val="009A1C12"/>
    <w:rsid w:val="009A1D02"/>
    <w:rsid w:val="009A2706"/>
    <w:rsid w:val="009A294C"/>
    <w:rsid w:val="009A2F21"/>
    <w:rsid w:val="009A3C16"/>
    <w:rsid w:val="009A4281"/>
    <w:rsid w:val="009A5290"/>
    <w:rsid w:val="009A5307"/>
    <w:rsid w:val="009A67B7"/>
    <w:rsid w:val="009A6C73"/>
    <w:rsid w:val="009A6CC5"/>
    <w:rsid w:val="009B12AF"/>
    <w:rsid w:val="009B1CFE"/>
    <w:rsid w:val="009B3564"/>
    <w:rsid w:val="009B44AA"/>
    <w:rsid w:val="009B5C64"/>
    <w:rsid w:val="009B5EC4"/>
    <w:rsid w:val="009B607D"/>
    <w:rsid w:val="009B668C"/>
    <w:rsid w:val="009B704E"/>
    <w:rsid w:val="009B78C8"/>
    <w:rsid w:val="009B799A"/>
    <w:rsid w:val="009C1ED8"/>
    <w:rsid w:val="009C233A"/>
    <w:rsid w:val="009C332B"/>
    <w:rsid w:val="009C3EA5"/>
    <w:rsid w:val="009C4139"/>
    <w:rsid w:val="009C5848"/>
    <w:rsid w:val="009C60A0"/>
    <w:rsid w:val="009C6464"/>
    <w:rsid w:val="009C64AA"/>
    <w:rsid w:val="009D0D40"/>
    <w:rsid w:val="009D1CC7"/>
    <w:rsid w:val="009D2000"/>
    <w:rsid w:val="009D2706"/>
    <w:rsid w:val="009D2BE4"/>
    <w:rsid w:val="009D4882"/>
    <w:rsid w:val="009D4FFE"/>
    <w:rsid w:val="009D5328"/>
    <w:rsid w:val="009D621D"/>
    <w:rsid w:val="009D6BAE"/>
    <w:rsid w:val="009D7709"/>
    <w:rsid w:val="009D7B49"/>
    <w:rsid w:val="009E0115"/>
    <w:rsid w:val="009E0C72"/>
    <w:rsid w:val="009E158B"/>
    <w:rsid w:val="009E256A"/>
    <w:rsid w:val="009E2BD7"/>
    <w:rsid w:val="009E3D7C"/>
    <w:rsid w:val="009E49CA"/>
    <w:rsid w:val="009E5751"/>
    <w:rsid w:val="009E5C3D"/>
    <w:rsid w:val="009E7243"/>
    <w:rsid w:val="009F06F0"/>
    <w:rsid w:val="009F308D"/>
    <w:rsid w:val="009F3199"/>
    <w:rsid w:val="009F321D"/>
    <w:rsid w:val="009F3EEB"/>
    <w:rsid w:val="009F4509"/>
    <w:rsid w:val="009F5E81"/>
    <w:rsid w:val="009F7D83"/>
    <w:rsid w:val="009F7DB3"/>
    <w:rsid w:val="009F7F73"/>
    <w:rsid w:val="00A016E0"/>
    <w:rsid w:val="00A023CB"/>
    <w:rsid w:val="00A024F6"/>
    <w:rsid w:val="00A02747"/>
    <w:rsid w:val="00A02D55"/>
    <w:rsid w:val="00A04BCE"/>
    <w:rsid w:val="00A04E7B"/>
    <w:rsid w:val="00A05BF7"/>
    <w:rsid w:val="00A0652E"/>
    <w:rsid w:val="00A06926"/>
    <w:rsid w:val="00A06EC0"/>
    <w:rsid w:val="00A07E09"/>
    <w:rsid w:val="00A1062C"/>
    <w:rsid w:val="00A108FB"/>
    <w:rsid w:val="00A10B60"/>
    <w:rsid w:val="00A10EBB"/>
    <w:rsid w:val="00A11BC0"/>
    <w:rsid w:val="00A121D5"/>
    <w:rsid w:val="00A12F8E"/>
    <w:rsid w:val="00A13CBA"/>
    <w:rsid w:val="00A1464A"/>
    <w:rsid w:val="00A14EE7"/>
    <w:rsid w:val="00A178E6"/>
    <w:rsid w:val="00A17A02"/>
    <w:rsid w:val="00A17E48"/>
    <w:rsid w:val="00A21225"/>
    <w:rsid w:val="00A215B4"/>
    <w:rsid w:val="00A22A37"/>
    <w:rsid w:val="00A24749"/>
    <w:rsid w:val="00A252D0"/>
    <w:rsid w:val="00A26E24"/>
    <w:rsid w:val="00A27029"/>
    <w:rsid w:val="00A27BE2"/>
    <w:rsid w:val="00A3030F"/>
    <w:rsid w:val="00A3059C"/>
    <w:rsid w:val="00A3074A"/>
    <w:rsid w:val="00A33990"/>
    <w:rsid w:val="00A340E2"/>
    <w:rsid w:val="00A34699"/>
    <w:rsid w:val="00A355CE"/>
    <w:rsid w:val="00A35C8F"/>
    <w:rsid w:val="00A36D16"/>
    <w:rsid w:val="00A36E5D"/>
    <w:rsid w:val="00A3727B"/>
    <w:rsid w:val="00A40AFC"/>
    <w:rsid w:val="00A40E02"/>
    <w:rsid w:val="00A411CA"/>
    <w:rsid w:val="00A42319"/>
    <w:rsid w:val="00A44438"/>
    <w:rsid w:val="00A458CE"/>
    <w:rsid w:val="00A46682"/>
    <w:rsid w:val="00A46C82"/>
    <w:rsid w:val="00A473F3"/>
    <w:rsid w:val="00A47695"/>
    <w:rsid w:val="00A516F2"/>
    <w:rsid w:val="00A52EAC"/>
    <w:rsid w:val="00A52F65"/>
    <w:rsid w:val="00A53814"/>
    <w:rsid w:val="00A540FF"/>
    <w:rsid w:val="00A54743"/>
    <w:rsid w:val="00A5499F"/>
    <w:rsid w:val="00A55058"/>
    <w:rsid w:val="00A56393"/>
    <w:rsid w:val="00A56DF5"/>
    <w:rsid w:val="00A56E1B"/>
    <w:rsid w:val="00A57738"/>
    <w:rsid w:val="00A600A6"/>
    <w:rsid w:val="00A60545"/>
    <w:rsid w:val="00A6154E"/>
    <w:rsid w:val="00A61596"/>
    <w:rsid w:val="00A61BD3"/>
    <w:rsid w:val="00A63AEE"/>
    <w:rsid w:val="00A64040"/>
    <w:rsid w:val="00A651C1"/>
    <w:rsid w:val="00A6572A"/>
    <w:rsid w:val="00A66605"/>
    <w:rsid w:val="00A711CC"/>
    <w:rsid w:val="00A71D73"/>
    <w:rsid w:val="00A724EF"/>
    <w:rsid w:val="00A72CB4"/>
    <w:rsid w:val="00A73F02"/>
    <w:rsid w:val="00A76435"/>
    <w:rsid w:val="00A76B91"/>
    <w:rsid w:val="00A7720F"/>
    <w:rsid w:val="00A77C33"/>
    <w:rsid w:val="00A77F87"/>
    <w:rsid w:val="00A81E65"/>
    <w:rsid w:val="00A824E2"/>
    <w:rsid w:val="00A82F7F"/>
    <w:rsid w:val="00A838E4"/>
    <w:rsid w:val="00A84237"/>
    <w:rsid w:val="00A842DE"/>
    <w:rsid w:val="00A84645"/>
    <w:rsid w:val="00A846F2"/>
    <w:rsid w:val="00A85C51"/>
    <w:rsid w:val="00A86086"/>
    <w:rsid w:val="00A864AD"/>
    <w:rsid w:val="00A86B5A"/>
    <w:rsid w:val="00A87A00"/>
    <w:rsid w:val="00A87DF3"/>
    <w:rsid w:val="00A87DF6"/>
    <w:rsid w:val="00A9076F"/>
    <w:rsid w:val="00A90D32"/>
    <w:rsid w:val="00A9173C"/>
    <w:rsid w:val="00A95A09"/>
    <w:rsid w:val="00A95C73"/>
    <w:rsid w:val="00A971FF"/>
    <w:rsid w:val="00A976E5"/>
    <w:rsid w:val="00AA16B7"/>
    <w:rsid w:val="00AA19F5"/>
    <w:rsid w:val="00AA1EBA"/>
    <w:rsid w:val="00AA26BA"/>
    <w:rsid w:val="00AA295B"/>
    <w:rsid w:val="00AA2D25"/>
    <w:rsid w:val="00AA3683"/>
    <w:rsid w:val="00AA387D"/>
    <w:rsid w:val="00AA3B21"/>
    <w:rsid w:val="00AA4DC6"/>
    <w:rsid w:val="00AA504B"/>
    <w:rsid w:val="00AA74A1"/>
    <w:rsid w:val="00AA784A"/>
    <w:rsid w:val="00AB0413"/>
    <w:rsid w:val="00AB066E"/>
    <w:rsid w:val="00AB31FF"/>
    <w:rsid w:val="00AB3CE7"/>
    <w:rsid w:val="00AB476A"/>
    <w:rsid w:val="00AB49CD"/>
    <w:rsid w:val="00AB5115"/>
    <w:rsid w:val="00AB543F"/>
    <w:rsid w:val="00AB5DAD"/>
    <w:rsid w:val="00AB6187"/>
    <w:rsid w:val="00AC0BFD"/>
    <w:rsid w:val="00AC2DB5"/>
    <w:rsid w:val="00AC3036"/>
    <w:rsid w:val="00AC31CE"/>
    <w:rsid w:val="00AC54F3"/>
    <w:rsid w:val="00AC6E0E"/>
    <w:rsid w:val="00AC7253"/>
    <w:rsid w:val="00AC7426"/>
    <w:rsid w:val="00AD009B"/>
    <w:rsid w:val="00AD08CD"/>
    <w:rsid w:val="00AD17E4"/>
    <w:rsid w:val="00AD265B"/>
    <w:rsid w:val="00AD3032"/>
    <w:rsid w:val="00AD34A3"/>
    <w:rsid w:val="00AD3556"/>
    <w:rsid w:val="00AD56C9"/>
    <w:rsid w:val="00AD618D"/>
    <w:rsid w:val="00AD7402"/>
    <w:rsid w:val="00AD76A3"/>
    <w:rsid w:val="00AE1551"/>
    <w:rsid w:val="00AE210A"/>
    <w:rsid w:val="00AE24F1"/>
    <w:rsid w:val="00AE3580"/>
    <w:rsid w:val="00AE4FBF"/>
    <w:rsid w:val="00AE513C"/>
    <w:rsid w:val="00AE5CFA"/>
    <w:rsid w:val="00AE684E"/>
    <w:rsid w:val="00AE6879"/>
    <w:rsid w:val="00AE739F"/>
    <w:rsid w:val="00AE788C"/>
    <w:rsid w:val="00AE78A3"/>
    <w:rsid w:val="00AF00FB"/>
    <w:rsid w:val="00AF43FE"/>
    <w:rsid w:val="00AF4D0C"/>
    <w:rsid w:val="00AF4DCB"/>
    <w:rsid w:val="00AF4FA4"/>
    <w:rsid w:val="00AF5026"/>
    <w:rsid w:val="00AF51BD"/>
    <w:rsid w:val="00AF5E3D"/>
    <w:rsid w:val="00AF6ADE"/>
    <w:rsid w:val="00B0374D"/>
    <w:rsid w:val="00B04D09"/>
    <w:rsid w:val="00B064D0"/>
    <w:rsid w:val="00B10F46"/>
    <w:rsid w:val="00B117B8"/>
    <w:rsid w:val="00B12C7C"/>
    <w:rsid w:val="00B1486D"/>
    <w:rsid w:val="00B1564E"/>
    <w:rsid w:val="00B16446"/>
    <w:rsid w:val="00B1676B"/>
    <w:rsid w:val="00B171CD"/>
    <w:rsid w:val="00B17853"/>
    <w:rsid w:val="00B17957"/>
    <w:rsid w:val="00B17EA6"/>
    <w:rsid w:val="00B20A41"/>
    <w:rsid w:val="00B20BB7"/>
    <w:rsid w:val="00B210D3"/>
    <w:rsid w:val="00B210F3"/>
    <w:rsid w:val="00B21E9C"/>
    <w:rsid w:val="00B2401D"/>
    <w:rsid w:val="00B2558C"/>
    <w:rsid w:val="00B2722E"/>
    <w:rsid w:val="00B27664"/>
    <w:rsid w:val="00B27CEE"/>
    <w:rsid w:val="00B30066"/>
    <w:rsid w:val="00B31D1C"/>
    <w:rsid w:val="00B326A6"/>
    <w:rsid w:val="00B32BF8"/>
    <w:rsid w:val="00B33E0E"/>
    <w:rsid w:val="00B347D3"/>
    <w:rsid w:val="00B368F3"/>
    <w:rsid w:val="00B36BEA"/>
    <w:rsid w:val="00B371BB"/>
    <w:rsid w:val="00B3723A"/>
    <w:rsid w:val="00B37258"/>
    <w:rsid w:val="00B379EF"/>
    <w:rsid w:val="00B41ACB"/>
    <w:rsid w:val="00B41E37"/>
    <w:rsid w:val="00B43AB8"/>
    <w:rsid w:val="00B44D78"/>
    <w:rsid w:val="00B46C10"/>
    <w:rsid w:val="00B470E5"/>
    <w:rsid w:val="00B47420"/>
    <w:rsid w:val="00B50570"/>
    <w:rsid w:val="00B50E30"/>
    <w:rsid w:val="00B520AB"/>
    <w:rsid w:val="00B52A70"/>
    <w:rsid w:val="00B53093"/>
    <w:rsid w:val="00B54013"/>
    <w:rsid w:val="00B546AD"/>
    <w:rsid w:val="00B54865"/>
    <w:rsid w:val="00B549B8"/>
    <w:rsid w:val="00B562D8"/>
    <w:rsid w:val="00B56780"/>
    <w:rsid w:val="00B572EB"/>
    <w:rsid w:val="00B578F2"/>
    <w:rsid w:val="00B60346"/>
    <w:rsid w:val="00B60561"/>
    <w:rsid w:val="00B6060A"/>
    <w:rsid w:val="00B607A6"/>
    <w:rsid w:val="00B61BB1"/>
    <w:rsid w:val="00B61DE9"/>
    <w:rsid w:val="00B62160"/>
    <w:rsid w:val="00B62266"/>
    <w:rsid w:val="00B63ED9"/>
    <w:rsid w:val="00B642DA"/>
    <w:rsid w:val="00B65502"/>
    <w:rsid w:val="00B65509"/>
    <w:rsid w:val="00B655A1"/>
    <w:rsid w:val="00B66873"/>
    <w:rsid w:val="00B66A05"/>
    <w:rsid w:val="00B66E42"/>
    <w:rsid w:val="00B67A5D"/>
    <w:rsid w:val="00B7072B"/>
    <w:rsid w:val="00B70FFF"/>
    <w:rsid w:val="00B716B9"/>
    <w:rsid w:val="00B71B14"/>
    <w:rsid w:val="00B731B1"/>
    <w:rsid w:val="00B73D47"/>
    <w:rsid w:val="00B7421F"/>
    <w:rsid w:val="00B74715"/>
    <w:rsid w:val="00B7487F"/>
    <w:rsid w:val="00B75397"/>
    <w:rsid w:val="00B75F08"/>
    <w:rsid w:val="00B760F0"/>
    <w:rsid w:val="00B761C0"/>
    <w:rsid w:val="00B76244"/>
    <w:rsid w:val="00B76675"/>
    <w:rsid w:val="00B770A8"/>
    <w:rsid w:val="00B77D93"/>
    <w:rsid w:val="00B80B5F"/>
    <w:rsid w:val="00B80F2C"/>
    <w:rsid w:val="00B82040"/>
    <w:rsid w:val="00B8238C"/>
    <w:rsid w:val="00B8284A"/>
    <w:rsid w:val="00B831D2"/>
    <w:rsid w:val="00B83E60"/>
    <w:rsid w:val="00B85018"/>
    <w:rsid w:val="00B856F0"/>
    <w:rsid w:val="00B87E00"/>
    <w:rsid w:val="00B90297"/>
    <w:rsid w:val="00B915C4"/>
    <w:rsid w:val="00B92A6A"/>
    <w:rsid w:val="00B94396"/>
    <w:rsid w:val="00B9448E"/>
    <w:rsid w:val="00B949BD"/>
    <w:rsid w:val="00B953E6"/>
    <w:rsid w:val="00B957AE"/>
    <w:rsid w:val="00B95C13"/>
    <w:rsid w:val="00B95C1C"/>
    <w:rsid w:val="00B96125"/>
    <w:rsid w:val="00B961D0"/>
    <w:rsid w:val="00B9644F"/>
    <w:rsid w:val="00B96910"/>
    <w:rsid w:val="00B97019"/>
    <w:rsid w:val="00B977CE"/>
    <w:rsid w:val="00B97A31"/>
    <w:rsid w:val="00B97E6C"/>
    <w:rsid w:val="00BA019C"/>
    <w:rsid w:val="00BA080B"/>
    <w:rsid w:val="00BA1394"/>
    <w:rsid w:val="00BA20C9"/>
    <w:rsid w:val="00BA3E77"/>
    <w:rsid w:val="00BA46A7"/>
    <w:rsid w:val="00BA522B"/>
    <w:rsid w:val="00BB08CC"/>
    <w:rsid w:val="00BB0A16"/>
    <w:rsid w:val="00BB0C41"/>
    <w:rsid w:val="00BB0C66"/>
    <w:rsid w:val="00BB1591"/>
    <w:rsid w:val="00BB2A95"/>
    <w:rsid w:val="00BB2CA6"/>
    <w:rsid w:val="00BB30A9"/>
    <w:rsid w:val="00BB32E5"/>
    <w:rsid w:val="00BB4A0F"/>
    <w:rsid w:val="00BB5026"/>
    <w:rsid w:val="00BB50A0"/>
    <w:rsid w:val="00BB516D"/>
    <w:rsid w:val="00BB5D9B"/>
    <w:rsid w:val="00BB60E8"/>
    <w:rsid w:val="00BB6E0A"/>
    <w:rsid w:val="00BB7978"/>
    <w:rsid w:val="00BB7EDB"/>
    <w:rsid w:val="00BC0DC1"/>
    <w:rsid w:val="00BC134F"/>
    <w:rsid w:val="00BC31FB"/>
    <w:rsid w:val="00BC34EE"/>
    <w:rsid w:val="00BC36F0"/>
    <w:rsid w:val="00BC3A62"/>
    <w:rsid w:val="00BC3A85"/>
    <w:rsid w:val="00BC45FB"/>
    <w:rsid w:val="00BC4F58"/>
    <w:rsid w:val="00BC7ACC"/>
    <w:rsid w:val="00BD3463"/>
    <w:rsid w:val="00BD3F01"/>
    <w:rsid w:val="00BD429D"/>
    <w:rsid w:val="00BD45DD"/>
    <w:rsid w:val="00BD5622"/>
    <w:rsid w:val="00BD642B"/>
    <w:rsid w:val="00BD6AEC"/>
    <w:rsid w:val="00BD7126"/>
    <w:rsid w:val="00BD7150"/>
    <w:rsid w:val="00BD7D72"/>
    <w:rsid w:val="00BE0AC1"/>
    <w:rsid w:val="00BE1634"/>
    <w:rsid w:val="00BE1C83"/>
    <w:rsid w:val="00BE3ABC"/>
    <w:rsid w:val="00BE49FE"/>
    <w:rsid w:val="00BE5F97"/>
    <w:rsid w:val="00BE65AE"/>
    <w:rsid w:val="00BF0436"/>
    <w:rsid w:val="00BF0F65"/>
    <w:rsid w:val="00BF24AD"/>
    <w:rsid w:val="00BF3B06"/>
    <w:rsid w:val="00BF473D"/>
    <w:rsid w:val="00BF5666"/>
    <w:rsid w:val="00C000A6"/>
    <w:rsid w:val="00C00B03"/>
    <w:rsid w:val="00C00C66"/>
    <w:rsid w:val="00C01C74"/>
    <w:rsid w:val="00C01EB0"/>
    <w:rsid w:val="00C030F8"/>
    <w:rsid w:val="00C042F7"/>
    <w:rsid w:val="00C0433E"/>
    <w:rsid w:val="00C0483B"/>
    <w:rsid w:val="00C04E82"/>
    <w:rsid w:val="00C05726"/>
    <w:rsid w:val="00C05A2E"/>
    <w:rsid w:val="00C06054"/>
    <w:rsid w:val="00C060B8"/>
    <w:rsid w:val="00C06379"/>
    <w:rsid w:val="00C06E6E"/>
    <w:rsid w:val="00C07447"/>
    <w:rsid w:val="00C075CC"/>
    <w:rsid w:val="00C101A8"/>
    <w:rsid w:val="00C1052E"/>
    <w:rsid w:val="00C13BD0"/>
    <w:rsid w:val="00C146FC"/>
    <w:rsid w:val="00C154D2"/>
    <w:rsid w:val="00C156CC"/>
    <w:rsid w:val="00C15794"/>
    <w:rsid w:val="00C15D66"/>
    <w:rsid w:val="00C16190"/>
    <w:rsid w:val="00C17090"/>
    <w:rsid w:val="00C177EA"/>
    <w:rsid w:val="00C17EE2"/>
    <w:rsid w:val="00C20C27"/>
    <w:rsid w:val="00C21452"/>
    <w:rsid w:val="00C23903"/>
    <w:rsid w:val="00C23B36"/>
    <w:rsid w:val="00C24343"/>
    <w:rsid w:val="00C26A49"/>
    <w:rsid w:val="00C26C4E"/>
    <w:rsid w:val="00C27401"/>
    <w:rsid w:val="00C27B81"/>
    <w:rsid w:val="00C306BB"/>
    <w:rsid w:val="00C327E9"/>
    <w:rsid w:val="00C3335C"/>
    <w:rsid w:val="00C36027"/>
    <w:rsid w:val="00C361D3"/>
    <w:rsid w:val="00C36469"/>
    <w:rsid w:val="00C37D02"/>
    <w:rsid w:val="00C4035B"/>
    <w:rsid w:val="00C440ED"/>
    <w:rsid w:val="00C45A59"/>
    <w:rsid w:val="00C45B4D"/>
    <w:rsid w:val="00C46105"/>
    <w:rsid w:val="00C46D19"/>
    <w:rsid w:val="00C4705D"/>
    <w:rsid w:val="00C4776D"/>
    <w:rsid w:val="00C51939"/>
    <w:rsid w:val="00C51E21"/>
    <w:rsid w:val="00C52DE6"/>
    <w:rsid w:val="00C537F3"/>
    <w:rsid w:val="00C54589"/>
    <w:rsid w:val="00C56A6E"/>
    <w:rsid w:val="00C5718C"/>
    <w:rsid w:val="00C57679"/>
    <w:rsid w:val="00C578BB"/>
    <w:rsid w:val="00C57D46"/>
    <w:rsid w:val="00C611FC"/>
    <w:rsid w:val="00C61469"/>
    <w:rsid w:val="00C625B1"/>
    <w:rsid w:val="00C63B14"/>
    <w:rsid w:val="00C64542"/>
    <w:rsid w:val="00C64D26"/>
    <w:rsid w:val="00C6545E"/>
    <w:rsid w:val="00C65A42"/>
    <w:rsid w:val="00C669EA"/>
    <w:rsid w:val="00C66D77"/>
    <w:rsid w:val="00C67DB5"/>
    <w:rsid w:val="00C67F85"/>
    <w:rsid w:val="00C70BCA"/>
    <w:rsid w:val="00C71EF8"/>
    <w:rsid w:val="00C72882"/>
    <w:rsid w:val="00C72F34"/>
    <w:rsid w:val="00C7364A"/>
    <w:rsid w:val="00C73A67"/>
    <w:rsid w:val="00C750B9"/>
    <w:rsid w:val="00C75A54"/>
    <w:rsid w:val="00C7608B"/>
    <w:rsid w:val="00C770F3"/>
    <w:rsid w:val="00C8294F"/>
    <w:rsid w:val="00C82CC5"/>
    <w:rsid w:val="00C832A5"/>
    <w:rsid w:val="00C8336F"/>
    <w:rsid w:val="00C84705"/>
    <w:rsid w:val="00C8622B"/>
    <w:rsid w:val="00C864D0"/>
    <w:rsid w:val="00C8783C"/>
    <w:rsid w:val="00C90171"/>
    <w:rsid w:val="00C90604"/>
    <w:rsid w:val="00C9067A"/>
    <w:rsid w:val="00C90D7E"/>
    <w:rsid w:val="00C90EDF"/>
    <w:rsid w:val="00C90F2D"/>
    <w:rsid w:val="00C911AC"/>
    <w:rsid w:val="00C91714"/>
    <w:rsid w:val="00C91ED3"/>
    <w:rsid w:val="00C92E8A"/>
    <w:rsid w:val="00C93C81"/>
    <w:rsid w:val="00C96E61"/>
    <w:rsid w:val="00CA0032"/>
    <w:rsid w:val="00CA0AAA"/>
    <w:rsid w:val="00CA1261"/>
    <w:rsid w:val="00CA1455"/>
    <w:rsid w:val="00CA1E8E"/>
    <w:rsid w:val="00CA304A"/>
    <w:rsid w:val="00CA3472"/>
    <w:rsid w:val="00CA5DEA"/>
    <w:rsid w:val="00CA609F"/>
    <w:rsid w:val="00CA6E68"/>
    <w:rsid w:val="00CA74DB"/>
    <w:rsid w:val="00CA7646"/>
    <w:rsid w:val="00CB1055"/>
    <w:rsid w:val="00CB10E9"/>
    <w:rsid w:val="00CB1950"/>
    <w:rsid w:val="00CB2145"/>
    <w:rsid w:val="00CB2254"/>
    <w:rsid w:val="00CB27C8"/>
    <w:rsid w:val="00CB2BD7"/>
    <w:rsid w:val="00CB3CC8"/>
    <w:rsid w:val="00CB412E"/>
    <w:rsid w:val="00CB4C03"/>
    <w:rsid w:val="00CB5011"/>
    <w:rsid w:val="00CB5083"/>
    <w:rsid w:val="00CB5ABA"/>
    <w:rsid w:val="00CB6104"/>
    <w:rsid w:val="00CB7DC2"/>
    <w:rsid w:val="00CB7EE9"/>
    <w:rsid w:val="00CC0071"/>
    <w:rsid w:val="00CC06D0"/>
    <w:rsid w:val="00CC0BFC"/>
    <w:rsid w:val="00CC0DD3"/>
    <w:rsid w:val="00CC1188"/>
    <w:rsid w:val="00CC16D5"/>
    <w:rsid w:val="00CC1786"/>
    <w:rsid w:val="00CC180C"/>
    <w:rsid w:val="00CC2970"/>
    <w:rsid w:val="00CC3512"/>
    <w:rsid w:val="00CC427C"/>
    <w:rsid w:val="00CC7151"/>
    <w:rsid w:val="00CC767C"/>
    <w:rsid w:val="00CC784C"/>
    <w:rsid w:val="00CD01D0"/>
    <w:rsid w:val="00CD050B"/>
    <w:rsid w:val="00CD1231"/>
    <w:rsid w:val="00CD1822"/>
    <w:rsid w:val="00CD2634"/>
    <w:rsid w:val="00CD2A1B"/>
    <w:rsid w:val="00CD3B19"/>
    <w:rsid w:val="00CD3EDA"/>
    <w:rsid w:val="00CD777D"/>
    <w:rsid w:val="00CE30FC"/>
    <w:rsid w:val="00CE48EB"/>
    <w:rsid w:val="00CE51A6"/>
    <w:rsid w:val="00CE5548"/>
    <w:rsid w:val="00CE573C"/>
    <w:rsid w:val="00CE5EA4"/>
    <w:rsid w:val="00CE669C"/>
    <w:rsid w:val="00CE68F8"/>
    <w:rsid w:val="00CE7A69"/>
    <w:rsid w:val="00CF2131"/>
    <w:rsid w:val="00CF2A23"/>
    <w:rsid w:val="00CF3562"/>
    <w:rsid w:val="00CF3974"/>
    <w:rsid w:val="00CF45FC"/>
    <w:rsid w:val="00CF51FC"/>
    <w:rsid w:val="00CF5656"/>
    <w:rsid w:val="00CF6123"/>
    <w:rsid w:val="00CF6536"/>
    <w:rsid w:val="00CF70B6"/>
    <w:rsid w:val="00D00003"/>
    <w:rsid w:val="00D001B5"/>
    <w:rsid w:val="00D003F0"/>
    <w:rsid w:val="00D018DF"/>
    <w:rsid w:val="00D01D45"/>
    <w:rsid w:val="00D01EBC"/>
    <w:rsid w:val="00D0304C"/>
    <w:rsid w:val="00D04F67"/>
    <w:rsid w:val="00D0541D"/>
    <w:rsid w:val="00D06202"/>
    <w:rsid w:val="00D077AA"/>
    <w:rsid w:val="00D07888"/>
    <w:rsid w:val="00D10809"/>
    <w:rsid w:val="00D1081F"/>
    <w:rsid w:val="00D10BDC"/>
    <w:rsid w:val="00D1172F"/>
    <w:rsid w:val="00D11B40"/>
    <w:rsid w:val="00D16180"/>
    <w:rsid w:val="00D1675A"/>
    <w:rsid w:val="00D203EB"/>
    <w:rsid w:val="00D20C37"/>
    <w:rsid w:val="00D211D3"/>
    <w:rsid w:val="00D21D5A"/>
    <w:rsid w:val="00D21E63"/>
    <w:rsid w:val="00D2277D"/>
    <w:rsid w:val="00D227F2"/>
    <w:rsid w:val="00D2687D"/>
    <w:rsid w:val="00D27441"/>
    <w:rsid w:val="00D3057D"/>
    <w:rsid w:val="00D30834"/>
    <w:rsid w:val="00D308A5"/>
    <w:rsid w:val="00D30B51"/>
    <w:rsid w:val="00D312C4"/>
    <w:rsid w:val="00D3229F"/>
    <w:rsid w:val="00D33D7E"/>
    <w:rsid w:val="00D347A8"/>
    <w:rsid w:val="00D347F4"/>
    <w:rsid w:val="00D34ABC"/>
    <w:rsid w:val="00D35D30"/>
    <w:rsid w:val="00D36307"/>
    <w:rsid w:val="00D37040"/>
    <w:rsid w:val="00D37309"/>
    <w:rsid w:val="00D37811"/>
    <w:rsid w:val="00D4038F"/>
    <w:rsid w:val="00D415D5"/>
    <w:rsid w:val="00D424E4"/>
    <w:rsid w:val="00D42F1C"/>
    <w:rsid w:val="00D431D3"/>
    <w:rsid w:val="00D433FF"/>
    <w:rsid w:val="00D44332"/>
    <w:rsid w:val="00D45A06"/>
    <w:rsid w:val="00D462EB"/>
    <w:rsid w:val="00D4723A"/>
    <w:rsid w:val="00D50666"/>
    <w:rsid w:val="00D5089E"/>
    <w:rsid w:val="00D511BD"/>
    <w:rsid w:val="00D5399F"/>
    <w:rsid w:val="00D53BF4"/>
    <w:rsid w:val="00D53C49"/>
    <w:rsid w:val="00D54031"/>
    <w:rsid w:val="00D54F40"/>
    <w:rsid w:val="00D55908"/>
    <w:rsid w:val="00D566AF"/>
    <w:rsid w:val="00D57012"/>
    <w:rsid w:val="00D60776"/>
    <w:rsid w:val="00D61030"/>
    <w:rsid w:val="00D614E7"/>
    <w:rsid w:val="00D61CBD"/>
    <w:rsid w:val="00D61D0E"/>
    <w:rsid w:val="00D62B10"/>
    <w:rsid w:val="00D6337A"/>
    <w:rsid w:val="00D64AB6"/>
    <w:rsid w:val="00D64D7F"/>
    <w:rsid w:val="00D65C03"/>
    <w:rsid w:val="00D65E7A"/>
    <w:rsid w:val="00D66259"/>
    <w:rsid w:val="00D70C7C"/>
    <w:rsid w:val="00D716E1"/>
    <w:rsid w:val="00D71BD1"/>
    <w:rsid w:val="00D7400D"/>
    <w:rsid w:val="00D752DA"/>
    <w:rsid w:val="00D76E8E"/>
    <w:rsid w:val="00D77B47"/>
    <w:rsid w:val="00D80A86"/>
    <w:rsid w:val="00D80FAF"/>
    <w:rsid w:val="00D81560"/>
    <w:rsid w:val="00D83EA7"/>
    <w:rsid w:val="00D8471C"/>
    <w:rsid w:val="00D85522"/>
    <w:rsid w:val="00D855CF"/>
    <w:rsid w:val="00D90697"/>
    <w:rsid w:val="00D90EA3"/>
    <w:rsid w:val="00D91282"/>
    <w:rsid w:val="00D92A24"/>
    <w:rsid w:val="00D9347C"/>
    <w:rsid w:val="00D93667"/>
    <w:rsid w:val="00D94B69"/>
    <w:rsid w:val="00D95379"/>
    <w:rsid w:val="00D95494"/>
    <w:rsid w:val="00D95923"/>
    <w:rsid w:val="00D96047"/>
    <w:rsid w:val="00DA030C"/>
    <w:rsid w:val="00DA12C8"/>
    <w:rsid w:val="00DA1EFA"/>
    <w:rsid w:val="00DA1F04"/>
    <w:rsid w:val="00DA2565"/>
    <w:rsid w:val="00DA3207"/>
    <w:rsid w:val="00DA3753"/>
    <w:rsid w:val="00DA5AC6"/>
    <w:rsid w:val="00DA65F0"/>
    <w:rsid w:val="00DA74FF"/>
    <w:rsid w:val="00DA7D20"/>
    <w:rsid w:val="00DB0043"/>
    <w:rsid w:val="00DB0EF2"/>
    <w:rsid w:val="00DB1B5B"/>
    <w:rsid w:val="00DB1F80"/>
    <w:rsid w:val="00DB2DB9"/>
    <w:rsid w:val="00DB2F7B"/>
    <w:rsid w:val="00DB3FB3"/>
    <w:rsid w:val="00DB436D"/>
    <w:rsid w:val="00DB4CF5"/>
    <w:rsid w:val="00DB531B"/>
    <w:rsid w:val="00DB54C5"/>
    <w:rsid w:val="00DB5886"/>
    <w:rsid w:val="00DB6187"/>
    <w:rsid w:val="00DB62DE"/>
    <w:rsid w:val="00DB645F"/>
    <w:rsid w:val="00DB7C20"/>
    <w:rsid w:val="00DC076F"/>
    <w:rsid w:val="00DC15C6"/>
    <w:rsid w:val="00DC2289"/>
    <w:rsid w:val="00DC22E6"/>
    <w:rsid w:val="00DC3464"/>
    <w:rsid w:val="00DC37FB"/>
    <w:rsid w:val="00DC569C"/>
    <w:rsid w:val="00DC5A40"/>
    <w:rsid w:val="00DC70CC"/>
    <w:rsid w:val="00DC7404"/>
    <w:rsid w:val="00DC7690"/>
    <w:rsid w:val="00DC78B9"/>
    <w:rsid w:val="00DD02A2"/>
    <w:rsid w:val="00DD07F4"/>
    <w:rsid w:val="00DD08B3"/>
    <w:rsid w:val="00DD0D6B"/>
    <w:rsid w:val="00DD0E5B"/>
    <w:rsid w:val="00DD1088"/>
    <w:rsid w:val="00DD2431"/>
    <w:rsid w:val="00DD2503"/>
    <w:rsid w:val="00DD418D"/>
    <w:rsid w:val="00DD4343"/>
    <w:rsid w:val="00DD4A6A"/>
    <w:rsid w:val="00DD4B6C"/>
    <w:rsid w:val="00DD5C50"/>
    <w:rsid w:val="00DD5DFF"/>
    <w:rsid w:val="00DD6A3C"/>
    <w:rsid w:val="00DD6A93"/>
    <w:rsid w:val="00DD72CF"/>
    <w:rsid w:val="00DD7625"/>
    <w:rsid w:val="00DE0FA5"/>
    <w:rsid w:val="00DE106B"/>
    <w:rsid w:val="00DE2DEF"/>
    <w:rsid w:val="00DE3045"/>
    <w:rsid w:val="00DE327E"/>
    <w:rsid w:val="00DE4BA5"/>
    <w:rsid w:val="00DE70D5"/>
    <w:rsid w:val="00DE728A"/>
    <w:rsid w:val="00DE73FD"/>
    <w:rsid w:val="00DE7437"/>
    <w:rsid w:val="00DF2D6C"/>
    <w:rsid w:val="00DF31BA"/>
    <w:rsid w:val="00DF3469"/>
    <w:rsid w:val="00DF34EC"/>
    <w:rsid w:val="00DF3F0C"/>
    <w:rsid w:val="00DF4F8C"/>
    <w:rsid w:val="00DF5283"/>
    <w:rsid w:val="00DF5D64"/>
    <w:rsid w:val="00DF7238"/>
    <w:rsid w:val="00DF7C56"/>
    <w:rsid w:val="00E00039"/>
    <w:rsid w:val="00E001A6"/>
    <w:rsid w:val="00E0117D"/>
    <w:rsid w:val="00E01215"/>
    <w:rsid w:val="00E02EE5"/>
    <w:rsid w:val="00E038C4"/>
    <w:rsid w:val="00E03B84"/>
    <w:rsid w:val="00E04516"/>
    <w:rsid w:val="00E06013"/>
    <w:rsid w:val="00E067FC"/>
    <w:rsid w:val="00E06ECD"/>
    <w:rsid w:val="00E0752F"/>
    <w:rsid w:val="00E07960"/>
    <w:rsid w:val="00E07C37"/>
    <w:rsid w:val="00E10C55"/>
    <w:rsid w:val="00E10E87"/>
    <w:rsid w:val="00E110BC"/>
    <w:rsid w:val="00E11172"/>
    <w:rsid w:val="00E1140D"/>
    <w:rsid w:val="00E11C82"/>
    <w:rsid w:val="00E141AC"/>
    <w:rsid w:val="00E142E7"/>
    <w:rsid w:val="00E14ECC"/>
    <w:rsid w:val="00E1534B"/>
    <w:rsid w:val="00E158E2"/>
    <w:rsid w:val="00E15A33"/>
    <w:rsid w:val="00E1632D"/>
    <w:rsid w:val="00E16407"/>
    <w:rsid w:val="00E20104"/>
    <w:rsid w:val="00E24416"/>
    <w:rsid w:val="00E25684"/>
    <w:rsid w:val="00E2709D"/>
    <w:rsid w:val="00E27736"/>
    <w:rsid w:val="00E27E7C"/>
    <w:rsid w:val="00E300F2"/>
    <w:rsid w:val="00E301F3"/>
    <w:rsid w:val="00E303CC"/>
    <w:rsid w:val="00E3048A"/>
    <w:rsid w:val="00E3167B"/>
    <w:rsid w:val="00E323EE"/>
    <w:rsid w:val="00E32B7A"/>
    <w:rsid w:val="00E32DAB"/>
    <w:rsid w:val="00E33EC6"/>
    <w:rsid w:val="00E35A02"/>
    <w:rsid w:val="00E36282"/>
    <w:rsid w:val="00E3696E"/>
    <w:rsid w:val="00E36C85"/>
    <w:rsid w:val="00E37B7B"/>
    <w:rsid w:val="00E40848"/>
    <w:rsid w:val="00E40C54"/>
    <w:rsid w:val="00E4232F"/>
    <w:rsid w:val="00E428BE"/>
    <w:rsid w:val="00E44627"/>
    <w:rsid w:val="00E44900"/>
    <w:rsid w:val="00E4506F"/>
    <w:rsid w:val="00E4519C"/>
    <w:rsid w:val="00E455DD"/>
    <w:rsid w:val="00E45DBA"/>
    <w:rsid w:val="00E46C51"/>
    <w:rsid w:val="00E473FD"/>
    <w:rsid w:val="00E47DF0"/>
    <w:rsid w:val="00E50028"/>
    <w:rsid w:val="00E51D95"/>
    <w:rsid w:val="00E51EAD"/>
    <w:rsid w:val="00E52127"/>
    <w:rsid w:val="00E53E66"/>
    <w:rsid w:val="00E56117"/>
    <w:rsid w:val="00E573F0"/>
    <w:rsid w:val="00E6031F"/>
    <w:rsid w:val="00E60DE1"/>
    <w:rsid w:val="00E61F74"/>
    <w:rsid w:val="00E622A9"/>
    <w:rsid w:val="00E62AFF"/>
    <w:rsid w:val="00E62B6A"/>
    <w:rsid w:val="00E62E6A"/>
    <w:rsid w:val="00E630A8"/>
    <w:rsid w:val="00E631A4"/>
    <w:rsid w:val="00E635F4"/>
    <w:rsid w:val="00E63CD6"/>
    <w:rsid w:val="00E63E9C"/>
    <w:rsid w:val="00E6449D"/>
    <w:rsid w:val="00E64CB2"/>
    <w:rsid w:val="00E656FF"/>
    <w:rsid w:val="00E66156"/>
    <w:rsid w:val="00E66D21"/>
    <w:rsid w:val="00E6747A"/>
    <w:rsid w:val="00E67986"/>
    <w:rsid w:val="00E67C4E"/>
    <w:rsid w:val="00E7027B"/>
    <w:rsid w:val="00E707CD"/>
    <w:rsid w:val="00E71BA9"/>
    <w:rsid w:val="00E71F99"/>
    <w:rsid w:val="00E72A7E"/>
    <w:rsid w:val="00E741A9"/>
    <w:rsid w:val="00E75D23"/>
    <w:rsid w:val="00E76BD1"/>
    <w:rsid w:val="00E77118"/>
    <w:rsid w:val="00E807A6"/>
    <w:rsid w:val="00E82C05"/>
    <w:rsid w:val="00E832B2"/>
    <w:rsid w:val="00E83F64"/>
    <w:rsid w:val="00E848DB"/>
    <w:rsid w:val="00E84D43"/>
    <w:rsid w:val="00E858B6"/>
    <w:rsid w:val="00E85BC2"/>
    <w:rsid w:val="00E860D6"/>
    <w:rsid w:val="00E86C0C"/>
    <w:rsid w:val="00E86F19"/>
    <w:rsid w:val="00E86FEC"/>
    <w:rsid w:val="00E90799"/>
    <w:rsid w:val="00E94025"/>
    <w:rsid w:val="00E943F3"/>
    <w:rsid w:val="00E95888"/>
    <w:rsid w:val="00E95A29"/>
    <w:rsid w:val="00E963CE"/>
    <w:rsid w:val="00E96988"/>
    <w:rsid w:val="00E974F6"/>
    <w:rsid w:val="00EA0374"/>
    <w:rsid w:val="00EA128F"/>
    <w:rsid w:val="00EA1EBA"/>
    <w:rsid w:val="00EA26FE"/>
    <w:rsid w:val="00EA2C67"/>
    <w:rsid w:val="00EA3680"/>
    <w:rsid w:val="00EA39C7"/>
    <w:rsid w:val="00EA3FB0"/>
    <w:rsid w:val="00EA4232"/>
    <w:rsid w:val="00EA56CE"/>
    <w:rsid w:val="00EA60D0"/>
    <w:rsid w:val="00EA679A"/>
    <w:rsid w:val="00EA77C3"/>
    <w:rsid w:val="00EA7B5C"/>
    <w:rsid w:val="00EB003D"/>
    <w:rsid w:val="00EB151B"/>
    <w:rsid w:val="00EB1B90"/>
    <w:rsid w:val="00EB35C1"/>
    <w:rsid w:val="00EB3A97"/>
    <w:rsid w:val="00EB3E3E"/>
    <w:rsid w:val="00EB404F"/>
    <w:rsid w:val="00EB4194"/>
    <w:rsid w:val="00EB41A8"/>
    <w:rsid w:val="00EB4B38"/>
    <w:rsid w:val="00EB66B8"/>
    <w:rsid w:val="00EB6C91"/>
    <w:rsid w:val="00EB769F"/>
    <w:rsid w:val="00EB7868"/>
    <w:rsid w:val="00EB790D"/>
    <w:rsid w:val="00EC0778"/>
    <w:rsid w:val="00EC1B74"/>
    <w:rsid w:val="00EC1FE1"/>
    <w:rsid w:val="00EC2353"/>
    <w:rsid w:val="00EC345A"/>
    <w:rsid w:val="00EC3AE0"/>
    <w:rsid w:val="00EC40CD"/>
    <w:rsid w:val="00EC456A"/>
    <w:rsid w:val="00EC46E9"/>
    <w:rsid w:val="00EC5136"/>
    <w:rsid w:val="00EC65BB"/>
    <w:rsid w:val="00EC6FF6"/>
    <w:rsid w:val="00EC7289"/>
    <w:rsid w:val="00EC753C"/>
    <w:rsid w:val="00EC78A0"/>
    <w:rsid w:val="00EC7AE7"/>
    <w:rsid w:val="00ED03E1"/>
    <w:rsid w:val="00ED24AC"/>
    <w:rsid w:val="00ED2CE0"/>
    <w:rsid w:val="00ED355F"/>
    <w:rsid w:val="00ED4BAE"/>
    <w:rsid w:val="00ED62E3"/>
    <w:rsid w:val="00ED645C"/>
    <w:rsid w:val="00ED6E2D"/>
    <w:rsid w:val="00ED7094"/>
    <w:rsid w:val="00ED74C8"/>
    <w:rsid w:val="00ED78BA"/>
    <w:rsid w:val="00ED78EC"/>
    <w:rsid w:val="00ED7FE9"/>
    <w:rsid w:val="00EE13BD"/>
    <w:rsid w:val="00EE1EE6"/>
    <w:rsid w:val="00EE1EEA"/>
    <w:rsid w:val="00EE1EF7"/>
    <w:rsid w:val="00EE23DF"/>
    <w:rsid w:val="00EE4CDF"/>
    <w:rsid w:val="00EE51C1"/>
    <w:rsid w:val="00EE6934"/>
    <w:rsid w:val="00EE79C2"/>
    <w:rsid w:val="00EF009C"/>
    <w:rsid w:val="00EF0151"/>
    <w:rsid w:val="00EF03D6"/>
    <w:rsid w:val="00EF0463"/>
    <w:rsid w:val="00EF0693"/>
    <w:rsid w:val="00EF0AF3"/>
    <w:rsid w:val="00EF0D50"/>
    <w:rsid w:val="00EF257A"/>
    <w:rsid w:val="00EF38AE"/>
    <w:rsid w:val="00EF52F8"/>
    <w:rsid w:val="00EF55F3"/>
    <w:rsid w:val="00EF5DEA"/>
    <w:rsid w:val="00EF677A"/>
    <w:rsid w:val="00EF6DA1"/>
    <w:rsid w:val="00EF759A"/>
    <w:rsid w:val="00F00D72"/>
    <w:rsid w:val="00F00F7A"/>
    <w:rsid w:val="00F0209D"/>
    <w:rsid w:val="00F023E0"/>
    <w:rsid w:val="00F02558"/>
    <w:rsid w:val="00F03B5C"/>
    <w:rsid w:val="00F03CD4"/>
    <w:rsid w:val="00F04075"/>
    <w:rsid w:val="00F05606"/>
    <w:rsid w:val="00F0750F"/>
    <w:rsid w:val="00F075B7"/>
    <w:rsid w:val="00F07901"/>
    <w:rsid w:val="00F07999"/>
    <w:rsid w:val="00F1007A"/>
    <w:rsid w:val="00F109F5"/>
    <w:rsid w:val="00F113C9"/>
    <w:rsid w:val="00F11858"/>
    <w:rsid w:val="00F132FA"/>
    <w:rsid w:val="00F143B3"/>
    <w:rsid w:val="00F14E25"/>
    <w:rsid w:val="00F15F5B"/>
    <w:rsid w:val="00F1642A"/>
    <w:rsid w:val="00F2064F"/>
    <w:rsid w:val="00F21A01"/>
    <w:rsid w:val="00F22A44"/>
    <w:rsid w:val="00F2396A"/>
    <w:rsid w:val="00F240E9"/>
    <w:rsid w:val="00F250D7"/>
    <w:rsid w:val="00F25545"/>
    <w:rsid w:val="00F2568F"/>
    <w:rsid w:val="00F263B2"/>
    <w:rsid w:val="00F26968"/>
    <w:rsid w:val="00F269BC"/>
    <w:rsid w:val="00F27D8C"/>
    <w:rsid w:val="00F30743"/>
    <w:rsid w:val="00F30938"/>
    <w:rsid w:val="00F31D36"/>
    <w:rsid w:val="00F326EF"/>
    <w:rsid w:val="00F330F9"/>
    <w:rsid w:val="00F33676"/>
    <w:rsid w:val="00F33F67"/>
    <w:rsid w:val="00F3457C"/>
    <w:rsid w:val="00F367D7"/>
    <w:rsid w:val="00F40B08"/>
    <w:rsid w:val="00F40E2B"/>
    <w:rsid w:val="00F411B9"/>
    <w:rsid w:val="00F41C8E"/>
    <w:rsid w:val="00F425A7"/>
    <w:rsid w:val="00F42C18"/>
    <w:rsid w:val="00F431C8"/>
    <w:rsid w:val="00F434B8"/>
    <w:rsid w:val="00F4440E"/>
    <w:rsid w:val="00F44C73"/>
    <w:rsid w:val="00F44F6E"/>
    <w:rsid w:val="00F45171"/>
    <w:rsid w:val="00F45FA4"/>
    <w:rsid w:val="00F460BB"/>
    <w:rsid w:val="00F4612A"/>
    <w:rsid w:val="00F471EA"/>
    <w:rsid w:val="00F5013F"/>
    <w:rsid w:val="00F50419"/>
    <w:rsid w:val="00F5071C"/>
    <w:rsid w:val="00F50FEB"/>
    <w:rsid w:val="00F518EF"/>
    <w:rsid w:val="00F540D5"/>
    <w:rsid w:val="00F54611"/>
    <w:rsid w:val="00F548DF"/>
    <w:rsid w:val="00F55010"/>
    <w:rsid w:val="00F55135"/>
    <w:rsid w:val="00F5633C"/>
    <w:rsid w:val="00F57A07"/>
    <w:rsid w:val="00F623F0"/>
    <w:rsid w:val="00F627B5"/>
    <w:rsid w:val="00F629DF"/>
    <w:rsid w:val="00F63069"/>
    <w:rsid w:val="00F65BC8"/>
    <w:rsid w:val="00F65F24"/>
    <w:rsid w:val="00F66DE5"/>
    <w:rsid w:val="00F67315"/>
    <w:rsid w:val="00F67C54"/>
    <w:rsid w:val="00F71007"/>
    <w:rsid w:val="00F7114A"/>
    <w:rsid w:val="00F727EA"/>
    <w:rsid w:val="00F74382"/>
    <w:rsid w:val="00F762EA"/>
    <w:rsid w:val="00F76FF6"/>
    <w:rsid w:val="00F7742A"/>
    <w:rsid w:val="00F77447"/>
    <w:rsid w:val="00F813B2"/>
    <w:rsid w:val="00F81B8A"/>
    <w:rsid w:val="00F826A1"/>
    <w:rsid w:val="00F82764"/>
    <w:rsid w:val="00F83C33"/>
    <w:rsid w:val="00F8429B"/>
    <w:rsid w:val="00F84BF2"/>
    <w:rsid w:val="00F86255"/>
    <w:rsid w:val="00F87B55"/>
    <w:rsid w:val="00F87EB9"/>
    <w:rsid w:val="00F87FA5"/>
    <w:rsid w:val="00F90687"/>
    <w:rsid w:val="00F91584"/>
    <w:rsid w:val="00F92BE3"/>
    <w:rsid w:val="00F92ED6"/>
    <w:rsid w:val="00F9345E"/>
    <w:rsid w:val="00F93D29"/>
    <w:rsid w:val="00F93ED3"/>
    <w:rsid w:val="00F94583"/>
    <w:rsid w:val="00F959E9"/>
    <w:rsid w:val="00F9657C"/>
    <w:rsid w:val="00F96649"/>
    <w:rsid w:val="00F9700A"/>
    <w:rsid w:val="00F979E0"/>
    <w:rsid w:val="00FA0033"/>
    <w:rsid w:val="00FA0D6F"/>
    <w:rsid w:val="00FA1B26"/>
    <w:rsid w:val="00FA1FF3"/>
    <w:rsid w:val="00FA2A53"/>
    <w:rsid w:val="00FA2E7B"/>
    <w:rsid w:val="00FA385E"/>
    <w:rsid w:val="00FA3FF2"/>
    <w:rsid w:val="00FA4280"/>
    <w:rsid w:val="00FA4500"/>
    <w:rsid w:val="00FA56D1"/>
    <w:rsid w:val="00FA56FC"/>
    <w:rsid w:val="00FA6926"/>
    <w:rsid w:val="00FA726F"/>
    <w:rsid w:val="00FA79BC"/>
    <w:rsid w:val="00FA7B50"/>
    <w:rsid w:val="00FA7ECA"/>
    <w:rsid w:val="00FB0292"/>
    <w:rsid w:val="00FB03A4"/>
    <w:rsid w:val="00FB1266"/>
    <w:rsid w:val="00FB144C"/>
    <w:rsid w:val="00FB1815"/>
    <w:rsid w:val="00FB274A"/>
    <w:rsid w:val="00FB2F37"/>
    <w:rsid w:val="00FB31AF"/>
    <w:rsid w:val="00FB342A"/>
    <w:rsid w:val="00FB3787"/>
    <w:rsid w:val="00FB399A"/>
    <w:rsid w:val="00FB52F7"/>
    <w:rsid w:val="00FB56B8"/>
    <w:rsid w:val="00FB5D98"/>
    <w:rsid w:val="00FB5F9C"/>
    <w:rsid w:val="00FB68EC"/>
    <w:rsid w:val="00FC2950"/>
    <w:rsid w:val="00FC3ABE"/>
    <w:rsid w:val="00FC3DAC"/>
    <w:rsid w:val="00FC49C3"/>
    <w:rsid w:val="00FC5B9F"/>
    <w:rsid w:val="00FC5C23"/>
    <w:rsid w:val="00FC6765"/>
    <w:rsid w:val="00FC6ABB"/>
    <w:rsid w:val="00FC7B29"/>
    <w:rsid w:val="00FD1F22"/>
    <w:rsid w:val="00FD26F4"/>
    <w:rsid w:val="00FD2832"/>
    <w:rsid w:val="00FD4AFE"/>
    <w:rsid w:val="00FD5AB1"/>
    <w:rsid w:val="00FD67F1"/>
    <w:rsid w:val="00FD6A9C"/>
    <w:rsid w:val="00FD6AFE"/>
    <w:rsid w:val="00FD6F5B"/>
    <w:rsid w:val="00FD6FBD"/>
    <w:rsid w:val="00FD76DC"/>
    <w:rsid w:val="00FE0E79"/>
    <w:rsid w:val="00FE10C5"/>
    <w:rsid w:val="00FE2140"/>
    <w:rsid w:val="00FE26FF"/>
    <w:rsid w:val="00FE279D"/>
    <w:rsid w:val="00FE3479"/>
    <w:rsid w:val="00FE348B"/>
    <w:rsid w:val="00FE34C8"/>
    <w:rsid w:val="00FE4023"/>
    <w:rsid w:val="00FE42AA"/>
    <w:rsid w:val="00FE4F89"/>
    <w:rsid w:val="00FE50F2"/>
    <w:rsid w:val="00FE67E1"/>
    <w:rsid w:val="00FE79D5"/>
    <w:rsid w:val="00FF023F"/>
    <w:rsid w:val="00FF0330"/>
    <w:rsid w:val="00FF132B"/>
    <w:rsid w:val="00FF1B7D"/>
    <w:rsid w:val="00FF26D4"/>
    <w:rsid w:val="00FF56F5"/>
    <w:rsid w:val="00FF776E"/>
    <w:rsid w:val="04137DFA"/>
    <w:rsid w:val="041E22FB"/>
    <w:rsid w:val="09881E6D"/>
    <w:rsid w:val="0A9F0042"/>
    <w:rsid w:val="0E0A79DB"/>
    <w:rsid w:val="0FFE2D62"/>
    <w:rsid w:val="16B767D9"/>
    <w:rsid w:val="17A11EC2"/>
    <w:rsid w:val="1CC61A56"/>
    <w:rsid w:val="1DFC5340"/>
    <w:rsid w:val="1E0D0FBE"/>
    <w:rsid w:val="1E2F362A"/>
    <w:rsid w:val="20991B98"/>
    <w:rsid w:val="218944CC"/>
    <w:rsid w:val="22AB5173"/>
    <w:rsid w:val="23F24EDE"/>
    <w:rsid w:val="27BC6008"/>
    <w:rsid w:val="29A44ECD"/>
    <w:rsid w:val="2A7C751C"/>
    <w:rsid w:val="2AD80FB9"/>
    <w:rsid w:val="327F2033"/>
    <w:rsid w:val="32FA50C0"/>
    <w:rsid w:val="342A0429"/>
    <w:rsid w:val="35713038"/>
    <w:rsid w:val="35DA7912"/>
    <w:rsid w:val="388D2FD0"/>
    <w:rsid w:val="39D55A02"/>
    <w:rsid w:val="39DF793F"/>
    <w:rsid w:val="39FA727F"/>
    <w:rsid w:val="3A3F4057"/>
    <w:rsid w:val="3CE27D8E"/>
    <w:rsid w:val="3D214122"/>
    <w:rsid w:val="3EF248F8"/>
    <w:rsid w:val="41D24EBA"/>
    <w:rsid w:val="441517FB"/>
    <w:rsid w:val="46456C98"/>
    <w:rsid w:val="46EC35B7"/>
    <w:rsid w:val="470C5E5C"/>
    <w:rsid w:val="4B1D7612"/>
    <w:rsid w:val="4C660364"/>
    <w:rsid w:val="4C8332DE"/>
    <w:rsid w:val="4CF939B9"/>
    <w:rsid w:val="4DA250BB"/>
    <w:rsid w:val="4DBC69CD"/>
    <w:rsid w:val="4F15341D"/>
    <w:rsid w:val="515E4352"/>
    <w:rsid w:val="53537D4A"/>
    <w:rsid w:val="53F90A66"/>
    <w:rsid w:val="5435659E"/>
    <w:rsid w:val="57810DCD"/>
    <w:rsid w:val="5C5D0594"/>
    <w:rsid w:val="5D7F2A8E"/>
    <w:rsid w:val="6040322E"/>
    <w:rsid w:val="62D81A46"/>
    <w:rsid w:val="62DA3263"/>
    <w:rsid w:val="63C33BC6"/>
    <w:rsid w:val="66CE6551"/>
    <w:rsid w:val="672030DD"/>
    <w:rsid w:val="68B735CD"/>
    <w:rsid w:val="6BFC7EC5"/>
    <w:rsid w:val="6CD40FBF"/>
    <w:rsid w:val="6CF63E8A"/>
    <w:rsid w:val="6D23661E"/>
    <w:rsid w:val="6F404E12"/>
    <w:rsid w:val="6F8A5598"/>
    <w:rsid w:val="70865006"/>
    <w:rsid w:val="72624799"/>
    <w:rsid w:val="72CC03B8"/>
    <w:rsid w:val="74A16D36"/>
    <w:rsid w:val="75C22E60"/>
    <w:rsid w:val="7885416D"/>
    <w:rsid w:val="79F71EE9"/>
    <w:rsid w:val="7F991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nhideWhenUsed/>
    <w:qFormat/>
    <w:uiPriority w:val="99"/>
    <w:rPr>
      <w:rFonts w:ascii="宋体" w:hAnsi="Courier New" w:eastAsia="宋体" w:cs="Courier New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纯文本 Char"/>
    <w:basedOn w:val="6"/>
    <w:link w:val="2"/>
    <w:qFormat/>
    <w:uiPriority w:val="99"/>
    <w:rPr>
      <w:rFonts w:ascii="宋体" w:hAnsi="Courier New" w:eastAsia="宋体" w:cs="Courier New"/>
      <w:szCs w:val="21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97197-6AE1-4BD7-87E7-A2F1A04024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115</Pages>
  <Words>606</Words>
  <Characters>3935</Characters>
  <Lines>1</Lines>
  <Paragraphs>1</Paragraphs>
  <TotalTime>0</TotalTime>
  <ScaleCrop>false</ScaleCrop>
  <LinksUpToDate>false</LinksUpToDate>
  <CharactersWithSpaces>4492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2025-10-11T03:52:00Z</dcterms:created>
  <dc:creator>bnds</dc:creator>
  <cp:lastModifiedBy>朱晓丽</cp:lastModifiedBy>
  <dcterms:modified xsi:type="dcterms:W3CDTF">2026-10-19T02:19:13Z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eyJoZGlkIjoiMzYwOTRkYTgyYmFkYWY1OGIzMTE1N2NiY2ZlNjY2NzMiLCJ1c2VySWQiOiI1NDAxMTY4MjQifQ==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82B916CFBC064D65A86BB70ACDA89DE5_12</vt:lpwstr>
  </property>
</Properties>
</file>