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013816">
      <w:pPr>
        <w:spacing w:line="360" w:lineRule="auto"/>
        <w:jc w:val="center"/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202</w:t>
      </w:r>
      <w:r>
        <w:rPr>
          <w:rFonts w:ascii="宋体" w:hAnsi="宋体" w:eastAsia="宋体" w:cs="宋体"/>
          <w:b/>
          <w:sz w:val="28"/>
          <w:szCs w:val="28"/>
        </w:rPr>
        <w:t>6</w:t>
      </w:r>
      <w:r>
        <w:rPr>
          <w:rFonts w:hint="eastAsia" w:ascii="宋体" w:hAnsi="宋体" w:eastAsia="宋体" w:cs="宋体"/>
          <w:b/>
          <w:sz w:val="28"/>
          <w:szCs w:val="28"/>
        </w:rPr>
        <w:t>年第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40</w:t>
      </w:r>
      <w:r>
        <w:rPr>
          <w:rFonts w:hint="eastAsia" w:ascii="宋体" w:hAnsi="宋体" w:eastAsia="宋体" w:cs="宋体"/>
          <w:b/>
          <w:sz w:val="28"/>
          <w:szCs w:val="28"/>
        </w:rPr>
        <w:t>周</w:t>
      </w:r>
    </w:p>
    <w:p w14:paraId="33BD876F">
      <w:pPr>
        <w:spacing w:line="360" w:lineRule="auto"/>
        <w:jc w:val="center"/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中国大陆学者发表的结核病英文文章摘要</w:t>
      </w:r>
    </w:p>
    <w:p w14:paraId="3B010A26">
      <w:pPr>
        <w:spacing w:line="360" w:lineRule="auto"/>
        <w:jc w:val="center"/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（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</w:t>
      </w:r>
      <w:bookmarkStart w:id="0" w:name="_GoBack"/>
      <w:bookmarkEnd w:id="0"/>
      <w:r>
        <w:rPr>
          <w:rFonts w:hint="eastAsia" w:ascii="宋体" w:hAnsi="宋体" w:eastAsia="宋体" w:cs="宋体"/>
          <w:b/>
          <w:sz w:val="28"/>
          <w:szCs w:val="28"/>
        </w:rPr>
        <w:t>篇）</w:t>
      </w:r>
    </w:p>
    <w:p w14:paraId="21046732">
      <w:pPr>
        <w:jc w:val="left"/>
        <w:rPr>
          <w:rFonts w:ascii="宋体" w:hAnsi="宋体" w:eastAsia="宋体" w:cs="宋体"/>
          <w:szCs w:val="24"/>
        </w:rPr>
      </w:pPr>
    </w:p>
    <w:p w14:paraId="7C13C355">
      <w:pPr>
        <w:jc w:val="left"/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color w:val="FF0000"/>
          <w:szCs w:val="24"/>
        </w:rPr>
        <w:t>PubMed  Publication date: 202</w:t>
      </w:r>
      <w:r>
        <w:rPr>
          <w:rFonts w:ascii="宋体" w:hAnsi="宋体" w:eastAsia="宋体" w:cs="宋体"/>
          <w:b/>
          <w:color w:val="FF0000"/>
          <w:szCs w:val="24"/>
        </w:rPr>
        <w:t>6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28</w:t>
      </w:r>
      <w:r>
        <w:rPr>
          <w:rFonts w:hint="eastAsia" w:ascii="宋体" w:hAnsi="宋体" w:eastAsia="宋体" w:cs="宋体"/>
          <w:b/>
          <w:color w:val="FF0000"/>
          <w:szCs w:val="24"/>
        </w:rPr>
        <w:t>---202</w:t>
      </w:r>
      <w:r>
        <w:rPr>
          <w:rFonts w:ascii="宋体" w:hAnsi="宋体" w:eastAsia="宋体" w:cs="宋体"/>
          <w:b/>
          <w:color w:val="FF0000"/>
          <w:szCs w:val="24"/>
        </w:rPr>
        <w:t>6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4</w:t>
      </w:r>
    </w:p>
    <w:p w14:paraId="50A50AAA">
      <w:pPr>
        <w:jc w:val="left"/>
        <w:rPr>
          <w:rFonts w:ascii="宋体" w:hAnsi="宋体" w:eastAsia="宋体" w:cs="宋体"/>
          <w:b/>
          <w:color w:val="FF0000"/>
          <w:szCs w:val="21"/>
        </w:rPr>
      </w:pPr>
      <w:r>
        <w:rPr>
          <w:rFonts w:hint="eastAsia" w:ascii="宋体" w:hAnsi="宋体" w:eastAsia="宋体" w:cs="宋体"/>
          <w:b/>
          <w:color w:val="FF0000"/>
          <w:szCs w:val="21"/>
        </w:rPr>
        <w:t>(tuberculosis[Title/Abstract]) AND (English[Language]) AND</w:t>
      </w:r>
      <w:r>
        <w:rPr>
          <w:rFonts w:ascii="宋体" w:hAnsi="宋体" w:eastAsia="宋体" w:cs="宋体"/>
          <w:b/>
          <w:color w:val="FF0000"/>
          <w:szCs w:val="21"/>
        </w:rPr>
        <w:t xml:space="preserve"> </w:t>
      </w:r>
      <w:r>
        <w:rPr>
          <w:rFonts w:hint="eastAsia" w:ascii="宋体" w:hAnsi="宋体" w:eastAsia="宋体" w:cs="宋体"/>
          <w:b/>
          <w:color w:val="FF0000"/>
          <w:szCs w:val="21"/>
        </w:rPr>
        <w:t>(China[Affiliation])</w:t>
      </w:r>
    </w:p>
    <w:p w14:paraId="551812EB">
      <w:pPr>
        <w:jc w:val="left"/>
        <w:rPr>
          <w:rFonts w:ascii="宋体" w:hAnsi="宋体" w:eastAsia="宋体" w:cs="宋体"/>
          <w:b/>
          <w:color w:val="FF0000"/>
          <w:szCs w:val="21"/>
        </w:rPr>
      </w:pPr>
    </w:p>
    <w:p w14:paraId="5AD14878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1. Int J Nanomedicine. 2026 Sep 22;21:627381. doi: 10.2147/IJN.S627381. eCollection 2026.</w:t>
      </w:r>
    </w:p>
    <w:p w14:paraId="1286C3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3F3E0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Promising Roles of Selenium Nanoparticles in Anti-Tuberculosis Therapy: </w:t>
      </w:r>
    </w:p>
    <w:p w14:paraId="2F1FC5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Opportunities and Challenges.</w:t>
      </w:r>
    </w:p>
    <w:p w14:paraId="3C7494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4EFA2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Wang Y(#)(1)(2), Cai J(#)(1)(2), Kong X(#)(1)(2), Li J(#)(1)(2), Ge Y(1)(2), </w:t>
      </w:r>
    </w:p>
    <w:p w14:paraId="764599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Zhang Y(1)(2), Chen Y(1)(2), Zhu M(1)(2), Gong H(1), Zhao D(1)(2), Pi J(1)(2).</w:t>
      </w:r>
    </w:p>
    <w:p w14:paraId="7BE1F6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3C7EB34">
      <w:pPr>
        <w:rPr>
          <w:rFonts w:hint="eastAsia" w:ascii="宋体" w:hAnsi="宋体" w:eastAsia="宋体" w:cs="宋体"/>
          <w:b/>
          <w:bCs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Yiheng Wang,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Jiali Cai,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Xinen Kong,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Jiaxiang Li,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Yongjie Ge,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Yating Zhang,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Yixian Chen,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Meirong Zhu,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Haiyan Gong,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Daina Zhao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>*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,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Jiang Pi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>*</w:t>
      </w:r>
    </w:p>
    <w:p w14:paraId="79C7FCC4">
      <w:pPr>
        <w:jc w:val="left"/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>*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Correspondence: Daina Zhao; Jiang Pi, Email zhaodaina@gdmu.edu.cn; jiangpi@gdmu.edu.cn</w:t>
      </w:r>
    </w:p>
    <w:p w14:paraId="18F175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4299A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57175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(1)Dongguan Key Laboratory for Pathogenesis and Experimental Diagnosis of </w:t>
      </w:r>
    </w:p>
    <w:p w14:paraId="2AF78E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Infectious Diseases, The First Dongguan Affiliated Hospital, School of Medical </w:t>
      </w:r>
    </w:p>
    <w:p w14:paraId="5D01FB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Technology, Guangdong Medical University, Dongguan, People's Republic of China.</w:t>
      </w:r>
    </w:p>
    <w:p w14:paraId="221F872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(2)Research Center of Nano Technology and Application Engineering, Guangdong </w:t>
      </w:r>
    </w:p>
    <w:p w14:paraId="048EFF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Provincial Key Laboratory of Medical Immunology and Molecular Diagnostics, </w:t>
      </w:r>
    </w:p>
    <w:p w14:paraId="7BF3C1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Guangdong Medical University, Dongguan, People's Republic of China.</w:t>
      </w:r>
    </w:p>
    <w:p w14:paraId="2EB9C6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(#)Contributed equally</w:t>
      </w:r>
    </w:p>
    <w:p w14:paraId="7D2647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89E66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(TB), caused by Mycobacterium tuberculosis (Mtb), is one of the </w:t>
      </w:r>
    </w:p>
    <w:p w14:paraId="04E18D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most threatening infectious disease worldwide. Selenium, an essential </w:t>
      </w:r>
    </w:p>
    <w:p w14:paraId="62D2429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micronutrient, is incorporated into selenoproteins such as glutathione </w:t>
      </w:r>
    </w:p>
    <w:p w14:paraId="37A858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peroxidase, which modulate lipid peroxidation and immune responses, thus playing </w:t>
      </w:r>
    </w:p>
    <w:p w14:paraId="4FDD68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pivotal roles in host defense against infection and control of Mtb </w:t>
      </w:r>
    </w:p>
    <w:p w14:paraId="727EC6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dissemination. As an emerging class of selenium-based medicines, selenium </w:t>
      </w:r>
    </w:p>
    <w:p w14:paraId="7C36ED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nanoparticles (SeNPs) have demonstrated attractive anti-tuberculosis potential </w:t>
      </w:r>
    </w:p>
    <w:p w14:paraId="71221F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based on their favorable bioactivity, lower toxicity compared, high drug-loading </w:t>
      </w:r>
    </w:p>
    <w:p w14:paraId="4425F6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capacity, sustained-release kinetics, and enhanced targeting specificity. Beyond </w:t>
      </w:r>
    </w:p>
    <w:p w14:paraId="3E587D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their anti-TB potential, SeNPs have shown significant promise in various </w:t>
      </w:r>
    </w:p>
    <w:p w14:paraId="574BF5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biomedical applications, including the treatment of diabetes, liver disease, </w:t>
      </w:r>
    </w:p>
    <w:p w14:paraId="5BA1A7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Alzheimer's disease, and cancer, owing to their ability to modulate oxidative </w:t>
      </w:r>
    </w:p>
    <w:p w14:paraId="208184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stress, inflammation, and apoptotic pathways. This review explores the </w:t>
      </w:r>
    </w:p>
    <w:p w14:paraId="4D68B3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relationship between selenium and the occurrence and development of </w:t>
      </w:r>
    </w:p>
    <w:p w14:paraId="049DB3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tuberculosis, evaluates the potential of serum selenium as an auxiliary </w:t>
      </w:r>
    </w:p>
    <w:p w14:paraId="4105B2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diagnostic biomarker, and outlines common preparation methods for SeNPs, </w:t>
      </w:r>
    </w:p>
    <w:p w14:paraId="569209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including physical, chemical, and biological synthesis approaches. Furthermore, </w:t>
      </w:r>
    </w:p>
    <w:p w14:paraId="447113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review systematically summarizes the anti-tuberculosis functions of SeNPs, </w:t>
      </w:r>
    </w:p>
    <w:p w14:paraId="6FC30B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detailing multiple mechanisms such as accelerating Mtb-lysosome fusion, </w:t>
      </w:r>
    </w:p>
    <w:p w14:paraId="7CC04B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modulating intracellular ROS levels, driving M1 macrophage polarization, and </w:t>
      </w:r>
    </w:p>
    <w:p w14:paraId="414477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inhibiting the PI3K/AKT/mTOR signaling pathway to collectively trigger autophagy </w:t>
      </w:r>
    </w:p>
    <w:p w14:paraId="68D705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apoptosis in Mtb-infected macrophages. These insights may support the </w:t>
      </w:r>
    </w:p>
    <w:p w14:paraId="0C36F8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development of new anti-tuberculosis technologies based on SeNPs. Furthermore, </w:t>
      </w:r>
    </w:p>
    <w:p w14:paraId="0DB819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 also address the key challenges hindering the clinical translation of SeNPs: </w:t>
      </w:r>
    </w:p>
    <w:p w14:paraId="63FD20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long-term in vivo tissue accumulation patterns of SeNPs have not been fully </w:t>
      </w:r>
    </w:p>
    <w:p w14:paraId="7AAE0E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elucidated, long-term systemic nanotoxicity data remain scarce, almost all </w:t>
      </w:r>
    </w:p>
    <w:p w14:paraId="07407D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anti-tuberculosis studies are restricted to in vitro cell experiments and animal </w:t>
      </w:r>
    </w:p>
    <w:p w14:paraId="7C5509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models, and the translational pathway from laboratory studies to clinical </w:t>
      </w:r>
    </w:p>
    <w:p w14:paraId="69CF05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practice remains ambiguous.</w:t>
      </w:r>
    </w:p>
    <w:p w14:paraId="6DBBAB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55F8F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 Wang et al.</w:t>
      </w:r>
    </w:p>
    <w:p w14:paraId="0108F1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87E67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10.2147/IJN.S627381</w:t>
      </w:r>
    </w:p>
    <w:p w14:paraId="74776D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PMC13615750</w:t>
      </w:r>
    </w:p>
    <w:p w14:paraId="7E5023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42801166 [Indexed for MEDLINE]</w:t>
      </w:r>
    </w:p>
    <w:p w14:paraId="579E9F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4AF6719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Microb Pathog. 2026 Sep 25:108850. doi: 10.1016/j.micpath.2026.108850. Online </w:t>
      </w:r>
    </w:p>
    <w:p w14:paraId="4ED2C33A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ahead of print.</w:t>
      </w:r>
    </w:p>
    <w:p w14:paraId="779965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0C5231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Host Tyrosine Kinase Signaling and Tyrosine Kinase Inhibitors as Candidate </w:t>
      </w:r>
    </w:p>
    <w:p w14:paraId="072E1F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Host-Directed Therapies for Tuberculosis.</w:t>
      </w:r>
    </w:p>
    <w:p w14:paraId="22CA9E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5A322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Xing X(1), Liu H(1), Pang Y(2), Li S(3).</w:t>
      </w:r>
    </w:p>
    <w:p w14:paraId="00F567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7DEC3E3">
      <w:pPr>
        <w:rPr>
          <w:rFonts w:hint="eastAsia" w:ascii="宋体" w:hAnsi="宋体" w:eastAsia="宋体" w:cs="宋体"/>
          <w:b/>
          <w:bCs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Xiaolin Xing,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Haohan Liu,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Yu Pang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>*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,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Shanshan Li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>*</w:t>
      </w:r>
    </w:p>
    <w:p w14:paraId="7BB101A2">
      <w:pP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>*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Corresponding author. E-mail addresses: pangyupound@163.com (Yu Pang), lss9011@126.com (Shanshan L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>i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).</w:t>
      </w:r>
    </w:p>
    <w:p w14:paraId="3502D6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BE1F5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28302D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Bacteriology and Immunology, Beijing Key Laboratory for Drug </w:t>
      </w:r>
    </w:p>
    <w:p w14:paraId="5BCCB7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Resistance Tuberculosis Research, Beijing Chest Hospital, Capital Medical </w:t>
      </w:r>
    </w:p>
    <w:p w14:paraId="496C33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University/Beijing Tuberculosis and Thoracic Tumor Research Institute, Beijing </w:t>
      </w:r>
    </w:p>
    <w:p w14:paraId="66C205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101149, China.</w:t>
      </w:r>
    </w:p>
    <w:p w14:paraId="403ACF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Bacteriology and Immunology, Beijing Key Laboratory for Drug </w:t>
      </w:r>
    </w:p>
    <w:p w14:paraId="2DC6E4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Resistance Tuberculosis Research, Beijing Chest Hospital, Capital Medical </w:t>
      </w:r>
    </w:p>
    <w:p w14:paraId="240883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University/Beijing Tuberculosis and Thoracic Tumor Research Institute, Beijing </w:t>
      </w:r>
    </w:p>
    <w:p w14:paraId="3B0229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101149, China. Electronic address: pangyupound@163.com.</w:t>
      </w:r>
    </w:p>
    <w:p w14:paraId="2DACFE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Bacteriology and Immunology, Beijing Key Laboratory for Drug </w:t>
      </w:r>
    </w:p>
    <w:p w14:paraId="4C90FB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Resistance Tuberculosis Research, Beijing Chest Hospital, Capital Medical </w:t>
      </w:r>
    </w:p>
    <w:p w14:paraId="33BD1A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University/Beijing Tuberculosis and Thoracic Tumor Research Institute, Beijing </w:t>
      </w:r>
    </w:p>
    <w:p w14:paraId="23DFCD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101149, China. Electronic address: lss9011@126.com.</w:t>
      </w:r>
    </w:p>
    <w:p w14:paraId="2A3F9A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E3634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(TB) is a major global public health issue. Although current </w:t>
      </w:r>
    </w:p>
    <w:p w14:paraId="0C5093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anti-TB treatment regimens are effective, challenges such as prolonged treatment </w:t>
      </w:r>
    </w:p>
    <w:p w14:paraId="02C233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durations, high drug toxicity, and drug resistance remain, necessitating the </w:t>
      </w:r>
    </w:p>
    <w:p w14:paraId="4C7F26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development of new therapeutic targets and drugs. Host-directed therapy (HDT), </w:t>
      </w:r>
    </w:p>
    <w:p w14:paraId="2CCB69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which enhances the body's immune response to boost resistance against Mtb </w:t>
      </w:r>
    </w:p>
    <w:p w14:paraId="00D34C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infection, has become a promising treatment strategy. Protein tyrosine kinases </w:t>
      </w:r>
    </w:p>
    <w:p w14:paraId="66356F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(PTKs) play a critical role in cellular signal transduction, and their aberrant </w:t>
      </w:r>
    </w:p>
    <w:p w14:paraId="793E09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activation is linked to the onset of various diseases. Research on PTKs as drug </w:t>
      </w:r>
    </w:p>
    <w:p w14:paraId="4E232D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targets has made significant progress, with studies showing that tyrosine kinase </w:t>
      </w:r>
    </w:p>
    <w:p w14:paraId="4FF257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inhibitors (TKIs) influence the intracellular survival of Mtb by modulating </w:t>
      </w:r>
    </w:p>
    <w:p w14:paraId="26EC79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immune responses and altering cellular signaling pathways. This review </w:t>
      </w:r>
    </w:p>
    <w:p w14:paraId="27BCD5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summarizes the signaling mechanisms of PTKs in Mtb infection and the potential </w:t>
      </w:r>
    </w:p>
    <w:p w14:paraId="57D4A0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their inhibitors in regulating host immune responses, proposing new immune </w:t>
      </w:r>
    </w:p>
    <w:p w14:paraId="21EB36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therapeutic strategies targeting PTKs for TB treatment.</w:t>
      </w:r>
    </w:p>
    <w:p w14:paraId="18C294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D758D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2026. Published by Elsevier Ltd.</w:t>
      </w:r>
    </w:p>
    <w:p w14:paraId="65225B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72FF6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10.1016/j.micpath.2026.108850</w:t>
      </w:r>
    </w:p>
    <w:p w14:paraId="67D77C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42790657</w:t>
      </w:r>
    </w:p>
    <w:p w14:paraId="47BE4B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CC8124E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mSystems. 2026 Sep 22:e0095326. doi: 10.1128/msystems.00953-26. Online ahead of print.</w:t>
      </w:r>
    </w:p>
    <w:p w14:paraId="5EB041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98B78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Reading immune restoration through Mycobacterium tuberculosis intrahost </w:t>
      </w:r>
    </w:p>
    <w:p w14:paraId="53245E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evolution.</w:t>
      </w:r>
    </w:p>
    <w:p w14:paraId="51A1C5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55776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Teng L(1), Zhang G(2).</w:t>
      </w:r>
    </w:p>
    <w:p w14:paraId="3DB2F1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3BADD31">
      <w:pPr>
        <w:rPr>
          <w:rFonts w:hint="eastAsia" w:ascii="宋体" w:hAnsi="宋体" w:eastAsia="宋体" w:cs="宋体"/>
          <w:b/>
          <w:bCs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Lin Teng,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Guangzhi Zhang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>*</w:t>
      </w:r>
    </w:p>
    <w:p w14:paraId="15A60BE2">
      <w:pP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>*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Address correspondence to Guangzhi Zhang, zhangguangzhi@caas.cn.</w:t>
      </w:r>
    </w:p>
    <w:p w14:paraId="0D0C9B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B51BF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523393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(1)Key Laboratory of Systems Health Science of Zhejiang Province, School of Life </w:t>
      </w:r>
    </w:p>
    <w:p w14:paraId="41F68A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Science, Hangzhou Institute for Advanced Study, University of Chinese Academy of </w:t>
      </w:r>
    </w:p>
    <w:p w14:paraId="709DF7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Sciences, Hangzhou, China.</w:t>
      </w:r>
    </w:p>
    <w:p w14:paraId="636B1E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(2)Institute of Animal Science, Chinese Academy of Agricultural Sciences, </w:t>
      </w:r>
    </w:p>
    <w:p w14:paraId="7FFC5B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Beijing, China.</w:t>
      </w:r>
    </w:p>
    <w:p w14:paraId="2FEF67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AB288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Comment on</w:t>
      </w:r>
    </w:p>
    <w:p w14:paraId="75A98F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   mSystems. 2026 Aug 18;11(8):e0032926. doi: 10.1128/msystems.00329-26.</w:t>
      </w:r>
    </w:p>
    <w:p w14:paraId="289BAF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47B5F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Antiretroviral therapy (ART) suppresses human immunodeficiency virus </w:t>
      </w:r>
    </w:p>
    <w:p w14:paraId="6EEDDB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replication, but does not fully restore protection against tuberculosis. The </w:t>
      </w:r>
    </w:p>
    <w:p w14:paraId="53F850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relevant mechanisms are still poorly understood. M. C. Chao, M. R. Chase, S. </w:t>
      </w:r>
    </w:p>
    <w:p w14:paraId="47AB6A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Wakabayashi, A. J. Vickers, et al. (mSystems 11:e00329-26, 2026, </w:t>
      </w:r>
    </w:p>
    <w:p w14:paraId="3BED8F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https://doi.org/10.1128/msystems.00329-26) use population-level Mycobacterium </w:t>
      </w:r>
    </w:p>
    <w:p w14:paraId="1FC013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genome sequencing in macaques to show that similar bacterial </w:t>
      </w:r>
    </w:p>
    <w:p w14:paraId="71B96F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burdens can conceal different evolutionary trajectories: simian immunodeficiency </w:t>
      </w:r>
    </w:p>
    <w:p w14:paraId="3D02B1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virus coinfection primarily increases opportunities for mutation through </w:t>
      </w:r>
    </w:p>
    <w:p w14:paraId="1CEE34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replication, whereas ART-treated animals show a distinct enrichment of oxidative </w:t>
      </w:r>
    </w:p>
    <w:p w14:paraId="47BD1B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damage-associated variants. We argue that the principal value of this work is </w:t>
      </w:r>
    </w:p>
    <w:p w14:paraId="239EA1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conceptual. Pathogen genomes may provide a time-integrated, but indirect, </w:t>
      </w:r>
    </w:p>
    <w:p w14:paraId="560FAC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readout of local immune ecology. To translate these genomic signatures into a </w:t>
      </w:r>
    </w:p>
    <w:p w14:paraId="431657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framework for evaluating immune restoration, future studies should pair host and </w:t>
      </w:r>
    </w:p>
    <w:p w14:paraId="3CB430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pathogen measurements, experimentally validate the mechanisms generating these </w:t>
      </w:r>
    </w:p>
    <w:p w14:paraId="05A892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mutations, and longitudinally link tissue-level selection to persistence, </w:t>
      </w:r>
    </w:p>
    <w:p w14:paraId="701756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reactivation, and transmission.</w:t>
      </w:r>
    </w:p>
    <w:p w14:paraId="0CC747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3C4CF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10.1128/msystems.00953-26</w:t>
      </w:r>
    </w:p>
    <w:p w14:paraId="5ED689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42770717</w:t>
      </w:r>
    </w:p>
    <w:p w14:paraId="0771E1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F7388FB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Analyst. 2026 Sep 21. doi: 10.1039/d6an00774k. Online ahead of print.</w:t>
      </w:r>
    </w:p>
    <w:p w14:paraId="7D78F1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76922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Ultrasensitive detection of drug resistance genes in Mycobacterium tuberculosis </w:t>
      </w:r>
    </w:p>
    <w:p w14:paraId="275F27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based on molecular crowding conditions coupled with padlock probe amplification.</w:t>
      </w:r>
    </w:p>
    <w:p w14:paraId="4CFD77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F7FA4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Lin M(1)(2), He J(1), Wang J(1), Zhu H(3), Ye H(1), He S(1), Zhang W(1), Yu </w:t>
      </w:r>
    </w:p>
    <w:p w14:paraId="70E25B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L(1), Chen Z(1).</w:t>
      </w:r>
    </w:p>
    <w:p w14:paraId="6F1CF6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CCBD644">
      <w:pPr>
        <w:rPr>
          <w:rFonts w:hint="eastAsia" w:ascii="宋体" w:hAnsi="宋体" w:eastAsia="宋体" w:cs="宋体"/>
          <w:b/>
          <w:bCs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Miaofen Lin,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Jing He,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Jiaxin Wang,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Huiqin Zhu,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Hengming Ye,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Suhui He,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Weilong Zhang,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Luxin Yu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>*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,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Zhangquan Chen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>*</w:t>
      </w:r>
    </w:p>
    <w:p w14:paraId="02E7B636">
      <w:pP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>*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E-mail: Luxin Yu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:lang w:eastAsia="zh-CN"/>
          <w14:textFill>
            <w14:solidFill>
              <w14:schemeClr w14:val="accent5"/>
            </w14:solidFill>
          </w14:textFill>
        </w:rPr>
        <w:t>，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yuluxin@gdmu.edu.cn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:lang w:eastAsia="zh-CN"/>
          <w14:textFill>
            <w14:solidFill>
              <w14:schemeClr w14:val="accent5"/>
            </w14:solidFill>
          </w14:textFill>
        </w:rPr>
        <w:t>；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  <w:t xml:space="preserve"> Zhangquan Chen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:lang w:eastAsia="zh-CN"/>
          <w14:textFill>
            <w14:solidFill>
              <w14:schemeClr w14:val="accent5"/>
            </w14:solidFill>
          </w14:textFill>
        </w:rPr>
        <w:t>，</w:t>
      </w:r>
      <w:r>
        <w:rPr>
          <w:rFonts w:hint="eastAsia" w:ascii="宋体" w:hAnsi="宋体" w:eastAsia="宋体" w:cs="宋体"/>
          <w:b/>
          <w:bCs/>
          <w:color w:val="4472C4" w:themeColor="accent5"/>
          <w:szCs w:val="24"/>
          <w14:textFill>
            <w14:solidFill>
              <w14:schemeClr w14:val="accent5"/>
            </w14:solidFill>
          </w14:textFill>
        </w:rPr>
        <w:t xml:space="preserve">zqchen@gdmu.edu.cn </w:t>
      </w:r>
    </w:p>
    <w:p w14:paraId="5F01D6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0ED2E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24803A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(1)Guangdong Provincial Key Laboratory of Medical Immunology and Molecular </w:t>
      </w:r>
    </w:p>
    <w:p w14:paraId="37AED3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Diagnostics, The First Dongguan Affiliated Hospital, School of Medical </w:t>
      </w:r>
    </w:p>
    <w:p w14:paraId="6396A7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Technology, Guangdong Medical University, Dongguan, China. yuluxin@gdmu.edu.cn.</w:t>
      </w:r>
    </w:p>
    <w:p w14:paraId="0F1B7F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Clinical Laboratory, Centre for Chronic Disease Control and </w:t>
      </w:r>
    </w:p>
    <w:p w14:paraId="5904A7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Prevention of Yunfu, Yunfu, China.</w:t>
      </w:r>
    </w:p>
    <w:p w14:paraId="1BAE2F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(3)Department of Clinical Laboratory, YunFu People's Hospital, Yunfu, China.</w:t>
      </w:r>
    </w:p>
    <w:p w14:paraId="51DC5B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53315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this work, we developed a novel approach driven by molecular crowding </w:t>
      </w:r>
    </w:p>
    <w:p w14:paraId="1AC517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conditions combined with padlock probe amplification (MCC-PPA) to detect the </w:t>
      </w:r>
    </w:p>
    <w:p w14:paraId="5C820E6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rpoB 531 (TCG &gt; TTG) mutation in Mycobacterium tuberculosis associated with </w:t>
      </w:r>
    </w:p>
    <w:p w14:paraId="598D7B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rifampicin resistance. Polyethylene glycol (PEG) was employed to create </w:t>
      </w:r>
    </w:p>
    <w:p w14:paraId="6931E6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molecular crowding conditions in the ligation of the padlock probe, enhancing </w:t>
      </w:r>
    </w:p>
    <w:p w14:paraId="5E5BBE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padlock probe cyclization and increasing the amplification efficiency. This </w:t>
      </w:r>
    </w:p>
    <w:p w14:paraId="4DB6AF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proposed assay displayed a broader linear range (10 aM-1 nM) and a lower </w:t>
      </w:r>
    </w:p>
    <w:p w14:paraId="182F25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detection limit (4.52 aM) within 1.5 hours. The sensitivity of this assay was </w:t>
      </w:r>
    </w:p>
    <w:p w14:paraId="53BAFF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enhanced 400-fold over the PEG-free padlock probe amplification assay. When </w:t>
      </w:r>
    </w:p>
    <w:p w14:paraId="0DF211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evaluated on 105 clinical specimens, including 21 with the rpoB 531 mutation and </w:t>
      </w:r>
    </w:p>
    <w:p w14:paraId="75613E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84 without this mutation, the assay demonstrated 100% sensitivity and 100% </w:t>
      </w:r>
    </w:p>
    <w:p w14:paraId="4EF0D8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specificity relative to DNA sequencing results. When compared against </w:t>
      </w:r>
    </w:p>
    <w:p w14:paraId="560F47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fluorescence PCR melting curve analysis, the clinical sensitivity for detecting </w:t>
      </w:r>
    </w:p>
    <w:p w14:paraId="086DBF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Mycobacterium tuberculosis rifampicin resistance gene rpoB 531 TCG &gt; TTG </w:t>
      </w:r>
    </w:p>
    <w:p w14:paraId="58E657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mutation was also 100%. These findings highlight our proposed assay's strong </w:t>
      </w:r>
    </w:p>
    <w:p w14:paraId="08257C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applicability for the detection of antimicrobial resistance mutations in </w:t>
      </w:r>
    </w:p>
    <w:p w14:paraId="4E1298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Mycobacterium tuberculosis.</w:t>
      </w:r>
    </w:p>
    <w:p w14:paraId="1C8649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53136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10.1039/d6an00774k</w:t>
      </w:r>
    </w:p>
    <w:p w14:paraId="52152E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42764695</w:t>
      </w:r>
    </w:p>
    <w:p w14:paraId="39A3EB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0D76EF0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Int J Nanomedicine. 2026 Sep 30;21:628763. doi: 10.2147/IJN.S628763. eCollection 2026.</w:t>
      </w:r>
    </w:p>
    <w:p w14:paraId="5C72F3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1235F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Levofloxacin-Catalase-PLGA Nanoparticles Potentiate Sonodynamic Therapy to </w:t>
      </w:r>
    </w:p>
    <w:p w14:paraId="473E75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Alleviate BCG-Induced Tuberculous Granulomas via PI3K/Akt/VEGF Pathway </w:t>
      </w:r>
    </w:p>
    <w:p w14:paraId="46C6E2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Suppression in Rats.</w:t>
      </w:r>
    </w:p>
    <w:p w14:paraId="20A5F8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B9019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Qiu Y(#)(1), Qin L(#)(1), Shen S(1), Zhang Y(1), Du Y(1), Li D(2).</w:t>
      </w:r>
    </w:p>
    <w:p w14:paraId="32441D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228E13B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Yan Qiu,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Liangrui Qin,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Shangfeng Shen,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Yuqing Zhang,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Yonghong Du,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Dairong Li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4760D972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 xml:space="preserve">Correspondence: Dairong Li, Email </w:t>
      </w:r>
      <w:r>
        <w:rPr>
          <w:rFonts w:hint="default" w:ascii="宋体" w:hAnsi="宋体" w:eastAsia="宋体" w:cs="宋体"/>
          <w:b/>
          <w:bCs/>
          <w:color w:val="0070C0"/>
          <w:szCs w:val="24"/>
        </w:rPr>
        <w:t>lidairong@hospital.cqmu.edu.cn</w:t>
      </w:r>
    </w:p>
    <w:p w14:paraId="5B2220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C34A8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1C8FC4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(1)State Key Laboratory of Ultrasound in Medicine and Engineering, College of </w:t>
      </w:r>
    </w:p>
    <w:p w14:paraId="0AA74F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Biomedical Engineering, Chongqing Medical University, Chongqing, 400016, </w:t>
      </w:r>
    </w:p>
    <w:p w14:paraId="437B2C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People's Republic of China.</w:t>
      </w:r>
    </w:p>
    <w:p w14:paraId="5BFA7E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Respiratory and Critical Care Medicine, the First Affiliated </w:t>
      </w:r>
    </w:p>
    <w:p w14:paraId="2C6F79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Hospital of Chongqing Medical University, Chongqing, 400016, People's Republic </w:t>
      </w:r>
    </w:p>
    <w:p w14:paraId="052E69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of China.</w:t>
      </w:r>
    </w:p>
    <w:p w14:paraId="611AC5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(#)Contributed equally</w:t>
      </w:r>
    </w:p>
    <w:p w14:paraId="0FD02A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95899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PURPOSE: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Hypoxic tuberculous granulomas induce vascular dysfunction and severely </w:t>
      </w:r>
    </w:p>
    <w:p w14:paraId="10CF59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impede drug penetration. This study aimed to elucidate the molecular mechanism </w:t>
      </w:r>
    </w:p>
    <w:p w14:paraId="4E8964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by which sonodynamic therapy (SDT) induces vascular normalization and </w:t>
      </w:r>
    </w:p>
    <w:p w14:paraId="34A3EA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synergistic immunomodulatory effects.</w:t>
      </w:r>
    </w:p>
    <w:p w14:paraId="0ED70F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Levofloxacin and catalase co-loaded PLGA nanoparticles (LEV@CAT-NPs) </w:t>
      </w:r>
    </w:p>
    <w:p w14:paraId="7B46E5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were prepared and characterized. Bacillus Calmette-Guérin (BCG) was used as a </w:t>
      </w:r>
    </w:p>
    <w:p w14:paraId="1F562A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surrogate for virulent Mycobacterium tuberculosis due to its high biosafety. </w:t>
      </w:r>
    </w:p>
    <w:p w14:paraId="14DD42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Therapeutic efficacy and mechanisms were evaluated in BCG-induced 3D tuberculous </w:t>
      </w:r>
    </w:p>
    <w:p w14:paraId="7D0BF8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spheroids and a rat subcutaneous granuloma model via transcriptomic sequencing, </w:t>
      </w:r>
    </w:p>
    <w:p w14:paraId="140F2B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Western blot, immunofluorescence, pharmacokinetic analysis, and bacterial load </w:t>
      </w:r>
    </w:p>
    <w:p w14:paraId="25458D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quantification.</w:t>
      </w:r>
    </w:p>
    <w:p w14:paraId="348780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LEV@CAT-NPs exhibited excellent stability and oxygen-generating </w:t>
      </w:r>
    </w:p>
    <w:p w14:paraId="21B049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capacity. SDT effectively alleviated intralesional hypoxia and downregulated </w:t>
      </w:r>
    </w:p>
    <w:p w14:paraId="146FF0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HIF-1α and VEGF expression, promoting vascular normalization - evidenced by </w:t>
      </w:r>
    </w:p>
    <w:p w14:paraId="2D772C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reduced vascular density, increased pericyte coverage, decreased leakage, </w:t>
      </w:r>
    </w:p>
    <w:p w14:paraId="036CC9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improved perfusion, and enhanced tight junctions. Mechanistically, SDT inhibited </w:t>
      </w:r>
    </w:p>
    <w:p w14:paraId="34DB84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PI3K/Akt/VEGF pathway, reduced macrophage VEGF secretion, and induced </w:t>
      </w:r>
    </w:p>
    <w:p w14:paraId="57F1F8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macrophage apoptosis, thereby suppressing abnormal angiogenesis and improving </w:t>
      </w:r>
    </w:p>
    <w:p w14:paraId="082E8F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drug penetration. The treatment also activated innate and adaptive immune </w:t>
      </w:r>
    </w:p>
    <w:p w14:paraId="59605B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pathways, promoting CD3⁺ and CD8⁺ T cell infiltration.</w:t>
      </w:r>
    </w:p>
    <w:p w14:paraId="0D8D99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SDT-driven mechano-chemical synergistic strategy effectively </w:t>
      </w:r>
    </w:p>
    <w:p w14:paraId="0646BE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induces vascular normalization in tuberculous granulomas, improves drug </w:t>
      </w:r>
    </w:p>
    <w:p w14:paraId="610D0E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delivery, and offers a promising approach for treating drug-resistant </w:t>
      </w:r>
    </w:p>
    <w:p w14:paraId="6F50EF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tuberculosis through microenvironment remodeling.</w:t>
      </w:r>
    </w:p>
    <w:p w14:paraId="41DDE8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CEC83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 Qiu et al.</w:t>
      </w:r>
    </w:p>
    <w:p w14:paraId="6F892C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CA489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10.2147/IJN.S628763</w:t>
      </w:r>
    </w:p>
    <w:p w14:paraId="35D2D7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PMC13634252</w:t>
      </w:r>
    </w:p>
    <w:p w14:paraId="67EC6A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42830909 [Indexed for MEDLINE]</w:t>
      </w:r>
    </w:p>
    <w:p w14:paraId="308D0E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6C36973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ACS Omega. 2026 Sep 15;11(38):57346-57353. doi: 10.1021/acsomega.6c05535. </w:t>
      </w:r>
    </w:p>
    <w:p w14:paraId="26FBBDC9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 Sep 29.</w:t>
      </w:r>
    </w:p>
    <w:p w14:paraId="40C393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06154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Dephospho-CoA Kinase of Mycobacterium tuberculosis: Molecular Mechanism and </w:t>
      </w:r>
    </w:p>
    <w:p w14:paraId="4B2E70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Function.</w:t>
      </w:r>
    </w:p>
    <w:p w14:paraId="2DA411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5349E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Liu D(1)(2), Deng H(2), Song H(2).</w:t>
      </w:r>
    </w:p>
    <w:p w14:paraId="57AE01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7B21177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Dafeng Liu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Huashui Deng,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Hongjun Song</w:t>
      </w:r>
    </w:p>
    <w:p w14:paraId="5CD3E8D2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Corresponding Author Dafeng Liu − Email: dafeli@sina.cn, liudafeng2017@163.com</w:t>
      </w:r>
    </w:p>
    <w:p w14:paraId="370A6F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5409A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4B45A8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(1)College of Biological Sciences and Technology, Yili Normal University, </w:t>
      </w:r>
    </w:p>
    <w:p w14:paraId="018CEC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Yining, Xinjiang 835000, China.</w:t>
      </w:r>
    </w:p>
    <w:p w14:paraId="38B152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(2)School of Life Sciences, Xiamen University, Xiamen, Fujian 361102, China.</w:t>
      </w:r>
    </w:p>
    <w:p w14:paraId="48C481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4DFA2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(TB) continues to represent a significant global health danger, </w:t>
      </w:r>
    </w:p>
    <w:p w14:paraId="477BB1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the bacillus Mycobacterium tuberculosis (Mtb) identified as its causative </w:t>
      </w:r>
    </w:p>
    <w:p w14:paraId="0E411A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agent. An essential metabolic helper, Coenzyme A (CoA) engages in multiple core </w:t>
      </w:r>
    </w:p>
    <w:p w14:paraId="4BA20D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cellular processes that are pivotal for both Mtb survival and its ability to </w:t>
      </w:r>
    </w:p>
    <w:p w14:paraId="5BCE7D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cause disease. The terminal step of CoA biosynthesis is catalyzed by </w:t>
      </w:r>
    </w:p>
    <w:p w14:paraId="7DB747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dephospho-CoA kinase CoaE, which phosphorylates dephospho-CoA to generate the </w:t>
      </w:r>
    </w:p>
    <w:p w14:paraId="25E0C2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active cofactor. However, the molecular mechanisms regulating Mtb CoaE catalytic </w:t>
      </w:r>
    </w:p>
    <w:p w14:paraId="47E464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activity remain poorly understood. Here, AlphaFold 3 was used to predict CoaE </w:t>
      </w:r>
    </w:p>
    <w:p w14:paraId="01F4E6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model. The Ramachandran plot and ProSA were used to validate the model. </w:t>
      </w:r>
    </w:p>
    <w:p w14:paraId="34E78D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Subsequently, we performed molecular docking, followed by site-directed </w:t>
      </w:r>
    </w:p>
    <w:p w14:paraId="4D252A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mutagenesis. We found that the S15A, R145A or N175A mutants showed markedly </w:t>
      </w:r>
    </w:p>
    <w:p w14:paraId="1E7CB5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reduced activity, whereas the K14A mutation completely abolished activity. </w:t>
      </w:r>
    </w:p>
    <w:p w14:paraId="411829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Additionally, deletion of residues 27-101 (Δ27-101) led to a significant loss of </w:t>
      </w:r>
    </w:p>
    <w:p w14:paraId="174016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function. Our findings offer new insights into the structure and mechanism of </w:t>
      </w:r>
    </w:p>
    <w:p w14:paraId="5D8AC4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Mtb CoaE, a promising target for designing selective antituberculosis agents.</w:t>
      </w:r>
    </w:p>
    <w:p w14:paraId="66AFA9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18307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 The Authors. Published by American Chemical Society.</w:t>
      </w:r>
    </w:p>
    <w:p w14:paraId="2122A4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6411A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10.1021/acsomega.6c05535</w:t>
      </w:r>
    </w:p>
    <w:p w14:paraId="31691A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PMC13629385</w:t>
      </w:r>
    </w:p>
    <w:p w14:paraId="18DE89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42825154</w:t>
      </w:r>
    </w:p>
    <w:p w14:paraId="3FB748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621E84C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Front Med (Lausanne). 2026 Sep 21;13:1869144. doi: 10.3389/fmed.2026.1869144. </w:t>
      </w:r>
    </w:p>
    <w:p w14:paraId="38222EEC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2026.</w:t>
      </w:r>
    </w:p>
    <w:p w14:paraId="202636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459A0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Clinical outcomes of individualized surgical pathways in elderly patients with </w:t>
      </w:r>
    </w:p>
    <w:p w14:paraId="3E9837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spinal tuberculosis: a retrospective cohort study in eastern China.</w:t>
      </w:r>
    </w:p>
    <w:p w14:paraId="738B28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2D61F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Han B(1)(2)(3), Zhang M(2)(3), Cui C(4), Niu M(5), Liang X(2)(3), Li Z(2)(3), Wu </w:t>
      </w:r>
    </w:p>
    <w:p w14:paraId="034891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D(2), Wu X(1).</w:t>
      </w:r>
    </w:p>
    <w:p w14:paraId="20E67D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766757D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Bowen Han,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Mingshan Zhang,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Cheng Cui,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Maolin Niu,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Xue Liang,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Zhixuan Li,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Dapeng Wu,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Xuejian Wu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5118D712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* CORRESPONDENCE Xuejian Wu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 xml:space="preserve"> 1fy2016165@xxmu.edu.cn</w:t>
      </w:r>
    </w:p>
    <w:p w14:paraId="788BD4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FFD26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1309A16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Orthopedics, The First Affiliated Hospital of Zhengzhou </w:t>
      </w:r>
    </w:p>
    <w:p w14:paraId="398DF0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Zhengzhou, Henan, China.</w:t>
      </w:r>
    </w:p>
    <w:p w14:paraId="150475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Orthopedics, The First Affiliated Hospital of Henan Medical </w:t>
      </w:r>
    </w:p>
    <w:p w14:paraId="145B52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Xinxiang, Henan, China.</w:t>
      </w:r>
    </w:p>
    <w:p w14:paraId="74B564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(3)Xinxiang Key Laboratory of Spinal Infectious Diseases Research, Henan Medical </w:t>
      </w:r>
    </w:p>
    <w:p w14:paraId="6C8586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Xinxiang, Henan, China.</w:t>
      </w:r>
    </w:p>
    <w:p w14:paraId="59CFBF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Orthopedics, Jiaozuo Second People's Hospital, Jiaozuo, Henan, </w:t>
      </w:r>
    </w:p>
    <w:p w14:paraId="6D3C7E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China.</w:t>
      </w:r>
    </w:p>
    <w:p w14:paraId="63373D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(5)Department of Orthopedics, Xiangcheng Orthopedic Trauma Hospital, Zhoukou, </w:t>
      </w:r>
    </w:p>
    <w:p w14:paraId="241B8B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Henan, China.</w:t>
      </w:r>
    </w:p>
    <w:p w14:paraId="63E446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E5A63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OBJECTIVE: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Although surgical indications for adult spinal tuberculosis (TB) are </w:t>
      </w:r>
    </w:p>
    <w:p w14:paraId="51B281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well established, optimal surgical strategies for elderly patients remain </w:t>
      </w:r>
    </w:p>
    <w:p w14:paraId="0DD70F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uncertain. This study described the clinical outcomes of an individualized </w:t>
      </w:r>
    </w:p>
    <w:p w14:paraId="352B0A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staged management pathway for elderly patients with spinal TB in eastern China </w:t>
      </w:r>
    </w:p>
    <w:p w14:paraId="43ECED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reported outcomes of a clinically distinct cohort undergoing combined </w:t>
      </w:r>
    </w:p>
    <w:p w14:paraId="009BB7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posterior and anterior surgery. No comparative efficacy hypothesis was tested.</w:t>
      </w:r>
    </w:p>
    <w:p w14:paraId="027CBD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retrospective observational cohort study included patients treated </w:t>
      </w:r>
    </w:p>
    <w:p w14:paraId="10801B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between January 2020 and December 2022. Forty-two patients were classified </w:t>
      </w:r>
    </w:p>
    <w:p w14:paraId="2D3F77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according to treatment pathway. Group A comprised 23 patients managed with </w:t>
      </w:r>
    </w:p>
    <w:p w14:paraId="101E22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ultrasound-guided abscess drainage followed by posterior stabilization and </w:t>
      </w:r>
    </w:p>
    <w:p w14:paraId="4C4BDB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posterolateral fusion, with anterior surgery reserved for inadequate infection </w:t>
      </w:r>
    </w:p>
    <w:p w14:paraId="76CC59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control. Group B comprised 19 patients who underwent combined posterior and </w:t>
      </w:r>
    </w:p>
    <w:p w14:paraId="5B5692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anterior surgery because immediate anterior debridement and/or interbody </w:t>
      </w:r>
    </w:p>
    <w:p w14:paraId="71AAB3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reconstruction were required. Because pathway selection was indication-based and </w:t>
      </w:r>
    </w:p>
    <w:p w14:paraId="129015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cohorts had different operative indications, outcomes were summarized </w:t>
      </w:r>
    </w:p>
    <w:p w14:paraId="0DB6C4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descriptively rather than compared statistically. Index spinal operative time, </w:t>
      </w:r>
    </w:p>
    <w:p w14:paraId="302D5A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index estimated blood loss, visual analog scale score, Oswestry Disability </w:t>
      </w:r>
    </w:p>
    <w:p w14:paraId="49ED5A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Index, kyphotic angle, Frankel grade, postoperative complications, and secondary </w:t>
      </w:r>
    </w:p>
    <w:p w14:paraId="2D6E7C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surgery were recorded.</w:t>
      </w:r>
    </w:p>
    <w:p w14:paraId="049202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All patients achieved satisfactory clinical and radiographic outcomes </w:t>
      </w:r>
    </w:p>
    <w:p w14:paraId="31265E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during 24-45 months of follow-up. Mean index operative time was </w:t>
      </w:r>
    </w:p>
    <w:p w14:paraId="23F8BE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211.26 ± 70.30 min in Group A and 315.68 ± 70.92 min in Group B, and mean index </w:t>
      </w:r>
    </w:p>
    <w:p w14:paraId="6F02D4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estimated blood loss was 406.52 ± 224.26 mL and 594.74 ± 139.33 mL, </w:t>
      </w:r>
    </w:p>
    <w:p w14:paraId="485169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respectively. These values described different clinically selected index </w:t>
      </w:r>
    </w:p>
    <w:p w14:paraId="576C4D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operations and were not statistically compared. At final follow-up, Frankel </w:t>
      </w:r>
    </w:p>
    <w:p w14:paraId="2F7718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grade E was recorded in 19/23 (82.6%) patients in Group A and 16/19 (84.2%) in </w:t>
      </w:r>
    </w:p>
    <w:p w14:paraId="76254E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Group B, compared with 15/23 (65.2%) and 12/19 (63.2%) preoperatively. </w:t>
      </w:r>
    </w:p>
    <w:p w14:paraId="3672C6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Recurrence occurred in one patient in Group A and three patients in Group B.</w:t>
      </w:r>
    </w:p>
    <w:p w14:paraId="5248161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individualized staged pathway was completed without salvage </w:t>
      </w:r>
    </w:p>
    <w:p w14:paraId="55E39E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anterior surgery in 22 of 23 Group A patients, while one patient required </w:t>
      </w:r>
    </w:p>
    <w:p w14:paraId="7CA2E0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subsequent anterior debridement and interbody fusion. These descriptive data </w:t>
      </w:r>
    </w:p>
    <w:p w14:paraId="168899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support feasibility in selected patients but do not establish that preoperative </w:t>
      </w:r>
    </w:p>
    <w:p w14:paraId="2D9FB5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catheter drainage is necessary or superior to posterior surgery without </w:t>
      </w:r>
    </w:p>
    <w:p w14:paraId="1220D4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drainage. Combined posterior-and-anterior surgery remained appropriate when </w:t>
      </w:r>
    </w:p>
    <w:p w14:paraId="2096A9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immediate anterior debridement or reconstruction was indicated.</w:t>
      </w:r>
    </w:p>
    <w:p w14:paraId="365E54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57812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 Han, Zhang, Cui, Niu, Liang, Li, Wu and Wu.</w:t>
      </w:r>
    </w:p>
    <w:p w14:paraId="4CB2A8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0553F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10.3389/fmed.2026.1869144</w:t>
      </w:r>
    </w:p>
    <w:p w14:paraId="14B47B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PMC13634970</w:t>
      </w:r>
    </w:p>
    <w:p w14:paraId="0FD9B0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42835170</w:t>
      </w:r>
    </w:p>
    <w:p w14:paraId="6A83A7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FACDA33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Front Med (Lausanne). 2026 Sep 21;13:1879397. doi: 10.3389/fmed.2026.1879397. </w:t>
      </w:r>
    </w:p>
    <w:p w14:paraId="59300FFB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2026.</w:t>
      </w:r>
    </w:p>
    <w:p w14:paraId="4F5417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65B74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Prognostic value of the prognostic nutritional index in sepsis, pneumonia, and </w:t>
      </w:r>
    </w:p>
    <w:p w14:paraId="7A441A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tuberculosis: a systematic review and meta-analysis.</w:t>
      </w:r>
    </w:p>
    <w:p w14:paraId="029518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49F23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Fu Z(1), Wang W(1).</w:t>
      </w:r>
    </w:p>
    <w:p w14:paraId="7DAC57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4CC4A89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Zhiheng Fu,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Wanpeng Wang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751DAEB8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*CORRESPONDENCE  Wanpeng Wang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 xml:space="preserve"> wangwanpeng0630@163.com</w:t>
      </w:r>
    </w:p>
    <w:p w14:paraId="262DDF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A9515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3C4BB8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(1)Weifang People's Hospital, Shandong Second Medical University, Weifang, </w:t>
      </w:r>
    </w:p>
    <w:p w14:paraId="2AF675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Shandong, China.</w:t>
      </w:r>
    </w:p>
    <w:p w14:paraId="2BEFB8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610CC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OBJECTIVE: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To evaluate the prognostic value of the Prognostic Nutritional Index </w:t>
      </w:r>
    </w:p>
    <w:p w14:paraId="049A2E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(PNI) in patients with infectious diseases, focusing on tuberculosis, pneumonia, </w:t>
      </w:r>
    </w:p>
    <w:p w14:paraId="2B33EE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sepsis. By synthesizing extant evidence, we examine the association between </w:t>
      </w:r>
    </w:p>
    <w:p w14:paraId="68D0C3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baseline PNI and clinical outcomes to inform early risk stratification and </w:t>
      </w:r>
    </w:p>
    <w:p w14:paraId="142BDC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nutritional monitoring. Additionally, we probe underlying pathophysiological </w:t>
      </w:r>
    </w:p>
    <w:p w14:paraId="408D09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mechanisms, offering prognostic insights.</w:t>
      </w:r>
    </w:p>
    <w:p w14:paraId="3C7775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systematic literature search was conducted across five databases, </w:t>
      </w:r>
    </w:p>
    <w:p w14:paraId="08E324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including PubMed, Web of Science, Embase, the Cochrane Library, and China </w:t>
      </w:r>
    </w:p>
    <w:p w14:paraId="3862A7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National Knowledge Infrastructure (CNKI), from inception to June 2026. Following </w:t>
      </w:r>
    </w:p>
    <w:p w14:paraId="10DF94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methodological appraisal via the Newcastle-Ottawa Scale, we investigated </w:t>
      </w:r>
    </w:p>
    <w:p w14:paraId="736C01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associations between PNI and mortality or unfavorable outcomes. PNI was </w:t>
      </w:r>
    </w:p>
    <w:p w14:paraId="1636BA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uniformly calculated at baseline using the formula: PNI = serum albumin </w:t>
      </w:r>
    </w:p>
    <w:p w14:paraId="5755ED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(g/L) + 5 × lymphocyte count (×109/L). Meta-analysis, Egger's test, and </w:t>
      </w:r>
    </w:p>
    <w:p w14:paraId="744682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sensitivity analysis were performed in R software (version 4.5.0).</w:t>
      </w:r>
    </w:p>
    <w:p w14:paraId="24BCF8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From an initial pool of 1,383 relevant studies, 10 studies comprising </w:t>
      </w:r>
    </w:p>
    <w:p w14:paraId="68FF6E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28,757 patients were included in the final analysis. Disease-stratified </w:t>
      </w:r>
    </w:p>
    <w:p w14:paraId="0D78D7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meta-analysis underscores PNI's prognostic association in infectious diseases. </w:t>
      </w:r>
    </w:p>
    <w:p w14:paraId="0A61AA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Notably, among sepsis patients, elevated baseline PNI is associated with a </w:t>
      </w:r>
    </w:p>
    <w:p w14:paraId="515BC1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significantly attenuated mortality risk (hazard ratio [HR]: 0.63; 95% confidence </w:t>
      </w:r>
    </w:p>
    <w:p w14:paraId="7E09F2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interval [CI]: 0.44, 0.90). Similarly, in the pneumonia subgroup, a high PNI </w:t>
      </w:r>
    </w:p>
    <w:p w14:paraId="63FCCA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demonstrated a significant inverse association with mortality (HR: 0.47; 95% CI: </w:t>
      </w:r>
    </w:p>
    <w:p w14:paraId="3FF959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0.30, 0.73). Conversely, in the tuberculosis subgroup, the association between </w:t>
      </w:r>
    </w:p>
    <w:p w14:paraId="04D695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PNI and mortality did not reach statistical significance (HR: 0.38; 95% CI: </w:t>
      </w:r>
    </w:p>
    <w:p w14:paraId="0DAD1C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0.04, 3.82). Overall, higher PNI remained a significant protective factor </w:t>
      </w:r>
    </w:p>
    <w:p w14:paraId="4ADCE2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against mortality or unfavorable clinical outcomes (pooled HR: 0.52; 95% CI: </w:t>
      </w:r>
    </w:p>
    <w:p w14:paraId="6F42B2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0.39, 0.71; P &lt; 0.0001), with leave-one-out sensitivity analyses confirming the </w:t>
      </w:r>
    </w:p>
    <w:p w14:paraId="51AC9E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stability of these findings. Neither Begg's test (P = 0.2219) nor Egger's test </w:t>
      </w:r>
    </w:p>
    <w:p w14:paraId="4FCC07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(P = 0.1009) provided statistical evidence of small-study effects, although the </w:t>
      </w:r>
    </w:p>
    <w:p w14:paraId="1683D0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limited number of included studies reduces the power of these tests.</w:t>
      </w:r>
    </w:p>
    <w:p w14:paraId="7E60D4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Reduced baseline PNI correlates with heightened mortality in sepsis </w:t>
      </w:r>
    </w:p>
    <w:p w14:paraId="190CEB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pneumonia, yet its prognostic value in tuberculosis remains uncertain. </w:t>
      </w:r>
    </w:p>
    <w:p w14:paraId="17BA64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Although PNI is a cost-effective clinical adjunct, the current evidence is too </w:t>
      </w:r>
    </w:p>
    <w:p w14:paraId="6F86EA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heterogeneous to support its universal use in infectious diseases. Addressing </w:t>
      </w:r>
    </w:p>
    <w:p w14:paraId="5DEB89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these gaps requires large-scale prospective investigations across a wider </w:t>
      </w:r>
    </w:p>
    <w:p w14:paraId="332BAC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spectrum of diseases.</w:t>
      </w:r>
    </w:p>
    <w:p w14:paraId="165597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2FB64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 Fu and Wang.</w:t>
      </w:r>
    </w:p>
    <w:p w14:paraId="21D148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2B513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10.3389/fmed.2026.1879397</w:t>
      </w:r>
    </w:p>
    <w:p w14:paraId="22B7B8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PMC13634831</w:t>
      </w:r>
    </w:p>
    <w:p w14:paraId="166E44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42834912</w:t>
      </w:r>
    </w:p>
    <w:p w14:paraId="09964E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F719AE8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Front Public Health. 2026 Sep 18;14:1948171. doi: 10.3389/fpubh.2026.1948171. </w:t>
      </w:r>
    </w:p>
    <w:p w14:paraId="052D7038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2026.</w:t>
      </w:r>
    </w:p>
    <w:p w14:paraId="3397DB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74356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Changing epidemiological patterns of tuberculosis in China from 1990 to 2023: </w:t>
      </w:r>
    </w:p>
    <w:p w14:paraId="314A53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trends and future projections of drug-resistant and HIV-associated tuberculosis.</w:t>
      </w:r>
    </w:p>
    <w:p w14:paraId="7D4500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2E715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Chen J(1), Zheng P(2), Zuo Q(1), Zhang S(1), Qiu L(1), Wu X(1), Lu Z(1).</w:t>
      </w:r>
    </w:p>
    <w:p w14:paraId="748AD1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A57DADC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Jiajun Chen,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Peiyong Zheng,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Qinyan Zuo,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Shaoyan Zhang,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Lei Qiu,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Xianwei Wu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Zhenhui Lu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5759EB72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*CORRESPONDENCE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Xianwei Wu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xwwu2020@163.com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；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Zhenhui Lu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Dr_luzh@shutcm.edu.cn</w:t>
      </w:r>
    </w:p>
    <w:p w14:paraId="6E0605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AA37E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792596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(1)Institute of Respiratory Diseases, Longhua Hospital, Shanghai University of </w:t>
      </w:r>
    </w:p>
    <w:p w14:paraId="1F84DC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Traditional Chinese Medicine, Shanghai, China.</w:t>
      </w:r>
    </w:p>
    <w:p w14:paraId="6A0039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(2)Clinical Medicine Center, Longhua Hospital, Shanghai University of </w:t>
      </w:r>
    </w:p>
    <w:p w14:paraId="79F708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Traditional Chinese Medicine, Shanghai, China.</w:t>
      </w:r>
    </w:p>
    <w:p w14:paraId="650A3E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704F1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China has made substantial progress in tuberculosis (TB) control </w:t>
      </w:r>
    </w:p>
    <w:p w14:paraId="5CE1D4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over the past decades. However, continued surveillance of drug-resistant and </w:t>
      </w:r>
    </w:p>
    <w:p w14:paraId="3F6136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HIV-associated TB remains essential for optimizing future TB control strategies. </w:t>
      </w:r>
    </w:p>
    <w:p w14:paraId="12B001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study aimed to comprehensively assess the long-term burden and future </w:t>
      </w:r>
    </w:p>
    <w:p w14:paraId="5770A2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trends of TB and its major subtypes in China, with particular emphasis on </w:t>
      </w:r>
    </w:p>
    <w:p w14:paraId="7F34AA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extensively drug-resistant TB (XDR-TB) and HIV-associated TB.</w:t>
      </w:r>
    </w:p>
    <w:p w14:paraId="090354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Data on incidence, prevalence, mortality, and disability-adjusted life </w:t>
      </w:r>
    </w:p>
    <w:p w14:paraId="51774A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years (DALYs) of TB in China from 1990 to 2023 were extracted from the Global </w:t>
      </w:r>
    </w:p>
    <w:p w14:paraId="6A5609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Burden of Disease Study 2023. Historical age-standardized rates were reported </w:t>
      </w:r>
    </w:p>
    <w:p w14:paraId="03BF26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95% uncertainty intervals, and temporal trends in HIV-negative TB, </w:t>
      </w:r>
    </w:p>
    <w:p w14:paraId="53B2A6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drug-susceptible TB (DS-TB), multidrug-resistant TB (MDR-TB), XDR-TB, and </w:t>
      </w:r>
    </w:p>
    <w:p w14:paraId="70591F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HIV-associated TB subtypes were quantified using average annual percent changes </w:t>
      </w:r>
    </w:p>
    <w:p w14:paraId="5A5609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(AAPCs) with 95% confidence intervals. Log-transformed age-standardized rates </w:t>
      </w:r>
    </w:p>
    <w:p w14:paraId="720691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were projected from 2024 to 2035 using damped-trend exponential smoothing, </w:t>
      </w:r>
    </w:p>
    <w:p w14:paraId="5AF51E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ETS(A, Ad, N), with the damping parameter selected by rolling-origin validation. </w:t>
      </w:r>
    </w:p>
    <w:p w14:paraId="6F9369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Forecasts were reported with 95% prediction intervals; projections to 2050 were </w:t>
      </w:r>
    </w:p>
    <w:p w14:paraId="312025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treated as exploratory and reported in the Supplementary material.</w:t>
      </w:r>
    </w:p>
    <w:p w14:paraId="1B8076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From 1990 to 2023, the age-standardized incidence rates of HIV-negative </w:t>
      </w:r>
    </w:p>
    <w:p w14:paraId="4BF6CB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TB, DS-TB, and MDR-TB declined overall in China, with AAPCs of -3.833, -3.877, </w:t>
      </w:r>
    </w:p>
    <w:p w14:paraId="4F4738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-2.859%, respectively. In contrast, XDR-TB increased markedly (AAPC 7.134%), </w:t>
      </w:r>
    </w:p>
    <w:p w14:paraId="0869AB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while all HIV-associated TB subtypes also showed upward trends, particularly </w:t>
      </w:r>
    </w:p>
    <w:p w14:paraId="6BDEFC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HIV-XDR-TB, which exhibited the fastest increase in incidence (AAPC 13.318%). </w:t>
      </w:r>
    </w:p>
    <w:p w14:paraId="472BDD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Recent trends were more heterogeneous, including increases in HIV-negative TB </w:t>
      </w:r>
    </w:p>
    <w:p w14:paraId="451457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DS-TB incidence during 2019-2023 and declining or stable mortality trends </w:t>
      </w:r>
    </w:p>
    <w:p w14:paraId="432130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 several drug-resistant and HIV-associated subtypes. By 2035, the incidence </w:t>
      </w:r>
    </w:p>
    <w:p w14:paraId="01EBB6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prevalence of XDR-TB, HIV-DS-TB, and HIV-MDR-TB were projected to increase </w:t>
      </w:r>
    </w:p>
    <w:p w14:paraId="63C020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modestly, whereas their mortality and DALY rates were projected to decline. The </w:t>
      </w:r>
    </w:p>
    <w:p w14:paraId="3D4517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XDR-TB incidence rate was projected to reach 0.172 per 100,000 population (95% </w:t>
      </w:r>
    </w:p>
    <w:p w14:paraId="2C8177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prediction interval: 0.077-0.381). HIV-XDR-TB incidence was projected to remain </w:t>
      </w:r>
    </w:p>
    <w:p w14:paraId="430A16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broadly stable, with a slight decline, whereas its prevalence was projected to </w:t>
      </w:r>
    </w:p>
    <w:p w14:paraId="76662A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increase. Prediction intervals were wide for several low-burden drug-resistant </w:t>
      </w:r>
    </w:p>
    <w:p w14:paraId="58C0F0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outcomes.</w:t>
      </w:r>
    </w:p>
    <w:p w14:paraId="20B45B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Although the overall TB burden in China has declined substantially, </w:t>
      </w:r>
    </w:p>
    <w:p w14:paraId="4D7EA7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subtype-specific trajectories remain heterogeneous. Future control strategies </w:t>
      </w:r>
    </w:p>
    <w:p w14:paraId="76D737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should strengthen the rapid detection and management of drug resistance, </w:t>
      </w:r>
    </w:p>
    <w:p w14:paraId="29025C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integrate TB and HIV services, and prioritize targeted prevention and care for </w:t>
      </w:r>
    </w:p>
    <w:p w14:paraId="262D80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high-risk populations.</w:t>
      </w:r>
    </w:p>
    <w:p w14:paraId="283F6B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AEFCF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Chen, Zheng, Zuo, Zhang, Qiu, Wu and Lu.</w:t>
      </w:r>
    </w:p>
    <w:p w14:paraId="42DBEC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F4089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10.3389/fpubh.2026.1948171</w:t>
      </w:r>
    </w:p>
    <w:p w14:paraId="6082CB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PMC13630992</w:t>
      </w:r>
    </w:p>
    <w:p w14:paraId="29A0DC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42827910 [Indexed for MEDLINE]</w:t>
      </w:r>
    </w:p>
    <w:p w14:paraId="656A30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A98740E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Front Immunol. 2026 Sep 18;17:1933038. doi: 10.3389/fimmu.2026.1933038. </w:t>
      </w:r>
    </w:p>
    <w:p w14:paraId="3205215F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2026.</w:t>
      </w:r>
    </w:p>
    <w:p w14:paraId="56FD98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2898D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Dissociation between humoral and multi-omic immune responses to inactivated </w:t>
      </w:r>
    </w:p>
    <w:p w14:paraId="7F6936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COVID-19 vaccination in patients with pulmonary tuberculosis.</w:t>
      </w:r>
    </w:p>
    <w:p w14:paraId="44F651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DAF06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Jiang Z(#)(1), Jin P(#)(2), Nie X(#)(3), Wei J(3), Jia S(2), Liu Q(2), Wei M(2), </w:t>
      </w:r>
    </w:p>
    <w:p w14:paraId="5AC8C6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Ding X(2), Zhou D(4), Zhu L(2), Zhu L(2), Du M(3), Li J(1)(4)(5).</w:t>
      </w:r>
    </w:p>
    <w:p w14:paraId="3714DD2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EA8FF0D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Zhijie Jiang,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Pengfei Jin,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Xiaorui Nie,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Jin Wei,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Siyue Jia,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Qiao Liu,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Mingwei Wei,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Xiaoyan Ding,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Daming Zhou,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Liguo Zhu,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Limei Zhu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Mulong Du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Jingxin Li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72EF94DD">
      <w:pPr>
        <w:jc w:val="left"/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*CORRESPONDENCE Limei Zhu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lilyam0921@163.com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；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 xml:space="preserve"> Mulong Du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 xml:space="preserve"> drdumulong@njmu.edu.cn 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；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Jingxin Li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jingxin42102209@126.com</w:t>
      </w:r>
    </w:p>
    <w:p w14:paraId="60F070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2012A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0EAC7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(1)School of Public Health, Southeast University, Nanjing, China.</w:t>
      </w:r>
    </w:p>
    <w:p w14:paraId="026BA8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(2)Jiangsu Provincial Medical Innovation Center, National Health Commission Key </w:t>
      </w:r>
    </w:p>
    <w:p w14:paraId="7A82DE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Laboratory of Enteric Pathogenic Microbiology, Jiangsu Provincial Center for </w:t>
      </w:r>
    </w:p>
    <w:p w14:paraId="4120EA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Disease Control and Prevention (Jiangsu Provincial Academy of Preventive </w:t>
      </w:r>
    </w:p>
    <w:p w14:paraId="3F8192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Medicine), Nanjing, China.</w:t>
      </w:r>
    </w:p>
    <w:p w14:paraId="52DA92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Biostatistics, Key Laboratory of Public Health Safety and </w:t>
      </w:r>
    </w:p>
    <w:p w14:paraId="30A28B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Emergency Prevention and Control Technology of Higher Education Institutions in </w:t>
      </w:r>
    </w:p>
    <w:p w14:paraId="7F37AE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Jiangsu Province, Center for Global Health, School of Public Health, Nanjing </w:t>
      </w:r>
    </w:p>
    <w:p w14:paraId="3161FE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Medical University, Nanjing, China.</w:t>
      </w:r>
    </w:p>
    <w:p w14:paraId="1816E2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(4)The Affiliated Taizhou People's Hospital of Nanjing Medical University, </w:t>
      </w:r>
    </w:p>
    <w:p w14:paraId="64FB0C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Taizhou School of Clinical Medicine, Nanjing Medical University, Taizhou, </w:t>
      </w:r>
    </w:p>
    <w:p w14:paraId="27EDDB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Jiangsu, China.</w:t>
      </w:r>
    </w:p>
    <w:p w14:paraId="4B10DA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(5)School of Public Health, National Vaccine Innovation Platform, Nanjing </w:t>
      </w:r>
    </w:p>
    <w:p w14:paraId="6C0B71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Medical University, Nanjing, China.</w:t>
      </w:r>
    </w:p>
    <w:p w14:paraId="021595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(#)Contributed equally</w:t>
      </w:r>
    </w:p>
    <w:p w14:paraId="76DDE9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9ADC0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INTRODUCTION: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Patients with pulmonary tuberculosis (PTB) may experience </w:t>
      </w:r>
    </w:p>
    <w:p w14:paraId="3B052B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persistent immune dysregulation during anti-tuberculosis treatment, yet vaccine </w:t>
      </w:r>
    </w:p>
    <w:p w14:paraId="60FD9E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evaluation in this population has largely relied on humoral endpoints. Whether </w:t>
      </w:r>
    </w:p>
    <w:p w14:paraId="6522C9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preserved antibody responses reflect coordinated systems-level immune activation </w:t>
      </w:r>
    </w:p>
    <w:p w14:paraId="70D00F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after inactivated COVID-19 vaccination remains unclear. This study used systems </w:t>
      </w:r>
    </w:p>
    <w:p w14:paraId="6E3E3F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vaccinology to identify multi-omic immune signatures induced by vaccination in </w:t>
      </w:r>
    </w:p>
    <w:p w14:paraId="0F2452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PTB patients.</w:t>
      </w:r>
    </w:p>
    <w:p w14:paraId="01819A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 compared PTB patients who had completed at least 3 months of </w:t>
      </w:r>
    </w:p>
    <w:p w14:paraId="14C49B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anti-tuberculosis therapy with healthy controls. This nested subcohort analysis </w:t>
      </w:r>
    </w:p>
    <w:p w14:paraId="1D87EF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was derived from a phase IV multicenter randomized controlled trial that </w:t>
      </w:r>
    </w:p>
    <w:p w14:paraId="547D73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evaluated vaccine safety and immunogenicity in PTB patients and healthy </w:t>
      </w:r>
    </w:p>
    <w:p w14:paraId="19526F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participants. Paired plasma samples for proteomic profiling using the Olink </w:t>
      </w:r>
    </w:p>
    <w:p w14:paraId="1E2CCE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Explore 3072 platform and peripheral blood mononuclear cells (PBMCs) for </w:t>
      </w:r>
    </w:p>
    <w:p w14:paraId="48958A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transcriptomic sequencing were collected at baseline (Day 0, pre-vaccination) </w:t>
      </w:r>
    </w:p>
    <w:p w14:paraId="4F7E1C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Day 56 (28 days post-second dose). Proteomic analysis included 38 PTB </w:t>
      </w:r>
    </w:p>
    <w:p w14:paraId="081156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patients and 38 healthy controls, while transcriptomic profiling was performed </w:t>
      </w:r>
    </w:p>
    <w:p w14:paraId="17CF33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on a subset of 20 participants per group. We compared neutralizing antibody </w:t>
      </w:r>
    </w:p>
    <w:p w14:paraId="6503DF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responses, differential molecular signatures, inferred immune-cell fractions, </w:t>
      </w:r>
    </w:p>
    <w:p w14:paraId="1CFA6C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antibody-protein correlations between the two cohorts. Within each group, we </w:t>
      </w:r>
    </w:p>
    <w:p w14:paraId="18AFAF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further characterized longitudinal molecular alterations from Day 0 to Day 56.</w:t>
      </w:r>
    </w:p>
    <w:p w14:paraId="46E838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After two doses of inactivated COVID-19 vaccine, PTB patients and </w:t>
      </w:r>
    </w:p>
    <w:p w14:paraId="43A661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healthy controls achieved comparable neutralizing antibody titers and similar </w:t>
      </w:r>
    </w:p>
    <w:p w14:paraId="7B735E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seroconversion rates. However, the two cohorts exhibited markedly distinct </w:t>
      </w:r>
    </w:p>
    <w:p w14:paraId="5377A1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baseline immune landscapes. Prior to vaccination, PTB patients had widespread </w:t>
      </w:r>
    </w:p>
    <w:p w14:paraId="47D2FD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depletion of plasma proteins enriched in vesicle transport and phagocytosis </w:t>
      </w:r>
    </w:p>
    <w:p w14:paraId="02AAEF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pathways, accompanied by pro-inflammatory transcriptional reprogramming. After </w:t>
      </w:r>
    </w:p>
    <w:p w14:paraId="1D29F5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vaccination, healthy controls showed broad proteomic and transcriptomic </w:t>
      </w:r>
    </w:p>
    <w:p w14:paraId="4EDC58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remodeling, whereas PTB patients displayed minimal molecular perturbation and </w:t>
      </w:r>
    </w:p>
    <w:p w14:paraId="47A9E9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limited inferred immune-cell changes. Exploratory covariate-adjusted partial </w:t>
      </w:r>
    </w:p>
    <w:p w14:paraId="09AEF1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Spearman protein-antibody correlation analyses suggested a predominance of </w:t>
      </w:r>
    </w:p>
    <w:p w14:paraId="66AD62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nominal negative associations in PTB patients, involving proteins related to </w:t>
      </w:r>
    </w:p>
    <w:p w14:paraId="3DDB3D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inflammatory regulation, intracellular trafficking, and phagocytosis; no </w:t>
      </w:r>
    </w:p>
    <w:p w14:paraId="185A57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individual association survived false-discovery-rate correction.</w:t>
      </w:r>
    </w:p>
    <w:p w14:paraId="0529A5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Despite comparable short-term neutralizing antibody responses, PTB </w:t>
      </w:r>
    </w:p>
    <w:p w14:paraId="09F53E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patients receiving anti-tuberculosis treatment exhibited attenuated and distinct </w:t>
      </w:r>
    </w:p>
    <w:p w14:paraId="3E529B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systems-level proteomic and transcriptomic remodeling after inactivated COVID-19 </w:t>
      </w:r>
    </w:p>
    <w:p w14:paraId="207E3C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vaccination compared with healthy controls.</w:t>
      </w:r>
    </w:p>
    <w:p w14:paraId="2D6703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CLINICAL TRIAL REGISTRATION: https://clinicaltrials.gov/study/NCT05148949, </w:t>
      </w:r>
    </w:p>
    <w:p w14:paraId="0EBAC6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identifier NCT05148949.</w:t>
      </w:r>
    </w:p>
    <w:p w14:paraId="545745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D7D30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 © 2026 Jiang, Jin, Nie, Wei, Jia, Liu, Wei, Ding, Zhou, Zhu, Zhu, Du </w:t>
      </w:r>
    </w:p>
    <w:p w14:paraId="435E44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and Li.</w:t>
      </w:r>
    </w:p>
    <w:p w14:paraId="1B8C97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A0073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10.3389/fimmu.2026.1933038</w:t>
      </w:r>
    </w:p>
    <w:p w14:paraId="674551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PMC13631080</w:t>
      </w:r>
    </w:p>
    <w:p w14:paraId="7B9E4E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42827549 [Indexed for MEDLINE]</w:t>
      </w:r>
    </w:p>
    <w:p w14:paraId="3D9110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9ECC508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Front Public Health. 2026 Sep 17;14:1948462. doi: 10.3389/fpubh.2026.1948462. </w:t>
      </w:r>
    </w:p>
    <w:p w14:paraId="09FFC2D4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2026.</w:t>
      </w:r>
    </w:p>
    <w:p w14:paraId="024345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AB852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Epidemiological characteristics of tuberculosis among migrant populations and </w:t>
      </w:r>
    </w:p>
    <w:p w14:paraId="0D8501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key predictors of migratory cases in Zhejiang Province.</w:t>
      </w:r>
    </w:p>
    <w:p w14:paraId="5AC922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76EEA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Liu Z(#)(1)(2), Miao J(#)(1), Qu R(1), Chen C(1), Chen M(1), Qi J(1), Zhou W(1), </w:t>
      </w:r>
    </w:p>
    <w:p w14:paraId="12CB84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Zhang H(1), Zhang M(2), Chen B(2), Fang L(3), Yang S(1).</w:t>
      </w:r>
    </w:p>
    <w:p w14:paraId="577FB8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B4E8EF4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Zhengwei Liu,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Jiani Miao,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Rongrong Qu,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Can Chen,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Mengsha Chen,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Jiaxing Qi,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Wenkai Zhou,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Huihui Zhang,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Mingwu Zhang,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Bin Chen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Liqun Fang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Shigui Yang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4199A5CD">
      <w:pP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*CORRESPONDENCE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Shigui Yang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yangshigui@zju.edu.cn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；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Liqun Fang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fanglq@bmi.ac.cn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；</w:t>
      </w:r>
    </w:p>
    <w:p w14:paraId="5CEB492F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Bin Chen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bchen@cdc.zj.cn</w:t>
      </w:r>
    </w:p>
    <w:p w14:paraId="0E3822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8A704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7B328E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Emergency Medicine, Second Affiliated Hospital, School of </w:t>
      </w:r>
    </w:p>
    <w:p w14:paraId="7240AF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Public Health, Zhejiang University School of Medicine, Hangzhou, China.</w:t>
      </w:r>
    </w:p>
    <w:p w14:paraId="0581C0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Tuberculosis Control and Prevention, Zhejiang Provincial Center </w:t>
      </w:r>
    </w:p>
    <w:p w14:paraId="0BF8F9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for Disease Control and Prevention, Hangzhou, China.</w:t>
      </w:r>
    </w:p>
    <w:p w14:paraId="78AFD1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(3)Beijing Institute of Microbiology and Epidemiology, Academy of Military </w:t>
      </w:r>
    </w:p>
    <w:p w14:paraId="17D25F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Medical Science, Beijing, China.</w:t>
      </w:r>
    </w:p>
    <w:p w14:paraId="1948A7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(#)Contributed equally</w:t>
      </w:r>
    </w:p>
    <w:p w14:paraId="467BE1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ACDAC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OBJECTIVES: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Population mobility poses challenges to tuberculosis (TB) control. </w:t>
      </w:r>
    </w:p>
    <w:p w14:paraId="69300D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 a major destination for internal migrants in China, Zhejiang Province bears a </w:t>
      </w:r>
    </w:p>
    <w:p w14:paraId="44AA98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substantial burden of migrant TB cases. This study aimed to characterize TB </w:t>
      </w:r>
    </w:p>
    <w:p w14:paraId="62E2D6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epidemiology in Zhejiang Province and identify key predictors of migratory TB </w:t>
      </w:r>
    </w:p>
    <w:p w14:paraId="17BA502D">
      <w:pP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cases.</w:t>
      </w:r>
    </w:p>
    <w:p w14:paraId="2E1F50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TB surveillance data from the Tuberculosis Information Management </w:t>
      </w:r>
    </w:p>
    <w:p w14:paraId="228E30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System (TBIMS) of Zhejiang Province for 2005-2023 were analyzed using joinpoint </w:t>
      </w:r>
    </w:p>
    <w:p w14:paraId="3BFED3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regression, age-period-cohort modeling, and spatial analyses to characterize </w:t>
      </w:r>
    </w:p>
    <w:p w14:paraId="2E74701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temporal, demographic, and spatial patterns and compare migrant and local TB </w:t>
      </w:r>
    </w:p>
    <w:p w14:paraId="1A2D0C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cases. Boosted regression tree (BRT) modeling was used in a case-case design to </w:t>
      </w:r>
    </w:p>
    <w:p w14:paraId="2251C9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identify individual- and municipal-level predictors of migratory status among TB </w:t>
      </w:r>
    </w:p>
    <w:p w14:paraId="23AE69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cases and quantify their relative contributions.</w:t>
      </w:r>
    </w:p>
    <w:p w14:paraId="02F9BE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average annual TB incidence was 61.35 per 100,000 population, and </w:t>
      </w:r>
    </w:p>
    <w:p w14:paraId="5517A4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migrant TB cases accounted for 34.48% of all reported cases. TB incidence </w:t>
      </w:r>
    </w:p>
    <w:p w14:paraId="4E1B3D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increased during 2005-2007 with an annual percent change (APC) of 2.76%, and </w:t>
      </w:r>
    </w:p>
    <w:p w14:paraId="79DF43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subsequently declined during 2007-2023 (APC = -4.12%). The proportion of migrant </w:t>
      </w:r>
    </w:p>
    <w:p w14:paraId="753D89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TB cases increased through 2019 (APC = 5.83%) and then declined sharply during </w:t>
      </w:r>
    </w:p>
    <w:p w14:paraId="0EB729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2019-2023 (APC = -17.62%). Age-period-cohort analysis revealed a bimodal age </w:t>
      </w:r>
    </w:p>
    <w:p w14:paraId="414A03A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effect, with peaks at 15-19 and 75-79 years, while cohort effects were elevated </w:t>
      </w:r>
    </w:p>
    <w:p w14:paraId="65EA8D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among cohorts born from the late 1940s through the 1970s and subsequently </w:t>
      </w:r>
    </w:p>
    <w:p w14:paraId="2B77B6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declined. Spatial autocorrelation in TB incidence increased from 2010 onward, </w:t>
      </w:r>
    </w:p>
    <w:p w14:paraId="0111E9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while local and migrant TB case proportions clustered mainly in Quzhou and </w:t>
      </w:r>
    </w:p>
    <w:p w14:paraId="33B074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Lishui and in Ningbo and Jiaxing, respectively. Gross regional product (GRP) per </w:t>
      </w:r>
    </w:p>
    <w:p w14:paraId="46D11A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capita was the leading predictor of migratory TB cases (57.5%), followed by the </w:t>
      </w:r>
    </w:p>
    <w:p w14:paraId="1EBA1C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immigration index (9.0%), city type (6.8%), and tertiary industry proportion of </w:t>
      </w:r>
    </w:p>
    <w:p w14:paraId="5D1D91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GRP (5.9%), with marked variation in relative contributions across origin </w:t>
      </w:r>
    </w:p>
    <w:p w14:paraId="294D91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regions.</w:t>
      </w:r>
    </w:p>
    <w:p w14:paraId="4585A9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TB incidence declined overall in Zhejiang Province, but migrant TB </w:t>
      </w:r>
    </w:p>
    <w:p w14:paraId="2F88A2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cases remained epidemiologically important and showed distinct demographic and </w:t>
      </w:r>
    </w:p>
    <w:p w14:paraId="222876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spatial patterns. GRP per capita was the leading predictor, with additional </w:t>
      </w:r>
    </w:p>
    <w:p w14:paraId="337875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contributions from population mobility indicators and marked variation across </w:t>
      </w:r>
    </w:p>
    <w:p w14:paraId="756B57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origin regions. These findings support coordinated cross-regional surveillance, </w:t>
      </w:r>
    </w:p>
    <w:p w14:paraId="0123CA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continuity of TB care, and strategies adapted to local population structures and </w:t>
      </w:r>
    </w:p>
    <w:p w14:paraId="0A84FB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mobility patterns.</w:t>
      </w:r>
    </w:p>
    <w:p w14:paraId="7599F39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D754D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 © 2026 Liu, Miao, Qu, Chen, Chen, Qi, Zhou, Zhang, Zhang, Chen, Fang </w:t>
      </w:r>
    </w:p>
    <w:p w14:paraId="286DC2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and Yang.</w:t>
      </w:r>
    </w:p>
    <w:p w14:paraId="124864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DF3EF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10.3389/fpubh.2026.1948462</w:t>
      </w:r>
    </w:p>
    <w:p w14:paraId="28F187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PMC13627407</w:t>
      </w:r>
    </w:p>
    <w:p w14:paraId="098759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42824409 [Indexed for MEDLINE]</w:t>
      </w:r>
    </w:p>
    <w:p w14:paraId="78E756B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83731CE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Front Microbiol. 2026 Sep 17;17:1942089. doi: 10.3389/fmicb.2026.1942089. </w:t>
      </w:r>
    </w:p>
    <w:p w14:paraId="1DAFC3F3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2026.</w:t>
      </w:r>
    </w:p>
    <w:p w14:paraId="1F80D5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F2F97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Global research trends in tuberculosis drug-resistance mechanisms: a </w:t>
      </w:r>
    </w:p>
    <w:p w14:paraId="126C26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bibliometric and cross-database analysis.</w:t>
      </w:r>
    </w:p>
    <w:p w14:paraId="5F7309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63C2F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Lian J(#)(1), Nan H(#)(2), Xing Y(3), Wang Z(4), Hao J(1), Yu Y(1).</w:t>
      </w:r>
    </w:p>
    <w:p w14:paraId="3049C6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15BB236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Jiali Lian,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Hailiang Nan,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Yongqiang Xing,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Zhanli Wang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Jinqi Hao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Yanqin Yu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5275F8C0">
      <w:pP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*CORRESPONDENCE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Yanqin Yu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yanqin0324@126.com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；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Jinqi Hao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haojinqi@126.com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；</w:t>
      </w:r>
    </w:p>
    <w:p w14:paraId="7CA92812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Zhanli Wang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wang.zhanli@hotmail.com</w:t>
      </w:r>
    </w:p>
    <w:p w14:paraId="181DA175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</w:p>
    <w:p w14:paraId="18CBCC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5C771E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(1)School of Public Health, Baotou Medical College, Baotou, China.</w:t>
      </w:r>
    </w:p>
    <w:p w14:paraId="0F17DB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(2)The Fourth Hospital of Inner Mongolia Autonomous Region (Chest Hospital), </w:t>
      </w:r>
    </w:p>
    <w:p w14:paraId="6B7E7E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Hohhot, China.</w:t>
      </w:r>
    </w:p>
    <w:p w14:paraId="4CB91D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(3)Inner Mongolia University of Science and Technology, Baotou, Inner Mongolia, </w:t>
      </w:r>
    </w:p>
    <w:p w14:paraId="2BB5F7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China.</w:t>
      </w:r>
    </w:p>
    <w:p w14:paraId="18F3E5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(4)The Second Affiliated Hospital of Baotou Medical College, Baotou, Inner </w:t>
      </w:r>
    </w:p>
    <w:p w14:paraId="093162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Mongolia, China.</w:t>
      </w:r>
    </w:p>
    <w:p w14:paraId="7A5DE3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(#)Contributed equally</w:t>
      </w:r>
    </w:p>
    <w:p w14:paraId="2F3D0E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1ECBC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Drug-resistant tuberculosis (DR-TB) remains a major challenge to </w:t>
      </w:r>
    </w:p>
    <w:p w14:paraId="699897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global tuberculosis control. In 2024, approximately 390,000 individuals </w:t>
      </w:r>
    </w:p>
    <w:p w14:paraId="20BC2C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developed multidrug- or rifampicin-resistant tuberculosis (MDR/RR-TB) worldwide, </w:t>
      </w:r>
    </w:p>
    <w:p w14:paraId="7C8301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while treatment coverage remained limited to 42%, highlighting persistent gaps </w:t>
      </w:r>
    </w:p>
    <w:p w14:paraId="76267E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DR-TB management. The mechanisms underlying DR-TB involve </w:t>
      </w:r>
    </w:p>
    <w:p w14:paraId="6A93EA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resistance-associated mutations, bacterial adaptation, host-pathogen </w:t>
      </w:r>
    </w:p>
    <w:p w14:paraId="6BF25A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interactions, and drug-target-related processes. A comprehensive evaluation of </w:t>
      </w:r>
    </w:p>
    <w:p w14:paraId="766D94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research trends is needed to clarify the evolution and future directions of this </w:t>
      </w:r>
    </w:p>
    <w:p w14:paraId="7E10BD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field.</w:t>
      </w:r>
    </w:p>
    <w:p w14:paraId="62730A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This bibliometric review was conducted with reference to the Preferred </w:t>
      </w:r>
    </w:p>
    <w:p w14:paraId="0D151F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Reporting Items for Systematic Reviews and Meta-Analyzes (PRISMA) 2020 </w:t>
      </w:r>
    </w:p>
    <w:p w14:paraId="1AEE3D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statement. Publications related to DR-TB mechanisms from January 1, 2006, to May </w:t>
      </w:r>
    </w:p>
    <w:p w14:paraId="4DE5DB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10, 2026, were retrieved from the Web of Science Core Collection (WoSCC), </w:t>
      </w:r>
    </w:p>
    <w:p w14:paraId="3986DE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yielding 1,043 eligible records. VOSviewer, CiteSpace, and bibliometric methods </w:t>
      </w:r>
    </w:p>
    <w:p w14:paraId="35FF03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were applied to analyze countries/regions, institutions, authors, journals, </w:t>
      </w:r>
    </w:p>
    <w:p w14:paraId="02C131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keywords, and co-citation networks. An independent PubMed dataset (n = 787) was </w:t>
      </w:r>
    </w:p>
    <w:p w14:paraId="40522A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used for cross-database validation to assess the consistency and robustness of </w:t>
      </w:r>
    </w:p>
    <w:p w14:paraId="0D5425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major findings.</w:t>
      </w:r>
    </w:p>
    <w:p w14:paraId="2C22B3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Annual publications increased markedly after 2015. The dataset included </w:t>
      </w:r>
    </w:p>
    <w:p w14:paraId="7490D4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6,129 authors from 1,581 institutions across 60 countries/regions. The United </w:t>
      </w:r>
    </w:p>
    <w:p w14:paraId="1D5633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States was the leading contributor, with the highest number of publications </w:t>
      </w:r>
    </w:p>
    <w:p w14:paraId="1B7674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(248) and citations (2,460). Keyword and thematic analyzes revealed that major </w:t>
      </w:r>
    </w:p>
    <w:p w14:paraId="511E49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research areas included drug resistance mechanisms, combination therapy, </w:t>
      </w:r>
    </w:p>
    <w:p w14:paraId="03289C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microbiological analysis, antitubercular agents, and Mycobacterium tuberculosis. </w:t>
      </w:r>
    </w:p>
    <w:p w14:paraId="7FDEC2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Research evolution demonstrated a transition from traditional studies of </w:t>
      </w:r>
    </w:p>
    <w:p w14:paraId="3F5AA2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bacterial pathology and biosynthesis toward computer-aided target discovery, </w:t>
      </w:r>
    </w:p>
    <w:p w14:paraId="0436FD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molecular docking, and host-directed therapies involving programmed cell death </w:t>
      </w:r>
    </w:p>
    <w:p w14:paraId="0EA0A3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pathways such as autophagy. Descriptive country-institution-keyword mapping </w:t>
      </w:r>
    </w:p>
    <w:p w14:paraId="6B79C3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showed regionally patterned thematic associations, with natural products, </w:t>
      </w:r>
    </w:p>
    <w:p w14:paraId="337B7C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nanomaterials, and quorum-sensing inhibition represented among associations </w:t>
      </w:r>
    </w:p>
    <w:p w14:paraId="5B0A22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involving institutions from Asia and Latin America, and clinical microbiology, </w:t>
      </w:r>
    </w:p>
    <w:p w14:paraId="745E21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genomics, and pathway regulation represented among those involving institutions </w:t>
      </w:r>
    </w:p>
    <w:p w14:paraId="2F7622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from North America and Europe. PubMed validation demonstrated comparable </w:t>
      </w:r>
    </w:p>
    <w:p w14:paraId="2C9585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publication trends, geographic distributions, and thematic patterns.</w:t>
      </w:r>
    </w:p>
    <w:p w14:paraId="605BF8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The bibliometric landscape of DR-TB mechanism research has broadened </w:t>
      </w:r>
    </w:p>
    <w:p w14:paraId="6566F8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from individual molecular targets to bacterial, host-related, and computational </w:t>
      </w:r>
    </w:p>
    <w:p w14:paraId="3FE5EA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themes. Recent studies show increasing attention to host-directed approaches, </w:t>
      </w:r>
    </w:p>
    <w:p w14:paraId="7188439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molecular modeling, and multidimensional analyzes. These trends may inform </w:t>
      </w:r>
    </w:p>
    <w:p w14:paraId="5EC838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future mechanistic and translational research, although their biological and </w:t>
      </w:r>
    </w:p>
    <w:p w14:paraId="29F5A5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clinical relevance requires independent validation.</w:t>
      </w:r>
    </w:p>
    <w:p w14:paraId="0FFC0C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45F5F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Lian, Nan, Xing, Wang, Hao and Yu.</w:t>
      </w:r>
    </w:p>
    <w:p w14:paraId="7C5B20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CF12C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10.3389/fmicb.2026.1942089</w:t>
      </w:r>
    </w:p>
    <w:p w14:paraId="383A27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PMC13627400</w:t>
      </w:r>
    </w:p>
    <w:p w14:paraId="5FC533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42824403</w:t>
      </w:r>
    </w:p>
    <w:p w14:paraId="34C0C2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A9B0E8D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Front Public Health. 2026 Sep 17;14:1869406. doi: 10.3389/fpubh.2026.1869406. </w:t>
      </w:r>
    </w:p>
    <w:p w14:paraId="4B91ECA8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2026.</w:t>
      </w:r>
    </w:p>
    <w:p w14:paraId="5EF317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F69B4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Pre-screening village tuberculosis notification rates and the yield of </w:t>
      </w:r>
    </w:p>
    <w:p w14:paraId="3C24D1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interferon-gamma release assay testing in a rural health-examination campaign in </w:t>
      </w:r>
    </w:p>
    <w:p w14:paraId="233124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Xinjiang, China.</w:t>
      </w:r>
    </w:p>
    <w:p w14:paraId="1CA872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A5654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 W(#)(1), Maimaitiyiming M(#)(2), Xie W(1), Liu F(2), Feng Y(1), Jiang K(1), </w:t>
      </w:r>
    </w:p>
    <w:p w14:paraId="4F5A21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Lai K(1).</w:t>
      </w:r>
    </w:p>
    <w:p w14:paraId="5B6D88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67E309D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Weiyun He,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Munirekezi Maimaitiyiming,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Wei Xie,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Fujin Liu,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Yajuan Feng,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Kunhong Jiang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Keng Lai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1C6970A3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*CORRESPONDENCE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Kunhong Jiang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 xml:space="preserve"> masterjkh@163.com 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；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 xml:space="preserve"> Keng Lai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 xml:space="preserve"> kenglaigz@sina.com</w:t>
      </w:r>
    </w:p>
    <w:p w14:paraId="0D1970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FED21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365FB7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(1)State Key Laboratory of Respiratory Disease, Guangzhou Key Laboratory of </w:t>
      </w:r>
    </w:p>
    <w:p w14:paraId="6FA300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Research, Department of Tuberculosis Control and Management, </w:t>
      </w:r>
    </w:p>
    <w:p w14:paraId="480998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Guangzhou Chest Hospital, Institute of Tuberculosis, Guangzhou Medical </w:t>
      </w:r>
    </w:p>
    <w:p w14:paraId="3F2CE1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Guangzhou, Guangdong, China.</w:t>
      </w:r>
    </w:p>
    <w:p w14:paraId="77FEA6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(2)Disease Prevention and Control Center of Shufu County, Kashgar, Xinjiang, </w:t>
      </w:r>
    </w:p>
    <w:p w14:paraId="3C0462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China.</w:t>
      </w:r>
    </w:p>
    <w:p w14:paraId="031BA5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(#)Contributed equally</w:t>
      </w:r>
    </w:p>
    <w:p w14:paraId="33ECC0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653E2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Southern Xinjiang has a high tuberculosis (TB) burden, but the yield </w:t>
      </w:r>
    </w:p>
    <w:p w14:paraId="2BDF82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interferon-gamma release assay (IGRA) testing within its annual rural </w:t>
      </w:r>
    </w:p>
    <w:p w14:paraId="5AB2AE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health-examination program has not been quantified. We estimated IGRA positivity </w:t>
      </w:r>
    </w:p>
    <w:p w14:paraId="45DA17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among adult campaign participants and assessed whether positivity increased with </w:t>
      </w:r>
    </w:p>
    <w:p w14:paraId="5AECE7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the village TB notification rate recorded before screening.</w:t>
      </w:r>
    </w:p>
    <w:p w14:paraId="3D3FEC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This service-embedded cross-sectional study included adults who </w:t>
      </w:r>
    </w:p>
    <w:p w14:paraId="1375C0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received IGRA testing during the annual health-examination campaign implemented </w:t>
      </w:r>
    </w:p>
    <w:p w14:paraId="002DE3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across all 22 villages and farm units of Zhanmin Township in July-August 2024. </w:t>
      </w:r>
    </w:p>
    <w:p w14:paraId="7E64CF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Exclusion of 12 indeterminate results and two duplicate records left 3,742 </w:t>
      </w:r>
    </w:p>
    <w:p w14:paraId="4A75A0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unique adults. The principal exposure was the pre-screening average annual </w:t>
      </w:r>
    </w:p>
    <w:p w14:paraId="6EB0E7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village TB notification rate (January 2021-June 2024). Logistic generalized </w:t>
      </w:r>
    </w:p>
    <w:p w14:paraId="05891D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estimating equations accounted for village clustering, adjusted for prespecified </w:t>
      </w:r>
    </w:p>
    <w:p w14:paraId="173BD8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individual covariates, and used a Mancl-DeRouen small-sample covariance </w:t>
      </w:r>
    </w:p>
    <w:p w14:paraId="602E0D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correction. Village-level regression, burden-group comparisons, and 1,000 </w:t>
      </w:r>
    </w:p>
    <w:p w14:paraId="47938D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village-cluster bootstrap resamples complemented the principal analysis.</w:t>
      </w:r>
    </w:p>
    <w:p w14:paraId="2A6D06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Overall, 1,006 of 3,742 participants were IGRA positive (26.88%, 95% CI </w:t>
      </w:r>
    </w:p>
    <w:p w14:paraId="0247BB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25.49-28.33%); village-specific positivity ranged from 19.13 to 39.67%. </w:t>
      </w:r>
    </w:p>
    <w:p w14:paraId="571C2A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High-burden villages contributed 39.56% of positive results while accounting for </w:t>
      </w:r>
    </w:p>
    <w:p w14:paraId="6DF020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33.27% of participants. Pooled positivity was 31.97% in high-burden villages, </w:t>
      </w:r>
    </w:p>
    <w:p w14:paraId="67F655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compared with 24.51 and 24.19% in low- and medium-burden villages. Each increase </w:t>
      </w:r>
    </w:p>
    <w:p w14:paraId="2CB05E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100 notifications per 100,000 was associated with 15.3% higher adjusted odds </w:t>
      </w:r>
    </w:p>
    <w:p w14:paraId="26011D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positivity (OR 1.153, 95% CI 1.043-1.275; p = 0.006); the village-bootstrap </w:t>
      </w:r>
    </w:p>
    <w:p w14:paraId="1A235A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estimate was similar. At village level, the corresponding increase in positivity </w:t>
      </w:r>
    </w:p>
    <w:p w14:paraId="4F12F8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was 2.92 percentage points (95% CI 1.18-4.67; p = 0.002). Male sex, ages </w:t>
      </w:r>
    </w:p>
    <w:p w14:paraId="3FB3AA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50-79 years, lower-income program category, known TB exposure, and previous TB </w:t>
      </w:r>
    </w:p>
    <w:p w14:paraId="770A0F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were independently associated with positivity.</w:t>
      </w:r>
    </w:p>
    <w:p w14:paraId="60FFC5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IGRA positivity was common among campaign participants and increased </w:t>
      </w:r>
    </w:p>
    <w:p w14:paraId="708090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pre-screening village notification rates. Within the annual </w:t>
      </w:r>
    </w:p>
    <w:p w14:paraId="1C0F62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health-examination program, the continuous notification rate can be combined </w:t>
      </w:r>
    </w:p>
    <w:p w14:paraId="7791BF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individual risk factors to inform the scheduling of IGRA outreach and </w:t>
      </w:r>
    </w:p>
    <w:p w14:paraId="74E9AF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clinical assessment while maintaining access in every village. The 26.88% </w:t>
      </w:r>
    </w:p>
    <w:p w14:paraId="2ECB5F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estimate pertains to participants and should not be interpreted as township </w:t>
      </w:r>
    </w:p>
    <w:p w14:paraId="3034FD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prevalence.</w:t>
      </w:r>
    </w:p>
    <w:p w14:paraId="05B754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C6215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He, Maimaitiyiming, Xie, Liu, Feng, Jiang and Lai.</w:t>
      </w:r>
    </w:p>
    <w:p w14:paraId="634A76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5E6C3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10.3389/fpubh.2026.1869406</w:t>
      </w:r>
    </w:p>
    <w:p w14:paraId="14C2F2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PMC13627292</w:t>
      </w:r>
    </w:p>
    <w:p w14:paraId="3B8D4E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42824088 [Indexed for MEDLINE]</w:t>
      </w:r>
    </w:p>
    <w:p w14:paraId="260A8F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F4585A7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Front Cell Infect Microbiol. 2026 Sep 17;16:1915083. doi: </w:t>
      </w:r>
    </w:p>
    <w:p w14:paraId="628CB5C9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10.3389/fcimb.2026.1915083. eCollection 2026.</w:t>
      </w:r>
    </w:p>
    <w:p w14:paraId="1F7F88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D33A4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DETECTX: a novel deep learning approach for detecting pneumonia, tuberculosis, </w:t>
      </w:r>
    </w:p>
    <w:p w14:paraId="46B10B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and aspergillosis from chest X-rays.</w:t>
      </w:r>
    </w:p>
    <w:p w14:paraId="0F0BCA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3387F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Wang XH(#)(1), Ahmed N(#)(2), Saeed M(2), Ali H(3), Chen GW(4), Sun SC(4), Dong </w:t>
      </w:r>
    </w:p>
    <w:p w14:paraId="3192FA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WX(5), Teng TS(6), Liao ZX(7), Saddozai UAK(8).</w:t>
      </w:r>
    </w:p>
    <w:p w14:paraId="68A8B4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F8EAC75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Xian-Hong Wang,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Naeem Ahmed,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Muhammad Saeed,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Hassan Ali,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Guang-Wei Chen,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Shi-Chang Sun,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Wei-Xia Dong,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Tie-Shan Teng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Zhong-Xia Liao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Umair Ali Khan Saddozai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67B3555F">
      <w:pPr>
        <w:jc w:val="left"/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*CORRESPONDENCE Tie-Shan Teng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 xml:space="preserve">tengtieshan@vip.henu.edu.cn 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；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Zhong-Xia Liao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 xml:space="preserve"> liaozhongxia2021@163.com 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；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Umair Ali khan Saddozai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 xml:space="preserve"> umairsaddozai2@gmail.com</w:t>
      </w:r>
    </w:p>
    <w:p w14:paraId="5AAD78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3C885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F5040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Internal Medicine and Pediatrics, Medical School, Henan </w:t>
      </w:r>
    </w:p>
    <w:p w14:paraId="3941D5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Provincial Research Center of Engineering Technology for Nuclear Protein Medical </w:t>
      </w:r>
    </w:p>
    <w:p w14:paraId="0D22FB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Detection, Zhengzhou Health College, Zhengzhou, Henan, China.</w:t>
      </w:r>
    </w:p>
    <w:p w14:paraId="11F6F3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(2)School of Software, Nanjing University of Information Science and Technology, </w:t>
      </w:r>
    </w:p>
    <w:p w14:paraId="2A069D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Nanjing, China.</w:t>
      </w:r>
    </w:p>
    <w:p w14:paraId="437F8A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(3)College of Computer Science and Technology, Nanjing University of Aeronautics </w:t>
      </w:r>
    </w:p>
    <w:p w14:paraId="462B46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and Astronautics, Nanjing, China.</w:t>
      </w:r>
    </w:p>
    <w:p w14:paraId="74D225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Pulmonary and Critical Care Medicine, People's Hospital of </w:t>
      </w:r>
    </w:p>
    <w:p w14:paraId="59EEF9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Fangcheng County, Nanyang, Henan, China.</w:t>
      </w:r>
    </w:p>
    <w:p w14:paraId="68A645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(5)Department of Microbiology and Immunology, Medical School; Henan Provincial </w:t>
      </w:r>
    </w:p>
    <w:p w14:paraId="65E4C3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Research Center of Engineering and Technology for Medical Detection of Nuclear </w:t>
      </w:r>
    </w:p>
    <w:p w14:paraId="7891AC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Protein, Zhengzhou Health College, Zhengzhou, Henan, China.</w:t>
      </w:r>
    </w:p>
    <w:p w14:paraId="255B16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(6)Kaifeng Key Laboratory for Infection and Biosafety, School of Basic Medical </w:t>
      </w:r>
    </w:p>
    <w:p w14:paraId="61BFE3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Sciences, Henan University, Kaifeng, Henan, China.</w:t>
      </w:r>
    </w:p>
    <w:p w14:paraId="137E75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(7)Department of Health Management, ZhengZhou Health College, Zhengzhou, </w:t>
      </w:r>
    </w:p>
    <w:p w14:paraId="29D21A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Henan, China.</w:t>
      </w:r>
    </w:p>
    <w:p w14:paraId="4ABB83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(8)Institute of Translational Medicine, Medical College, Yangzhou University, </w:t>
      </w:r>
    </w:p>
    <w:p w14:paraId="5926EA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Yangzhou, Jiangsu, China.</w:t>
      </w:r>
    </w:p>
    <w:p w14:paraId="33764B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(#)Contributed equally</w:t>
      </w:r>
    </w:p>
    <w:p w14:paraId="27D407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379DE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Aspergillosis, pneumonia, and tuberculosis are distinct respiratory </w:t>
      </w:r>
    </w:p>
    <w:p w14:paraId="1D56C1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illnesses, but they share similar symptoms, including cough, fever, and </w:t>
      </w:r>
    </w:p>
    <w:p w14:paraId="5F9932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shortness of breath. This overlap can make accurate diagnosis challenging. </w:t>
      </w:r>
    </w:p>
    <w:p w14:paraId="121848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Delayed or incorrect identification, particularly of aspergillosis, can lead to </w:t>
      </w:r>
    </w:p>
    <w:p w14:paraId="5A085C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worsening patient outcomes and significant lung damage.</w:t>
      </w:r>
    </w:p>
    <w:p w14:paraId="05DC34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To address this diagnostic challenge, we developed a deep learning </w:t>
      </w:r>
    </w:p>
    <w:p w14:paraId="6F4474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based system designed to differentiate between aspergillosis, pneumonia, </w:t>
      </w:r>
    </w:p>
    <w:p w14:paraId="65834A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tuberculosis, and healthy lungs using chest X-ray images. We implemented three </w:t>
      </w:r>
    </w:p>
    <w:p w14:paraId="27C4A3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models: Convolutional Neural Networks (CNN), ResNet-50, and a novel Siamese </w:t>
      </w:r>
    </w:p>
    <w:p w14:paraId="320D72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Convolutional Neural Network. The models were trained on a dataset of 7,200 </w:t>
      </w:r>
    </w:p>
    <w:p w14:paraId="517B4D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images, categorized into four groups: aspergillosis, pneumonia, tuberculosis, </w:t>
      </w:r>
    </w:p>
    <w:p w14:paraId="29E76C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healthy. We utilized various training-testing ratios to optimize </w:t>
      </w:r>
    </w:p>
    <w:p w14:paraId="5FB6F6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performance, which was evaluated using accuracy, precision, recall, F1-score, </w:t>
      </w:r>
    </w:p>
    <w:p w14:paraId="1D8266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and confusion matrices.</w:t>
      </w:r>
    </w:p>
    <w:p w14:paraId="46639C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Among the models tested, the Siamese neural network outperformed the </w:t>
      </w:r>
    </w:p>
    <w:p w14:paraId="446797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others, achieving an accuracy of 98.72%, surpassing the performance of </w:t>
      </w:r>
    </w:p>
    <w:p w14:paraId="08F578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state-of-the-art models in comparative studies.</w:t>
      </w:r>
    </w:p>
    <w:p w14:paraId="279A95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The novel Siamese CNN model demonstrated excellent accuracy in </w:t>
      </w:r>
    </w:p>
    <w:p w14:paraId="40B414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differentiating respiratory diseases from chest X-ray images, offering a </w:t>
      </w:r>
    </w:p>
    <w:p w14:paraId="5ED081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promising tool for more accurate and timely diagnoses. We also developed an </w:t>
      </w:r>
    </w:p>
    <w:p w14:paraId="5B5E98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intuitive web interface that enables healthcare providers to upload and analyze </w:t>
      </w:r>
    </w:p>
    <w:p w14:paraId="2EC729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medical images, facilitating quicker and more reliable diagnoses to support </w:t>
      </w:r>
    </w:p>
    <w:p w14:paraId="62BF2F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timely interventions.</w:t>
      </w:r>
    </w:p>
    <w:p w14:paraId="3E4D42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94197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 © 2026 Wang, Ahmed, Saeed, Ali, Chen, Sun, Dong, Teng, Liao and </w:t>
      </w:r>
    </w:p>
    <w:p w14:paraId="34D4DC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Saddozai.</w:t>
      </w:r>
    </w:p>
    <w:p w14:paraId="4CB54C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8B5F4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10.3389/fcimb.2026.1915083</w:t>
      </w:r>
    </w:p>
    <w:p w14:paraId="2BF84D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PMC13626911</w:t>
      </w:r>
    </w:p>
    <w:p w14:paraId="17C837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42824030 [Indexed for MEDLINE]</w:t>
      </w:r>
    </w:p>
    <w:p w14:paraId="5746492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3EB428A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Front Public Health. 2026 Sep 17;14:1925611. doi: 10.3389/fpubh.2026.1925611. </w:t>
      </w:r>
    </w:p>
    <w:p w14:paraId="22ABABF4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2026.</w:t>
      </w:r>
    </w:p>
    <w:p w14:paraId="44A4D0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5641F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Commentary: Recombinant Mycobacterium tuberculosis fusion protein for diagnosis </w:t>
      </w:r>
    </w:p>
    <w:p w14:paraId="533F21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of Mycobacterium tuberculosis infection: a short-term economic evaluation.</w:t>
      </w:r>
    </w:p>
    <w:p w14:paraId="08D33E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17C78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Ma C(1)(2), Li J(2).</w:t>
      </w:r>
    </w:p>
    <w:p w14:paraId="300F73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3CFFC77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Chaoyuan Ma,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Jin Li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4B4D032F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*CORRESPONDENCE Jin Li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leegene@126.com</w:t>
      </w:r>
    </w:p>
    <w:p w14:paraId="7BAADD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5707C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183508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(1)Hualan Biological Engineering Inc., Xinxiang, China.</w:t>
      </w:r>
    </w:p>
    <w:p w14:paraId="4030C7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(2)Hualan Biological Vaccine Inc., Xinxiang, China.</w:t>
      </w:r>
    </w:p>
    <w:p w14:paraId="195368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40142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Comment on</w:t>
      </w:r>
    </w:p>
    <w:p w14:paraId="45157A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   Front Public Health. 2023 May 03;11:1105857. doi: </w:t>
      </w:r>
    </w:p>
    <w:p w14:paraId="19ABF4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10.3389/fpubh.2023.1105857.</w:t>
      </w:r>
    </w:p>
    <w:p w14:paraId="1F5965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C7398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10.3389/fpubh.2026.1925611</w:t>
      </w:r>
    </w:p>
    <w:p w14:paraId="428652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PMC13627034</w:t>
      </w:r>
    </w:p>
    <w:p w14:paraId="2CF23A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42824019</w:t>
      </w:r>
    </w:p>
    <w:p w14:paraId="39ED6E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68F7A0C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Front Bioeng Biotechnol. 2026 Sep 17;14:1947704. doi: </w:t>
      </w:r>
    </w:p>
    <w:p w14:paraId="7E3C4826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10.3389/fbioe.2026.1947704. eCollection 2026.</w:t>
      </w:r>
    </w:p>
    <w:p w14:paraId="60935E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4E079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From mutation detection to treatment decisions: CRISPR-enabled diagnostics for </w:t>
      </w:r>
    </w:p>
    <w:p w14:paraId="36472D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drug-resistant tuberculosis.</w:t>
      </w:r>
    </w:p>
    <w:p w14:paraId="3C6F60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65814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Yi W(#)(1), Luo F(#)(1), Yi D(#)(2), Guo J(1), Liu S(3), Yan Q(1), Luo H(1).</w:t>
      </w:r>
    </w:p>
    <w:p w14:paraId="2129F3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617F09C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Weijia Yi,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Fukang Luo,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Dianping Yi,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Jing Guo,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Shan Liu,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Qibing Yan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Hongzhi Luo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638C02C9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*CORRESPONDENCE Qibing Yan, dryan120@163.com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；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Hongzhi Luo, hongzhiluo666@163.com</w:t>
      </w:r>
    </w:p>
    <w:p w14:paraId="3E2238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D71A8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78C399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(1)West China Hospital Sichuan University Jintang Hospital, Jintang First </w:t>
      </w:r>
    </w:p>
    <w:p w14:paraId="4FEE6D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People's Hospital, Chengdu, China.</w:t>
      </w:r>
    </w:p>
    <w:p w14:paraId="55A77C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(2)The Fourth People's Hospital of Jintang (Jintang County Mental Health </w:t>
      </w:r>
    </w:p>
    <w:p w14:paraId="2A3887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Center), Chengdu, China.</w:t>
      </w:r>
    </w:p>
    <w:p w14:paraId="586F3A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(3)Genetic Diseases Key Laboratory of Sichuan Province, Department of Medical </w:t>
      </w:r>
    </w:p>
    <w:p w14:paraId="3B24B69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Genetics, Sichuan Academy of Medical Sciences and Sichuan Provincial People's </w:t>
      </w:r>
    </w:p>
    <w:p w14:paraId="1D3F9A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Hospital, University of Electronic Science and Technology of China, Chengdu, </w:t>
      </w:r>
    </w:p>
    <w:p w14:paraId="61A96F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China.</w:t>
      </w:r>
    </w:p>
    <w:p w14:paraId="236EF0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(#)Contributed equally</w:t>
      </w:r>
    </w:p>
    <w:p w14:paraId="13900E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E318D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Effective management of drug-resistant tuberculosis requires molecular assays </w:t>
      </w:r>
    </w:p>
    <w:p w14:paraId="40B660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that not only detect Mycobacterium tuberculosis but also identify </w:t>
      </w:r>
    </w:p>
    <w:p w14:paraId="1A42FA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resistance-associated variants, support drug-level interpretation, and indicate </w:t>
      </w:r>
    </w:p>
    <w:p w14:paraId="07D7AE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when broader confirmatory testing is needed. This narrative review applies a </w:t>
      </w:r>
    </w:p>
    <w:p w14:paraId="70B1D3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mutation-to-drug-to-decision framework to distinguish assay validity, </w:t>
      </w:r>
    </w:p>
    <w:p w14:paraId="731E64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exact-variant detection, drug-level inference, and decision impact. We </w:t>
      </w:r>
    </w:p>
    <w:p w14:paraId="499013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synthesize evidence on target accessibility, minority-allele preservation, </w:t>
      </w:r>
    </w:p>
    <w:p w14:paraId="4D5D0B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multiplexing, direct-specimen testing, and sequencing enrichment, emphasizing </w:t>
      </w:r>
    </w:p>
    <w:p w14:paraId="4D32D4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how these factors shape clinical interpretability. Current evidence remains </w:t>
      </w:r>
    </w:p>
    <w:p w14:paraId="654151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dominated by analytical studies, isolate-based evaluations, and small </w:t>
      </w:r>
    </w:p>
    <w:p w14:paraId="37A2B1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direct-specimen investigations, with prospective multicenter treatment-impact </w:t>
      </w:r>
    </w:p>
    <w:p w14:paraId="45233A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validation still lacking. Population-level benchmarks indicate incomplete </w:t>
      </w:r>
    </w:p>
    <w:p w14:paraId="24E368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biological coverage for compact target regions, reaching approximately 92.6% for </w:t>
      </w:r>
    </w:p>
    <w:p w14:paraId="469EE2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rpoB RRDR-based rifampicin detection, 85.4% for katG codon 315 plus the inhA </w:t>
      </w:r>
    </w:p>
    <w:p w14:paraId="58E40D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promoter for isoniazid, and 84.7%-88.2% for gyrA/gyrB-based fluoroquinolone </w:t>
      </w:r>
    </w:p>
    <w:p w14:paraId="71166D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detection. Allele-specific CRISPR is therefore best suited to rapid rule-in of </w:t>
      </w:r>
    </w:p>
    <w:p w14:paraId="12D8DC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selected resistance-associated variants, while dispersed or heterogeneous </w:t>
      </w:r>
    </w:p>
    <w:p w14:paraId="445109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mechanisms require broader molecular or phenotypic assessment. CRISPR should </w:t>
      </w:r>
    </w:p>
    <w:p w14:paraId="053C14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complement WHO-recommended rapid molecular testing and targeted next-generation </w:t>
      </w:r>
    </w:p>
    <w:p w14:paraId="645747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sequencing rather than replace established molecular or phenotypic methods.</w:t>
      </w:r>
    </w:p>
    <w:p w14:paraId="7EDA3C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BE8C8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Yi, Luo, Yi, Guo, Liu, Yan and Luo.</w:t>
      </w:r>
    </w:p>
    <w:p w14:paraId="114B10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EE98F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10.3389/fbioe.2026.1947704</w:t>
      </w:r>
    </w:p>
    <w:p w14:paraId="4510E1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PMC13626866</w:t>
      </w:r>
    </w:p>
    <w:p w14:paraId="4BA6AA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42823951</w:t>
      </w:r>
    </w:p>
    <w:p w14:paraId="6B7230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0163EE5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17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Int J Mycobacteriol. 2026 Jul 1;15(3):299-310. doi: 10.4103/ijmy.ijmy_105_26. </w:t>
      </w:r>
    </w:p>
    <w:p w14:paraId="5422CD84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Epub 2026 Sep 30.</w:t>
      </w:r>
    </w:p>
    <w:p w14:paraId="426CF82F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</w:p>
    <w:p w14:paraId="6DA566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Primary Drug Resistance Analysis of Mycobacterium tuberculosis in Liupanshui, </w:t>
      </w:r>
    </w:p>
    <w:p w14:paraId="20D28E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China.</w:t>
      </w:r>
    </w:p>
    <w:p w14:paraId="696FCB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B1B52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Yu S(1), Xu T(2), Yan G(1), Xiao H(1), Deng S(3), Fu S(4), Liu H(1)(5).</w:t>
      </w:r>
    </w:p>
    <w:p w14:paraId="3D5127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7668F4A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Shunfu Yu,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Ting Xu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Guangyou Yan,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Hong Xiao,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Shengxu Deng,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Shaojing Fu,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Honglin Liu</w:t>
      </w:r>
    </w:p>
    <w:p w14:paraId="74352D5A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Address for correspondence:</w:t>
      </w:r>
      <w:r>
        <w:rPr>
          <w:rFonts w:hint="default" w:ascii="宋体" w:hAnsi="宋体" w:eastAsia="宋体" w:cs="宋体"/>
          <w:b/>
          <w:bCs/>
          <w:color w:val="0070C0"/>
          <w:szCs w:val="24"/>
        </w:rPr>
        <w:t xml:space="preserve"> Dr. Ting Xu, E-mail: </w:t>
      </w:r>
      <w:r>
        <w:rPr>
          <w:rFonts w:hint="default" w:ascii="宋体" w:hAnsi="宋体" w:eastAsia="宋体" w:cs="宋体"/>
          <w:b/>
          <w:bCs/>
          <w:color w:val="0070C0"/>
          <w:szCs w:val="24"/>
        </w:rPr>
        <w:fldChar w:fldCharType="begin"/>
      </w:r>
      <w:r>
        <w:rPr>
          <w:rFonts w:hint="default" w:ascii="宋体" w:hAnsi="宋体" w:eastAsia="宋体" w:cs="宋体"/>
          <w:b/>
          <w:bCs/>
          <w:color w:val="0070C0"/>
          <w:szCs w:val="24"/>
        </w:rPr>
        <w:instrText xml:space="preserve"> HYPERLINK "mailto:286602063@qq.com" \t "https://www.ovid.com/jnls/ijmy/fulltext/10.4103/_self" </w:instrText>
      </w:r>
      <w:r>
        <w:rPr>
          <w:rFonts w:hint="default" w:ascii="宋体" w:hAnsi="宋体" w:eastAsia="宋体" w:cs="宋体"/>
          <w:b/>
          <w:bCs/>
          <w:color w:val="0070C0"/>
          <w:szCs w:val="24"/>
        </w:rPr>
        <w:fldChar w:fldCharType="separate"/>
      </w:r>
      <w:r>
        <w:rPr>
          <w:rFonts w:hint="default" w:ascii="宋体" w:hAnsi="宋体" w:eastAsia="宋体" w:cs="宋体"/>
          <w:b/>
          <w:bCs/>
          <w:color w:val="0070C0"/>
          <w:szCs w:val="24"/>
        </w:rPr>
        <w:t>286602063@qq.com</w:t>
      </w:r>
      <w:r>
        <w:rPr>
          <w:rFonts w:hint="default" w:ascii="宋体" w:hAnsi="宋体" w:eastAsia="宋体" w:cs="宋体"/>
          <w:b/>
          <w:bCs/>
          <w:color w:val="0070C0"/>
          <w:szCs w:val="24"/>
        </w:rPr>
        <w:fldChar w:fldCharType="end"/>
      </w:r>
    </w:p>
    <w:p w14:paraId="7B4018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3783C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3E117F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Clinical Laboratory, The Third People's Hospital of Liupanshui, </w:t>
      </w:r>
    </w:p>
    <w:p w14:paraId="5E3E95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Liupanshui, China.</w:t>
      </w:r>
    </w:p>
    <w:p w14:paraId="0EDB2A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Pathology, Zhejiang Provincial People's Hospital Bijie Hospital </w:t>
      </w:r>
    </w:p>
    <w:p w14:paraId="406F0D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(The First People's Hospital of Bijie), Bijie, Guizhou, China.</w:t>
      </w:r>
    </w:p>
    <w:p w14:paraId="5D8D19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Blood Donation Service, Zhaotong Central Blood Station, </w:t>
      </w:r>
    </w:p>
    <w:p w14:paraId="2BA76C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Zhaotong, Yunnan, China.</w:t>
      </w:r>
    </w:p>
    <w:p w14:paraId="3AC867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Ultrasound, Zhaotong Hospital of Traditional Chinese Medicine, </w:t>
      </w:r>
    </w:p>
    <w:p w14:paraId="6B8180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Zhaotong, Yunnan, China.</w:t>
      </w:r>
    </w:p>
    <w:p w14:paraId="1B1D49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(5)Department of Clinical Laboratory, Zhongshan Second People's Hospital, </w:t>
      </w:r>
    </w:p>
    <w:p w14:paraId="2D37EA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Zhongshan, Guangdong, China.</w:t>
      </w:r>
    </w:p>
    <w:p w14:paraId="6D4918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F2019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Drug-resistant tuberculosis (DR-TB) remains a major global public </w:t>
      </w:r>
    </w:p>
    <w:p w14:paraId="739A0F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health challenge, while local drug resistance data in southwestern China are </w:t>
      </w:r>
    </w:p>
    <w:p w14:paraId="7AE86C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still incomplete. The drug resistance characteristics of Mycobacterium </w:t>
      </w:r>
    </w:p>
    <w:p w14:paraId="292456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(MTB) in the Liupanshui area have not been systematically reported, </w:t>
      </w:r>
    </w:p>
    <w:p w14:paraId="5984F8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the clinical application value of the high-resolution melting (HRM) method </w:t>
      </w:r>
    </w:p>
    <w:p w14:paraId="5F697F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for drug resistance detection in this region also lacks evaluation evidence.</w:t>
      </w:r>
    </w:p>
    <w:p w14:paraId="7031A7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From February 2023 to September 2025, 1200 TB patients who attended </w:t>
      </w:r>
    </w:p>
    <w:p w14:paraId="0995DF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designated TB treatment facilities in Liupanshui City were enrolled. The HRM </w:t>
      </w:r>
    </w:p>
    <w:p w14:paraId="2CF110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 was used to detect resistance to isoniazid (INH), rifampicin (RFP), </w:t>
      </w:r>
    </w:p>
    <w:p w14:paraId="235C06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ethambutol (EMB), and fluoroquinolones (FQs). Meanwhile, among the </w:t>
      </w:r>
    </w:p>
    <w:p w14:paraId="242AED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culture-positive isolates ( n = 506), phenotypic drug susceptibility testing </w:t>
      </w:r>
    </w:p>
    <w:p w14:paraId="44181E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using the proportion method was performed for INH, RFP, EMB, levofloxacin </w:t>
      </w:r>
    </w:p>
    <w:p w14:paraId="64F8AE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(LVFX), and moxifloxacin (MOX). Univariate Chi-square tests and Cramer's V </w:t>
      </w:r>
    </w:p>
    <w:p w14:paraId="51A752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coefficient were employed to assess associations between clinical variables and </w:t>
      </w:r>
    </w:p>
    <w:p w14:paraId="7ADE6D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drug resistance, and multivariate logistic regression was used to identify </w:t>
      </w:r>
    </w:p>
    <w:p w14:paraId="0BC50B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independent influencing factors for resistance. All effect estimates were </w:t>
      </w:r>
    </w:p>
    <w:p w14:paraId="3EABA5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supplemented with 95% confidence intervals (CIs). The Bonferroni method was </w:t>
      </w:r>
    </w:p>
    <w:p w14:paraId="46471C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applied for multiple testing correction, with three independent multiple </w:t>
      </w:r>
    </w:p>
    <w:p w14:paraId="6B2FB8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comparison scenarios established in this study, and the corrected significance </w:t>
      </w:r>
    </w:p>
    <w:p w14:paraId="746B3F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levels (α') were set at 0.0125, 0.01, and 0.0167, respectively.</w:t>
      </w:r>
    </w:p>
    <w:p w14:paraId="04DBBC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Among the 1200 patients, 67.6% were male, and 86.1% were newly treated. </w:t>
      </w:r>
    </w:p>
    <w:p w14:paraId="223597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HRM method detected resistance rates of 12.8% (95% CI: 11.1%-14.8%) for INH, </w:t>
      </w:r>
    </w:p>
    <w:p w14:paraId="3CD777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13.1% (95% CI: 11.3%-15.1%) for RFP, 5.4% (95% CI: 4.3%-6.8%) for EMB, and 2.4% </w:t>
      </w:r>
    </w:p>
    <w:p w14:paraId="6EC04A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(95% CI: 1.7%-3.4%) for FQs. For the proportion method ( n = 506), the </w:t>
      </w:r>
    </w:p>
    <w:p w14:paraId="159800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resistance rates were 15.6% (95% CI: 12.9%-19.2%) for INH, 17.2% (95% CI: </w:t>
      </w:r>
    </w:p>
    <w:p w14:paraId="314DF8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13.3%-19.7%) for RFP, 9.9% (95% CI: 7.6%-12.8%) for EMB, 3.4% (95% CI: </w:t>
      </w:r>
    </w:p>
    <w:p w14:paraId="3B1942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2.1%-5.3%) for LVFX, and 1.8% (95% CI: 0.9%-3.3%) for MOX. The overall </w:t>
      </w:r>
    </w:p>
    <w:p w14:paraId="7F64FF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prevalence of multidrugresistant TB (MDR-TB) in the study population was 8.0% </w:t>
      </w:r>
    </w:p>
    <w:p w14:paraId="31578D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(95% CI: 6.6%-9.7%), with 7.3% (95% CI: 5.8%-9.0%) in newly treated patients and </w:t>
      </w:r>
    </w:p>
    <w:p w14:paraId="1AE6DA9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12.6% (95% CI: 8.4%-18.5%) in retreated patients. Agreement between the HRM </w:t>
      </w:r>
    </w:p>
    <w:p w14:paraId="0ACB8D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 and the proportion method was excellent for INH and RFP (Kappa: 0.93 [95% </w:t>
      </w:r>
    </w:p>
    <w:p w14:paraId="2B4D429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CI: 0.89-0.97] and 0.95 [95% CI: 0.92-0.98], respectively), moderate for EMB </w:t>
      </w:r>
    </w:p>
    <w:p w14:paraId="61266B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(Kappa: 0.62 [95% CI: 0.54-0.70]), and good for FQs (Kappa: 0.82 [95% CI: </w:t>
      </w:r>
    </w:p>
    <w:p w14:paraId="707EF3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0.74-0.90]). The positive predictive values of the HRM method for INH and RFP </w:t>
      </w:r>
    </w:p>
    <w:p w14:paraId="282725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were 97.3% and 93.1%, respectively, and the negative predictive values were </w:t>
      </w:r>
    </w:p>
    <w:p w14:paraId="090993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98.4% and 99.8%, indicating excellent diagnostic performance. Regularity of </w:t>
      </w:r>
    </w:p>
    <w:p w14:paraId="7200FB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treatment was strongly correlated with genetic resistance to all four drugs ( P </w:t>
      </w:r>
    </w:p>
    <w:p w14:paraId="10EB3C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&lt; 0.001, Cramer's V coefficient: 0.115-0.632), and retreatment was significantly </w:t>
      </w:r>
    </w:p>
    <w:p w14:paraId="00D565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associated with RFP genetic resistance ( P &lt; 0.001, Cramer's V coefficient: </w:t>
      </w:r>
    </w:p>
    <w:p w14:paraId="50D334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0.133). Multivariate logistic regression analysis showed that irregular </w:t>
      </w:r>
    </w:p>
    <w:p w14:paraId="440052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treatment was an independent risk factor for RFP resistance (odds ratio = 59.94, </w:t>
      </w:r>
    </w:p>
    <w:p w14:paraId="4F1069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95% CI: 34.78-103.26, P &lt; 0.001).</w:t>
      </w:r>
    </w:p>
    <w:p w14:paraId="13A8ED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burden of DR-TB in Liupanshui area is substantial. The RFP </w:t>
      </w:r>
    </w:p>
    <w:p w14:paraId="12E38C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resistance rate among newly treated patients (11.2%) exceeded the national </w:t>
      </w:r>
    </w:p>
    <w:p w14:paraId="271350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baseline level for new cases. The prevalence of MDR-TB was relatively high, and </w:t>
      </w:r>
    </w:p>
    <w:p w14:paraId="6BBF36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retreated patients had a significantly elevated risk of resistance. The HRM </w:t>
      </w:r>
    </w:p>
    <w:p w14:paraId="704DBF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 can serve as a rapid screening tool but should be complemented with </w:t>
      </w:r>
    </w:p>
    <w:p w14:paraId="58360F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phenotypic drug susceptibility testing for confirmation. Management of treatment </w:t>
      </w:r>
    </w:p>
    <w:p w14:paraId="1B6C4D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adherence is a key element in controlling drug resistance. The findings of this </w:t>
      </w:r>
    </w:p>
    <w:p w14:paraId="774DF4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study provide evidence-based support for the formulation of precise prevention </w:t>
      </w:r>
    </w:p>
    <w:p w14:paraId="52BC93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and control strategies for TB in the Liupanshui area.</w:t>
      </w:r>
    </w:p>
    <w:p w14:paraId="2209D9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A18D4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International Journal of Mycobacteriology.</w:t>
      </w:r>
    </w:p>
    <w:p w14:paraId="3514B2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9C863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10.4103/ijmy.ijmy_105_26</w:t>
      </w:r>
    </w:p>
    <w:p w14:paraId="4AD214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42820917 [Indexed for MEDLINE]</w:t>
      </w:r>
    </w:p>
    <w:p w14:paraId="1556B4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D3EFF5E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18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Front Public Health. 2026 Sep 16;14:1883068. doi: 10.3389/fpubh.2026.1883068. </w:t>
      </w:r>
    </w:p>
    <w:p w14:paraId="1862ECB5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2026.</w:t>
      </w:r>
    </w:p>
    <w:p w14:paraId="4970CA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45EA1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Severe pre-treatment attrition in the care cascade: clinical outcomes and risk </w:t>
      </w:r>
    </w:p>
    <w:p w14:paraId="6F73A6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factors among older MDR/RR-TB patients in China.</w:t>
      </w:r>
    </w:p>
    <w:p w14:paraId="7CD8ED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9BDD0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Zhou F(#)(1), Huang S(#)(1), Feng H(#)(1), Li J(1), Wu H(1), Chen Y(1), Wen </w:t>
      </w:r>
    </w:p>
    <w:p w14:paraId="536A08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W(1), Liu L(1).</w:t>
      </w:r>
    </w:p>
    <w:p w14:paraId="2751426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6249EB2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Fangjing Zhou,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Shanshan Huang,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Huiying Feng,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Jianwei Li,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Huizhong Wu,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Yuhui Chen,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Wenpei Wen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Lebin Liu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25F253F0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 xml:space="preserve">*CORRESPONDENCE Wenpei Wen 568323856@qq.com 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；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Lebin Liu 18816803701@163.com</w:t>
      </w:r>
    </w:p>
    <w:p w14:paraId="73AEC0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C3A87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38B6EF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(1)Public Health Medical Center of Guangdong Province, Guangzhou, China.</w:t>
      </w:r>
    </w:p>
    <w:p w14:paraId="6E1A65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(#)Contributed equally</w:t>
      </w:r>
    </w:p>
    <w:p w14:paraId="6794C4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817B1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rising global burden of multidrug- and rifampicin-resistant </w:t>
      </w:r>
    </w:p>
    <w:p w14:paraId="67A2D1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(MDR/RR-TB) coincides with rapid population aging. Older patients </w:t>
      </w:r>
    </w:p>
    <w:p w14:paraId="6CFBBC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face unique challenges, yet age-stratified analyses of the MDR/RR-TB care </w:t>
      </w:r>
    </w:p>
    <w:p w14:paraId="069659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cascade are lacking, obscuring the specific barriers they encounter.</w:t>
      </w:r>
    </w:p>
    <w:p w14:paraId="62FE0F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OBJECTIVE: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study aimed to characterize the treatment cascade and identify </w:t>
      </w:r>
    </w:p>
    <w:p w14:paraId="5D0184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factors associated with attrition among older MDR/RR-TB patients in China.</w:t>
      </w:r>
    </w:p>
    <w:p w14:paraId="084EA9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We conducted a retrospective cohort study of 667 MDR/RR-TB patients </w:t>
      </w:r>
    </w:p>
    <w:p w14:paraId="634CDC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aged ≥65 years in Guangdong Province, southern China (2010-2022). Using data </w:t>
      </w:r>
    </w:p>
    <w:p w14:paraId="1A6C37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from the national Tuberculosis Information Management System (TIMS), we </w:t>
      </w:r>
    </w:p>
    <w:p w14:paraId="4AF5D1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constructed a care cascade to quantify attrition across four stages (diagnosis, </w:t>
      </w:r>
    </w:p>
    <w:p w14:paraId="08B234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treatment initiation, retention at 6 months, and treatment success) and three </w:t>
      </w:r>
    </w:p>
    <w:p w14:paraId="5F2D5F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inter-stage gaps (attrition between successive stages). Separate multivariable </w:t>
      </w:r>
    </w:p>
    <w:p w14:paraId="1002AA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logistic regression models identified factors associated with failure to </w:t>
      </w:r>
    </w:p>
    <w:p w14:paraId="3591B3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initiate treatment and with poor outcomes.</w:t>
      </w:r>
    </w:p>
    <w:p w14:paraId="763047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Of the 667 diagnosed patients (median age 70), 500 (74.96%) initiated </w:t>
      </w:r>
    </w:p>
    <w:p w14:paraId="6107B3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treatment, 406 (60.87% of diagnosed cases, 81.2% of treated cases) were retained </w:t>
      </w:r>
    </w:p>
    <w:p w14:paraId="158477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at 6 months, and only 268 (40.18% of diagnosed cases, 53.6% of treated cases) </w:t>
      </w:r>
    </w:p>
    <w:p w14:paraId="0E1A28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achieved treatment success. Multivariable analysis showed that workers/farmers </w:t>
      </w:r>
    </w:p>
    <w:p w14:paraId="5C2E1A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(aOR = 1.87, 95% CI: 1.24-2.84), diagnosis by conventional DST (aOR = 9.34, 95% </w:t>
      </w:r>
    </w:p>
    <w:p w14:paraId="26780F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CI: 4.52-21.64), diagnosis before 2016 (aOR = 1.91, 95% CI: 1.18-3.08), and </w:t>
      </w:r>
    </w:p>
    <w:p w14:paraId="571259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older age (aOR = 1.05 per year, 95% CI: 1.01-1.08) were independently associated </w:t>
      </w:r>
    </w:p>
    <w:p w14:paraId="7C482E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failure to initiate treatment; prior TB treatment history was protective </w:t>
      </w:r>
    </w:p>
    <w:p w14:paraId="3C73F8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(aOR = 0.42, 95% CI: 0.25-0.72). Among treatment initiators, older age </w:t>
      </w:r>
    </w:p>
    <w:p w14:paraId="5B8409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(aOR = 1.06 per year, 95% CI: 1.02-1.09) and diagnosis before 2016 (aOR = 1.88, </w:t>
      </w:r>
    </w:p>
    <w:p w14:paraId="6EE774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95% CI: 1.06-3.39) were independent risk factors for poor outcomes.</w:t>
      </w:r>
    </w:p>
    <w:p w14:paraId="3D9A6E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The MDR/RR-TB care cascade for older patients in China is marked by </w:t>
      </w:r>
    </w:p>
    <w:p w14:paraId="094E18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severe pre-treatment attrition. Targeted interventions, including scaling up </w:t>
      </w:r>
    </w:p>
    <w:p w14:paraId="652F96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rapid molecular testing, providing targeted support (e.g., financial subsidies, </w:t>
      </w:r>
    </w:p>
    <w:p w14:paraId="2F9039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home-based care, and flexible treatment schedules) for high-risk workers, and </w:t>
      </w:r>
    </w:p>
    <w:p w14:paraId="12ACB8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implementing geriatric-adapted follow-up, and expanding active case finding, are </w:t>
      </w:r>
    </w:p>
    <w:p w14:paraId="2152F2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urgently needed to protect this vulnerable population and to close this equity </w:t>
      </w:r>
    </w:p>
    <w:p w14:paraId="73D052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gap.</w:t>
      </w:r>
    </w:p>
    <w:p w14:paraId="22AEA2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C2103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Zhou, Huang, Feng, Li, Wu, Chen, Wen and Liu.</w:t>
      </w:r>
    </w:p>
    <w:p w14:paraId="16564E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0AC99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10.3389/fpubh.2026.1883068</w:t>
      </w:r>
    </w:p>
    <w:p w14:paraId="77B338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PMC13624063</w:t>
      </w:r>
    </w:p>
    <w:p w14:paraId="0A035A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42819436 [Indexed for MEDLINE]</w:t>
      </w:r>
    </w:p>
    <w:p w14:paraId="32DDBC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9EDE7DC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19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Front Cell Infect Microbiol. 2026 Sep 16;16:1925786. doi: </w:t>
      </w:r>
    </w:p>
    <w:p w14:paraId="69C0E53A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10.3389/fcimb.2026.1925786. eCollection 2026.</w:t>
      </w:r>
    </w:p>
    <w:p w14:paraId="4D067F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FF45C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Preoperative differentiation of spinal tuberculosis, pyogenic, and brucellar </w:t>
      </w:r>
    </w:p>
    <w:p w14:paraId="731931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spondylitis: a multimodal machine learning study across five centers.</w:t>
      </w:r>
    </w:p>
    <w:p w14:paraId="3B650F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5ABD4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Duan X(#)(1)(2), Wang L(#)(1)(2), Fan Y(3), Wang J(1)(2), Huang Q(4), Liu H(1), </w:t>
      </w:r>
    </w:p>
    <w:p w14:paraId="251239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Deng L(5), Liao W(6), Niu N(1)(7).</w:t>
      </w:r>
    </w:p>
    <w:p w14:paraId="02AB99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09970E7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Xingyu Duan,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Linan Wang,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Yichao Fan,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Jiaxing Wang,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Qinghong Huang,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Hekun Liu,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Lili Deng,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Wensheng Liao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Ningkui Niu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629EE0C1">
      <w:pPr>
        <w:jc w:val="left"/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*CORRESPONDENCE Wensheng Liao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 xml:space="preserve"> 13937109606@163.com 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；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Ningkui Niu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 xml:space="preserve"> niuningkui6743242@163.com</w:t>
      </w:r>
    </w:p>
    <w:p w14:paraId="64E4C7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5F4A6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43B064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Orthopedics, General Hospital of Ningxia Medical University, </w:t>
      </w:r>
    </w:p>
    <w:p w14:paraId="6A9E88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Yinchuan, China.</w:t>
      </w:r>
    </w:p>
    <w:p w14:paraId="4B0437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(2)First Clinical Medical College, Ningxia Medical University, Yinchuan, China.</w:t>
      </w:r>
    </w:p>
    <w:p w14:paraId="2F9756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(3)Department of Orthopedics, Zhoukou Central Hospital, Zhoukou, China.</w:t>
      </w:r>
    </w:p>
    <w:p w14:paraId="335C3D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Tuberculosis, Henan Infectious Disease Hospital (The Sixth </w:t>
      </w:r>
    </w:p>
    <w:p w14:paraId="3BB5CA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People's Hospital of Zhengzhou), Zhengzhou, China.</w:t>
      </w:r>
    </w:p>
    <w:p w14:paraId="3F516C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(5)Department of General Practice, The First People's Hospital of Zhengzhou, </w:t>
      </w:r>
    </w:p>
    <w:p w14:paraId="72E1D9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Zhengzhou, China.</w:t>
      </w:r>
    </w:p>
    <w:p w14:paraId="7F9C1B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(6)Department of Spinal and Spinal Cord Surgery, Henan Provincial People's </w:t>
      </w:r>
    </w:p>
    <w:p w14:paraId="32C4EE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Hospital, Zhengzhou, China.</w:t>
      </w:r>
    </w:p>
    <w:p w14:paraId="6BE9EE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(7)Ningxia Key Laboratory of Clinical Pathogenic Microorganisms, General </w:t>
      </w:r>
    </w:p>
    <w:p w14:paraId="4D4EF6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Hospital of Ningxia Medical University, Yinchuan, China.</w:t>
      </w:r>
    </w:p>
    <w:p w14:paraId="6AA8A3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(#)Contributed equally</w:t>
      </w:r>
    </w:p>
    <w:p w14:paraId="67F9F0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29DE9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Infectious spondylitis, encompassing spinal tuberculosis (STB), </w:t>
      </w:r>
    </w:p>
    <w:p w14:paraId="1DED86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pyogenic spondylitis (PS), and brucellar spondylitis (BS), is difficult to </w:t>
      </w:r>
    </w:p>
    <w:p w14:paraId="256FE6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diagnose preoperatively because the three entities present with overlapping </w:t>
      </w:r>
    </w:p>
    <w:p w14:paraId="474155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clinical features. Differentiation is often delayed by prolonged culture </w:t>
      </w:r>
    </w:p>
    <w:p w14:paraId="7EDBB7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turnaround times and the unavailability of serological testing.</w:t>
      </w:r>
    </w:p>
    <w:p w14:paraId="4AD9B0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In this multicenter retrospective diagnostic study at five tertiary </w:t>
      </w:r>
    </w:p>
    <w:p w14:paraId="7A44D7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hospitals in China (2015-2023), patients with STB (n = 1,000), PS (n = 579), and </w:t>
      </w:r>
    </w:p>
    <w:p w14:paraId="654B5E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BS (n = 255) were enrolled and assigned to derivation (n = 1,439) and external </w:t>
      </w:r>
    </w:p>
    <w:p w14:paraId="752F84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validation (n = 395) cohorts. We developed and validated a multimodal machine </w:t>
      </w:r>
    </w:p>
    <w:p w14:paraId="06100E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learning model that integrates routine preoperative clinical and laboratory </w:t>
      </w:r>
    </w:p>
    <w:p w14:paraId="58274B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variables with radiomic features extracted from non-contrast MRI. Unimodal, </w:t>
      </w:r>
    </w:p>
    <w:p w14:paraId="47E72B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early fusion, and late fusion architectures were compared. Pathogen-specific </w:t>
      </w:r>
    </w:p>
    <w:p w14:paraId="23A025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serological tests were excluded from the primary model to avoid data leakage. We </w:t>
      </w:r>
    </w:p>
    <w:p w14:paraId="176BA6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evaluated discrimination, calibration, clinical utility, and incremental value; </w:t>
      </w:r>
    </w:p>
    <w:p w14:paraId="36B9F8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SHAP analysis provided case-level interpretability.</w:t>
      </w:r>
    </w:p>
    <w:p w14:paraId="5B2D91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The late fusion LightGBM model achieved the highest external validation </w:t>
      </w:r>
    </w:p>
    <w:p w14:paraId="7D8D94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performance (macro-averaged AUC 0.852, 95% CI 0.822-0.882). Radiomic integration </w:t>
      </w:r>
    </w:p>
    <w:p w14:paraId="6F4CAC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provided significant incremental value over the clinical-only model (ΔAUC 0.080; </w:t>
      </w:r>
    </w:p>
    <w:p w14:paraId="78C434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NRI 0.398; IDI 0.072). Calibration was good (Brier score 0.158), and decision </w:t>
      </w:r>
    </w:p>
    <w:p w14:paraId="60B5A1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curve analysis demonstrated positive net benefit across clinically relevant </w:t>
      </w:r>
    </w:p>
    <w:p w14:paraId="09B1F8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thresholds. SHAP analysis revealed class-specific, biologically plausible </w:t>
      </w:r>
    </w:p>
    <w:p w14:paraId="6879BF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predictors: low serum albumin and elevated T1W GLCM contrast for STB; high CRP </w:t>
      </w:r>
    </w:p>
    <w:p w14:paraId="1DE60F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NLR for PS; and residence in an endemic region for BS. Secondary analysis </w:t>
      </w:r>
    </w:p>
    <w:p w14:paraId="37F8B2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showed that adding serological tests yielded only modest incremental improvement </w:t>
      </w:r>
    </w:p>
    <w:p w14:paraId="13D72A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(ΔAUC 0.042).</w:t>
      </w:r>
    </w:p>
    <w:p w14:paraId="60959F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This preoperative multimodal explainable AI model achieves accurate </w:t>
      </w:r>
    </w:p>
    <w:p w14:paraId="6DC28E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interpretable differentiation of STB, PS, and BS using only routine clinical </w:t>
      </w:r>
    </w:p>
    <w:p w14:paraId="0505A4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data and non-contrast MRI, although its sensitivity for BS remains limited and </w:t>
      </w:r>
    </w:p>
    <w:p w14:paraId="162C1A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prospective validation is warranted. It may serve as a clinically actionable </w:t>
      </w:r>
    </w:p>
    <w:p w14:paraId="4B524B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decision-support tool for preoperative triage, particularly when serological </w:t>
      </w:r>
    </w:p>
    <w:p w14:paraId="08E257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confirmation is pending or unavailable.</w:t>
      </w:r>
    </w:p>
    <w:p w14:paraId="284AAD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AEE9B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Duan, Wang, Fan, Wang, Huang, Liu, Deng, Liao and Niu.</w:t>
      </w:r>
    </w:p>
    <w:p w14:paraId="66AF74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743D6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10.3389/fcimb.2026.1925786</w:t>
      </w:r>
    </w:p>
    <w:p w14:paraId="1535F2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PMC13623732</w:t>
      </w:r>
    </w:p>
    <w:p w14:paraId="3DC6A0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42819251 [Indexed for MEDLINE]</w:t>
      </w:r>
    </w:p>
    <w:p w14:paraId="6B3687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80280FB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2</w:t>
      </w: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0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Int J Infect Dis. 2026 Sep 27:109156. doi: 10.1016/j.ijid.2026.109156. Online </w:t>
      </w:r>
    </w:p>
    <w:p w14:paraId="2E489DC5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ahead of print.</w:t>
      </w:r>
    </w:p>
    <w:p w14:paraId="726F11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D01E5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Phenotypic Atypia, Prolonged Diagnostic Delay and Altered Co-detection Patterns </w:t>
      </w:r>
    </w:p>
    <w:p w14:paraId="6D8CDF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 Non-HIV Immunocompromised Pulmonary Tuberculosis.</w:t>
      </w:r>
    </w:p>
    <w:p w14:paraId="3CB4F6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0D3D2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Li Y(1), Cui X(2), Gu S(1), Li M(3), Wang C(3).</w:t>
      </w:r>
    </w:p>
    <w:p w14:paraId="709FF8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2D0EFAF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Yanyan Li,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Xiaojing Cui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Siwei Gu,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Mengxue Li,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Chunlei Wang</w:t>
      </w:r>
    </w:p>
    <w:p w14:paraId="6F556CD8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∗Corresponding author: Prof. Xiaojing Cui, E-mail: cuixiaojing86@163.com</w:t>
      </w:r>
    </w:p>
    <w:p w14:paraId="171FA4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0B317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F39AA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(1)Capital Medical University, National Center for Respiratory Medicine; State </w:t>
      </w:r>
    </w:p>
    <w:p w14:paraId="67049D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Key Laboratory of Respiratory Health and Multimorbidity; National Clinical </w:t>
      </w:r>
    </w:p>
    <w:p w14:paraId="5D87D6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Research Center for Respiratory Diseases; Institute of Respiratory Medicine, </w:t>
      </w:r>
    </w:p>
    <w:p w14:paraId="611C99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Chinese Academy of Medical Sciences; Department of Pulmonary and Critical Care </w:t>
      </w:r>
    </w:p>
    <w:p w14:paraId="12EDF6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Medicine, Center of Respiratory Medicine, China-Japan Friendship Hospital, </w:t>
      </w:r>
    </w:p>
    <w:p w14:paraId="6E952F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Beijing, P.R. China.</w:t>
      </w:r>
    </w:p>
    <w:p w14:paraId="248A66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(2)National Center for Respiratory Medicine; State Key Laboratory of Respiratory </w:t>
      </w:r>
    </w:p>
    <w:p w14:paraId="623229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Health and Multimorbidity; National Clinical Research Center for Respiratory </w:t>
      </w:r>
    </w:p>
    <w:p w14:paraId="6CA4EB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Diseases; Institute of Respiratory Medicine, Chinese Academy of Medical </w:t>
      </w:r>
    </w:p>
    <w:p w14:paraId="18D046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Sciences; Department of Pulmonary and Critical Care Medicine, Center of </w:t>
      </w:r>
    </w:p>
    <w:p w14:paraId="7DB897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Respiratory Medicine, China-Japan Friendship Hospital, Beijing, P.R. China. </w:t>
      </w:r>
    </w:p>
    <w:p w14:paraId="2C2CE5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cuixiaojing86@163.com.</w:t>
      </w:r>
    </w:p>
    <w:p w14:paraId="6F7E57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(3)National Center for Respiratory Medicine; State Key Laboratory of Respiratory </w:t>
      </w:r>
    </w:p>
    <w:p w14:paraId="6BA1D1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Health and Multimorbidity; National Clinical Research Center for Respiratory </w:t>
      </w:r>
    </w:p>
    <w:p w14:paraId="779174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Diseases; Institute of Respiratory Medicine, Chinese Academy of Medical </w:t>
      </w:r>
    </w:p>
    <w:p w14:paraId="5E9285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Sciences; Department of Pulmonary and Critical Care Medicine, Center of </w:t>
      </w:r>
    </w:p>
    <w:p w14:paraId="2DE370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Respiratory Medicine, China-Japan Friendship Hospital, Beijing, P.R. China.</w:t>
      </w:r>
    </w:p>
    <w:p w14:paraId="3995AC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BB1B7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Health system delay (HSD), defined as the interval from first </w:t>
      </w:r>
    </w:p>
    <w:p w14:paraId="71EDC1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medical contact to microbiological confirmation of pulmonary tuberculosis (PTB), </w:t>
      </w:r>
    </w:p>
    <w:p w14:paraId="284291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may contribute to delayed diagnosis in non-HIV immunocompromised hosts (ICH). </w:t>
      </w:r>
    </w:p>
    <w:p w14:paraId="0B7ABC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Data on HSD in this population remain limited.</w:t>
      </w:r>
    </w:p>
    <w:p w14:paraId="08EA18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This retrospective study analyzed inpatients with liquid </w:t>
      </w:r>
    </w:p>
    <w:p w14:paraId="68E579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culture-positive PTB from 2020 to 2025. Baseline characteristics, HSD, </w:t>
      </w:r>
    </w:p>
    <w:p w14:paraId="551EB3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microbiological co-detection, and specimen-specific diagnostic yields were </w:t>
      </w:r>
    </w:p>
    <w:p w14:paraId="371B93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compared. HSD &gt;14 days was defined as long health system delay (LHSD).</w:t>
      </w:r>
    </w:p>
    <w:p w14:paraId="76AA2B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Among 578 patients, 71 were ICH and 507 were non-ICH. ICH patients had </w:t>
      </w:r>
    </w:p>
    <w:p w14:paraId="0544FA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atypical radiological findings, with more bilateral lesions, pleural effusion, </w:t>
      </w:r>
    </w:p>
    <w:p w14:paraId="031BEB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lymphadenopathy but fewer cavities. Median HSD was longer in ICH patients </w:t>
      </w:r>
    </w:p>
    <w:p w14:paraId="024B0D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(90 vs. 24 days, p &lt;0.001). LHSD was more frequent in ICH patients (83.1% vs. </w:t>
      </w:r>
    </w:p>
    <w:p w14:paraId="419C69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69.2%, p =0.012), and ICH was independently associated with LHSD (adjusted OR, </w:t>
      </w:r>
    </w:p>
    <w:p w14:paraId="3D8B10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2.31; 95% CI, 1.03-5.18; p =0.042). Sputum acid-fast bacilli (AFB) smear </w:t>
      </w:r>
    </w:p>
    <w:p w14:paraId="09860B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positivity was lower in ICH patients (3.4% vs. 20.0%, p = 0.055), whereas </w:t>
      </w:r>
    </w:p>
    <w:p w14:paraId="0E6036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bronchoalveolar lavage fluid (BALF) AFB smear positivity was higher (51.1% vs. </w:t>
      </w:r>
    </w:p>
    <w:p w14:paraId="3312DD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28.3%, p &lt; 0.05). Sputum, BALF, and tissue Xpert MTB/RIF positivity exceeded 75% </w:t>
      </w:r>
    </w:p>
    <w:p w14:paraId="05D161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without significant between-group differences. Fungal, viral, and mixed </w:t>
      </w:r>
    </w:p>
    <w:p w14:paraId="40AE83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co-detections were more frequent in ICH patients.</w:t>
      </w:r>
    </w:p>
    <w:p w14:paraId="05A8E9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ICH patients with PTB had longer HSD and atypical radiological </w:t>
      </w:r>
    </w:p>
    <w:p w14:paraId="6E7191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presentations, with more frequent fungal, viral, and mixed co-detections. Xpert </w:t>
      </w:r>
    </w:p>
    <w:p w14:paraId="049FE6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testing of sputum and BALF may facilitate diagnosis, while sputum smear findings </w:t>
      </w:r>
    </w:p>
    <w:p w14:paraId="249ED0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should be interpreted cautiously given its limited use in ICH patients.</w:t>
      </w:r>
    </w:p>
    <w:p w14:paraId="6818E2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46BAA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2026. Published by Elsevier Ltd.</w:t>
      </w:r>
    </w:p>
    <w:p w14:paraId="0BEAE1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03455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10.1016/j.ijid.2026.109156</w:t>
      </w:r>
    </w:p>
    <w:p w14:paraId="434669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42801989</w:t>
      </w:r>
    </w:p>
    <w:p w14:paraId="7C0589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6C1D46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753" w:bottom="1440" w:left="175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099"/>
    <w:rsid w:val="00000DB9"/>
    <w:rsid w:val="000014AB"/>
    <w:rsid w:val="00001D3A"/>
    <w:rsid w:val="00002158"/>
    <w:rsid w:val="0000344F"/>
    <w:rsid w:val="00003B7D"/>
    <w:rsid w:val="00004B8B"/>
    <w:rsid w:val="00004DDC"/>
    <w:rsid w:val="00004E0D"/>
    <w:rsid w:val="000053D4"/>
    <w:rsid w:val="00005626"/>
    <w:rsid w:val="00005C57"/>
    <w:rsid w:val="00005DF6"/>
    <w:rsid w:val="00006365"/>
    <w:rsid w:val="00006B5E"/>
    <w:rsid w:val="00006BCA"/>
    <w:rsid w:val="00006DF9"/>
    <w:rsid w:val="00007617"/>
    <w:rsid w:val="00007812"/>
    <w:rsid w:val="00007A28"/>
    <w:rsid w:val="00011C35"/>
    <w:rsid w:val="00012109"/>
    <w:rsid w:val="00012461"/>
    <w:rsid w:val="0001360E"/>
    <w:rsid w:val="0001363A"/>
    <w:rsid w:val="00013BEE"/>
    <w:rsid w:val="00014403"/>
    <w:rsid w:val="00015A87"/>
    <w:rsid w:val="00016B45"/>
    <w:rsid w:val="00016B5F"/>
    <w:rsid w:val="0001711E"/>
    <w:rsid w:val="0001736B"/>
    <w:rsid w:val="0001780F"/>
    <w:rsid w:val="00017F5F"/>
    <w:rsid w:val="0002050B"/>
    <w:rsid w:val="000212B5"/>
    <w:rsid w:val="00021B2B"/>
    <w:rsid w:val="00022216"/>
    <w:rsid w:val="00022C1A"/>
    <w:rsid w:val="00024C92"/>
    <w:rsid w:val="0002517A"/>
    <w:rsid w:val="0002533D"/>
    <w:rsid w:val="0002556C"/>
    <w:rsid w:val="00025EF3"/>
    <w:rsid w:val="00026721"/>
    <w:rsid w:val="00026903"/>
    <w:rsid w:val="00026B44"/>
    <w:rsid w:val="00030C8F"/>
    <w:rsid w:val="00031017"/>
    <w:rsid w:val="00032443"/>
    <w:rsid w:val="0003251D"/>
    <w:rsid w:val="000336F2"/>
    <w:rsid w:val="000341A3"/>
    <w:rsid w:val="000349DB"/>
    <w:rsid w:val="00034C47"/>
    <w:rsid w:val="00035160"/>
    <w:rsid w:val="000369F1"/>
    <w:rsid w:val="000377E0"/>
    <w:rsid w:val="00040D2C"/>
    <w:rsid w:val="000411E9"/>
    <w:rsid w:val="000419D1"/>
    <w:rsid w:val="00041F05"/>
    <w:rsid w:val="00042044"/>
    <w:rsid w:val="00042257"/>
    <w:rsid w:val="00042426"/>
    <w:rsid w:val="00042646"/>
    <w:rsid w:val="000426FD"/>
    <w:rsid w:val="00042BCC"/>
    <w:rsid w:val="00042F87"/>
    <w:rsid w:val="000430FF"/>
    <w:rsid w:val="000439C5"/>
    <w:rsid w:val="00043AA7"/>
    <w:rsid w:val="00043EC1"/>
    <w:rsid w:val="00043F59"/>
    <w:rsid w:val="0004433C"/>
    <w:rsid w:val="0004482E"/>
    <w:rsid w:val="00044BF9"/>
    <w:rsid w:val="00044C1D"/>
    <w:rsid w:val="000467F6"/>
    <w:rsid w:val="00046D3D"/>
    <w:rsid w:val="0004738B"/>
    <w:rsid w:val="0004796A"/>
    <w:rsid w:val="00047D8A"/>
    <w:rsid w:val="00050F4A"/>
    <w:rsid w:val="000512A8"/>
    <w:rsid w:val="000518ED"/>
    <w:rsid w:val="0005269D"/>
    <w:rsid w:val="00052F5C"/>
    <w:rsid w:val="00053092"/>
    <w:rsid w:val="00054174"/>
    <w:rsid w:val="000542D4"/>
    <w:rsid w:val="0005483D"/>
    <w:rsid w:val="00055647"/>
    <w:rsid w:val="000557AE"/>
    <w:rsid w:val="00055A35"/>
    <w:rsid w:val="00055DAE"/>
    <w:rsid w:val="00055E67"/>
    <w:rsid w:val="0005622B"/>
    <w:rsid w:val="00056868"/>
    <w:rsid w:val="00056925"/>
    <w:rsid w:val="00056A0E"/>
    <w:rsid w:val="00056B72"/>
    <w:rsid w:val="0005708E"/>
    <w:rsid w:val="000570CD"/>
    <w:rsid w:val="00057CFD"/>
    <w:rsid w:val="000608E2"/>
    <w:rsid w:val="00061893"/>
    <w:rsid w:val="00061C4A"/>
    <w:rsid w:val="00062457"/>
    <w:rsid w:val="00063178"/>
    <w:rsid w:val="0006337A"/>
    <w:rsid w:val="000637F3"/>
    <w:rsid w:val="00063930"/>
    <w:rsid w:val="00063E49"/>
    <w:rsid w:val="000650D3"/>
    <w:rsid w:val="00065A57"/>
    <w:rsid w:val="00065B56"/>
    <w:rsid w:val="000660CB"/>
    <w:rsid w:val="00066C6B"/>
    <w:rsid w:val="0006702C"/>
    <w:rsid w:val="000672B8"/>
    <w:rsid w:val="00070260"/>
    <w:rsid w:val="0007069D"/>
    <w:rsid w:val="00070FE6"/>
    <w:rsid w:val="000716E0"/>
    <w:rsid w:val="00071D85"/>
    <w:rsid w:val="00071F83"/>
    <w:rsid w:val="00073164"/>
    <w:rsid w:val="0007482C"/>
    <w:rsid w:val="00074A4F"/>
    <w:rsid w:val="00075067"/>
    <w:rsid w:val="000750A2"/>
    <w:rsid w:val="000751FE"/>
    <w:rsid w:val="00075D82"/>
    <w:rsid w:val="00075F42"/>
    <w:rsid w:val="0007684E"/>
    <w:rsid w:val="00076855"/>
    <w:rsid w:val="00076884"/>
    <w:rsid w:val="00076A1E"/>
    <w:rsid w:val="00076E62"/>
    <w:rsid w:val="00076F4D"/>
    <w:rsid w:val="0007729A"/>
    <w:rsid w:val="0007790C"/>
    <w:rsid w:val="0008093D"/>
    <w:rsid w:val="00080EB3"/>
    <w:rsid w:val="00081087"/>
    <w:rsid w:val="000811D4"/>
    <w:rsid w:val="000815C7"/>
    <w:rsid w:val="00082408"/>
    <w:rsid w:val="00082565"/>
    <w:rsid w:val="00082B2E"/>
    <w:rsid w:val="00082B6A"/>
    <w:rsid w:val="00082EB9"/>
    <w:rsid w:val="00083766"/>
    <w:rsid w:val="00083B28"/>
    <w:rsid w:val="00083C1E"/>
    <w:rsid w:val="00083CDE"/>
    <w:rsid w:val="00083F4F"/>
    <w:rsid w:val="00084611"/>
    <w:rsid w:val="00085CBB"/>
    <w:rsid w:val="00086220"/>
    <w:rsid w:val="000866EC"/>
    <w:rsid w:val="000871EA"/>
    <w:rsid w:val="000878F0"/>
    <w:rsid w:val="000879A2"/>
    <w:rsid w:val="000900A1"/>
    <w:rsid w:val="000904A7"/>
    <w:rsid w:val="00090B79"/>
    <w:rsid w:val="00092343"/>
    <w:rsid w:val="00092419"/>
    <w:rsid w:val="0009252C"/>
    <w:rsid w:val="00092C39"/>
    <w:rsid w:val="00092C59"/>
    <w:rsid w:val="00092F3A"/>
    <w:rsid w:val="00093655"/>
    <w:rsid w:val="00093A63"/>
    <w:rsid w:val="00094139"/>
    <w:rsid w:val="00094FD8"/>
    <w:rsid w:val="00094FDF"/>
    <w:rsid w:val="00095EEB"/>
    <w:rsid w:val="00096767"/>
    <w:rsid w:val="00096770"/>
    <w:rsid w:val="00096805"/>
    <w:rsid w:val="00097075"/>
    <w:rsid w:val="000979C8"/>
    <w:rsid w:val="00097C56"/>
    <w:rsid w:val="00097DBB"/>
    <w:rsid w:val="000A0936"/>
    <w:rsid w:val="000A0C4E"/>
    <w:rsid w:val="000A12C3"/>
    <w:rsid w:val="000A1FB5"/>
    <w:rsid w:val="000A2006"/>
    <w:rsid w:val="000A2735"/>
    <w:rsid w:val="000A2DEE"/>
    <w:rsid w:val="000A361C"/>
    <w:rsid w:val="000A3785"/>
    <w:rsid w:val="000A37B4"/>
    <w:rsid w:val="000A3C36"/>
    <w:rsid w:val="000A3DED"/>
    <w:rsid w:val="000A4B87"/>
    <w:rsid w:val="000A4CEA"/>
    <w:rsid w:val="000A50DC"/>
    <w:rsid w:val="000A5E88"/>
    <w:rsid w:val="000A6D28"/>
    <w:rsid w:val="000A6DBA"/>
    <w:rsid w:val="000A73A3"/>
    <w:rsid w:val="000A7D87"/>
    <w:rsid w:val="000B086A"/>
    <w:rsid w:val="000B1292"/>
    <w:rsid w:val="000B15A4"/>
    <w:rsid w:val="000B1B8A"/>
    <w:rsid w:val="000B1EF2"/>
    <w:rsid w:val="000B2066"/>
    <w:rsid w:val="000B207D"/>
    <w:rsid w:val="000B2A58"/>
    <w:rsid w:val="000B37C0"/>
    <w:rsid w:val="000B4814"/>
    <w:rsid w:val="000B53D7"/>
    <w:rsid w:val="000B644B"/>
    <w:rsid w:val="000B64CA"/>
    <w:rsid w:val="000B73F6"/>
    <w:rsid w:val="000B7415"/>
    <w:rsid w:val="000B74EB"/>
    <w:rsid w:val="000B7C3B"/>
    <w:rsid w:val="000C07C5"/>
    <w:rsid w:val="000C09F8"/>
    <w:rsid w:val="000C0A24"/>
    <w:rsid w:val="000C0F9A"/>
    <w:rsid w:val="000C1141"/>
    <w:rsid w:val="000C11D8"/>
    <w:rsid w:val="000C1C1D"/>
    <w:rsid w:val="000C2025"/>
    <w:rsid w:val="000C2538"/>
    <w:rsid w:val="000C31CF"/>
    <w:rsid w:val="000C3599"/>
    <w:rsid w:val="000C3C2C"/>
    <w:rsid w:val="000C4172"/>
    <w:rsid w:val="000C4425"/>
    <w:rsid w:val="000C48BE"/>
    <w:rsid w:val="000C4AA0"/>
    <w:rsid w:val="000C54B5"/>
    <w:rsid w:val="000C5BD0"/>
    <w:rsid w:val="000C5D65"/>
    <w:rsid w:val="000C64E2"/>
    <w:rsid w:val="000C6757"/>
    <w:rsid w:val="000C6BE6"/>
    <w:rsid w:val="000D04AB"/>
    <w:rsid w:val="000D072C"/>
    <w:rsid w:val="000D088A"/>
    <w:rsid w:val="000D0A87"/>
    <w:rsid w:val="000D111E"/>
    <w:rsid w:val="000D1748"/>
    <w:rsid w:val="000D2140"/>
    <w:rsid w:val="000D229A"/>
    <w:rsid w:val="000D2954"/>
    <w:rsid w:val="000D29AC"/>
    <w:rsid w:val="000D29FE"/>
    <w:rsid w:val="000D2A7B"/>
    <w:rsid w:val="000D2D26"/>
    <w:rsid w:val="000D2E2E"/>
    <w:rsid w:val="000D3106"/>
    <w:rsid w:val="000D3334"/>
    <w:rsid w:val="000D38BB"/>
    <w:rsid w:val="000D3E73"/>
    <w:rsid w:val="000D401D"/>
    <w:rsid w:val="000D48F9"/>
    <w:rsid w:val="000D4DA6"/>
    <w:rsid w:val="000D6767"/>
    <w:rsid w:val="000D6B28"/>
    <w:rsid w:val="000D7130"/>
    <w:rsid w:val="000D7225"/>
    <w:rsid w:val="000E0BA3"/>
    <w:rsid w:val="000E0FAD"/>
    <w:rsid w:val="000E160C"/>
    <w:rsid w:val="000E1ED0"/>
    <w:rsid w:val="000E2070"/>
    <w:rsid w:val="000E321F"/>
    <w:rsid w:val="000E350F"/>
    <w:rsid w:val="000E3685"/>
    <w:rsid w:val="000E3861"/>
    <w:rsid w:val="000E3922"/>
    <w:rsid w:val="000E3998"/>
    <w:rsid w:val="000E3CB5"/>
    <w:rsid w:val="000E3E6F"/>
    <w:rsid w:val="000E3FAA"/>
    <w:rsid w:val="000E3FC3"/>
    <w:rsid w:val="000E515E"/>
    <w:rsid w:val="000E5936"/>
    <w:rsid w:val="000E6910"/>
    <w:rsid w:val="000E6B0B"/>
    <w:rsid w:val="000E7095"/>
    <w:rsid w:val="000E7324"/>
    <w:rsid w:val="000E7332"/>
    <w:rsid w:val="000E782C"/>
    <w:rsid w:val="000F02D4"/>
    <w:rsid w:val="000F031F"/>
    <w:rsid w:val="000F0847"/>
    <w:rsid w:val="000F1325"/>
    <w:rsid w:val="000F1799"/>
    <w:rsid w:val="000F1C71"/>
    <w:rsid w:val="000F27EF"/>
    <w:rsid w:val="000F2CAB"/>
    <w:rsid w:val="000F31C8"/>
    <w:rsid w:val="000F352E"/>
    <w:rsid w:val="000F38A7"/>
    <w:rsid w:val="000F4278"/>
    <w:rsid w:val="000F5325"/>
    <w:rsid w:val="000F5B62"/>
    <w:rsid w:val="000F5E34"/>
    <w:rsid w:val="000F64D5"/>
    <w:rsid w:val="000F69E7"/>
    <w:rsid w:val="000F6C96"/>
    <w:rsid w:val="000F6F22"/>
    <w:rsid w:val="000F6FA9"/>
    <w:rsid w:val="000F763E"/>
    <w:rsid w:val="001011E5"/>
    <w:rsid w:val="001014FB"/>
    <w:rsid w:val="00101917"/>
    <w:rsid w:val="00101965"/>
    <w:rsid w:val="0010208F"/>
    <w:rsid w:val="0010233B"/>
    <w:rsid w:val="00102C3A"/>
    <w:rsid w:val="00102CB5"/>
    <w:rsid w:val="00102F6D"/>
    <w:rsid w:val="00104454"/>
    <w:rsid w:val="001054FA"/>
    <w:rsid w:val="001058AC"/>
    <w:rsid w:val="0010615D"/>
    <w:rsid w:val="0010782E"/>
    <w:rsid w:val="0010799E"/>
    <w:rsid w:val="00110110"/>
    <w:rsid w:val="00110765"/>
    <w:rsid w:val="00111272"/>
    <w:rsid w:val="00111661"/>
    <w:rsid w:val="00111A11"/>
    <w:rsid w:val="00112598"/>
    <w:rsid w:val="0011287F"/>
    <w:rsid w:val="00112A13"/>
    <w:rsid w:val="00112A56"/>
    <w:rsid w:val="00112F4B"/>
    <w:rsid w:val="0011324E"/>
    <w:rsid w:val="00113349"/>
    <w:rsid w:val="0011339A"/>
    <w:rsid w:val="001136AC"/>
    <w:rsid w:val="00113A4D"/>
    <w:rsid w:val="00113BD6"/>
    <w:rsid w:val="00114048"/>
    <w:rsid w:val="00114747"/>
    <w:rsid w:val="001148A1"/>
    <w:rsid w:val="00115471"/>
    <w:rsid w:val="00115539"/>
    <w:rsid w:val="00115817"/>
    <w:rsid w:val="00116CC5"/>
    <w:rsid w:val="001170F6"/>
    <w:rsid w:val="00117346"/>
    <w:rsid w:val="001174DF"/>
    <w:rsid w:val="00117773"/>
    <w:rsid w:val="001177F1"/>
    <w:rsid w:val="00117E84"/>
    <w:rsid w:val="00120949"/>
    <w:rsid w:val="001209C1"/>
    <w:rsid w:val="001209CA"/>
    <w:rsid w:val="00120A34"/>
    <w:rsid w:val="00120ED7"/>
    <w:rsid w:val="00122327"/>
    <w:rsid w:val="00122F4E"/>
    <w:rsid w:val="00123068"/>
    <w:rsid w:val="0012347D"/>
    <w:rsid w:val="00123DB0"/>
    <w:rsid w:val="00124801"/>
    <w:rsid w:val="0012481A"/>
    <w:rsid w:val="00125C53"/>
    <w:rsid w:val="001266D9"/>
    <w:rsid w:val="0012692E"/>
    <w:rsid w:val="0012702F"/>
    <w:rsid w:val="00127511"/>
    <w:rsid w:val="00127B6E"/>
    <w:rsid w:val="00127CF5"/>
    <w:rsid w:val="00130E3F"/>
    <w:rsid w:val="00131585"/>
    <w:rsid w:val="00132F43"/>
    <w:rsid w:val="001336F7"/>
    <w:rsid w:val="00133A73"/>
    <w:rsid w:val="00133ACC"/>
    <w:rsid w:val="001346A8"/>
    <w:rsid w:val="00134766"/>
    <w:rsid w:val="00134A12"/>
    <w:rsid w:val="00134A7B"/>
    <w:rsid w:val="00134DEE"/>
    <w:rsid w:val="00135067"/>
    <w:rsid w:val="001356E3"/>
    <w:rsid w:val="0013594B"/>
    <w:rsid w:val="001362DC"/>
    <w:rsid w:val="00136B8B"/>
    <w:rsid w:val="00136FAC"/>
    <w:rsid w:val="001370CD"/>
    <w:rsid w:val="001401A3"/>
    <w:rsid w:val="001405D6"/>
    <w:rsid w:val="00140740"/>
    <w:rsid w:val="0014119D"/>
    <w:rsid w:val="001412B3"/>
    <w:rsid w:val="001415DE"/>
    <w:rsid w:val="00141786"/>
    <w:rsid w:val="00141CE3"/>
    <w:rsid w:val="00142416"/>
    <w:rsid w:val="00142DBF"/>
    <w:rsid w:val="0014494D"/>
    <w:rsid w:val="00145B48"/>
    <w:rsid w:val="001502F0"/>
    <w:rsid w:val="00150583"/>
    <w:rsid w:val="00150794"/>
    <w:rsid w:val="0015126B"/>
    <w:rsid w:val="00151455"/>
    <w:rsid w:val="00151E7D"/>
    <w:rsid w:val="00152B66"/>
    <w:rsid w:val="0015367E"/>
    <w:rsid w:val="00153B0D"/>
    <w:rsid w:val="001559A6"/>
    <w:rsid w:val="00155C7B"/>
    <w:rsid w:val="00156286"/>
    <w:rsid w:val="001565EA"/>
    <w:rsid w:val="00156FBA"/>
    <w:rsid w:val="00157277"/>
    <w:rsid w:val="00157490"/>
    <w:rsid w:val="00157628"/>
    <w:rsid w:val="001609A6"/>
    <w:rsid w:val="00160D4F"/>
    <w:rsid w:val="00161378"/>
    <w:rsid w:val="001615D7"/>
    <w:rsid w:val="00161BF1"/>
    <w:rsid w:val="00161F92"/>
    <w:rsid w:val="00162F9A"/>
    <w:rsid w:val="00163152"/>
    <w:rsid w:val="00164CBA"/>
    <w:rsid w:val="00165A37"/>
    <w:rsid w:val="00165A5C"/>
    <w:rsid w:val="00166250"/>
    <w:rsid w:val="00166477"/>
    <w:rsid w:val="0016753E"/>
    <w:rsid w:val="0016764C"/>
    <w:rsid w:val="00167748"/>
    <w:rsid w:val="00167E31"/>
    <w:rsid w:val="00170319"/>
    <w:rsid w:val="0017116D"/>
    <w:rsid w:val="00171541"/>
    <w:rsid w:val="00172F22"/>
    <w:rsid w:val="00173B35"/>
    <w:rsid w:val="00174065"/>
    <w:rsid w:val="001743F5"/>
    <w:rsid w:val="00175ACE"/>
    <w:rsid w:val="00175B5A"/>
    <w:rsid w:val="00175C0E"/>
    <w:rsid w:val="00175D6E"/>
    <w:rsid w:val="0017715C"/>
    <w:rsid w:val="0017719B"/>
    <w:rsid w:val="00177548"/>
    <w:rsid w:val="00177C94"/>
    <w:rsid w:val="0018099B"/>
    <w:rsid w:val="0018108C"/>
    <w:rsid w:val="001812F4"/>
    <w:rsid w:val="001816CC"/>
    <w:rsid w:val="0018181D"/>
    <w:rsid w:val="001830BE"/>
    <w:rsid w:val="00183788"/>
    <w:rsid w:val="001837F3"/>
    <w:rsid w:val="00183F32"/>
    <w:rsid w:val="001849FC"/>
    <w:rsid w:val="0018564F"/>
    <w:rsid w:val="0018682D"/>
    <w:rsid w:val="00186BCA"/>
    <w:rsid w:val="00187878"/>
    <w:rsid w:val="001878CF"/>
    <w:rsid w:val="00187A92"/>
    <w:rsid w:val="00187DA7"/>
    <w:rsid w:val="00190484"/>
    <w:rsid w:val="001908EB"/>
    <w:rsid w:val="0019192C"/>
    <w:rsid w:val="00191A50"/>
    <w:rsid w:val="001929C1"/>
    <w:rsid w:val="00192D5E"/>
    <w:rsid w:val="001930F1"/>
    <w:rsid w:val="00193AD7"/>
    <w:rsid w:val="00193ADE"/>
    <w:rsid w:val="00194114"/>
    <w:rsid w:val="00194939"/>
    <w:rsid w:val="00194994"/>
    <w:rsid w:val="00195007"/>
    <w:rsid w:val="00195670"/>
    <w:rsid w:val="00196093"/>
    <w:rsid w:val="001960D3"/>
    <w:rsid w:val="0019652D"/>
    <w:rsid w:val="001967CA"/>
    <w:rsid w:val="00196C1E"/>
    <w:rsid w:val="0019757F"/>
    <w:rsid w:val="001A040E"/>
    <w:rsid w:val="001A06AF"/>
    <w:rsid w:val="001A127F"/>
    <w:rsid w:val="001A18AE"/>
    <w:rsid w:val="001A1B60"/>
    <w:rsid w:val="001A1F66"/>
    <w:rsid w:val="001A220A"/>
    <w:rsid w:val="001A3082"/>
    <w:rsid w:val="001A30F9"/>
    <w:rsid w:val="001A3C89"/>
    <w:rsid w:val="001A3ED6"/>
    <w:rsid w:val="001A4B38"/>
    <w:rsid w:val="001A5EB8"/>
    <w:rsid w:val="001A6CD6"/>
    <w:rsid w:val="001A71D4"/>
    <w:rsid w:val="001A7525"/>
    <w:rsid w:val="001A75BC"/>
    <w:rsid w:val="001A75E8"/>
    <w:rsid w:val="001A77F9"/>
    <w:rsid w:val="001A7832"/>
    <w:rsid w:val="001A79CD"/>
    <w:rsid w:val="001A7ADC"/>
    <w:rsid w:val="001B1480"/>
    <w:rsid w:val="001B14E7"/>
    <w:rsid w:val="001B1623"/>
    <w:rsid w:val="001B183C"/>
    <w:rsid w:val="001B1D7B"/>
    <w:rsid w:val="001B2009"/>
    <w:rsid w:val="001B2688"/>
    <w:rsid w:val="001B26E2"/>
    <w:rsid w:val="001B28A8"/>
    <w:rsid w:val="001B2961"/>
    <w:rsid w:val="001B2D3B"/>
    <w:rsid w:val="001B2EE4"/>
    <w:rsid w:val="001B382E"/>
    <w:rsid w:val="001B468D"/>
    <w:rsid w:val="001B4C3C"/>
    <w:rsid w:val="001B4CE6"/>
    <w:rsid w:val="001B4DC6"/>
    <w:rsid w:val="001B51A9"/>
    <w:rsid w:val="001B578C"/>
    <w:rsid w:val="001B59BF"/>
    <w:rsid w:val="001B5DFD"/>
    <w:rsid w:val="001B6637"/>
    <w:rsid w:val="001B6AA0"/>
    <w:rsid w:val="001B6B80"/>
    <w:rsid w:val="001C0858"/>
    <w:rsid w:val="001C0BA3"/>
    <w:rsid w:val="001C0D59"/>
    <w:rsid w:val="001C0DC6"/>
    <w:rsid w:val="001C1546"/>
    <w:rsid w:val="001C1578"/>
    <w:rsid w:val="001C1881"/>
    <w:rsid w:val="001C20B6"/>
    <w:rsid w:val="001C20EB"/>
    <w:rsid w:val="001C2C76"/>
    <w:rsid w:val="001C2D56"/>
    <w:rsid w:val="001C2D8C"/>
    <w:rsid w:val="001C2F64"/>
    <w:rsid w:val="001C3115"/>
    <w:rsid w:val="001C3C4B"/>
    <w:rsid w:val="001C3EF8"/>
    <w:rsid w:val="001C5120"/>
    <w:rsid w:val="001C524A"/>
    <w:rsid w:val="001C5712"/>
    <w:rsid w:val="001C57FB"/>
    <w:rsid w:val="001C58F8"/>
    <w:rsid w:val="001C59F0"/>
    <w:rsid w:val="001C62D4"/>
    <w:rsid w:val="001C694D"/>
    <w:rsid w:val="001C69AE"/>
    <w:rsid w:val="001C6E99"/>
    <w:rsid w:val="001D0089"/>
    <w:rsid w:val="001D0B07"/>
    <w:rsid w:val="001D0DD3"/>
    <w:rsid w:val="001D1737"/>
    <w:rsid w:val="001D1D47"/>
    <w:rsid w:val="001D2534"/>
    <w:rsid w:val="001D2C2F"/>
    <w:rsid w:val="001D4E51"/>
    <w:rsid w:val="001D52DD"/>
    <w:rsid w:val="001D5A05"/>
    <w:rsid w:val="001D5FC7"/>
    <w:rsid w:val="001D6262"/>
    <w:rsid w:val="001D69BF"/>
    <w:rsid w:val="001D6D6C"/>
    <w:rsid w:val="001D74AD"/>
    <w:rsid w:val="001D75E5"/>
    <w:rsid w:val="001D76AC"/>
    <w:rsid w:val="001D7F12"/>
    <w:rsid w:val="001E0201"/>
    <w:rsid w:val="001E02EA"/>
    <w:rsid w:val="001E092D"/>
    <w:rsid w:val="001E0F00"/>
    <w:rsid w:val="001E14F6"/>
    <w:rsid w:val="001E16A8"/>
    <w:rsid w:val="001E179C"/>
    <w:rsid w:val="001E2637"/>
    <w:rsid w:val="001E2B6C"/>
    <w:rsid w:val="001E2D41"/>
    <w:rsid w:val="001E37E1"/>
    <w:rsid w:val="001E4C91"/>
    <w:rsid w:val="001E4D01"/>
    <w:rsid w:val="001E568E"/>
    <w:rsid w:val="001E5B2C"/>
    <w:rsid w:val="001E6528"/>
    <w:rsid w:val="001E697E"/>
    <w:rsid w:val="001E735A"/>
    <w:rsid w:val="001E7838"/>
    <w:rsid w:val="001E7B37"/>
    <w:rsid w:val="001E7CB2"/>
    <w:rsid w:val="001E7CD8"/>
    <w:rsid w:val="001F098B"/>
    <w:rsid w:val="001F0E0C"/>
    <w:rsid w:val="001F1791"/>
    <w:rsid w:val="001F182F"/>
    <w:rsid w:val="001F20FA"/>
    <w:rsid w:val="001F248C"/>
    <w:rsid w:val="001F2638"/>
    <w:rsid w:val="001F2E8E"/>
    <w:rsid w:val="001F3DB3"/>
    <w:rsid w:val="001F4101"/>
    <w:rsid w:val="001F4C90"/>
    <w:rsid w:val="001F55C0"/>
    <w:rsid w:val="001F5BE0"/>
    <w:rsid w:val="001F6243"/>
    <w:rsid w:val="001F6401"/>
    <w:rsid w:val="001F6444"/>
    <w:rsid w:val="001F6920"/>
    <w:rsid w:val="001F6BB5"/>
    <w:rsid w:val="001F7747"/>
    <w:rsid w:val="00200448"/>
    <w:rsid w:val="0020060C"/>
    <w:rsid w:val="00200BFB"/>
    <w:rsid w:val="00201467"/>
    <w:rsid w:val="00201665"/>
    <w:rsid w:val="0020169B"/>
    <w:rsid w:val="00202162"/>
    <w:rsid w:val="00202614"/>
    <w:rsid w:val="0020283E"/>
    <w:rsid w:val="00203136"/>
    <w:rsid w:val="00203B67"/>
    <w:rsid w:val="00203FDE"/>
    <w:rsid w:val="00204B2F"/>
    <w:rsid w:val="00204F38"/>
    <w:rsid w:val="0020515F"/>
    <w:rsid w:val="0020559A"/>
    <w:rsid w:val="00206265"/>
    <w:rsid w:val="00207513"/>
    <w:rsid w:val="00207993"/>
    <w:rsid w:val="0021097D"/>
    <w:rsid w:val="0021160B"/>
    <w:rsid w:val="00211AE3"/>
    <w:rsid w:val="00212521"/>
    <w:rsid w:val="0021256D"/>
    <w:rsid w:val="00212CBB"/>
    <w:rsid w:val="00212D63"/>
    <w:rsid w:val="0021356B"/>
    <w:rsid w:val="00213DC4"/>
    <w:rsid w:val="00213E9D"/>
    <w:rsid w:val="00214099"/>
    <w:rsid w:val="0021415D"/>
    <w:rsid w:val="002143BF"/>
    <w:rsid w:val="00215009"/>
    <w:rsid w:val="00215036"/>
    <w:rsid w:val="00215D68"/>
    <w:rsid w:val="00215E87"/>
    <w:rsid w:val="00216865"/>
    <w:rsid w:val="00216B2D"/>
    <w:rsid w:val="00216B69"/>
    <w:rsid w:val="00216FE3"/>
    <w:rsid w:val="0021718E"/>
    <w:rsid w:val="002172B8"/>
    <w:rsid w:val="00220849"/>
    <w:rsid w:val="0022112B"/>
    <w:rsid w:val="0022177F"/>
    <w:rsid w:val="00222BF8"/>
    <w:rsid w:val="00222C1F"/>
    <w:rsid w:val="002237B6"/>
    <w:rsid w:val="00223EC7"/>
    <w:rsid w:val="00223F13"/>
    <w:rsid w:val="002246F4"/>
    <w:rsid w:val="002250FB"/>
    <w:rsid w:val="0022537C"/>
    <w:rsid w:val="002260D7"/>
    <w:rsid w:val="00226151"/>
    <w:rsid w:val="002261D7"/>
    <w:rsid w:val="0022635E"/>
    <w:rsid w:val="00226417"/>
    <w:rsid w:val="002264F6"/>
    <w:rsid w:val="002269CE"/>
    <w:rsid w:val="00226A07"/>
    <w:rsid w:val="0023030B"/>
    <w:rsid w:val="0023054B"/>
    <w:rsid w:val="002307BF"/>
    <w:rsid w:val="00231B75"/>
    <w:rsid w:val="00232D98"/>
    <w:rsid w:val="0023387B"/>
    <w:rsid w:val="00233B2D"/>
    <w:rsid w:val="00234A90"/>
    <w:rsid w:val="00234AC9"/>
    <w:rsid w:val="00235153"/>
    <w:rsid w:val="0023622E"/>
    <w:rsid w:val="00236497"/>
    <w:rsid w:val="002366B9"/>
    <w:rsid w:val="002368A3"/>
    <w:rsid w:val="0023793E"/>
    <w:rsid w:val="0024004F"/>
    <w:rsid w:val="0024013D"/>
    <w:rsid w:val="002404BC"/>
    <w:rsid w:val="0024079D"/>
    <w:rsid w:val="00240F93"/>
    <w:rsid w:val="0024111C"/>
    <w:rsid w:val="0024123B"/>
    <w:rsid w:val="002414C7"/>
    <w:rsid w:val="002426DE"/>
    <w:rsid w:val="00242B2B"/>
    <w:rsid w:val="002434F4"/>
    <w:rsid w:val="00244832"/>
    <w:rsid w:val="002449AD"/>
    <w:rsid w:val="002465F0"/>
    <w:rsid w:val="00246901"/>
    <w:rsid w:val="0024704A"/>
    <w:rsid w:val="00247E12"/>
    <w:rsid w:val="00250A8B"/>
    <w:rsid w:val="00251271"/>
    <w:rsid w:val="00251922"/>
    <w:rsid w:val="00252068"/>
    <w:rsid w:val="002520B2"/>
    <w:rsid w:val="00252307"/>
    <w:rsid w:val="00252DE3"/>
    <w:rsid w:val="0025362F"/>
    <w:rsid w:val="0025415A"/>
    <w:rsid w:val="00254609"/>
    <w:rsid w:val="00254919"/>
    <w:rsid w:val="00254E56"/>
    <w:rsid w:val="00254F1F"/>
    <w:rsid w:val="00255583"/>
    <w:rsid w:val="002557EB"/>
    <w:rsid w:val="002558A0"/>
    <w:rsid w:val="0025593F"/>
    <w:rsid w:val="0025671A"/>
    <w:rsid w:val="00256A02"/>
    <w:rsid w:val="00256D18"/>
    <w:rsid w:val="0025701C"/>
    <w:rsid w:val="0025720C"/>
    <w:rsid w:val="002573CF"/>
    <w:rsid w:val="002577B2"/>
    <w:rsid w:val="00257A79"/>
    <w:rsid w:val="00257C61"/>
    <w:rsid w:val="0026071D"/>
    <w:rsid w:val="00260828"/>
    <w:rsid w:val="002609CD"/>
    <w:rsid w:val="0026193B"/>
    <w:rsid w:val="002619A4"/>
    <w:rsid w:val="00261A00"/>
    <w:rsid w:val="0026216B"/>
    <w:rsid w:val="002622F1"/>
    <w:rsid w:val="002629E1"/>
    <w:rsid w:val="00262EA3"/>
    <w:rsid w:val="002640D3"/>
    <w:rsid w:val="00264730"/>
    <w:rsid w:val="00264E66"/>
    <w:rsid w:val="00264E82"/>
    <w:rsid w:val="002658B8"/>
    <w:rsid w:val="00265E5B"/>
    <w:rsid w:val="0026605C"/>
    <w:rsid w:val="002662B8"/>
    <w:rsid w:val="0026666D"/>
    <w:rsid w:val="002667A0"/>
    <w:rsid w:val="002667F6"/>
    <w:rsid w:val="00266D93"/>
    <w:rsid w:val="00266F9B"/>
    <w:rsid w:val="0026754E"/>
    <w:rsid w:val="0026793F"/>
    <w:rsid w:val="00270098"/>
    <w:rsid w:val="00270835"/>
    <w:rsid w:val="002708B4"/>
    <w:rsid w:val="00270CE5"/>
    <w:rsid w:val="00271C0B"/>
    <w:rsid w:val="002723F8"/>
    <w:rsid w:val="002734FB"/>
    <w:rsid w:val="00273BB6"/>
    <w:rsid w:val="00275609"/>
    <w:rsid w:val="00275C21"/>
    <w:rsid w:val="00276213"/>
    <w:rsid w:val="00277640"/>
    <w:rsid w:val="00277768"/>
    <w:rsid w:val="00281323"/>
    <w:rsid w:val="00281B09"/>
    <w:rsid w:val="0028258F"/>
    <w:rsid w:val="002839D1"/>
    <w:rsid w:val="00283F3A"/>
    <w:rsid w:val="002849DB"/>
    <w:rsid w:val="00284ADA"/>
    <w:rsid w:val="00284E2C"/>
    <w:rsid w:val="002850C9"/>
    <w:rsid w:val="00285178"/>
    <w:rsid w:val="00285233"/>
    <w:rsid w:val="00285261"/>
    <w:rsid w:val="002856EB"/>
    <w:rsid w:val="00285E2D"/>
    <w:rsid w:val="00286A3C"/>
    <w:rsid w:val="00286C77"/>
    <w:rsid w:val="00287DB6"/>
    <w:rsid w:val="00290166"/>
    <w:rsid w:val="002904A3"/>
    <w:rsid w:val="00290ED2"/>
    <w:rsid w:val="00290F48"/>
    <w:rsid w:val="0029167E"/>
    <w:rsid w:val="00291877"/>
    <w:rsid w:val="00291C13"/>
    <w:rsid w:val="00291F64"/>
    <w:rsid w:val="00292D3A"/>
    <w:rsid w:val="00294399"/>
    <w:rsid w:val="00294A7A"/>
    <w:rsid w:val="00294FFF"/>
    <w:rsid w:val="0029557A"/>
    <w:rsid w:val="002968AF"/>
    <w:rsid w:val="0029720F"/>
    <w:rsid w:val="002975D6"/>
    <w:rsid w:val="002A0CFE"/>
    <w:rsid w:val="002A1B89"/>
    <w:rsid w:val="002A1DB0"/>
    <w:rsid w:val="002A22D6"/>
    <w:rsid w:val="002A2B49"/>
    <w:rsid w:val="002A3C2A"/>
    <w:rsid w:val="002A3C75"/>
    <w:rsid w:val="002A4094"/>
    <w:rsid w:val="002A46B4"/>
    <w:rsid w:val="002A48D6"/>
    <w:rsid w:val="002A52D6"/>
    <w:rsid w:val="002A5755"/>
    <w:rsid w:val="002A59B9"/>
    <w:rsid w:val="002A5A6B"/>
    <w:rsid w:val="002A5EB6"/>
    <w:rsid w:val="002A5EE6"/>
    <w:rsid w:val="002A65C4"/>
    <w:rsid w:val="002A6BE3"/>
    <w:rsid w:val="002A71C7"/>
    <w:rsid w:val="002A730A"/>
    <w:rsid w:val="002A76E3"/>
    <w:rsid w:val="002A7785"/>
    <w:rsid w:val="002A779F"/>
    <w:rsid w:val="002B0853"/>
    <w:rsid w:val="002B0E05"/>
    <w:rsid w:val="002B1029"/>
    <w:rsid w:val="002B164A"/>
    <w:rsid w:val="002B1915"/>
    <w:rsid w:val="002B26DA"/>
    <w:rsid w:val="002B2853"/>
    <w:rsid w:val="002B2AF0"/>
    <w:rsid w:val="002B2F94"/>
    <w:rsid w:val="002B39FD"/>
    <w:rsid w:val="002B3B3E"/>
    <w:rsid w:val="002B3C03"/>
    <w:rsid w:val="002B3E8B"/>
    <w:rsid w:val="002B4525"/>
    <w:rsid w:val="002B4A2B"/>
    <w:rsid w:val="002B6176"/>
    <w:rsid w:val="002B6D55"/>
    <w:rsid w:val="002B6E03"/>
    <w:rsid w:val="002B75F8"/>
    <w:rsid w:val="002B7C6A"/>
    <w:rsid w:val="002B7C9B"/>
    <w:rsid w:val="002C0178"/>
    <w:rsid w:val="002C0AB2"/>
    <w:rsid w:val="002C0C00"/>
    <w:rsid w:val="002C0D87"/>
    <w:rsid w:val="002C0F7F"/>
    <w:rsid w:val="002C1311"/>
    <w:rsid w:val="002C1B3D"/>
    <w:rsid w:val="002C1EE8"/>
    <w:rsid w:val="002C2D59"/>
    <w:rsid w:val="002C4737"/>
    <w:rsid w:val="002C4820"/>
    <w:rsid w:val="002C56DB"/>
    <w:rsid w:val="002C5B8B"/>
    <w:rsid w:val="002C5C4A"/>
    <w:rsid w:val="002C6CB6"/>
    <w:rsid w:val="002C6DF3"/>
    <w:rsid w:val="002C756E"/>
    <w:rsid w:val="002D0691"/>
    <w:rsid w:val="002D08DE"/>
    <w:rsid w:val="002D097F"/>
    <w:rsid w:val="002D0F60"/>
    <w:rsid w:val="002D1036"/>
    <w:rsid w:val="002D1E5D"/>
    <w:rsid w:val="002D1F08"/>
    <w:rsid w:val="002D1F45"/>
    <w:rsid w:val="002D227E"/>
    <w:rsid w:val="002D2B2D"/>
    <w:rsid w:val="002D2C9F"/>
    <w:rsid w:val="002D2D13"/>
    <w:rsid w:val="002D3321"/>
    <w:rsid w:val="002D4623"/>
    <w:rsid w:val="002D4762"/>
    <w:rsid w:val="002D486C"/>
    <w:rsid w:val="002D4B0D"/>
    <w:rsid w:val="002D5297"/>
    <w:rsid w:val="002D56E1"/>
    <w:rsid w:val="002D5D18"/>
    <w:rsid w:val="002D6980"/>
    <w:rsid w:val="002D7004"/>
    <w:rsid w:val="002D70BC"/>
    <w:rsid w:val="002D7167"/>
    <w:rsid w:val="002E07C7"/>
    <w:rsid w:val="002E141B"/>
    <w:rsid w:val="002E1B94"/>
    <w:rsid w:val="002E2195"/>
    <w:rsid w:val="002E271A"/>
    <w:rsid w:val="002E29E7"/>
    <w:rsid w:val="002E3D81"/>
    <w:rsid w:val="002E4F32"/>
    <w:rsid w:val="002E5FCF"/>
    <w:rsid w:val="002E69D6"/>
    <w:rsid w:val="002E6B73"/>
    <w:rsid w:val="002E731D"/>
    <w:rsid w:val="002E7808"/>
    <w:rsid w:val="002E7ACD"/>
    <w:rsid w:val="002E7E95"/>
    <w:rsid w:val="002F01F9"/>
    <w:rsid w:val="002F0230"/>
    <w:rsid w:val="002F0755"/>
    <w:rsid w:val="002F0D59"/>
    <w:rsid w:val="002F0DE0"/>
    <w:rsid w:val="002F1B7B"/>
    <w:rsid w:val="002F25BC"/>
    <w:rsid w:val="002F2E38"/>
    <w:rsid w:val="002F2E7B"/>
    <w:rsid w:val="002F3C7F"/>
    <w:rsid w:val="002F3DAB"/>
    <w:rsid w:val="002F3FA9"/>
    <w:rsid w:val="002F4386"/>
    <w:rsid w:val="002F453E"/>
    <w:rsid w:val="002F4946"/>
    <w:rsid w:val="002F4B1A"/>
    <w:rsid w:val="002F5970"/>
    <w:rsid w:val="002F5B09"/>
    <w:rsid w:val="002F61DE"/>
    <w:rsid w:val="002F6822"/>
    <w:rsid w:val="002F6EBD"/>
    <w:rsid w:val="002F7159"/>
    <w:rsid w:val="002F723D"/>
    <w:rsid w:val="002F7C4D"/>
    <w:rsid w:val="002F7C5D"/>
    <w:rsid w:val="002F7C8C"/>
    <w:rsid w:val="002F7F3B"/>
    <w:rsid w:val="002F7FC3"/>
    <w:rsid w:val="00300459"/>
    <w:rsid w:val="003004F8"/>
    <w:rsid w:val="00300880"/>
    <w:rsid w:val="00300933"/>
    <w:rsid w:val="00300B17"/>
    <w:rsid w:val="00300B25"/>
    <w:rsid w:val="00300BE1"/>
    <w:rsid w:val="00301A69"/>
    <w:rsid w:val="00301AFE"/>
    <w:rsid w:val="00301C1E"/>
    <w:rsid w:val="00302429"/>
    <w:rsid w:val="003036B5"/>
    <w:rsid w:val="00303AD4"/>
    <w:rsid w:val="003047CA"/>
    <w:rsid w:val="003047D4"/>
    <w:rsid w:val="00304D6E"/>
    <w:rsid w:val="003059EA"/>
    <w:rsid w:val="00305BF3"/>
    <w:rsid w:val="003076BD"/>
    <w:rsid w:val="0030788B"/>
    <w:rsid w:val="00307B4D"/>
    <w:rsid w:val="00310C6D"/>
    <w:rsid w:val="003112ED"/>
    <w:rsid w:val="003115CE"/>
    <w:rsid w:val="00311803"/>
    <w:rsid w:val="00311A4A"/>
    <w:rsid w:val="00311AE8"/>
    <w:rsid w:val="00311EB9"/>
    <w:rsid w:val="00312830"/>
    <w:rsid w:val="00313453"/>
    <w:rsid w:val="0031499F"/>
    <w:rsid w:val="00314BD8"/>
    <w:rsid w:val="00314DA8"/>
    <w:rsid w:val="00315619"/>
    <w:rsid w:val="00315723"/>
    <w:rsid w:val="00316469"/>
    <w:rsid w:val="003164FD"/>
    <w:rsid w:val="00316661"/>
    <w:rsid w:val="003168D6"/>
    <w:rsid w:val="00316EAA"/>
    <w:rsid w:val="00316EFC"/>
    <w:rsid w:val="0031733D"/>
    <w:rsid w:val="00317342"/>
    <w:rsid w:val="00317F7F"/>
    <w:rsid w:val="00321B3B"/>
    <w:rsid w:val="00321BA1"/>
    <w:rsid w:val="00322183"/>
    <w:rsid w:val="00322A9A"/>
    <w:rsid w:val="00322C7B"/>
    <w:rsid w:val="003236C4"/>
    <w:rsid w:val="00324282"/>
    <w:rsid w:val="00324324"/>
    <w:rsid w:val="003250B7"/>
    <w:rsid w:val="00325B57"/>
    <w:rsid w:val="00325C09"/>
    <w:rsid w:val="00325FC1"/>
    <w:rsid w:val="003264B8"/>
    <w:rsid w:val="003264DA"/>
    <w:rsid w:val="00326B51"/>
    <w:rsid w:val="00326C40"/>
    <w:rsid w:val="00327286"/>
    <w:rsid w:val="00327769"/>
    <w:rsid w:val="00327DC3"/>
    <w:rsid w:val="00330EEE"/>
    <w:rsid w:val="00330F68"/>
    <w:rsid w:val="003312A7"/>
    <w:rsid w:val="00331C94"/>
    <w:rsid w:val="00331CA9"/>
    <w:rsid w:val="0033244E"/>
    <w:rsid w:val="00332B82"/>
    <w:rsid w:val="00332ED6"/>
    <w:rsid w:val="003337B2"/>
    <w:rsid w:val="00333C97"/>
    <w:rsid w:val="0033405E"/>
    <w:rsid w:val="0033488D"/>
    <w:rsid w:val="00334CFC"/>
    <w:rsid w:val="003351B7"/>
    <w:rsid w:val="00335356"/>
    <w:rsid w:val="00336B6F"/>
    <w:rsid w:val="00336E81"/>
    <w:rsid w:val="00337DD8"/>
    <w:rsid w:val="00340239"/>
    <w:rsid w:val="00340543"/>
    <w:rsid w:val="0034073E"/>
    <w:rsid w:val="00340832"/>
    <w:rsid w:val="003408F2"/>
    <w:rsid w:val="00341464"/>
    <w:rsid w:val="003431E8"/>
    <w:rsid w:val="003432F0"/>
    <w:rsid w:val="003434A1"/>
    <w:rsid w:val="0034379D"/>
    <w:rsid w:val="0034470F"/>
    <w:rsid w:val="0034535A"/>
    <w:rsid w:val="0034613D"/>
    <w:rsid w:val="00346C3C"/>
    <w:rsid w:val="0034753F"/>
    <w:rsid w:val="00347C38"/>
    <w:rsid w:val="00347F11"/>
    <w:rsid w:val="00350006"/>
    <w:rsid w:val="00350BAF"/>
    <w:rsid w:val="0035124C"/>
    <w:rsid w:val="0035196D"/>
    <w:rsid w:val="00351EE7"/>
    <w:rsid w:val="00353FA5"/>
    <w:rsid w:val="0035436A"/>
    <w:rsid w:val="00354448"/>
    <w:rsid w:val="00354BF4"/>
    <w:rsid w:val="00354D01"/>
    <w:rsid w:val="00354D93"/>
    <w:rsid w:val="0035505B"/>
    <w:rsid w:val="003554CD"/>
    <w:rsid w:val="0035606C"/>
    <w:rsid w:val="00356D07"/>
    <w:rsid w:val="0035704B"/>
    <w:rsid w:val="003578D4"/>
    <w:rsid w:val="00360B6D"/>
    <w:rsid w:val="00360E97"/>
    <w:rsid w:val="00361061"/>
    <w:rsid w:val="0036188C"/>
    <w:rsid w:val="00361922"/>
    <w:rsid w:val="00361AC8"/>
    <w:rsid w:val="00361F88"/>
    <w:rsid w:val="003628DE"/>
    <w:rsid w:val="00362BCA"/>
    <w:rsid w:val="00363137"/>
    <w:rsid w:val="003634E2"/>
    <w:rsid w:val="0036354F"/>
    <w:rsid w:val="00364128"/>
    <w:rsid w:val="00364147"/>
    <w:rsid w:val="003651AB"/>
    <w:rsid w:val="003658FE"/>
    <w:rsid w:val="00365C42"/>
    <w:rsid w:val="003666D3"/>
    <w:rsid w:val="00366949"/>
    <w:rsid w:val="00366985"/>
    <w:rsid w:val="0036725E"/>
    <w:rsid w:val="00367A20"/>
    <w:rsid w:val="00367EDE"/>
    <w:rsid w:val="00367FED"/>
    <w:rsid w:val="003715AF"/>
    <w:rsid w:val="00373035"/>
    <w:rsid w:val="00373E6F"/>
    <w:rsid w:val="00373F21"/>
    <w:rsid w:val="003742AF"/>
    <w:rsid w:val="00374410"/>
    <w:rsid w:val="003746C3"/>
    <w:rsid w:val="00374F06"/>
    <w:rsid w:val="00376182"/>
    <w:rsid w:val="003761D4"/>
    <w:rsid w:val="00376FAF"/>
    <w:rsid w:val="00377921"/>
    <w:rsid w:val="00380554"/>
    <w:rsid w:val="003806FA"/>
    <w:rsid w:val="0038099B"/>
    <w:rsid w:val="00380AAE"/>
    <w:rsid w:val="0038110D"/>
    <w:rsid w:val="0038116D"/>
    <w:rsid w:val="0038141E"/>
    <w:rsid w:val="00381542"/>
    <w:rsid w:val="00381B50"/>
    <w:rsid w:val="00381D42"/>
    <w:rsid w:val="00381E27"/>
    <w:rsid w:val="003821C8"/>
    <w:rsid w:val="003829B9"/>
    <w:rsid w:val="0038322B"/>
    <w:rsid w:val="00383BA7"/>
    <w:rsid w:val="00383D99"/>
    <w:rsid w:val="00384775"/>
    <w:rsid w:val="0038484E"/>
    <w:rsid w:val="00385022"/>
    <w:rsid w:val="0038563A"/>
    <w:rsid w:val="00385E22"/>
    <w:rsid w:val="0039039E"/>
    <w:rsid w:val="0039054F"/>
    <w:rsid w:val="00390BA2"/>
    <w:rsid w:val="00390F4D"/>
    <w:rsid w:val="00391675"/>
    <w:rsid w:val="00391751"/>
    <w:rsid w:val="003918EE"/>
    <w:rsid w:val="00392717"/>
    <w:rsid w:val="003928C1"/>
    <w:rsid w:val="003933E4"/>
    <w:rsid w:val="003936C4"/>
    <w:rsid w:val="0039406E"/>
    <w:rsid w:val="00395A4B"/>
    <w:rsid w:val="00395FEA"/>
    <w:rsid w:val="00396B06"/>
    <w:rsid w:val="003978AB"/>
    <w:rsid w:val="003A01DF"/>
    <w:rsid w:val="003A21DE"/>
    <w:rsid w:val="003A2335"/>
    <w:rsid w:val="003A3232"/>
    <w:rsid w:val="003A396B"/>
    <w:rsid w:val="003A3A4E"/>
    <w:rsid w:val="003A3E49"/>
    <w:rsid w:val="003A5979"/>
    <w:rsid w:val="003A6D57"/>
    <w:rsid w:val="003A73D5"/>
    <w:rsid w:val="003B0472"/>
    <w:rsid w:val="003B06D6"/>
    <w:rsid w:val="003B07D2"/>
    <w:rsid w:val="003B1211"/>
    <w:rsid w:val="003B1E9F"/>
    <w:rsid w:val="003B3657"/>
    <w:rsid w:val="003B37D5"/>
    <w:rsid w:val="003B37F0"/>
    <w:rsid w:val="003B4748"/>
    <w:rsid w:val="003B4BC5"/>
    <w:rsid w:val="003B5A29"/>
    <w:rsid w:val="003B61C0"/>
    <w:rsid w:val="003B74B5"/>
    <w:rsid w:val="003B77B1"/>
    <w:rsid w:val="003B797B"/>
    <w:rsid w:val="003C12BF"/>
    <w:rsid w:val="003C12E4"/>
    <w:rsid w:val="003C17B3"/>
    <w:rsid w:val="003C261C"/>
    <w:rsid w:val="003C2964"/>
    <w:rsid w:val="003C2980"/>
    <w:rsid w:val="003C2D78"/>
    <w:rsid w:val="003C2F2F"/>
    <w:rsid w:val="003C2FD6"/>
    <w:rsid w:val="003C3777"/>
    <w:rsid w:val="003C3899"/>
    <w:rsid w:val="003C3B18"/>
    <w:rsid w:val="003C447A"/>
    <w:rsid w:val="003C4B12"/>
    <w:rsid w:val="003C4E94"/>
    <w:rsid w:val="003C5949"/>
    <w:rsid w:val="003C6658"/>
    <w:rsid w:val="003C66AF"/>
    <w:rsid w:val="003C68FA"/>
    <w:rsid w:val="003C6DA0"/>
    <w:rsid w:val="003C798C"/>
    <w:rsid w:val="003C79E8"/>
    <w:rsid w:val="003D042F"/>
    <w:rsid w:val="003D0464"/>
    <w:rsid w:val="003D0890"/>
    <w:rsid w:val="003D1376"/>
    <w:rsid w:val="003D165F"/>
    <w:rsid w:val="003D2B60"/>
    <w:rsid w:val="003D36E0"/>
    <w:rsid w:val="003D4141"/>
    <w:rsid w:val="003D48D8"/>
    <w:rsid w:val="003D4B4E"/>
    <w:rsid w:val="003D4ECD"/>
    <w:rsid w:val="003D54C1"/>
    <w:rsid w:val="003D630D"/>
    <w:rsid w:val="003D65F4"/>
    <w:rsid w:val="003D7524"/>
    <w:rsid w:val="003D7D26"/>
    <w:rsid w:val="003E0336"/>
    <w:rsid w:val="003E09E3"/>
    <w:rsid w:val="003E0B3D"/>
    <w:rsid w:val="003E0E67"/>
    <w:rsid w:val="003E1A75"/>
    <w:rsid w:val="003E2B2B"/>
    <w:rsid w:val="003E2C2D"/>
    <w:rsid w:val="003E2C86"/>
    <w:rsid w:val="003E3935"/>
    <w:rsid w:val="003E3A21"/>
    <w:rsid w:val="003E3CBC"/>
    <w:rsid w:val="003E45FC"/>
    <w:rsid w:val="003E48AC"/>
    <w:rsid w:val="003E48EE"/>
    <w:rsid w:val="003E4E48"/>
    <w:rsid w:val="003E505F"/>
    <w:rsid w:val="003E51FE"/>
    <w:rsid w:val="003E5DD0"/>
    <w:rsid w:val="003E6A35"/>
    <w:rsid w:val="003E726A"/>
    <w:rsid w:val="003E7403"/>
    <w:rsid w:val="003E7CE5"/>
    <w:rsid w:val="003F0284"/>
    <w:rsid w:val="003F03F5"/>
    <w:rsid w:val="003F0687"/>
    <w:rsid w:val="003F0AA6"/>
    <w:rsid w:val="003F0E95"/>
    <w:rsid w:val="003F113C"/>
    <w:rsid w:val="003F24B9"/>
    <w:rsid w:val="003F283A"/>
    <w:rsid w:val="003F3631"/>
    <w:rsid w:val="003F3EFD"/>
    <w:rsid w:val="003F4068"/>
    <w:rsid w:val="003F4C2D"/>
    <w:rsid w:val="003F52AD"/>
    <w:rsid w:val="003F562F"/>
    <w:rsid w:val="003F7583"/>
    <w:rsid w:val="003F76D8"/>
    <w:rsid w:val="003F7775"/>
    <w:rsid w:val="003F7C2C"/>
    <w:rsid w:val="003F7D93"/>
    <w:rsid w:val="003F7EAC"/>
    <w:rsid w:val="004013A4"/>
    <w:rsid w:val="004017ED"/>
    <w:rsid w:val="00401F72"/>
    <w:rsid w:val="00402280"/>
    <w:rsid w:val="004024C7"/>
    <w:rsid w:val="00402545"/>
    <w:rsid w:val="004026D8"/>
    <w:rsid w:val="00403146"/>
    <w:rsid w:val="004035AF"/>
    <w:rsid w:val="00403E00"/>
    <w:rsid w:val="0040422E"/>
    <w:rsid w:val="004048F2"/>
    <w:rsid w:val="00404999"/>
    <w:rsid w:val="00404B86"/>
    <w:rsid w:val="00405665"/>
    <w:rsid w:val="00405FE9"/>
    <w:rsid w:val="00406328"/>
    <w:rsid w:val="004078DF"/>
    <w:rsid w:val="004110AD"/>
    <w:rsid w:val="004114DD"/>
    <w:rsid w:val="00412BC7"/>
    <w:rsid w:val="00414112"/>
    <w:rsid w:val="0041429B"/>
    <w:rsid w:val="00414361"/>
    <w:rsid w:val="00415306"/>
    <w:rsid w:val="004155D7"/>
    <w:rsid w:val="00415BE5"/>
    <w:rsid w:val="00416636"/>
    <w:rsid w:val="00417C19"/>
    <w:rsid w:val="00417DFE"/>
    <w:rsid w:val="00420607"/>
    <w:rsid w:val="004206FE"/>
    <w:rsid w:val="0042083B"/>
    <w:rsid w:val="00420C63"/>
    <w:rsid w:val="00421469"/>
    <w:rsid w:val="00422191"/>
    <w:rsid w:val="00422E5C"/>
    <w:rsid w:val="004238F2"/>
    <w:rsid w:val="00424BB5"/>
    <w:rsid w:val="00425780"/>
    <w:rsid w:val="00425A90"/>
    <w:rsid w:val="00425E7A"/>
    <w:rsid w:val="0042603D"/>
    <w:rsid w:val="00426138"/>
    <w:rsid w:val="004262E6"/>
    <w:rsid w:val="00426E0C"/>
    <w:rsid w:val="00427861"/>
    <w:rsid w:val="00427DA6"/>
    <w:rsid w:val="00427E77"/>
    <w:rsid w:val="0043103A"/>
    <w:rsid w:val="0043115B"/>
    <w:rsid w:val="0043130F"/>
    <w:rsid w:val="00431A04"/>
    <w:rsid w:val="00431F1C"/>
    <w:rsid w:val="00432041"/>
    <w:rsid w:val="004321C5"/>
    <w:rsid w:val="004324DF"/>
    <w:rsid w:val="004324F1"/>
    <w:rsid w:val="004327EB"/>
    <w:rsid w:val="004333ED"/>
    <w:rsid w:val="00433991"/>
    <w:rsid w:val="00433FD7"/>
    <w:rsid w:val="00434AAA"/>
    <w:rsid w:val="00434D40"/>
    <w:rsid w:val="0043516A"/>
    <w:rsid w:val="004357A5"/>
    <w:rsid w:val="004402E7"/>
    <w:rsid w:val="004407E8"/>
    <w:rsid w:val="00440802"/>
    <w:rsid w:val="004408A5"/>
    <w:rsid w:val="00441188"/>
    <w:rsid w:val="0044128E"/>
    <w:rsid w:val="004414FD"/>
    <w:rsid w:val="0044254E"/>
    <w:rsid w:val="004425FA"/>
    <w:rsid w:val="00442724"/>
    <w:rsid w:val="00443412"/>
    <w:rsid w:val="00443446"/>
    <w:rsid w:val="004437CB"/>
    <w:rsid w:val="00444133"/>
    <w:rsid w:val="00444369"/>
    <w:rsid w:val="00444DB4"/>
    <w:rsid w:val="00445DE8"/>
    <w:rsid w:val="00446216"/>
    <w:rsid w:val="004464BD"/>
    <w:rsid w:val="004477C3"/>
    <w:rsid w:val="0045029C"/>
    <w:rsid w:val="004503C7"/>
    <w:rsid w:val="00450784"/>
    <w:rsid w:val="004507E5"/>
    <w:rsid w:val="00450CBC"/>
    <w:rsid w:val="00451367"/>
    <w:rsid w:val="00451F5A"/>
    <w:rsid w:val="00453E62"/>
    <w:rsid w:val="00453E92"/>
    <w:rsid w:val="00453ED1"/>
    <w:rsid w:val="004541FD"/>
    <w:rsid w:val="00454971"/>
    <w:rsid w:val="00454B6E"/>
    <w:rsid w:val="00454D1E"/>
    <w:rsid w:val="004555C8"/>
    <w:rsid w:val="00455DA7"/>
    <w:rsid w:val="0045657F"/>
    <w:rsid w:val="00456B60"/>
    <w:rsid w:val="00456DB3"/>
    <w:rsid w:val="00460119"/>
    <w:rsid w:val="004603A0"/>
    <w:rsid w:val="00461010"/>
    <w:rsid w:val="004620E3"/>
    <w:rsid w:val="004624E1"/>
    <w:rsid w:val="00462950"/>
    <w:rsid w:val="00462D96"/>
    <w:rsid w:val="0046350F"/>
    <w:rsid w:val="0046363E"/>
    <w:rsid w:val="00463C5F"/>
    <w:rsid w:val="0046490E"/>
    <w:rsid w:val="00464FE8"/>
    <w:rsid w:val="00466C06"/>
    <w:rsid w:val="004674FC"/>
    <w:rsid w:val="00470389"/>
    <w:rsid w:val="00471B3F"/>
    <w:rsid w:val="00471C5A"/>
    <w:rsid w:val="004723C7"/>
    <w:rsid w:val="0047320C"/>
    <w:rsid w:val="004732A1"/>
    <w:rsid w:val="00473331"/>
    <w:rsid w:val="004735B6"/>
    <w:rsid w:val="00473A91"/>
    <w:rsid w:val="004742E0"/>
    <w:rsid w:val="004745C0"/>
    <w:rsid w:val="00474746"/>
    <w:rsid w:val="00474ADA"/>
    <w:rsid w:val="0047521A"/>
    <w:rsid w:val="0047579F"/>
    <w:rsid w:val="00475F81"/>
    <w:rsid w:val="004761CD"/>
    <w:rsid w:val="00476675"/>
    <w:rsid w:val="00476B9C"/>
    <w:rsid w:val="00477D7E"/>
    <w:rsid w:val="0048024B"/>
    <w:rsid w:val="00480CC2"/>
    <w:rsid w:val="00480F47"/>
    <w:rsid w:val="00481210"/>
    <w:rsid w:val="00481406"/>
    <w:rsid w:val="0048155D"/>
    <w:rsid w:val="00481DA4"/>
    <w:rsid w:val="0048297D"/>
    <w:rsid w:val="00482BC8"/>
    <w:rsid w:val="00483113"/>
    <w:rsid w:val="004838E2"/>
    <w:rsid w:val="00483E90"/>
    <w:rsid w:val="00484051"/>
    <w:rsid w:val="004844D0"/>
    <w:rsid w:val="00484BD3"/>
    <w:rsid w:val="00484E8E"/>
    <w:rsid w:val="00485132"/>
    <w:rsid w:val="00485492"/>
    <w:rsid w:val="004859E6"/>
    <w:rsid w:val="00485A26"/>
    <w:rsid w:val="004868D8"/>
    <w:rsid w:val="00486AED"/>
    <w:rsid w:val="0048706C"/>
    <w:rsid w:val="00487272"/>
    <w:rsid w:val="004879CD"/>
    <w:rsid w:val="00487B2E"/>
    <w:rsid w:val="00490132"/>
    <w:rsid w:val="00490C54"/>
    <w:rsid w:val="00490D13"/>
    <w:rsid w:val="00492480"/>
    <w:rsid w:val="004926B5"/>
    <w:rsid w:val="00492A94"/>
    <w:rsid w:val="00492C89"/>
    <w:rsid w:val="004933DC"/>
    <w:rsid w:val="004935C4"/>
    <w:rsid w:val="00495080"/>
    <w:rsid w:val="0049619D"/>
    <w:rsid w:val="0049645C"/>
    <w:rsid w:val="00496878"/>
    <w:rsid w:val="00496C86"/>
    <w:rsid w:val="00497113"/>
    <w:rsid w:val="004A0388"/>
    <w:rsid w:val="004A03A0"/>
    <w:rsid w:val="004A0414"/>
    <w:rsid w:val="004A0998"/>
    <w:rsid w:val="004A09E4"/>
    <w:rsid w:val="004A0E6D"/>
    <w:rsid w:val="004A10E1"/>
    <w:rsid w:val="004A14FE"/>
    <w:rsid w:val="004A1710"/>
    <w:rsid w:val="004A17A9"/>
    <w:rsid w:val="004A20AB"/>
    <w:rsid w:val="004A20B1"/>
    <w:rsid w:val="004A221A"/>
    <w:rsid w:val="004A24B3"/>
    <w:rsid w:val="004A2703"/>
    <w:rsid w:val="004A32E6"/>
    <w:rsid w:val="004A3E99"/>
    <w:rsid w:val="004A3F28"/>
    <w:rsid w:val="004A405A"/>
    <w:rsid w:val="004A589F"/>
    <w:rsid w:val="004A5D9A"/>
    <w:rsid w:val="004A5F86"/>
    <w:rsid w:val="004A63AC"/>
    <w:rsid w:val="004A70E6"/>
    <w:rsid w:val="004B0063"/>
    <w:rsid w:val="004B131F"/>
    <w:rsid w:val="004B21EC"/>
    <w:rsid w:val="004B2741"/>
    <w:rsid w:val="004B27AC"/>
    <w:rsid w:val="004B2A6F"/>
    <w:rsid w:val="004B2B7F"/>
    <w:rsid w:val="004B2FFD"/>
    <w:rsid w:val="004B460A"/>
    <w:rsid w:val="004B4A8B"/>
    <w:rsid w:val="004B4BC3"/>
    <w:rsid w:val="004B5C90"/>
    <w:rsid w:val="004B5EAA"/>
    <w:rsid w:val="004B652B"/>
    <w:rsid w:val="004B6958"/>
    <w:rsid w:val="004B706D"/>
    <w:rsid w:val="004B7473"/>
    <w:rsid w:val="004B7C58"/>
    <w:rsid w:val="004C0BEF"/>
    <w:rsid w:val="004C163C"/>
    <w:rsid w:val="004C1FE4"/>
    <w:rsid w:val="004C237B"/>
    <w:rsid w:val="004C33DB"/>
    <w:rsid w:val="004C37A0"/>
    <w:rsid w:val="004C39AF"/>
    <w:rsid w:val="004C40BE"/>
    <w:rsid w:val="004C421E"/>
    <w:rsid w:val="004C44DA"/>
    <w:rsid w:val="004C470B"/>
    <w:rsid w:val="004C575A"/>
    <w:rsid w:val="004C5C1E"/>
    <w:rsid w:val="004C655A"/>
    <w:rsid w:val="004C7259"/>
    <w:rsid w:val="004C7734"/>
    <w:rsid w:val="004C7A21"/>
    <w:rsid w:val="004C7A4E"/>
    <w:rsid w:val="004C7F23"/>
    <w:rsid w:val="004D0791"/>
    <w:rsid w:val="004D1099"/>
    <w:rsid w:val="004D1D8C"/>
    <w:rsid w:val="004D1E11"/>
    <w:rsid w:val="004D20D6"/>
    <w:rsid w:val="004D235D"/>
    <w:rsid w:val="004D2500"/>
    <w:rsid w:val="004D2C65"/>
    <w:rsid w:val="004D3BE2"/>
    <w:rsid w:val="004D3CD1"/>
    <w:rsid w:val="004D4BB9"/>
    <w:rsid w:val="004D560C"/>
    <w:rsid w:val="004D5676"/>
    <w:rsid w:val="004D5796"/>
    <w:rsid w:val="004D5835"/>
    <w:rsid w:val="004D5B35"/>
    <w:rsid w:val="004D5C18"/>
    <w:rsid w:val="004D6D9D"/>
    <w:rsid w:val="004D7C08"/>
    <w:rsid w:val="004D7C7C"/>
    <w:rsid w:val="004E01BC"/>
    <w:rsid w:val="004E0983"/>
    <w:rsid w:val="004E14B8"/>
    <w:rsid w:val="004E1E0B"/>
    <w:rsid w:val="004E1F87"/>
    <w:rsid w:val="004E21D3"/>
    <w:rsid w:val="004E2841"/>
    <w:rsid w:val="004E2E92"/>
    <w:rsid w:val="004E2EF5"/>
    <w:rsid w:val="004E3C7D"/>
    <w:rsid w:val="004E3CC2"/>
    <w:rsid w:val="004E456A"/>
    <w:rsid w:val="004E4747"/>
    <w:rsid w:val="004E477B"/>
    <w:rsid w:val="004E4A7D"/>
    <w:rsid w:val="004E4CB6"/>
    <w:rsid w:val="004E52E1"/>
    <w:rsid w:val="004E56A1"/>
    <w:rsid w:val="004E6996"/>
    <w:rsid w:val="004E7581"/>
    <w:rsid w:val="004E7687"/>
    <w:rsid w:val="004E775D"/>
    <w:rsid w:val="004F0850"/>
    <w:rsid w:val="004F0C58"/>
    <w:rsid w:val="004F1049"/>
    <w:rsid w:val="004F20CB"/>
    <w:rsid w:val="004F2487"/>
    <w:rsid w:val="004F3762"/>
    <w:rsid w:val="004F484F"/>
    <w:rsid w:val="004F52AA"/>
    <w:rsid w:val="004F531A"/>
    <w:rsid w:val="004F5A0E"/>
    <w:rsid w:val="004F64F4"/>
    <w:rsid w:val="004F76E0"/>
    <w:rsid w:val="0050001C"/>
    <w:rsid w:val="005008A3"/>
    <w:rsid w:val="00500D65"/>
    <w:rsid w:val="00500FB2"/>
    <w:rsid w:val="0050107D"/>
    <w:rsid w:val="005013B8"/>
    <w:rsid w:val="005014D7"/>
    <w:rsid w:val="00501DA9"/>
    <w:rsid w:val="0050212E"/>
    <w:rsid w:val="00502AEF"/>
    <w:rsid w:val="00502B3B"/>
    <w:rsid w:val="00502EE4"/>
    <w:rsid w:val="0050362C"/>
    <w:rsid w:val="00504516"/>
    <w:rsid w:val="00504C5C"/>
    <w:rsid w:val="0050541F"/>
    <w:rsid w:val="00505997"/>
    <w:rsid w:val="00505F8E"/>
    <w:rsid w:val="00506493"/>
    <w:rsid w:val="00506F90"/>
    <w:rsid w:val="005073CF"/>
    <w:rsid w:val="00507DC9"/>
    <w:rsid w:val="005106CD"/>
    <w:rsid w:val="00510B8F"/>
    <w:rsid w:val="005117AC"/>
    <w:rsid w:val="00511E33"/>
    <w:rsid w:val="0051229D"/>
    <w:rsid w:val="00512610"/>
    <w:rsid w:val="00512AED"/>
    <w:rsid w:val="00513169"/>
    <w:rsid w:val="00513327"/>
    <w:rsid w:val="00513D1A"/>
    <w:rsid w:val="00514B81"/>
    <w:rsid w:val="0051563E"/>
    <w:rsid w:val="00515F90"/>
    <w:rsid w:val="00515FAC"/>
    <w:rsid w:val="00516223"/>
    <w:rsid w:val="00516566"/>
    <w:rsid w:val="005166E2"/>
    <w:rsid w:val="00516718"/>
    <w:rsid w:val="00516D23"/>
    <w:rsid w:val="00517C63"/>
    <w:rsid w:val="00520EF5"/>
    <w:rsid w:val="00520F44"/>
    <w:rsid w:val="005210D9"/>
    <w:rsid w:val="00521280"/>
    <w:rsid w:val="00521601"/>
    <w:rsid w:val="00521AEE"/>
    <w:rsid w:val="005228C0"/>
    <w:rsid w:val="00522A4E"/>
    <w:rsid w:val="00522D67"/>
    <w:rsid w:val="00524C51"/>
    <w:rsid w:val="00524D3F"/>
    <w:rsid w:val="00525431"/>
    <w:rsid w:val="005256F7"/>
    <w:rsid w:val="00525CB4"/>
    <w:rsid w:val="00526038"/>
    <w:rsid w:val="00526157"/>
    <w:rsid w:val="00526233"/>
    <w:rsid w:val="00526479"/>
    <w:rsid w:val="00526CCB"/>
    <w:rsid w:val="005271DF"/>
    <w:rsid w:val="0052759B"/>
    <w:rsid w:val="00530493"/>
    <w:rsid w:val="00530E25"/>
    <w:rsid w:val="0053112F"/>
    <w:rsid w:val="00531289"/>
    <w:rsid w:val="00531421"/>
    <w:rsid w:val="00532246"/>
    <w:rsid w:val="005328FF"/>
    <w:rsid w:val="00532BEB"/>
    <w:rsid w:val="00533759"/>
    <w:rsid w:val="00534130"/>
    <w:rsid w:val="005347F2"/>
    <w:rsid w:val="00535A76"/>
    <w:rsid w:val="00535C55"/>
    <w:rsid w:val="0053619F"/>
    <w:rsid w:val="005363A7"/>
    <w:rsid w:val="005364EE"/>
    <w:rsid w:val="00536637"/>
    <w:rsid w:val="00536994"/>
    <w:rsid w:val="005369C7"/>
    <w:rsid w:val="00537678"/>
    <w:rsid w:val="00540FD2"/>
    <w:rsid w:val="00541D1C"/>
    <w:rsid w:val="00541E77"/>
    <w:rsid w:val="005425E6"/>
    <w:rsid w:val="00542924"/>
    <w:rsid w:val="00542A65"/>
    <w:rsid w:val="00542A66"/>
    <w:rsid w:val="00542BC0"/>
    <w:rsid w:val="00542DC6"/>
    <w:rsid w:val="0054357B"/>
    <w:rsid w:val="00544A39"/>
    <w:rsid w:val="00544C92"/>
    <w:rsid w:val="00544D1E"/>
    <w:rsid w:val="00544E11"/>
    <w:rsid w:val="00544E84"/>
    <w:rsid w:val="00544F05"/>
    <w:rsid w:val="005452DD"/>
    <w:rsid w:val="00545A46"/>
    <w:rsid w:val="00545D04"/>
    <w:rsid w:val="00545EA8"/>
    <w:rsid w:val="0054613C"/>
    <w:rsid w:val="005463C2"/>
    <w:rsid w:val="00546550"/>
    <w:rsid w:val="005468FB"/>
    <w:rsid w:val="00546D92"/>
    <w:rsid w:val="00546DF0"/>
    <w:rsid w:val="00546EAF"/>
    <w:rsid w:val="0054714C"/>
    <w:rsid w:val="00550993"/>
    <w:rsid w:val="005510A1"/>
    <w:rsid w:val="00551148"/>
    <w:rsid w:val="0055142B"/>
    <w:rsid w:val="00551A02"/>
    <w:rsid w:val="00551B20"/>
    <w:rsid w:val="00553692"/>
    <w:rsid w:val="005539F7"/>
    <w:rsid w:val="00553DB0"/>
    <w:rsid w:val="00553FB0"/>
    <w:rsid w:val="00555606"/>
    <w:rsid w:val="005561D4"/>
    <w:rsid w:val="00557B06"/>
    <w:rsid w:val="005605D2"/>
    <w:rsid w:val="00560709"/>
    <w:rsid w:val="0056090E"/>
    <w:rsid w:val="005613F7"/>
    <w:rsid w:val="00561854"/>
    <w:rsid w:val="00561AC4"/>
    <w:rsid w:val="00561DF9"/>
    <w:rsid w:val="00563250"/>
    <w:rsid w:val="005639AA"/>
    <w:rsid w:val="00563B6E"/>
    <w:rsid w:val="00563BE1"/>
    <w:rsid w:val="00563EFD"/>
    <w:rsid w:val="005641AE"/>
    <w:rsid w:val="00564F2D"/>
    <w:rsid w:val="0056547A"/>
    <w:rsid w:val="00565638"/>
    <w:rsid w:val="00565CDB"/>
    <w:rsid w:val="00565D91"/>
    <w:rsid w:val="0056627D"/>
    <w:rsid w:val="005667B7"/>
    <w:rsid w:val="00567A9C"/>
    <w:rsid w:val="0057123A"/>
    <w:rsid w:val="005717DE"/>
    <w:rsid w:val="00572B13"/>
    <w:rsid w:val="00572D95"/>
    <w:rsid w:val="00573DBC"/>
    <w:rsid w:val="00574256"/>
    <w:rsid w:val="005744AE"/>
    <w:rsid w:val="00574706"/>
    <w:rsid w:val="00574CF6"/>
    <w:rsid w:val="00574EDE"/>
    <w:rsid w:val="005752EC"/>
    <w:rsid w:val="0057566A"/>
    <w:rsid w:val="005757C0"/>
    <w:rsid w:val="0057596A"/>
    <w:rsid w:val="00575A86"/>
    <w:rsid w:val="00575D85"/>
    <w:rsid w:val="00575F35"/>
    <w:rsid w:val="005764F8"/>
    <w:rsid w:val="0057656A"/>
    <w:rsid w:val="0057656C"/>
    <w:rsid w:val="00576C39"/>
    <w:rsid w:val="005771CB"/>
    <w:rsid w:val="005773EC"/>
    <w:rsid w:val="00577446"/>
    <w:rsid w:val="00577753"/>
    <w:rsid w:val="00577F06"/>
    <w:rsid w:val="00577FB7"/>
    <w:rsid w:val="00580229"/>
    <w:rsid w:val="00580629"/>
    <w:rsid w:val="0058087E"/>
    <w:rsid w:val="00581199"/>
    <w:rsid w:val="00581715"/>
    <w:rsid w:val="00581A9B"/>
    <w:rsid w:val="00581C4E"/>
    <w:rsid w:val="00582356"/>
    <w:rsid w:val="00582A9A"/>
    <w:rsid w:val="00582B3C"/>
    <w:rsid w:val="00582F42"/>
    <w:rsid w:val="00583AE4"/>
    <w:rsid w:val="005847E0"/>
    <w:rsid w:val="00584820"/>
    <w:rsid w:val="00584E3C"/>
    <w:rsid w:val="005854E1"/>
    <w:rsid w:val="005854EF"/>
    <w:rsid w:val="00585B55"/>
    <w:rsid w:val="00585C01"/>
    <w:rsid w:val="00586107"/>
    <w:rsid w:val="00586304"/>
    <w:rsid w:val="0058681F"/>
    <w:rsid w:val="005870C3"/>
    <w:rsid w:val="00587360"/>
    <w:rsid w:val="00587769"/>
    <w:rsid w:val="00587C48"/>
    <w:rsid w:val="00590120"/>
    <w:rsid w:val="005906AE"/>
    <w:rsid w:val="00590D40"/>
    <w:rsid w:val="0059135B"/>
    <w:rsid w:val="005919ED"/>
    <w:rsid w:val="00591C5E"/>
    <w:rsid w:val="00592011"/>
    <w:rsid w:val="00592666"/>
    <w:rsid w:val="00592E0A"/>
    <w:rsid w:val="005954AC"/>
    <w:rsid w:val="005954E1"/>
    <w:rsid w:val="00595E76"/>
    <w:rsid w:val="0059632A"/>
    <w:rsid w:val="00597960"/>
    <w:rsid w:val="005A07B1"/>
    <w:rsid w:val="005A0F8A"/>
    <w:rsid w:val="005A1148"/>
    <w:rsid w:val="005A12C9"/>
    <w:rsid w:val="005A1371"/>
    <w:rsid w:val="005A1910"/>
    <w:rsid w:val="005A1A34"/>
    <w:rsid w:val="005A2514"/>
    <w:rsid w:val="005A32BA"/>
    <w:rsid w:val="005A376D"/>
    <w:rsid w:val="005A3D50"/>
    <w:rsid w:val="005A46D1"/>
    <w:rsid w:val="005A4AC6"/>
    <w:rsid w:val="005A4E75"/>
    <w:rsid w:val="005A4F50"/>
    <w:rsid w:val="005A507A"/>
    <w:rsid w:val="005A53EB"/>
    <w:rsid w:val="005A6971"/>
    <w:rsid w:val="005B0A39"/>
    <w:rsid w:val="005B14FD"/>
    <w:rsid w:val="005B1C1C"/>
    <w:rsid w:val="005B1CFB"/>
    <w:rsid w:val="005B2212"/>
    <w:rsid w:val="005B24F5"/>
    <w:rsid w:val="005B29C0"/>
    <w:rsid w:val="005B2D3A"/>
    <w:rsid w:val="005B3C5A"/>
    <w:rsid w:val="005B484B"/>
    <w:rsid w:val="005B5963"/>
    <w:rsid w:val="005B6734"/>
    <w:rsid w:val="005B6828"/>
    <w:rsid w:val="005B6A8D"/>
    <w:rsid w:val="005B6B3D"/>
    <w:rsid w:val="005B6F08"/>
    <w:rsid w:val="005B6FB7"/>
    <w:rsid w:val="005B727D"/>
    <w:rsid w:val="005C09A6"/>
    <w:rsid w:val="005C09FD"/>
    <w:rsid w:val="005C1D5B"/>
    <w:rsid w:val="005C2903"/>
    <w:rsid w:val="005C296D"/>
    <w:rsid w:val="005C339C"/>
    <w:rsid w:val="005C341C"/>
    <w:rsid w:val="005C3616"/>
    <w:rsid w:val="005C36CB"/>
    <w:rsid w:val="005C3744"/>
    <w:rsid w:val="005C3C9A"/>
    <w:rsid w:val="005C4AAA"/>
    <w:rsid w:val="005C5489"/>
    <w:rsid w:val="005C57F9"/>
    <w:rsid w:val="005C5E3B"/>
    <w:rsid w:val="005C60B5"/>
    <w:rsid w:val="005C654F"/>
    <w:rsid w:val="005C74B2"/>
    <w:rsid w:val="005C7630"/>
    <w:rsid w:val="005C768B"/>
    <w:rsid w:val="005C773A"/>
    <w:rsid w:val="005D0735"/>
    <w:rsid w:val="005D0C52"/>
    <w:rsid w:val="005D113E"/>
    <w:rsid w:val="005D1DE4"/>
    <w:rsid w:val="005D27E2"/>
    <w:rsid w:val="005D655F"/>
    <w:rsid w:val="005D6CAB"/>
    <w:rsid w:val="005D7495"/>
    <w:rsid w:val="005D763A"/>
    <w:rsid w:val="005D78B7"/>
    <w:rsid w:val="005D791F"/>
    <w:rsid w:val="005D7AD8"/>
    <w:rsid w:val="005E0397"/>
    <w:rsid w:val="005E0676"/>
    <w:rsid w:val="005E08A7"/>
    <w:rsid w:val="005E1D31"/>
    <w:rsid w:val="005E3E9D"/>
    <w:rsid w:val="005E5330"/>
    <w:rsid w:val="005E53FA"/>
    <w:rsid w:val="005E5461"/>
    <w:rsid w:val="005E56C0"/>
    <w:rsid w:val="005E6037"/>
    <w:rsid w:val="005E6523"/>
    <w:rsid w:val="005E7A49"/>
    <w:rsid w:val="005F16BD"/>
    <w:rsid w:val="005F1710"/>
    <w:rsid w:val="005F17C5"/>
    <w:rsid w:val="005F29A3"/>
    <w:rsid w:val="005F325B"/>
    <w:rsid w:val="005F35FE"/>
    <w:rsid w:val="005F4617"/>
    <w:rsid w:val="005F5780"/>
    <w:rsid w:val="005F6618"/>
    <w:rsid w:val="005F67F3"/>
    <w:rsid w:val="005F69FA"/>
    <w:rsid w:val="005F6BCD"/>
    <w:rsid w:val="005F71B3"/>
    <w:rsid w:val="00600E34"/>
    <w:rsid w:val="006012B3"/>
    <w:rsid w:val="00602033"/>
    <w:rsid w:val="00604136"/>
    <w:rsid w:val="006046D8"/>
    <w:rsid w:val="006046E1"/>
    <w:rsid w:val="00604994"/>
    <w:rsid w:val="00604B10"/>
    <w:rsid w:val="00604C3C"/>
    <w:rsid w:val="00604CA8"/>
    <w:rsid w:val="00605A62"/>
    <w:rsid w:val="00605E3D"/>
    <w:rsid w:val="00606339"/>
    <w:rsid w:val="00606E01"/>
    <w:rsid w:val="00606ECC"/>
    <w:rsid w:val="00606F91"/>
    <w:rsid w:val="0060721B"/>
    <w:rsid w:val="006076D5"/>
    <w:rsid w:val="00610403"/>
    <w:rsid w:val="006109CC"/>
    <w:rsid w:val="00610CD3"/>
    <w:rsid w:val="00611BA8"/>
    <w:rsid w:val="0061248D"/>
    <w:rsid w:val="00612BA1"/>
    <w:rsid w:val="00612E69"/>
    <w:rsid w:val="0061356E"/>
    <w:rsid w:val="0061369A"/>
    <w:rsid w:val="00613953"/>
    <w:rsid w:val="00613A12"/>
    <w:rsid w:val="00613A84"/>
    <w:rsid w:val="00613C22"/>
    <w:rsid w:val="00613C37"/>
    <w:rsid w:val="006147C5"/>
    <w:rsid w:val="0061517C"/>
    <w:rsid w:val="00615A71"/>
    <w:rsid w:val="00615C74"/>
    <w:rsid w:val="006160C7"/>
    <w:rsid w:val="006164FF"/>
    <w:rsid w:val="00616B33"/>
    <w:rsid w:val="00617566"/>
    <w:rsid w:val="00617CAF"/>
    <w:rsid w:val="00617F75"/>
    <w:rsid w:val="0062009C"/>
    <w:rsid w:val="0062034C"/>
    <w:rsid w:val="00620766"/>
    <w:rsid w:val="00620A34"/>
    <w:rsid w:val="006210A8"/>
    <w:rsid w:val="0062176C"/>
    <w:rsid w:val="00621A24"/>
    <w:rsid w:val="006221E3"/>
    <w:rsid w:val="00622365"/>
    <w:rsid w:val="006227EF"/>
    <w:rsid w:val="0062292E"/>
    <w:rsid w:val="00622948"/>
    <w:rsid w:val="00622E3A"/>
    <w:rsid w:val="00623F5A"/>
    <w:rsid w:val="00623FBD"/>
    <w:rsid w:val="00624871"/>
    <w:rsid w:val="00624DFC"/>
    <w:rsid w:val="0062514F"/>
    <w:rsid w:val="006253AF"/>
    <w:rsid w:val="0062593B"/>
    <w:rsid w:val="00625BE3"/>
    <w:rsid w:val="00625C8E"/>
    <w:rsid w:val="00626126"/>
    <w:rsid w:val="00626678"/>
    <w:rsid w:val="00626868"/>
    <w:rsid w:val="00626C50"/>
    <w:rsid w:val="006274E9"/>
    <w:rsid w:val="006278B1"/>
    <w:rsid w:val="00627D5A"/>
    <w:rsid w:val="00627DB7"/>
    <w:rsid w:val="00627F44"/>
    <w:rsid w:val="0063016C"/>
    <w:rsid w:val="006310BC"/>
    <w:rsid w:val="006313DB"/>
    <w:rsid w:val="006321EE"/>
    <w:rsid w:val="0063254D"/>
    <w:rsid w:val="0063273A"/>
    <w:rsid w:val="00633521"/>
    <w:rsid w:val="006344C0"/>
    <w:rsid w:val="00634963"/>
    <w:rsid w:val="006351B3"/>
    <w:rsid w:val="0063530A"/>
    <w:rsid w:val="0063579D"/>
    <w:rsid w:val="0063580A"/>
    <w:rsid w:val="006358D6"/>
    <w:rsid w:val="00635B56"/>
    <w:rsid w:val="0063602E"/>
    <w:rsid w:val="006368FD"/>
    <w:rsid w:val="00637137"/>
    <w:rsid w:val="00637349"/>
    <w:rsid w:val="006374EA"/>
    <w:rsid w:val="006375B6"/>
    <w:rsid w:val="00637824"/>
    <w:rsid w:val="006378C9"/>
    <w:rsid w:val="006401CB"/>
    <w:rsid w:val="00640BF2"/>
    <w:rsid w:val="00640E0F"/>
    <w:rsid w:val="00641284"/>
    <w:rsid w:val="00643189"/>
    <w:rsid w:val="006433C2"/>
    <w:rsid w:val="006436AF"/>
    <w:rsid w:val="006438C4"/>
    <w:rsid w:val="00643BD7"/>
    <w:rsid w:val="006448D7"/>
    <w:rsid w:val="006449C1"/>
    <w:rsid w:val="00646CB9"/>
    <w:rsid w:val="006471F4"/>
    <w:rsid w:val="00647474"/>
    <w:rsid w:val="00647D56"/>
    <w:rsid w:val="00647D78"/>
    <w:rsid w:val="006507F4"/>
    <w:rsid w:val="006512B1"/>
    <w:rsid w:val="00651921"/>
    <w:rsid w:val="006520C8"/>
    <w:rsid w:val="00652177"/>
    <w:rsid w:val="0065257E"/>
    <w:rsid w:val="00652780"/>
    <w:rsid w:val="00652B69"/>
    <w:rsid w:val="00652EA4"/>
    <w:rsid w:val="00653FE4"/>
    <w:rsid w:val="006540B2"/>
    <w:rsid w:val="0065417B"/>
    <w:rsid w:val="0065510B"/>
    <w:rsid w:val="006552EE"/>
    <w:rsid w:val="00655605"/>
    <w:rsid w:val="00655A39"/>
    <w:rsid w:val="00655B89"/>
    <w:rsid w:val="006562B2"/>
    <w:rsid w:val="006565EC"/>
    <w:rsid w:val="00657006"/>
    <w:rsid w:val="006601F0"/>
    <w:rsid w:val="0066234C"/>
    <w:rsid w:val="006628F1"/>
    <w:rsid w:val="0066295F"/>
    <w:rsid w:val="0066352E"/>
    <w:rsid w:val="0066463A"/>
    <w:rsid w:val="00665476"/>
    <w:rsid w:val="0066565F"/>
    <w:rsid w:val="006657D3"/>
    <w:rsid w:val="00665B79"/>
    <w:rsid w:val="00667089"/>
    <w:rsid w:val="0066796D"/>
    <w:rsid w:val="00667BA3"/>
    <w:rsid w:val="00670BA4"/>
    <w:rsid w:val="00671092"/>
    <w:rsid w:val="006725FF"/>
    <w:rsid w:val="00672780"/>
    <w:rsid w:val="0067287E"/>
    <w:rsid w:val="00673AF7"/>
    <w:rsid w:val="00673FF7"/>
    <w:rsid w:val="00674D62"/>
    <w:rsid w:val="00674DD3"/>
    <w:rsid w:val="0067748A"/>
    <w:rsid w:val="006816F2"/>
    <w:rsid w:val="006827B4"/>
    <w:rsid w:val="006828B9"/>
    <w:rsid w:val="006828C3"/>
    <w:rsid w:val="00682943"/>
    <w:rsid w:val="00682DBF"/>
    <w:rsid w:val="0068311E"/>
    <w:rsid w:val="00683C75"/>
    <w:rsid w:val="006844D1"/>
    <w:rsid w:val="00684A8B"/>
    <w:rsid w:val="00684AE5"/>
    <w:rsid w:val="00685FAC"/>
    <w:rsid w:val="00686628"/>
    <w:rsid w:val="006869D9"/>
    <w:rsid w:val="00686F90"/>
    <w:rsid w:val="00687164"/>
    <w:rsid w:val="0068748F"/>
    <w:rsid w:val="006902D6"/>
    <w:rsid w:val="006903D9"/>
    <w:rsid w:val="00690B19"/>
    <w:rsid w:val="0069120C"/>
    <w:rsid w:val="00691D36"/>
    <w:rsid w:val="00693332"/>
    <w:rsid w:val="00693BA9"/>
    <w:rsid w:val="00693D4A"/>
    <w:rsid w:val="00694631"/>
    <w:rsid w:val="00694712"/>
    <w:rsid w:val="00695436"/>
    <w:rsid w:val="00695817"/>
    <w:rsid w:val="00695B36"/>
    <w:rsid w:val="00695EC3"/>
    <w:rsid w:val="0069663F"/>
    <w:rsid w:val="006971BB"/>
    <w:rsid w:val="006A0194"/>
    <w:rsid w:val="006A01C9"/>
    <w:rsid w:val="006A0FBB"/>
    <w:rsid w:val="006A1066"/>
    <w:rsid w:val="006A1466"/>
    <w:rsid w:val="006A1684"/>
    <w:rsid w:val="006A2B25"/>
    <w:rsid w:val="006A344E"/>
    <w:rsid w:val="006A3450"/>
    <w:rsid w:val="006A358D"/>
    <w:rsid w:val="006A398A"/>
    <w:rsid w:val="006A39F7"/>
    <w:rsid w:val="006A3AE7"/>
    <w:rsid w:val="006A4766"/>
    <w:rsid w:val="006A5A9E"/>
    <w:rsid w:val="006A5AA2"/>
    <w:rsid w:val="006A5C07"/>
    <w:rsid w:val="006A6A10"/>
    <w:rsid w:val="006A6CC7"/>
    <w:rsid w:val="006B0960"/>
    <w:rsid w:val="006B1E2E"/>
    <w:rsid w:val="006B30F6"/>
    <w:rsid w:val="006B3169"/>
    <w:rsid w:val="006B3571"/>
    <w:rsid w:val="006B3D54"/>
    <w:rsid w:val="006B4698"/>
    <w:rsid w:val="006B52A7"/>
    <w:rsid w:val="006B57E2"/>
    <w:rsid w:val="006B580F"/>
    <w:rsid w:val="006B5C94"/>
    <w:rsid w:val="006B6C2A"/>
    <w:rsid w:val="006B6D06"/>
    <w:rsid w:val="006B6D37"/>
    <w:rsid w:val="006B71D6"/>
    <w:rsid w:val="006B76B3"/>
    <w:rsid w:val="006C04FA"/>
    <w:rsid w:val="006C0837"/>
    <w:rsid w:val="006C127B"/>
    <w:rsid w:val="006C1ADD"/>
    <w:rsid w:val="006C1B41"/>
    <w:rsid w:val="006C3262"/>
    <w:rsid w:val="006C336D"/>
    <w:rsid w:val="006C3CE3"/>
    <w:rsid w:val="006C43D2"/>
    <w:rsid w:val="006C45C8"/>
    <w:rsid w:val="006C6318"/>
    <w:rsid w:val="006C65D5"/>
    <w:rsid w:val="006C6C80"/>
    <w:rsid w:val="006C7733"/>
    <w:rsid w:val="006D0BD3"/>
    <w:rsid w:val="006D0D5A"/>
    <w:rsid w:val="006D271B"/>
    <w:rsid w:val="006D2CEB"/>
    <w:rsid w:val="006D3077"/>
    <w:rsid w:val="006D3871"/>
    <w:rsid w:val="006D3B09"/>
    <w:rsid w:val="006D42AA"/>
    <w:rsid w:val="006D4387"/>
    <w:rsid w:val="006D4F8F"/>
    <w:rsid w:val="006D598D"/>
    <w:rsid w:val="006D5A91"/>
    <w:rsid w:val="006D63FA"/>
    <w:rsid w:val="006D657F"/>
    <w:rsid w:val="006D6B3C"/>
    <w:rsid w:val="006D77A6"/>
    <w:rsid w:val="006D7860"/>
    <w:rsid w:val="006D7ADD"/>
    <w:rsid w:val="006D7F99"/>
    <w:rsid w:val="006E05E7"/>
    <w:rsid w:val="006E067D"/>
    <w:rsid w:val="006E0C7E"/>
    <w:rsid w:val="006E1287"/>
    <w:rsid w:val="006E139D"/>
    <w:rsid w:val="006E2B3C"/>
    <w:rsid w:val="006E41BB"/>
    <w:rsid w:val="006E4F9B"/>
    <w:rsid w:val="006E5225"/>
    <w:rsid w:val="006E5F90"/>
    <w:rsid w:val="006E61FA"/>
    <w:rsid w:val="006E6466"/>
    <w:rsid w:val="006E6AAA"/>
    <w:rsid w:val="006E74CE"/>
    <w:rsid w:val="006F038C"/>
    <w:rsid w:val="006F0464"/>
    <w:rsid w:val="006F14F6"/>
    <w:rsid w:val="006F2099"/>
    <w:rsid w:val="006F2408"/>
    <w:rsid w:val="006F3806"/>
    <w:rsid w:val="006F4189"/>
    <w:rsid w:val="006F4704"/>
    <w:rsid w:val="006F4B57"/>
    <w:rsid w:val="006F57FE"/>
    <w:rsid w:val="006F5A02"/>
    <w:rsid w:val="006F5D99"/>
    <w:rsid w:val="006F6B99"/>
    <w:rsid w:val="006F722C"/>
    <w:rsid w:val="006F7D97"/>
    <w:rsid w:val="00700617"/>
    <w:rsid w:val="00701618"/>
    <w:rsid w:val="007022C0"/>
    <w:rsid w:val="00702454"/>
    <w:rsid w:val="0070247A"/>
    <w:rsid w:val="00702F1A"/>
    <w:rsid w:val="0070328C"/>
    <w:rsid w:val="007037B6"/>
    <w:rsid w:val="00703A1F"/>
    <w:rsid w:val="00703B41"/>
    <w:rsid w:val="00703E18"/>
    <w:rsid w:val="00704113"/>
    <w:rsid w:val="00705125"/>
    <w:rsid w:val="00705B95"/>
    <w:rsid w:val="00705C90"/>
    <w:rsid w:val="007063EB"/>
    <w:rsid w:val="00706602"/>
    <w:rsid w:val="007069A1"/>
    <w:rsid w:val="00706E0B"/>
    <w:rsid w:val="007071E3"/>
    <w:rsid w:val="00707300"/>
    <w:rsid w:val="00707458"/>
    <w:rsid w:val="00707935"/>
    <w:rsid w:val="00711B45"/>
    <w:rsid w:val="007120D6"/>
    <w:rsid w:val="00712616"/>
    <w:rsid w:val="0071390F"/>
    <w:rsid w:val="00714374"/>
    <w:rsid w:val="0071491F"/>
    <w:rsid w:val="0071599D"/>
    <w:rsid w:val="00715ADB"/>
    <w:rsid w:val="00716291"/>
    <w:rsid w:val="007172D2"/>
    <w:rsid w:val="007173E7"/>
    <w:rsid w:val="007204CF"/>
    <w:rsid w:val="00720707"/>
    <w:rsid w:val="00720951"/>
    <w:rsid w:val="00720A47"/>
    <w:rsid w:val="0072136A"/>
    <w:rsid w:val="007218C1"/>
    <w:rsid w:val="00721C7E"/>
    <w:rsid w:val="00722281"/>
    <w:rsid w:val="007227A3"/>
    <w:rsid w:val="00722CAC"/>
    <w:rsid w:val="00722E16"/>
    <w:rsid w:val="0072330E"/>
    <w:rsid w:val="007244E5"/>
    <w:rsid w:val="0072491D"/>
    <w:rsid w:val="00724D65"/>
    <w:rsid w:val="00725154"/>
    <w:rsid w:val="007251FF"/>
    <w:rsid w:val="0072524B"/>
    <w:rsid w:val="00725A44"/>
    <w:rsid w:val="00725D45"/>
    <w:rsid w:val="00727DD7"/>
    <w:rsid w:val="00727F20"/>
    <w:rsid w:val="007300C3"/>
    <w:rsid w:val="00730B4A"/>
    <w:rsid w:val="00731036"/>
    <w:rsid w:val="00731756"/>
    <w:rsid w:val="007317ED"/>
    <w:rsid w:val="00731F1F"/>
    <w:rsid w:val="00732650"/>
    <w:rsid w:val="0073298A"/>
    <w:rsid w:val="00732C78"/>
    <w:rsid w:val="007338C1"/>
    <w:rsid w:val="00733988"/>
    <w:rsid w:val="0073449C"/>
    <w:rsid w:val="00734B72"/>
    <w:rsid w:val="00734BF8"/>
    <w:rsid w:val="00735370"/>
    <w:rsid w:val="00735A6E"/>
    <w:rsid w:val="0073607D"/>
    <w:rsid w:val="007364ED"/>
    <w:rsid w:val="00736915"/>
    <w:rsid w:val="00736ECC"/>
    <w:rsid w:val="007409E0"/>
    <w:rsid w:val="00740B25"/>
    <w:rsid w:val="007414C8"/>
    <w:rsid w:val="00741877"/>
    <w:rsid w:val="00741A39"/>
    <w:rsid w:val="0074266D"/>
    <w:rsid w:val="00742CCE"/>
    <w:rsid w:val="00742E34"/>
    <w:rsid w:val="00742E77"/>
    <w:rsid w:val="00742FDB"/>
    <w:rsid w:val="0074352B"/>
    <w:rsid w:val="00743C01"/>
    <w:rsid w:val="00744274"/>
    <w:rsid w:val="00744723"/>
    <w:rsid w:val="0074481A"/>
    <w:rsid w:val="00744EF4"/>
    <w:rsid w:val="007452A5"/>
    <w:rsid w:val="00745745"/>
    <w:rsid w:val="00745874"/>
    <w:rsid w:val="00745BB2"/>
    <w:rsid w:val="007465DC"/>
    <w:rsid w:val="00746E28"/>
    <w:rsid w:val="00747710"/>
    <w:rsid w:val="0074794D"/>
    <w:rsid w:val="00747A1B"/>
    <w:rsid w:val="00747A2C"/>
    <w:rsid w:val="00750002"/>
    <w:rsid w:val="007502A7"/>
    <w:rsid w:val="00750816"/>
    <w:rsid w:val="00750819"/>
    <w:rsid w:val="00750826"/>
    <w:rsid w:val="00750883"/>
    <w:rsid w:val="00751203"/>
    <w:rsid w:val="00751218"/>
    <w:rsid w:val="0075188B"/>
    <w:rsid w:val="00752D27"/>
    <w:rsid w:val="00752E94"/>
    <w:rsid w:val="0075306C"/>
    <w:rsid w:val="00753214"/>
    <w:rsid w:val="00753B0E"/>
    <w:rsid w:val="00753F11"/>
    <w:rsid w:val="00754F96"/>
    <w:rsid w:val="0075586B"/>
    <w:rsid w:val="007559C9"/>
    <w:rsid w:val="00755E2C"/>
    <w:rsid w:val="00756563"/>
    <w:rsid w:val="007565F5"/>
    <w:rsid w:val="00757186"/>
    <w:rsid w:val="00757B7B"/>
    <w:rsid w:val="00757CC6"/>
    <w:rsid w:val="00757CF9"/>
    <w:rsid w:val="00760B7E"/>
    <w:rsid w:val="00760D38"/>
    <w:rsid w:val="007616CA"/>
    <w:rsid w:val="00761E6D"/>
    <w:rsid w:val="00762957"/>
    <w:rsid w:val="007629B0"/>
    <w:rsid w:val="00763667"/>
    <w:rsid w:val="00763E0C"/>
    <w:rsid w:val="007640F6"/>
    <w:rsid w:val="00765370"/>
    <w:rsid w:val="00765739"/>
    <w:rsid w:val="00766BFB"/>
    <w:rsid w:val="00766DEC"/>
    <w:rsid w:val="00767B63"/>
    <w:rsid w:val="00767FA3"/>
    <w:rsid w:val="00770878"/>
    <w:rsid w:val="00770B16"/>
    <w:rsid w:val="00770E22"/>
    <w:rsid w:val="00771988"/>
    <w:rsid w:val="007720AA"/>
    <w:rsid w:val="0077263B"/>
    <w:rsid w:val="007729F2"/>
    <w:rsid w:val="00772B2A"/>
    <w:rsid w:val="00773480"/>
    <w:rsid w:val="0077401E"/>
    <w:rsid w:val="00774BFA"/>
    <w:rsid w:val="0077537B"/>
    <w:rsid w:val="007756B4"/>
    <w:rsid w:val="00775A9D"/>
    <w:rsid w:val="00775E06"/>
    <w:rsid w:val="0077618A"/>
    <w:rsid w:val="00776350"/>
    <w:rsid w:val="00776970"/>
    <w:rsid w:val="00777321"/>
    <w:rsid w:val="00777371"/>
    <w:rsid w:val="00780249"/>
    <w:rsid w:val="007804AF"/>
    <w:rsid w:val="007808EB"/>
    <w:rsid w:val="00780E89"/>
    <w:rsid w:val="00781810"/>
    <w:rsid w:val="00781CAB"/>
    <w:rsid w:val="00782951"/>
    <w:rsid w:val="00782D2F"/>
    <w:rsid w:val="007831CD"/>
    <w:rsid w:val="0078327D"/>
    <w:rsid w:val="0078407E"/>
    <w:rsid w:val="0078409E"/>
    <w:rsid w:val="007846C1"/>
    <w:rsid w:val="007849AE"/>
    <w:rsid w:val="00784A08"/>
    <w:rsid w:val="00784E2E"/>
    <w:rsid w:val="00787B4B"/>
    <w:rsid w:val="0079009C"/>
    <w:rsid w:val="00790495"/>
    <w:rsid w:val="00790AA2"/>
    <w:rsid w:val="007923CD"/>
    <w:rsid w:val="00792F5C"/>
    <w:rsid w:val="00793120"/>
    <w:rsid w:val="00793CC3"/>
    <w:rsid w:val="00793E4B"/>
    <w:rsid w:val="00794365"/>
    <w:rsid w:val="007947BB"/>
    <w:rsid w:val="0079510A"/>
    <w:rsid w:val="00795863"/>
    <w:rsid w:val="007974B6"/>
    <w:rsid w:val="007A0071"/>
    <w:rsid w:val="007A0AD3"/>
    <w:rsid w:val="007A182C"/>
    <w:rsid w:val="007A201C"/>
    <w:rsid w:val="007A2A43"/>
    <w:rsid w:val="007A2E23"/>
    <w:rsid w:val="007A32DC"/>
    <w:rsid w:val="007A3A3A"/>
    <w:rsid w:val="007A3E59"/>
    <w:rsid w:val="007A46E8"/>
    <w:rsid w:val="007A497C"/>
    <w:rsid w:val="007A5343"/>
    <w:rsid w:val="007A5E30"/>
    <w:rsid w:val="007A73EF"/>
    <w:rsid w:val="007B1938"/>
    <w:rsid w:val="007B1C9B"/>
    <w:rsid w:val="007B3E9A"/>
    <w:rsid w:val="007B499C"/>
    <w:rsid w:val="007B4BFB"/>
    <w:rsid w:val="007B56EA"/>
    <w:rsid w:val="007B57C5"/>
    <w:rsid w:val="007B5963"/>
    <w:rsid w:val="007B6E12"/>
    <w:rsid w:val="007B7F69"/>
    <w:rsid w:val="007C057D"/>
    <w:rsid w:val="007C1D3C"/>
    <w:rsid w:val="007C37A3"/>
    <w:rsid w:val="007C3803"/>
    <w:rsid w:val="007C3BB1"/>
    <w:rsid w:val="007C4351"/>
    <w:rsid w:val="007C476A"/>
    <w:rsid w:val="007C521B"/>
    <w:rsid w:val="007C5251"/>
    <w:rsid w:val="007C58E0"/>
    <w:rsid w:val="007C5D2F"/>
    <w:rsid w:val="007C5F8D"/>
    <w:rsid w:val="007C68BC"/>
    <w:rsid w:val="007C6EFE"/>
    <w:rsid w:val="007C71E8"/>
    <w:rsid w:val="007C77A1"/>
    <w:rsid w:val="007C7BE1"/>
    <w:rsid w:val="007D0957"/>
    <w:rsid w:val="007D09B0"/>
    <w:rsid w:val="007D0E9F"/>
    <w:rsid w:val="007D0F1E"/>
    <w:rsid w:val="007D1F16"/>
    <w:rsid w:val="007D254A"/>
    <w:rsid w:val="007D2CCF"/>
    <w:rsid w:val="007D333F"/>
    <w:rsid w:val="007D38B8"/>
    <w:rsid w:val="007D3AF4"/>
    <w:rsid w:val="007D3F73"/>
    <w:rsid w:val="007D443B"/>
    <w:rsid w:val="007D492A"/>
    <w:rsid w:val="007D4B77"/>
    <w:rsid w:val="007D516D"/>
    <w:rsid w:val="007D541E"/>
    <w:rsid w:val="007D6012"/>
    <w:rsid w:val="007D611B"/>
    <w:rsid w:val="007D66A8"/>
    <w:rsid w:val="007D6BD0"/>
    <w:rsid w:val="007D767C"/>
    <w:rsid w:val="007D77CB"/>
    <w:rsid w:val="007D7944"/>
    <w:rsid w:val="007D7A0E"/>
    <w:rsid w:val="007D7BE7"/>
    <w:rsid w:val="007E0C31"/>
    <w:rsid w:val="007E205F"/>
    <w:rsid w:val="007E283C"/>
    <w:rsid w:val="007E3576"/>
    <w:rsid w:val="007E3BD6"/>
    <w:rsid w:val="007E438C"/>
    <w:rsid w:val="007E4455"/>
    <w:rsid w:val="007E570F"/>
    <w:rsid w:val="007E5BD1"/>
    <w:rsid w:val="007E6545"/>
    <w:rsid w:val="007E6781"/>
    <w:rsid w:val="007E6FA0"/>
    <w:rsid w:val="007E7249"/>
    <w:rsid w:val="007E72FB"/>
    <w:rsid w:val="007E76FE"/>
    <w:rsid w:val="007E798A"/>
    <w:rsid w:val="007E7B3F"/>
    <w:rsid w:val="007E7C36"/>
    <w:rsid w:val="007E7E58"/>
    <w:rsid w:val="007F1CA6"/>
    <w:rsid w:val="007F1E8A"/>
    <w:rsid w:val="007F1F8B"/>
    <w:rsid w:val="007F2D35"/>
    <w:rsid w:val="007F31F5"/>
    <w:rsid w:val="007F3252"/>
    <w:rsid w:val="007F4D0E"/>
    <w:rsid w:val="007F4F76"/>
    <w:rsid w:val="007F5540"/>
    <w:rsid w:val="007F55E1"/>
    <w:rsid w:val="007F58C8"/>
    <w:rsid w:val="007F58DA"/>
    <w:rsid w:val="007F7F42"/>
    <w:rsid w:val="00800133"/>
    <w:rsid w:val="008005C8"/>
    <w:rsid w:val="0080080A"/>
    <w:rsid w:val="00800C4F"/>
    <w:rsid w:val="0080111D"/>
    <w:rsid w:val="0080132C"/>
    <w:rsid w:val="008022E1"/>
    <w:rsid w:val="00803553"/>
    <w:rsid w:val="00803BF7"/>
    <w:rsid w:val="00803DD0"/>
    <w:rsid w:val="0080474F"/>
    <w:rsid w:val="008048AB"/>
    <w:rsid w:val="00804E7B"/>
    <w:rsid w:val="008051D7"/>
    <w:rsid w:val="008056A3"/>
    <w:rsid w:val="00806052"/>
    <w:rsid w:val="00807605"/>
    <w:rsid w:val="00807B96"/>
    <w:rsid w:val="0081025B"/>
    <w:rsid w:val="00810B62"/>
    <w:rsid w:val="00810DC9"/>
    <w:rsid w:val="00810E83"/>
    <w:rsid w:val="008110B3"/>
    <w:rsid w:val="0081167A"/>
    <w:rsid w:val="00811AD3"/>
    <w:rsid w:val="00811CAC"/>
    <w:rsid w:val="00813473"/>
    <w:rsid w:val="00813D11"/>
    <w:rsid w:val="00813EA5"/>
    <w:rsid w:val="00814DB4"/>
    <w:rsid w:val="00814E14"/>
    <w:rsid w:val="00814F18"/>
    <w:rsid w:val="00815000"/>
    <w:rsid w:val="00815D35"/>
    <w:rsid w:val="00815E5E"/>
    <w:rsid w:val="008162FC"/>
    <w:rsid w:val="00816ABF"/>
    <w:rsid w:val="00817A46"/>
    <w:rsid w:val="008213F1"/>
    <w:rsid w:val="0082171F"/>
    <w:rsid w:val="008217C5"/>
    <w:rsid w:val="00821E18"/>
    <w:rsid w:val="00822648"/>
    <w:rsid w:val="0082315C"/>
    <w:rsid w:val="008234D8"/>
    <w:rsid w:val="00824344"/>
    <w:rsid w:val="008243A3"/>
    <w:rsid w:val="00824894"/>
    <w:rsid w:val="00824D19"/>
    <w:rsid w:val="008252CC"/>
    <w:rsid w:val="008255FE"/>
    <w:rsid w:val="0082581D"/>
    <w:rsid w:val="0082602E"/>
    <w:rsid w:val="0082615F"/>
    <w:rsid w:val="008267E7"/>
    <w:rsid w:val="00827C1C"/>
    <w:rsid w:val="00830FCC"/>
    <w:rsid w:val="008312D6"/>
    <w:rsid w:val="00831DEA"/>
    <w:rsid w:val="00832163"/>
    <w:rsid w:val="008327EB"/>
    <w:rsid w:val="008331AB"/>
    <w:rsid w:val="0083461D"/>
    <w:rsid w:val="00834835"/>
    <w:rsid w:val="00834938"/>
    <w:rsid w:val="00834C1E"/>
    <w:rsid w:val="00834E68"/>
    <w:rsid w:val="00834F5F"/>
    <w:rsid w:val="008357C6"/>
    <w:rsid w:val="00835E68"/>
    <w:rsid w:val="00835F78"/>
    <w:rsid w:val="0083751C"/>
    <w:rsid w:val="008378FC"/>
    <w:rsid w:val="00837ED8"/>
    <w:rsid w:val="00840D42"/>
    <w:rsid w:val="00840DD7"/>
    <w:rsid w:val="00841191"/>
    <w:rsid w:val="008412EA"/>
    <w:rsid w:val="0084154A"/>
    <w:rsid w:val="00842762"/>
    <w:rsid w:val="00842D92"/>
    <w:rsid w:val="0084332D"/>
    <w:rsid w:val="00843896"/>
    <w:rsid w:val="0084476E"/>
    <w:rsid w:val="00845A61"/>
    <w:rsid w:val="00845E91"/>
    <w:rsid w:val="0084601D"/>
    <w:rsid w:val="008467D3"/>
    <w:rsid w:val="00847049"/>
    <w:rsid w:val="008470D2"/>
    <w:rsid w:val="00850734"/>
    <w:rsid w:val="00850939"/>
    <w:rsid w:val="0085158E"/>
    <w:rsid w:val="00852118"/>
    <w:rsid w:val="00852969"/>
    <w:rsid w:val="00852A4E"/>
    <w:rsid w:val="00853279"/>
    <w:rsid w:val="00853720"/>
    <w:rsid w:val="00853E37"/>
    <w:rsid w:val="008545D7"/>
    <w:rsid w:val="008548A5"/>
    <w:rsid w:val="00854DEB"/>
    <w:rsid w:val="008574D9"/>
    <w:rsid w:val="0085769D"/>
    <w:rsid w:val="00861748"/>
    <w:rsid w:val="00861DD5"/>
    <w:rsid w:val="008620D9"/>
    <w:rsid w:val="00862F54"/>
    <w:rsid w:val="00863919"/>
    <w:rsid w:val="008640E9"/>
    <w:rsid w:val="00864B2A"/>
    <w:rsid w:val="00865F14"/>
    <w:rsid w:val="00865FC1"/>
    <w:rsid w:val="008666F6"/>
    <w:rsid w:val="008675CD"/>
    <w:rsid w:val="008679D8"/>
    <w:rsid w:val="00870312"/>
    <w:rsid w:val="00870492"/>
    <w:rsid w:val="008707AC"/>
    <w:rsid w:val="008721D1"/>
    <w:rsid w:val="00872E28"/>
    <w:rsid w:val="00872FCF"/>
    <w:rsid w:val="00873B5E"/>
    <w:rsid w:val="00873E07"/>
    <w:rsid w:val="00873E74"/>
    <w:rsid w:val="0087627C"/>
    <w:rsid w:val="00876391"/>
    <w:rsid w:val="00876D37"/>
    <w:rsid w:val="008773AF"/>
    <w:rsid w:val="0087758D"/>
    <w:rsid w:val="00877A7E"/>
    <w:rsid w:val="00880AA0"/>
    <w:rsid w:val="00880C94"/>
    <w:rsid w:val="00880E23"/>
    <w:rsid w:val="008810B3"/>
    <w:rsid w:val="0088151C"/>
    <w:rsid w:val="00881543"/>
    <w:rsid w:val="008817D9"/>
    <w:rsid w:val="008819A5"/>
    <w:rsid w:val="00882EDF"/>
    <w:rsid w:val="00883112"/>
    <w:rsid w:val="0088344B"/>
    <w:rsid w:val="00883789"/>
    <w:rsid w:val="008837CA"/>
    <w:rsid w:val="00883A84"/>
    <w:rsid w:val="00883D8A"/>
    <w:rsid w:val="0088433D"/>
    <w:rsid w:val="0088491B"/>
    <w:rsid w:val="008850B3"/>
    <w:rsid w:val="008857EC"/>
    <w:rsid w:val="00885F43"/>
    <w:rsid w:val="00886913"/>
    <w:rsid w:val="00886F39"/>
    <w:rsid w:val="008878C5"/>
    <w:rsid w:val="00887AEB"/>
    <w:rsid w:val="00890E5A"/>
    <w:rsid w:val="008913C1"/>
    <w:rsid w:val="00891566"/>
    <w:rsid w:val="00891B37"/>
    <w:rsid w:val="00891E54"/>
    <w:rsid w:val="0089221B"/>
    <w:rsid w:val="00892EFD"/>
    <w:rsid w:val="00893270"/>
    <w:rsid w:val="00893C50"/>
    <w:rsid w:val="00893D16"/>
    <w:rsid w:val="00893E77"/>
    <w:rsid w:val="00893F70"/>
    <w:rsid w:val="008943C6"/>
    <w:rsid w:val="0089537A"/>
    <w:rsid w:val="00895B68"/>
    <w:rsid w:val="0089653B"/>
    <w:rsid w:val="008968A8"/>
    <w:rsid w:val="0089699F"/>
    <w:rsid w:val="008971FF"/>
    <w:rsid w:val="0089772E"/>
    <w:rsid w:val="0089776F"/>
    <w:rsid w:val="00897DDA"/>
    <w:rsid w:val="00897FE8"/>
    <w:rsid w:val="008A03C4"/>
    <w:rsid w:val="008A0552"/>
    <w:rsid w:val="008A07BB"/>
    <w:rsid w:val="008A1336"/>
    <w:rsid w:val="008A1590"/>
    <w:rsid w:val="008A2631"/>
    <w:rsid w:val="008A26F4"/>
    <w:rsid w:val="008A2D78"/>
    <w:rsid w:val="008A33B8"/>
    <w:rsid w:val="008A376A"/>
    <w:rsid w:val="008A37BE"/>
    <w:rsid w:val="008A39E3"/>
    <w:rsid w:val="008A3A25"/>
    <w:rsid w:val="008A49B6"/>
    <w:rsid w:val="008A502C"/>
    <w:rsid w:val="008A67C7"/>
    <w:rsid w:val="008A7317"/>
    <w:rsid w:val="008B054D"/>
    <w:rsid w:val="008B0785"/>
    <w:rsid w:val="008B10CA"/>
    <w:rsid w:val="008B10D9"/>
    <w:rsid w:val="008B1ED5"/>
    <w:rsid w:val="008B2019"/>
    <w:rsid w:val="008B2B66"/>
    <w:rsid w:val="008B33A6"/>
    <w:rsid w:val="008B3F12"/>
    <w:rsid w:val="008B3F1B"/>
    <w:rsid w:val="008B4B04"/>
    <w:rsid w:val="008B4B63"/>
    <w:rsid w:val="008B4EA0"/>
    <w:rsid w:val="008B63D9"/>
    <w:rsid w:val="008B6B47"/>
    <w:rsid w:val="008B707A"/>
    <w:rsid w:val="008B74C6"/>
    <w:rsid w:val="008B7825"/>
    <w:rsid w:val="008C0B58"/>
    <w:rsid w:val="008C28F9"/>
    <w:rsid w:val="008C2AF7"/>
    <w:rsid w:val="008C3813"/>
    <w:rsid w:val="008C383D"/>
    <w:rsid w:val="008C3C68"/>
    <w:rsid w:val="008C3D49"/>
    <w:rsid w:val="008C5040"/>
    <w:rsid w:val="008C59EE"/>
    <w:rsid w:val="008C5AC6"/>
    <w:rsid w:val="008C6077"/>
    <w:rsid w:val="008C73FF"/>
    <w:rsid w:val="008C75F2"/>
    <w:rsid w:val="008C7978"/>
    <w:rsid w:val="008C7BFF"/>
    <w:rsid w:val="008D0075"/>
    <w:rsid w:val="008D072F"/>
    <w:rsid w:val="008D0BA0"/>
    <w:rsid w:val="008D18F7"/>
    <w:rsid w:val="008D1EAF"/>
    <w:rsid w:val="008D2072"/>
    <w:rsid w:val="008D223E"/>
    <w:rsid w:val="008D25B6"/>
    <w:rsid w:val="008D3198"/>
    <w:rsid w:val="008D4563"/>
    <w:rsid w:val="008D5754"/>
    <w:rsid w:val="008D57B4"/>
    <w:rsid w:val="008D5D64"/>
    <w:rsid w:val="008D6077"/>
    <w:rsid w:val="008D66B9"/>
    <w:rsid w:val="008D6AB7"/>
    <w:rsid w:val="008D6EED"/>
    <w:rsid w:val="008D7649"/>
    <w:rsid w:val="008D7BC9"/>
    <w:rsid w:val="008D7D82"/>
    <w:rsid w:val="008D7DE2"/>
    <w:rsid w:val="008E036A"/>
    <w:rsid w:val="008E0F48"/>
    <w:rsid w:val="008E14EE"/>
    <w:rsid w:val="008E1516"/>
    <w:rsid w:val="008E19AA"/>
    <w:rsid w:val="008E2EB5"/>
    <w:rsid w:val="008E3104"/>
    <w:rsid w:val="008E3C92"/>
    <w:rsid w:val="008E3EB1"/>
    <w:rsid w:val="008E3EF9"/>
    <w:rsid w:val="008E4119"/>
    <w:rsid w:val="008E47B1"/>
    <w:rsid w:val="008E5353"/>
    <w:rsid w:val="008E5AF4"/>
    <w:rsid w:val="008E5C1C"/>
    <w:rsid w:val="008E5FC1"/>
    <w:rsid w:val="008E63EC"/>
    <w:rsid w:val="008E6B66"/>
    <w:rsid w:val="008E6E9B"/>
    <w:rsid w:val="008E7131"/>
    <w:rsid w:val="008E72AE"/>
    <w:rsid w:val="008E75FC"/>
    <w:rsid w:val="008E790D"/>
    <w:rsid w:val="008F042A"/>
    <w:rsid w:val="008F0433"/>
    <w:rsid w:val="008F0C02"/>
    <w:rsid w:val="008F18E5"/>
    <w:rsid w:val="008F1BEC"/>
    <w:rsid w:val="008F2B9A"/>
    <w:rsid w:val="008F2BB6"/>
    <w:rsid w:val="008F2CD7"/>
    <w:rsid w:val="008F2FD2"/>
    <w:rsid w:val="008F37ED"/>
    <w:rsid w:val="008F41B4"/>
    <w:rsid w:val="008F4E28"/>
    <w:rsid w:val="008F50C0"/>
    <w:rsid w:val="008F52A3"/>
    <w:rsid w:val="008F5698"/>
    <w:rsid w:val="008F598A"/>
    <w:rsid w:val="008F5CF9"/>
    <w:rsid w:val="008F5D81"/>
    <w:rsid w:val="008F6358"/>
    <w:rsid w:val="008F7445"/>
    <w:rsid w:val="0090037B"/>
    <w:rsid w:val="00900766"/>
    <w:rsid w:val="009014E6"/>
    <w:rsid w:val="009015BF"/>
    <w:rsid w:val="009022C8"/>
    <w:rsid w:val="009028C7"/>
    <w:rsid w:val="00903017"/>
    <w:rsid w:val="009030A8"/>
    <w:rsid w:val="009045D9"/>
    <w:rsid w:val="00904A96"/>
    <w:rsid w:val="00905731"/>
    <w:rsid w:val="00905CD3"/>
    <w:rsid w:val="00906273"/>
    <w:rsid w:val="00906F57"/>
    <w:rsid w:val="00907287"/>
    <w:rsid w:val="00910DA9"/>
    <w:rsid w:val="009116CD"/>
    <w:rsid w:val="00911859"/>
    <w:rsid w:val="009120A0"/>
    <w:rsid w:val="00912DE4"/>
    <w:rsid w:val="00913049"/>
    <w:rsid w:val="0091328C"/>
    <w:rsid w:val="009134D0"/>
    <w:rsid w:val="009136EB"/>
    <w:rsid w:val="0091410C"/>
    <w:rsid w:val="009141E6"/>
    <w:rsid w:val="00914382"/>
    <w:rsid w:val="009151FF"/>
    <w:rsid w:val="0091559E"/>
    <w:rsid w:val="00915E9C"/>
    <w:rsid w:val="0091615E"/>
    <w:rsid w:val="00916502"/>
    <w:rsid w:val="00916D23"/>
    <w:rsid w:val="00916D98"/>
    <w:rsid w:val="009171E9"/>
    <w:rsid w:val="00917A51"/>
    <w:rsid w:val="00920653"/>
    <w:rsid w:val="00920C10"/>
    <w:rsid w:val="0092148B"/>
    <w:rsid w:val="00921C72"/>
    <w:rsid w:val="0092223A"/>
    <w:rsid w:val="009225AD"/>
    <w:rsid w:val="00922924"/>
    <w:rsid w:val="00922D68"/>
    <w:rsid w:val="00923C53"/>
    <w:rsid w:val="00924183"/>
    <w:rsid w:val="00924691"/>
    <w:rsid w:val="0092510D"/>
    <w:rsid w:val="009254F2"/>
    <w:rsid w:val="0092668B"/>
    <w:rsid w:val="00926B00"/>
    <w:rsid w:val="00926D85"/>
    <w:rsid w:val="0092726E"/>
    <w:rsid w:val="00927419"/>
    <w:rsid w:val="00927523"/>
    <w:rsid w:val="009303B8"/>
    <w:rsid w:val="00930ACB"/>
    <w:rsid w:val="009312EB"/>
    <w:rsid w:val="0093164F"/>
    <w:rsid w:val="009319E6"/>
    <w:rsid w:val="00931C56"/>
    <w:rsid w:val="00932229"/>
    <w:rsid w:val="0093236C"/>
    <w:rsid w:val="00932B18"/>
    <w:rsid w:val="00932E05"/>
    <w:rsid w:val="00932FFB"/>
    <w:rsid w:val="009336D0"/>
    <w:rsid w:val="00933728"/>
    <w:rsid w:val="0093382D"/>
    <w:rsid w:val="00933A2A"/>
    <w:rsid w:val="009344F6"/>
    <w:rsid w:val="00934522"/>
    <w:rsid w:val="00934E9F"/>
    <w:rsid w:val="009359D9"/>
    <w:rsid w:val="0093604D"/>
    <w:rsid w:val="0093710E"/>
    <w:rsid w:val="00937CA2"/>
    <w:rsid w:val="00940190"/>
    <w:rsid w:val="00940EAF"/>
    <w:rsid w:val="0094168E"/>
    <w:rsid w:val="00941A10"/>
    <w:rsid w:val="00941A51"/>
    <w:rsid w:val="00941D86"/>
    <w:rsid w:val="00941E85"/>
    <w:rsid w:val="00942234"/>
    <w:rsid w:val="00942B7B"/>
    <w:rsid w:val="00943786"/>
    <w:rsid w:val="009444A0"/>
    <w:rsid w:val="0094452C"/>
    <w:rsid w:val="009456CD"/>
    <w:rsid w:val="00945C6C"/>
    <w:rsid w:val="00945E00"/>
    <w:rsid w:val="00947A3A"/>
    <w:rsid w:val="00947BD7"/>
    <w:rsid w:val="00950783"/>
    <w:rsid w:val="0095087B"/>
    <w:rsid w:val="009509E1"/>
    <w:rsid w:val="009511AD"/>
    <w:rsid w:val="00951ABF"/>
    <w:rsid w:val="00951EA6"/>
    <w:rsid w:val="009521B7"/>
    <w:rsid w:val="009522D1"/>
    <w:rsid w:val="00952EAC"/>
    <w:rsid w:val="00952F0D"/>
    <w:rsid w:val="00952F1C"/>
    <w:rsid w:val="00953057"/>
    <w:rsid w:val="00953162"/>
    <w:rsid w:val="009531B1"/>
    <w:rsid w:val="00953733"/>
    <w:rsid w:val="00953B33"/>
    <w:rsid w:val="00953E5E"/>
    <w:rsid w:val="00954036"/>
    <w:rsid w:val="0095432E"/>
    <w:rsid w:val="00955A08"/>
    <w:rsid w:val="00955C03"/>
    <w:rsid w:val="00956836"/>
    <w:rsid w:val="0095689A"/>
    <w:rsid w:val="009568AE"/>
    <w:rsid w:val="009569F2"/>
    <w:rsid w:val="00956AA7"/>
    <w:rsid w:val="0095773F"/>
    <w:rsid w:val="00957D20"/>
    <w:rsid w:val="009601E6"/>
    <w:rsid w:val="009603AF"/>
    <w:rsid w:val="009604AC"/>
    <w:rsid w:val="009609A9"/>
    <w:rsid w:val="00960D79"/>
    <w:rsid w:val="00960F45"/>
    <w:rsid w:val="00961094"/>
    <w:rsid w:val="00961630"/>
    <w:rsid w:val="0096213B"/>
    <w:rsid w:val="009629D6"/>
    <w:rsid w:val="00962E0E"/>
    <w:rsid w:val="009635D5"/>
    <w:rsid w:val="009639D7"/>
    <w:rsid w:val="00964692"/>
    <w:rsid w:val="00964831"/>
    <w:rsid w:val="00964CD9"/>
    <w:rsid w:val="0096544B"/>
    <w:rsid w:val="00965896"/>
    <w:rsid w:val="00966A0A"/>
    <w:rsid w:val="00966AA0"/>
    <w:rsid w:val="00966C06"/>
    <w:rsid w:val="00966E65"/>
    <w:rsid w:val="0096729F"/>
    <w:rsid w:val="009672C6"/>
    <w:rsid w:val="00967DB8"/>
    <w:rsid w:val="00967E93"/>
    <w:rsid w:val="00970484"/>
    <w:rsid w:val="0097071C"/>
    <w:rsid w:val="00970C2A"/>
    <w:rsid w:val="009725F3"/>
    <w:rsid w:val="009731CB"/>
    <w:rsid w:val="009736A2"/>
    <w:rsid w:val="00975161"/>
    <w:rsid w:val="009758E0"/>
    <w:rsid w:val="0097632C"/>
    <w:rsid w:val="009764AA"/>
    <w:rsid w:val="00976EDA"/>
    <w:rsid w:val="0097773B"/>
    <w:rsid w:val="009777ED"/>
    <w:rsid w:val="00980AAA"/>
    <w:rsid w:val="00980F37"/>
    <w:rsid w:val="00980FB2"/>
    <w:rsid w:val="00981E33"/>
    <w:rsid w:val="00982417"/>
    <w:rsid w:val="009824D5"/>
    <w:rsid w:val="009827C3"/>
    <w:rsid w:val="00982B01"/>
    <w:rsid w:val="0098342E"/>
    <w:rsid w:val="00983A5D"/>
    <w:rsid w:val="0098444D"/>
    <w:rsid w:val="009851A1"/>
    <w:rsid w:val="0098557C"/>
    <w:rsid w:val="00986354"/>
    <w:rsid w:val="00986837"/>
    <w:rsid w:val="009869AF"/>
    <w:rsid w:val="0098780C"/>
    <w:rsid w:val="00990211"/>
    <w:rsid w:val="0099092A"/>
    <w:rsid w:val="00990E13"/>
    <w:rsid w:val="00991F5D"/>
    <w:rsid w:val="00992979"/>
    <w:rsid w:val="00992EA3"/>
    <w:rsid w:val="00993C31"/>
    <w:rsid w:val="00993E99"/>
    <w:rsid w:val="00994389"/>
    <w:rsid w:val="009948D7"/>
    <w:rsid w:val="009955FD"/>
    <w:rsid w:val="00995DD3"/>
    <w:rsid w:val="00995FEC"/>
    <w:rsid w:val="009979E4"/>
    <w:rsid w:val="009A0EB0"/>
    <w:rsid w:val="009A1E12"/>
    <w:rsid w:val="009A2251"/>
    <w:rsid w:val="009A2D40"/>
    <w:rsid w:val="009A3623"/>
    <w:rsid w:val="009A36F2"/>
    <w:rsid w:val="009A3F53"/>
    <w:rsid w:val="009A4770"/>
    <w:rsid w:val="009A4EE1"/>
    <w:rsid w:val="009A55AE"/>
    <w:rsid w:val="009A5612"/>
    <w:rsid w:val="009A59F4"/>
    <w:rsid w:val="009A617C"/>
    <w:rsid w:val="009A63FC"/>
    <w:rsid w:val="009A6C08"/>
    <w:rsid w:val="009A6C15"/>
    <w:rsid w:val="009A6F1C"/>
    <w:rsid w:val="009A771A"/>
    <w:rsid w:val="009B03AC"/>
    <w:rsid w:val="009B29F5"/>
    <w:rsid w:val="009B2BEB"/>
    <w:rsid w:val="009B2E94"/>
    <w:rsid w:val="009B3167"/>
    <w:rsid w:val="009B3326"/>
    <w:rsid w:val="009B34A8"/>
    <w:rsid w:val="009B4B67"/>
    <w:rsid w:val="009B5096"/>
    <w:rsid w:val="009B52CA"/>
    <w:rsid w:val="009B5575"/>
    <w:rsid w:val="009B5700"/>
    <w:rsid w:val="009B6300"/>
    <w:rsid w:val="009B6A48"/>
    <w:rsid w:val="009B6C9A"/>
    <w:rsid w:val="009B7073"/>
    <w:rsid w:val="009B711E"/>
    <w:rsid w:val="009B7422"/>
    <w:rsid w:val="009B7EA1"/>
    <w:rsid w:val="009B7FAB"/>
    <w:rsid w:val="009C0CAC"/>
    <w:rsid w:val="009C0E67"/>
    <w:rsid w:val="009C0EF6"/>
    <w:rsid w:val="009C14B1"/>
    <w:rsid w:val="009C1F8E"/>
    <w:rsid w:val="009C3114"/>
    <w:rsid w:val="009C31DF"/>
    <w:rsid w:val="009C3773"/>
    <w:rsid w:val="009C3AC8"/>
    <w:rsid w:val="009C3E2D"/>
    <w:rsid w:val="009C51AE"/>
    <w:rsid w:val="009C545E"/>
    <w:rsid w:val="009C59D7"/>
    <w:rsid w:val="009C6171"/>
    <w:rsid w:val="009C62F5"/>
    <w:rsid w:val="009C6C2F"/>
    <w:rsid w:val="009C73FF"/>
    <w:rsid w:val="009C7421"/>
    <w:rsid w:val="009C7953"/>
    <w:rsid w:val="009D05E6"/>
    <w:rsid w:val="009D241F"/>
    <w:rsid w:val="009D2A98"/>
    <w:rsid w:val="009D439A"/>
    <w:rsid w:val="009D4C0F"/>
    <w:rsid w:val="009D526D"/>
    <w:rsid w:val="009D5DBC"/>
    <w:rsid w:val="009D5DD8"/>
    <w:rsid w:val="009D60B6"/>
    <w:rsid w:val="009D61DF"/>
    <w:rsid w:val="009D6635"/>
    <w:rsid w:val="009D67A2"/>
    <w:rsid w:val="009D67E2"/>
    <w:rsid w:val="009D6FD5"/>
    <w:rsid w:val="009D70F6"/>
    <w:rsid w:val="009D71A8"/>
    <w:rsid w:val="009E08C3"/>
    <w:rsid w:val="009E18FC"/>
    <w:rsid w:val="009E2455"/>
    <w:rsid w:val="009E2995"/>
    <w:rsid w:val="009E2D8B"/>
    <w:rsid w:val="009E4FFF"/>
    <w:rsid w:val="009E52C7"/>
    <w:rsid w:val="009E5D21"/>
    <w:rsid w:val="009E661D"/>
    <w:rsid w:val="009E7F03"/>
    <w:rsid w:val="009E7FEB"/>
    <w:rsid w:val="009F0CB7"/>
    <w:rsid w:val="009F0CCE"/>
    <w:rsid w:val="009F2DD4"/>
    <w:rsid w:val="009F2FF4"/>
    <w:rsid w:val="009F32AF"/>
    <w:rsid w:val="009F39EA"/>
    <w:rsid w:val="009F3BAF"/>
    <w:rsid w:val="009F3D8F"/>
    <w:rsid w:val="009F3E12"/>
    <w:rsid w:val="009F4C9F"/>
    <w:rsid w:val="009F5053"/>
    <w:rsid w:val="009F5764"/>
    <w:rsid w:val="009F59A0"/>
    <w:rsid w:val="009F6AF8"/>
    <w:rsid w:val="009F6BD0"/>
    <w:rsid w:val="009F6FAB"/>
    <w:rsid w:val="009F72B6"/>
    <w:rsid w:val="009F7FD9"/>
    <w:rsid w:val="00A00723"/>
    <w:rsid w:val="00A007C6"/>
    <w:rsid w:val="00A014B4"/>
    <w:rsid w:val="00A01960"/>
    <w:rsid w:val="00A01B33"/>
    <w:rsid w:val="00A02ACD"/>
    <w:rsid w:val="00A02C04"/>
    <w:rsid w:val="00A02FA4"/>
    <w:rsid w:val="00A05559"/>
    <w:rsid w:val="00A0565F"/>
    <w:rsid w:val="00A06BDE"/>
    <w:rsid w:val="00A06D7A"/>
    <w:rsid w:val="00A10063"/>
    <w:rsid w:val="00A1017A"/>
    <w:rsid w:val="00A107EE"/>
    <w:rsid w:val="00A11131"/>
    <w:rsid w:val="00A1297E"/>
    <w:rsid w:val="00A13244"/>
    <w:rsid w:val="00A15C9E"/>
    <w:rsid w:val="00A15D02"/>
    <w:rsid w:val="00A1763C"/>
    <w:rsid w:val="00A203C4"/>
    <w:rsid w:val="00A204C9"/>
    <w:rsid w:val="00A20B10"/>
    <w:rsid w:val="00A2102B"/>
    <w:rsid w:val="00A213EB"/>
    <w:rsid w:val="00A21A61"/>
    <w:rsid w:val="00A21DB4"/>
    <w:rsid w:val="00A21F8C"/>
    <w:rsid w:val="00A221DD"/>
    <w:rsid w:val="00A2255B"/>
    <w:rsid w:val="00A22970"/>
    <w:rsid w:val="00A22FCB"/>
    <w:rsid w:val="00A23295"/>
    <w:rsid w:val="00A24349"/>
    <w:rsid w:val="00A254FD"/>
    <w:rsid w:val="00A2765F"/>
    <w:rsid w:val="00A27A48"/>
    <w:rsid w:val="00A30201"/>
    <w:rsid w:val="00A303A0"/>
    <w:rsid w:val="00A308DD"/>
    <w:rsid w:val="00A31127"/>
    <w:rsid w:val="00A31D3D"/>
    <w:rsid w:val="00A329CF"/>
    <w:rsid w:val="00A32F57"/>
    <w:rsid w:val="00A33004"/>
    <w:rsid w:val="00A33487"/>
    <w:rsid w:val="00A334C3"/>
    <w:rsid w:val="00A33755"/>
    <w:rsid w:val="00A33CE7"/>
    <w:rsid w:val="00A33CF6"/>
    <w:rsid w:val="00A33FE5"/>
    <w:rsid w:val="00A34E7F"/>
    <w:rsid w:val="00A35799"/>
    <w:rsid w:val="00A35E98"/>
    <w:rsid w:val="00A4004A"/>
    <w:rsid w:val="00A404DF"/>
    <w:rsid w:val="00A40AFF"/>
    <w:rsid w:val="00A40EFF"/>
    <w:rsid w:val="00A413C4"/>
    <w:rsid w:val="00A41510"/>
    <w:rsid w:val="00A418C6"/>
    <w:rsid w:val="00A41AD4"/>
    <w:rsid w:val="00A41EFC"/>
    <w:rsid w:val="00A42678"/>
    <w:rsid w:val="00A42C23"/>
    <w:rsid w:val="00A42C41"/>
    <w:rsid w:val="00A42CE3"/>
    <w:rsid w:val="00A43399"/>
    <w:rsid w:val="00A43DE1"/>
    <w:rsid w:val="00A440F3"/>
    <w:rsid w:val="00A4540D"/>
    <w:rsid w:val="00A45FE9"/>
    <w:rsid w:val="00A46238"/>
    <w:rsid w:val="00A46F5C"/>
    <w:rsid w:val="00A4723C"/>
    <w:rsid w:val="00A50273"/>
    <w:rsid w:val="00A50D9E"/>
    <w:rsid w:val="00A51A8C"/>
    <w:rsid w:val="00A51CE6"/>
    <w:rsid w:val="00A527A3"/>
    <w:rsid w:val="00A52911"/>
    <w:rsid w:val="00A52988"/>
    <w:rsid w:val="00A53382"/>
    <w:rsid w:val="00A53529"/>
    <w:rsid w:val="00A535B3"/>
    <w:rsid w:val="00A53DCE"/>
    <w:rsid w:val="00A54816"/>
    <w:rsid w:val="00A559E6"/>
    <w:rsid w:val="00A56642"/>
    <w:rsid w:val="00A56CB0"/>
    <w:rsid w:val="00A5792D"/>
    <w:rsid w:val="00A57A1E"/>
    <w:rsid w:val="00A57C22"/>
    <w:rsid w:val="00A60785"/>
    <w:rsid w:val="00A60FFB"/>
    <w:rsid w:val="00A61824"/>
    <w:rsid w:val="00A619F3"/>
    <w:rsid w:val="00A622CF"/>
    <w:rsid w:val="00A62A5E"/>
    <w:rsid w:val="00A62B1B"/>
    <w:rsid w:val="00A648EB"/>
    <w:rsid w:val="00A64C33"/>
    <w:rsid w:val="00A652FD"/>
    <w:rsid w:val="00A65631"/>
    <w:rsid w:val="00A6567E"/>
    <w:rsid w:val="00A65C83"/>
    <w:rsid w:val="00A66AFF"/>
    <w:rsid w:val="00A66E30"/>
    <w:rsid w:val="00A67AF2"/>
    <w:rsid w:val="00A7108E"/>
    <w:rsid w:val="00A71C51"/>
    <w:rsid w:val="00A72F26"/>
    <w:rsid w:val="00A73204"/>
    <w:rsid w:val="00A73C19"/>
    <w:rsid w:val="00A73E93"/>
    <w:rsid w:val="00A74088"/>
    <w:rsid w:val="00A74409"/>
    <w:rsid w:val="00A7466E"/>
    <w:rsid w:val="00A7468A"/>
    <w:rsid w:val="00A75387"/>
    <w:rsid w:val="00A7594A"/>
    <w:rsid w:val="00A7685E"/>
    <w:rsid w:val="00A771D3"/>
    <w:rsid w:val="00A77355"/>
    <w:rsid w:val="00A77750"/>
    <w:rsid w:val="00A77CC1"/>
    <w:rsid w:val="00A77D60"/>
    <w:rsid w:val="00A77E8C"/>
    <w:rsid w:val="00A80B6F"/>
    <w:rsid w:val="00A81DAA"/>
    <w:rsid w:val="00A8201A"/>
    <w:rsid w:val="00A82594"/>
    <w:rsid w:val="00A83DF3"/>
    <w:rsid w:val="00A84924"/>
    <w:rsid w:val="00A84A1B"/>
    <w:rsid w:val="00A84A84"/>
    <w:rsid w:val="00A84AE9"/>
    <w:rsid w:val="00A84E88"/>
    <w:rsid w:val="00A85A03"/>
    <w:rsid w:val="00A86556"/>
    <w:rsid w:val="00A865E5"/>
    <w:rsid w:val="00A86F6D"/>
    <w:rsid w:val="00A870FE"/>
    <w:rsid w:val="00A90E4B"/>
    <w:rsid w:val="00A92173"/>
    <w:rsid w:val="00A92442"/>
    <w:rsid w:val="00A92752"/>
    <w:rsid w:val="00A9280D"/>
    <w:rsid w:val="00A93E3E"/>
    <w:rsid w:val="00A94CC3"/>
    <w:rsid w:val="00A94CFF"/>
    <w:rsid w:val="00A94E5B"/>
    <w:rsid w:val="00A95445"/>
    <w:rsid w:val="00A9551C"/>
    <w:rsid w:val="00A95A0B"/>
    <w:rsid w:val="00A95A71"/>
    <w:rsid w:val="00A95B12"/>
    <w:rsid w:val="00A977C6"/>
    <w:rsid w:val="00A979E9"/>
    <w:rsid w:val="00AA005B"/>
    <w:rsid w:val="00AA08E2"/>
    <w:rsid w:val="00AA09FD"/>
    <w:rsid w:val="00AA0BB4"/>
    <w:rsid w:val="00AA0CD3"/>
    <w:rsid w:val="00AA113F"/>
    <w:rsid w:val="00AA19DC"/>
    <w:rsid w:val="00AA235C"/>
    <w:rsid w:val="00AA2F62"/>
    <w:rsid w:val="00AA3898"/>
    <w:rsid w:val="00AA392F"/>
    <w:rsid w:val="00AA5AA7"/>
    <w:rsid w:val="00AA5F00"/>
    <w:rsid w:val="00AA62E2"/>
    <w:rsid w:val="00AA66E7"/>
    <w:rsid w:val="00AA6FCF"/>
    <w:rsid w:val="00AA7253"/>
    <w:rsid w:val="00AA74A5"/>
    <w:rsid w:val="00AA7CB5"/>
    <w:rsid w:val="00AA7EAE"/>
    <w:rsid w:val="00AB0442"/>
    <w:rsid w:val="00AB158E"/>
    <w:rsid w:val="00AB18F7"/>
    <w:rsid w:val="00AB1A21"/>
    <w:rsid w:val="00AB1ED5"/>
    <w:rsid w:val="00AB208F"/>
    <w:rsid w:val="00AB2580"/>
    <w:rsid w:val="00AB2B72"/>
    <w:rsid w:val="00AB2E81"/>
    <w:rsid w:val="00AB3C55"/>
    <w:rsid w:val="00AB5387"/>
    <w:rsid w:val="00AB5626"/>
    <w:rsid w:val="00AB5F3C"/>
    <w:rsid w:val="00AB5F7C"/>
    <w:rsid w:val="00AB7813"/>
    <w:rsid w:val="00AC0F05"/>
    <w:rsid w:val="00AC1880"/>
    <w:rsid w:val="00AC1E1C"/>
    <w:rsid w:val="00AC3819"/>
    <w:rsid w:val="00AC3B1C"/>
    <w:rsid w:val="00AC4666"/>
    <w:rsid w:val="00AC4952"/>
    <w:rsid w:val="00AC4B2E"/>
    <w:rsid w:val="00AC4E6D"/>
    <w:rsid w:val="00AC608D"/>
    <w:rsid w:val="00AC7399"/>
    <w:rsid w:val="00AC78B6"/>
    <w:rsid w:val="00AD0299"/>
    <w:rsid w:val="00AD0962"/>
    <w:rsid w:val="00AD1169"/>
    <w:rsid w:val="00AD19CE"/>
    <w:rsid w:val="00AD1E9E"/>
    <w:rsid w:val="00AD2AA4"/>
    <w:rsid w:val="00AD2F9B"/>
    <w:rsid w:val="00AD3AC1"/>
    <w:rsid w:val="00AD41E4"/>
    <w:rsid w:val="00AD4284"/>
    <w:rsid w:val="00AD4408"/>
    <w:rsid w:val="00AD440F"/>
    <w:rsid w:val="00AD5779"/>
    <w:rsid w:val="00AD58FE"/>
    <w:rsid w:val="00AD5AF3"/>
    <w:rsid w:val="00AD5C53"/>
    <w:rsid w:val="00AD612D"/>
    <w:rsid w:val="00AD7219"/>
    <w:rsid w:val="00AD7701"/>
    <w:rsid w:val="00AD7CD5"/>
    <w:rsid w:val="00AE07E9"/>
    <w:rsid w:val="00AE08CA"/>
    <w:rsid w:val="00AE0F1E"/>
    <w:rsid w:val="00AE1281"/>
    <w:rsid w:val="00AE1F7A"/>
    <w:rsid w:val="00AE3A66"/>
    <w:rsid w:val="00AE3D8E"/>
    <w:rsid w:val="00AE4469"/>
    <w:rsid w:val="00AE4540"/>
    <w:rsid w:val="00AE5604"/>
    <w:rsid w:val="00AE569F"/>
    <w:rsid w:val="00AE56E5"/>
    <w:rsid w:val="00AE6160"/>
    <w:rsid w:val="00AE673D"/>
    <w:rsid w:val="00AE75CC"/>
    <w:rsid w:val="00AF1B51"/>
    <w:rsid w:val="00AF1B61"/>
    <w:rsid w:val="00AF1E1F"/>
    <w:rsid w:val="00AF2860"/>
    <w:rsid w:val="00AF2A79"/>
    <w:rsid w:val="00AF3166"/>
    <w:rsid w:val="00AF41A6"/>
    <w:rsid w:val="00AF4288"/>
    <w:rsid w:val="00AF42B7"/>
    <w:rsid w:val="00AF46A2"/>
    <w:rsid w:val="00AF4749"/>
    <w:rsid w:val="00AF4DAA"/>
    <w:rsid w:val="00AF6E57"/>
    <w:rsid w:val="00AF7396"/>
    <w:rsid w:val="00AF748C"/>
    <w:rsid w:val="00B000DC"/>
    <w:rsid w:val="00B002BA"/>
    <w:rsid w:val="00B00D9C"/>
    <w:rsid w:val="00B00E1C"/>
    <w:rsid w:val="00B0113D"/>
    <w:rsid w:val="00B01306"/>
    <w:rsid w:val="00B01AC5"/>
    <w:rsid w:val="00B027D1"/>
    <w:rsid w:val="00B0297A"/>
    <w:rsid w:val="00B02C9C"/>
    <w:rsid w:val="00B03757"/>
    <w:rsid w:val="00B03B73"/>
    <w:rsid w:val="00B04B07"/>
    <w:rsid w:val="00B04D1B"/>
    <w:rsid w:val="00B0518C"/>
    <w:rsid w:val="00B05F00"/>
    <w:rsid w:val="00B05F98"/>
    <w:rsid w:val="00B06760"/>
    <w:rsid w:val="00B077C8"/>
    <w:rsid w:val="00B100F8"/>
    <w:rsid w:val="00B102FF"/>
    <w:rsid w:val="00B104DE"/>
    <w:rsid w:val="00B10A2C"/>
    <w:rsid w:val="00B10C87"/>
    <w:rsid w:val="00B10CB4"/>
    <w:rsid w:val="00B110D6"/>
    <w:rsid w:val="00B11211"/>
    <w:rsid w:val="00B124EE"/>
    <w:rsid w:val="00B12596"/>
    <w:rsid w:val="00B13217"/>
    <w:rsid w:val="00B13479"/>
    <w:rsid w:val="00B160F6"/>
    <w:rsid w:val="00B16192"/>
    <w:rsid w:val="00B1705B"/>
    <w:rsid w:val="00B17CCC"/>
    <w:rsid w:val="00B17D7F"/>
    <w:rsid w:val="00B17D8F"/>
    <w:rsid w:val="00B20B69"/>
    <w:rsid w:val="00B217ED"/>
    <w:rsid w:val="00B2189B"/>
    <w:rsid w:val="00B2275B"/>
    <w:rsid w:val="00B23123"/>
    <w:rsid w:val="00B2364B"/>
    <w:rsid w:val="00B23AED"/>
    <w:rsid w:val="00B23B79"/>
    <w:rsid w:val="00B24EC8"/>
    <w:rsid w:val="00B25292"/>
    <w:rsid w:val="00B25FA5"/>
    <w:rsid w:val="00B261B8"/>
    <w:rsid w:val="00B265D4"/>
    <w:rsid w:val="00B26623"/>
    <w:rsid w:val="00B2673A"/>
    <w:rsid w:val="00B2673C"/>
    <w:rsid w:val="00B26BB5"/>
    <w:rsid w:val="00B2718A"/>
    <w:rsid w:val="00B31FCC"/>
    <w:rsid w:val="00B3295E"/>
    <w:rsid w:val="00B33350"/>
    <w:rsid w:val="00B3364B"/>
    <w:rsid w:val="00B343B4"/>
    <w:rsid w:val="00B35C49"/>
    <w:rsid w:val="00B3722F"/>
    <w:rsid w:val="00B37837"/>
    <w:rsid w:val="00B4051A"/>
    <w:rsid w:val="00B40D3B"/>
    <w:rsid w:val="00B40E50"/>
    <w:rsid w:val="00B412A4"/>
    <w:rsid w:val="00B416DF"/>
    <w:rsid w:val="00B41BEB"/>
    <w:rsid w:val="00B41E0F"/>
    <w:rsid w:val="00B41FC1"/>
    <w:rsid w:val="00B42A45"/>
    <w:rsid w:val="00B42A98"/>
    <w:rsid w:val="00B42D28"/>
    <w:rsid w:val="00B4367A"/>
    <w:rsid w:val="00B43CCA"/>
    <w:rsid w:val="00B44E63"/>
    <w:rsid w:val="00B44EB5"/>
    <w:rsid w:val="00B45000"/>
    <w:rsid w:val="00B45A64"/>
    <w:rsid w:val="00B45EF4"/>
    <w:rsid w:val="00B50D1F"/>
    <w:rsid w:val="00B51EF6"/>
    <w:rsid w:val="00B52049"/>
    <w:rsid w:val="00B52979"/>
    <w:rsid w:val="00B52DE6"/>
    <w:rsid w:val="00B52F69"/>
    <w:rsid w:val="00B52F7B"/>
    <w:rsid w:val="00B53D15"/>
    <w:rsid w:val="00B53E71"/>
    <w:rsid w:val="00B53FC8"/>
    <w:rsid w:val="00B55E0A"/>
    <w:rsid w:val="00B561E0"/>
    <w:rsid w:val="00B566EE"/>
    <w:rsid w:val="00B57709"/>
    <w:rsid w:val="00B578F9"/>
    <w:rsid w:val="00B57CB2"/>
    <w:rsid w:val="00B61272"/>
    <w:rsid w:val="00B613B3"/>
    <w:rsid w:val="00B61676"/>
    <w:rsid w:val="00B61E0A"/>
    <w:rsid w:val="00B627A4"/>
    <w:rsid w:val="00B62F91"/>
    <w:rsid w:val="00B631DA"/>
    <w:rsid w:val="00B638F6"/>
    <w:rsid w:val="00B63A6C"/>
    <w:rsid w:val="00B642F8"/>
    <w:rsid w:val="00B65197"/>
    <w:rsid w:val="00B65BB0"/>
    <w:rsid w:val="00B65FA0"/>
    <w:rsid w:val="00B664B1"/>
    <w:rsid w:val="00B66532"/>
    <w:rsid w:val="00B66A0B"/>
    <w:rsid w:val="00B66F8F"/>
    <w:rsid w:val="00B6724E"/>
    <w:rsid w:val="00B67824"/>
    <w:rsid w:val="00B6787C"/>
    <w:rsid w:val="00B67D4E"/>
    <w:rsid w:val="00B709C9"/>
    <w:rsid w:val="00B719F5"/>
    <w:rsid w:val="00B71E05"/>
    <w:rsid w:val="00B729AC"/>
    <w:rsid w:val="00B735D2"/>
    <w:rsid w:val="00B73A9D"/>
    <w:rsid w:val="00B74527"/>
    <w:rsid w:val="00B745AE"/>
    <w:rsid w:val="00B756EF"/>
    <w:rsid w:val="00B75742"/>
    <w:rsid w:val="00B75D2B"/>
    <w:rsid w:val="00B763C9"/>
    <w:rsid w:val="00B77122"/>
    <w:rsid w:val="00B772FF"/>
    <w:rsid w:val="00B77A93"/>
    <w:rsid w:val="00B77E00"/>
    <w:rsid w:val="00B77F87"/>
    <w:rsid w:val="00B81372"/>
    <w:rsid w:val="00B82221"/>
    <w:rsid w:val="00B82298"/>
    <w:rsid w:val="00B8260B"/>
    <w:rsid w:val="00B82AC2"/>
    <w:rsid w:val="00B831C5"/>
    <w:rsid w:val="00B834BB"/>
    <w:rsid w:val="00B8397C"/>
    <w:rsid w:val="00B83C3B"/>
    <w:rsid w:val="00B84873"/>
    <w:rsid w:val="00B84FF1"/>
    <w:rsid w:val="00B8561F"/>
    <w:rsid w:val="00B867B2"/>
    <w:rsid w:val="00B86B3E"/>
    <w:rsid w:val="00B86DD4"/>
    <w:rsid w:val="00B87449"/>
    <w:rsid w:val="00B876E3"/>
    <w:rsid w:val="00B90968"/>
    <w:rsid w:val="00B9144A"/>
    <w:rsid w:val="00B91619"/>
    <w:rsid w:val="00B94BD1"/>
    <w:rsid w:val="00B94E5F"/>
    <w:rsid w:val="00B94F3C"/>
    <w:rsid w:val="00B95533"/>
    <w:rsid w:val="00B95926"/>
    <w:rsid w:val="00B95D99"/>
    <w:rsid w:val="00B96155"/>
    <w:rsid w:val="00B96382"/>
    <w:rsid w:val="00B963CB"/>
    <w:rsid w:val="00B96DB1"/>
    <w:rsid w:val="00B97495"/>
    <w:rsid w:val="00B97D42"/>
    <w:rsid w:val="00B97D57"/>
    <w:rsid w:val="00BA0A24"/>
    <w:rsid w:val="00BA0D74"/>
    <w:rsid w:val="00BA0DB7"/>
    <w:rsid w:val="00BA1155"/>
    <w:rsid w:val="00BA14D8"/>
    <w:rsid w:val="00BA194E"/>
    <w:rsid w:val="00BA2440"/>
    <w:rsid w:val="00BA2933"/>
    <w:rsid w:val="00BA2BB8"/>
    <w:rsid w:val="00BA2D7A"/>
    <w:rsid w:val="00BA31E7"/>
    <w:rsid w:val="00BA3C6C"/>
    <w:rsid w:val="00BA3E58"/>
    <w:rsid w:val="00BA3F59"/>
    <w:rsid w:val="00BA4164"/>
    <w:rsid w:val="00BA4421"/>
    <w:rsid w:val="00BA44F6"/>
    <w:rsid w:val="00BA55AC"/>
    <w:rsid w:val="00BA5DF0"/>
    <w:rsid w:val="00BA5E1C"/>
    <w:rsid w:val="00BA67DF"/>
    <w:rsid w:val="00BA68DB"/>
    <w:rsid w:val="00BA6E90"/>
    <w:rsid w:val="00BA6FB9"/>
    <w:rsid w:val="00BA70E2"/>
    <w:rsid w:val="00BA711B"/>
    <w:rsid w:val="00BA7990"/>
    <w:rsid w:val="00BB0D2C"/>
    <w:rsid w:val="00BB1D4E"/>
    <w:rsid w:val="00BB3057"/>
    <w:rsid w:val="00BB35E2"/>
    <w:rsid w:val="00BB3B5B"/>
    <w:rsid w:val="00BB427C"/>
    <w:rsid w:val="00BB45AB"/>
    <w:rsid w:val="00BB4D08"/>
    <w:rsid w:val="00BB6F9A"/>
    <w:rsid w:val="00BB757F"/>
    <w:rsid w:val="00BC118F"/>
    <w:rsid w:val="00BC17E6"/>
    <w:rsid w:val="00BC1995"/>
    <w:rsid w:val="00BC2000"/>
    <w:rsid w:val="00BC235A"/>
    <w:rsid w:val="00BC4E7B"/>
    <w:rsid w:val="00BC52E7"/>
    <w:rsid w:val="00BC6A89"/>
    <w:rsid w:val="00BC6BDC"/>
    <w:rsid w:val="00BC6C68"/>
    <w:rsid w:val="00BC79FB"/>
    <w:rsid w:val="00BC7ACC"/>
    <w:rsid w:val="00BD1B32"/>
    <w:rsid w:val="00BD1DFF"/>
    <w:rsid w:val="00BD25BC"/>
    <w:rsid w:val="00BD3497"/>
    <w:rsid w:val="00BD4533"/>
    <w:rsid w:val="00BD566B"/>
    <w:rsid w:val="00BD5A34"/>
    <w:rsid w:val="00BD5AEB"/>
    <w:rsid w:val="00BD5B54"/>
    <w:rsid w:val="00BD740A"/>
    <w:rsid w:val="00BD7853"/>
    <w:rsid w:val="00BD7E5F"/>
    <w:rsid w:val="00BD7E8E"/>
    <w:rsid w:val="00BE0FF1"/>
    <w:rsid w:val="00BE1AF8"/>
    <w:rsid w:val="00BE1B0E"/>
    <w:rsid w:val="00BE1CC3"/>
    <w:rsid w:val="00BE1F12"/>
    <w:rsid w:val="00BE2944"/>
    <w:rsid w:val="00BE2DB4"/>
    <w:rsid w:val="00BE32D6"/>
    <w:rsid w:val="00BE367F"/>
    <w:rsid w:val="00BE5222"/>
    <w:rsid w:val="00BE5488"/>
    <w:rsid w:val="00BE5552"/>
    <w:rsid w:val="00BE63AE"/>
    <w:rsid w:val="00BE699E"/>
    <w:rsid w:val="00BE6EA6"/>
    <w:rsid w:val="00BE7237"/>
    <w:rsid w:val="00BE7245"/>
    <w:rsid w:val="00BE7319"/>
    <w:rsid w:val="00BE79F3"/>
    <w:rsid w:val="00BE7D2B"/>
    <w:rsid w:val="00BF0138"/>
    <w:rsid w:val="00BF03DF"/>
    <w:rsid w:val="00BF0966"/>
    <w:rsid w:val="00BF104A"/>
    <w:rsid w:val="00BF16D9"/>
    <w:rsid w:val="00BF1894"/>
    <w:rsid w:val="00BF1C70"/>
    <w:rsid w:val="00BF22D7"/>
    <w:rsid w:val="00BF2E23"/>
    <w:rsid w:val="00BF54C7"/>
    <w:rsid w:val="00BF5610"/>
    <w:rsid w:val="00BF5745"/>
    <w:rsid w:val="00BF5CC8"/>
    <w:rsid w:val="00BF5E8D"/>
    <w:rsid w:val="00BF641A"/>
    <w:rsid w:val="00BF6D80"/>
    <w:rsid w:val="00BF6DBE"/>
    <w:rsid w:val="00BF7887"/>
    <w:rsid w:val="00BF7D01"/>
    <w:rsid w:val="00C00B8D"/>
    <w:rsid w:val="00C010FA"/>
    <w:rsid w:val="00C0111C"/>
    <w:rsid w:val="00C01183"/>
    <w:rsid w:val="00C01375"/>
    <w:rsid w:val="00C01394"/>
    <w:rsid w:val="00C013DF"/>
    <w:rsid w:val="00C0145E"/>
    <w:rsid w:val="00C026CC"/>
    <w:rsid w:val="00C02DF7"/>
    <w:rsid w:val="00C03953"/>
    <w:rsid w:val="00C041F7"/>
    <w:rsid w:val="00C04427"/>
    <w:rsid w:val="00C0447D"/>
    <w:rsid w:val="00C04C2A"/>
    <w:rsid w:val="00C0593D"/>
    <w:rsid w:val="00C05B17"/>
    <w:rsid w:val="00C05BB8"/>
    <w:rsid w:val="00C05FF4"/>
    <w:rsid w:val="00C065C0"/>
    <w:rsid w:val="00C06F64"/>
    <w:rsid w:val="00C078F9"/>
    <w:rsid w:val="00C07B17"/>
    <w:rsid w:val="00C1030B"/>
    <w:rsid w:val="00C10B95"/>
    <w:rsid w:val="00C10E59"/>
    <w:rsid w:val="00C111A6"/>
    <w:rsid w:val="00C11296"/>
    <w:rsid w:val="00C114E7"/>
    <w:rsid w:val="00C11512"/>
    <w:rsid w:val="00C119CD"/>
    <w:rsid w:val="00C11BBF"/>
    <w:rsid w:val="00C11D4C"/>
    <w:rsid w:val="00C1235D"/>
    <w:rsid w:val="00C12BFB"/>
    <w:rsid w:val="00C12CED"/>
    <w:rsid w:val="00C12CFD"/>
    <w:rsid w:val="00C12E22"/>
    <w:rsid w:val="00C13049"/>
    <w:rsid w:val="00C13648"/>
    <w:rsid w:val="00C138EC"/>
    <w:rsid w:val="00C139CE"/>
    <w:rsid w:val="00C14572"/>
    <w:rsid w:val="00C14BD5"/>
    <w:rsid w:val="00C15135"/>
    <w:rsid w:val="00C1557A"/>
    <w:rsid w:val="00C1589C"/>
    <w:rsid w:val="00C15D89"/>
    <w:rsid w:val="00C168D7"/>
    <w:rsid w:val="00C2009F"/>
    <w:rsid w:val="00C21F68"/>
    <w:rsid w:val="00C221C3"/>
    <w:rsid w:val="00C2225B"/>
    <w:rsid w:val="00C22934"/>
    <w:rsid w:val="00C23306"/>
    <w:rsid w:val="00C2346B"/>
    <w:rsid w:val="00C238A2"/>
    <w:rsid w:val="00C23CB7"/>
    <w:rsid w:val="00C25209"/>
    <w:rsid w:val="00C252BE"/>
    <w:rsid w:val="00C254DA"/>
    <w:rsid w:val="00C265D2"/>
    <w:rsid w:val="00C26B0A"/>
    <w:rsid w:val="00C279A5"/>
    <w:rsid w:val="00C27E0E"/>
    <w:rsid w:val="00C3010C"/>
    <w:rsid w:val="00C309C5"/>
    <w:rsid w:val="00C30AC5"/>
    <w:rsid w:val="00C310C6"/>
    <w:rsid w:val="00C3130F"/>
    <w:rsid w:val="00C315E8"/>
    <w:rsid w:val="00C31A8C"/>
    <w:rsid w:val="00C32448"/>
    <w:rsid w:val="00C329B3"/>
    <w:rsid w:val="00C32A7D"/>
    <w:rsid w:val="00C32CB2"/>
    <w:rsid w:val="00C330F5"/>
    <w:rsid w:val="00C3348F"/>
    <w:rsid w:val="00C337AC"/>
    <w:rsid w:val="00C341CF"/>
    <w:rsid w:val="00C341ED"/>
    <w:rsid w:val="00C34279"/>
    <w:rsid w:val="00C34C0A"/>
    <w:rsid w:val="00C34C75"/>
    <w:rsid w:val="00C36FEC"/>
    <w:rsid w:val="00C375D5"/>
    <w:rsid w:val="00C37DFF"/>
    <w:rsid w:val="00C40A8C"/>
    <w:rsid w:val="00C414E3"/>
    <w:rsid w:val="00C41556"/>
    <w:rsid w:val="00C41DC6"/>
    <w:rsid w:val="00C42406"/>
    <w:rsid w:val="00C42AD1"/>
    <w:rsid w:val="00C42CE3"/>
    <w:rsid w:val="00C42D37"/>
    <w:rsid w:val="00C431D9"/>
    <w:rsid w:val="00C437D2"/>
    <w:rsid w:val="00C4393E"/>
    <w:rsid w:val="00C43CE8"/>
    <w:rsid w:val="00C43F4F"/>
    <w:rsid w:val="00C44440"/>
    <w:rsid w:val="00C44D0B"/>
    <w:rsid w:val="00C4520D"/>
    <w:rsid w:val="00C4631C"/>
    <w:rsid w:val="00C50B84"/>
    <w:rsid w:val="00C5108A"/>
    <w:rsid w:val="00C512A4"/>
    <w:rsid w:val="00C522F2"/>
    <w:rsid w:val="00C52411"/>
    <w:rsid w:val="00C5246A"/>
    <w:rsid w:val="00C52E63"/>
    <w:rsid w:val="00C53802"/>
    <w:rsid w:val="00C53D8A"/>
    <w:rsid w:val="00C54840"/>
    <w:rsid w:val="00C5561D"/>
    <w:rsid w:val="00C55AE5"/>
    <w:rsid w:val="00C56496"/>
    <w:rsid w:val="00C56FFE"/>
    <w:rsid w:val="00C5702F"/>
    <w:rsid w:val="00C577B3"/>
    <w:rsid w:val="00C57FAC"/>
    <w:rsid w:val="00C60E87"/>
    <w:rsid w:val="00C6137E"/>
    <w:rsid w:val="00C613D8"/>
    <w:rsid w:val="00C61914"/>
    <w:rsid w:val="00C61C75"/>
    <w:rsid w:val="00C6299F"/>
    <w:rsid w:val="00C62F97"/>
    <w:rsid w:val="00C659AB"/>
    <w:rsid w:val="00C65C37"/>
    <w:rsid w:val="00C65E2C"/>
    <w:rsid w:val="00C6620A"/>
    <w:rsid w:val="00C662D5"/>
    <w:rsid w:val="00C668F4"/>
    <w:rsid w:val="00C6710D"/>
    <w:rsid w:val="00C672B0"/>
    <w:rsid w:val="00C67CDA"/>
    <w:rsid w:val="00C67EEC"/>
    <w:rsid w:val="00C70EBC"/>
    <w:rsid w:val="00C7126E"/>
    <w:rsid w:val="00C712E7"/>
    <w:rsid w:val="00C71B8D"/>
    <w:rsid w:val="00C728AB"/>
    <w:rsid w:val="00C735A0"/>
    <w:rsid w:val="00C743B7"/>
    <w:rsid w:val="00C745F4"/>
    <w:rsid w:val="00C74DAA"/>
    <w:rsid w:val="00C758FF"/>
    <w:rsid w:val="00C759E7"/>
    <w:rsid w:val="00C76B49"/>
    <w:rsid w:val="00C77D09"/>
    <w:rsid w:val="00C77D5F"/>
    <w:rsid w:val="00C803F1"/>
    <w:rsid w:val="00C8098E"/>
    <w:rsid w:val="00C81073"/>
    <w:rsid w:val="00C81CEB"/>
    <w:rsid w:val="00C81ED3"/>
    <w:rsid w:val="00C82437"/>
    <w:rsid w:val="00C83E9D"/>
    <w:rsid w:val="00C83F36"/>
    <w:rsid w:val="00C84176"/>
    <w:rsid w:val="00C84671"/>
    <w:rsid w:val="00C84D60"/>
    <w:rsid w:val="00C85631"/>
    <w:rsid w:val="00C85D10"/>
    <w:rsid w:val="00C86544"/>
    <w:rsid w:val="00C8717C"/>
    <w:rsid w:val="00C8748E"/>
    <w:rsid w:val="00C877E3"/>
    <w:rsid w:val="00C879A0"/>
    <w:rsid w:val="00C90947"/>
    <w:rsid w:val="00C91937"/>
    <w:rsid w:val="00C92267"/>
    <w:rsid w:val="00C926E9"/>
    <w:rsid w:val="00C935EC"/>
    <w:rsid w:val="00C9475D"/>
    <w:rsid w:val="00C948DB"/>
    <w:rsid w:val="00C94D74"/>
    <w:rsid w:val="00C951B4"/>
    <w:rsid w:val="00C9567E"/>
    <w:rsid w:val="00C95E64"/>
    <w:rsid w:val="00C964B2"/>
    <w:rsid w:val="00C96AAD"/>
    <w:rsid w:val="00C974A6"/>
    <w:rsid w:val="00CA0ED8"/>
    <w:rsid w:val="00CA14A7"/>
    <w:rsid w:val="00CA160E"/>
    <w:rsid w:val="00CA1989"/>
    <w:rsid w:val="00CA2848"/>
    <w:rsid w:val="00CA29AB"/>
    <w:rsid w:val="00CA3345"/>
    <w:rsid w:val="00CA3E56"/>
    <w:rsid w:val="00CA3F25"/>
    <w:rsid w:val="00CA4670"/>
    <w:rsid w:val="00CA49EC"/>
    <w:rsid w:val="00CA4D85"/>
    <w:rsid w:val="00CA53C4"/>
    <w:rsid w:val="00CA54B8"/>
    <w:rsid w:val="00CA556C"/>
    <w:rsid w:val="00CA60CC"/>
    <w:rsid w:val="00CB0CEB"/>
    <w:rsid w:val="00CB10E9"/>
    <w:rsid w:val="00CB13BD"/>
    <w:rsid w:val="00CB185E"/>
    <w:rsid w:val="00CB1AEE"/>
    <w:rsid w:val="00CB1BE3"/>
    <w:rsid w:val="00CB4601"/>
    <w:rsid w:val="00CB49EA"/>
    <w:rsid w:val="00CB4B0A"/>
    <w:rsid w:val="00CB4BC2"/>
    <w:rsid w:val="00CB4E5E"/>
    <w:rsid w:val="00CB77B6"/>
    <w:rsid w:val="00CB780E"/>
    <w:rsid w:val="00CB7F33"/>
    <w:rsid w:val="00CC1BC3"/>
    <w:rsid w:val="00CC1D8F"/>
    <w:rsid w:val="00CC25DD"/>
    <w:rsid w:val="00CC2A23"/>
    <w:rsid w:val="00CC2B7E"/>
    <w:rsid w:val="00CC2E40"/>
    <w:rsid w:val="00CC3856"/>
    <w:rsid w:val="00CC3B2E"/>
    <w:rsid w:val="00CC3E3A"/>
    <w:rsid w:val="00CC3F61"/>
    <w:rsid w:val="00CC4682"/>
    <w:rsid w:val="00CC46B7"/>
    <w:rsid w:val="00CC4CD3"/>
    <w:rsid w:val="00CC536B"/>
    <w:rsid w:val="00CC554E"/>
    <w:rsid w:val="00CC5657"/>
    <w:rsid w:val="00CC5B25"/>
    <w:rsid w:val="00CC5F4E"/>
    <w:rsid w:val="00CC65AA"/>
    <w:rsid w:val="00CC6D67"/>
    <w:rsid w:val="00CC7868"/>
    <w:rsid w:val="00CC7BD5"/>
    <w:rsid w:val="00CC7CD8"/>
    <w:rsid w:val="00CD063D"/>
    <w:rsid w:val="00CD09E6"/>
    <w:rsid w:val="00CD17D9"/>
    <w:rsid w:val="00CD1876"/>
    <w:rsid w:val="00CD1A4C"/>
    <w:rsid w:val="00CD2422"/>
    <w:rsid w:val="00CD2994"/>
    <w:rsid w:val="00CD30CF"/>
    <w:rsid w:val="00CD3872"/>
    <w:rsid w:val="00CD41FB"/>
    <w:rsid w:val="00CD4BD5"/>
    <w:rsid w:val="00CD4D5D"/>
    <w:rsid w:val="00CD50AB"/>
    <w:rsid w:val="00CD5501"/>
    <w:rsid w:val="00CD58A5"/>
    <w:rsid w:val="00CD5992"/>
    <w:rsid w:val="00CD62E2"/>
    <w:rsid w:val="00CD647B"/>
    <w:rsid w:val="00CD67BF"/>
    <w:rsid w:val="00CD7290"/>
    <w:rsid w:val="00CD752F"/>
    <w:rsid w:val="00CD75FE"/>
    <w:rsid w:val="00CE080E"/>
    <w:rsid w:val="00CE0A2A"/>
    <w:rsid w:val="00CE2009"/>
    <w:rsid w:val="00CE276A"/>
    <w:rsid w:val="00CE2E7C"/>
    <w:rsid w:val="00CE30EB"/>
    <w:rsid w:val="00CE3903"/>
    <w:rsid w:val="00CE4071"/>
    <w:rsid w:val="00CE4533"/>
    <w:rsid w:val="00CE523C"/>
    <w:rsid w:val="00CE5C76"/>
    <w:rsid w:val="00CE6B00"/>
    <w:rsid w:val="00CE6C4F"/>
    <w:rsid w:val="00CE7409"/>
    <w:rsid w:val="00CE7752"/>
    <w:rsid w:val="00CE7B8A"/>
    <w:rsid w:val="00CE7F29"/>
    <w:rsid w:val="00CF0800"/>
    <w:rsid w:val="00CF0930"/>
    <w:rsid w:val="00CF0D1A"/>
    <w:rsid w:val="00CF21DA"/>
    <w:rsid w:val="00CF27A8"/>
    <w:rsid w:val="00CF2DC4"/>
    <w:rsid w:val="00CF3E2E"/>
    <w:rsid w:val="00CF42B5"/>
    <w:rsid w:val="00CF4A23"/>
    <w:rsid w:val="00CF4B21"/>
    <w:rsid w:val="00CF4E91"/>
    <w:rsid w:val="00CF52CE"/>
    <w:rsid w:val="00CF578F"/>
    <w:rsid w:val="00CF57E1"/>
    <w:rsid w:val="00CF5EEB"/>
    <w:rsid w:val="00CF637D"/>
    <w:rsid w:val="00CF6915"/>
    <w:rsid w:val="00CF6BBF"/>
    <w:rsid w:val="00CF6C3E"/>
    <w:rsid w:val="00CF6DB2"/>
    <w:rsid w:val="00CF6EC5"/>
    <w:rsid w:val="00CF6F45"/>
    <w:rsid w:val="00CF7572"/>
    <w:rsid w:val="00CF7C98"/>
    <w:rsid w:val="00D00903"/>
    <w:rsid w:val="00D00D57"/>
    <w:rsid w:val="00D0124E"/>
    <w:rsid w:val="00D0143F"/>
    <w:rsid w:val="00D030A3"/>
    <w:rsid w:val="00D030E9"/>
    <w:rsid w:val="00D031F2"/>
    <w:rsid w:val="00D033AE"/>
    <w:rsid w:val="00D03B68"/>
    <w:rsid w:val="00D03CA2"/>
    <w:rsid w:val="00D048C7"/>
    <w:rsid w:val="00D05CBE"/>
    <w:rsid w:val="00D06C63"/>
    <w:rsid w:val="00D06ECE"/>
    <w:rsid w:val="00D07168"/>
    <w:rsid w:val="00D077F9"/>
    <w:rsid w:val="00D07898"/>
    <w:rsid w:val="00D106EA"/>
    <w:rsid w:val="00D10B06"/>
    <w:rsid w:val="00D10D04"/>
    <w:rsid w:val="00D10FC5"/>
    <w:rsid w:val="00D111E1"/>
    <w:rsid w:val="00D1139E"/>
    <w:rsid w:val="00D113BA"/>
    <w:rsid w:val="00D11A61"/>
    <w:rsid w:val="00D11BE3"/>
    <w:rsid w:val="00D11FA3"/>
    <w:rsid w:val="00D12945"/>
    <w:rsid w:val="00D1294F"/>
    <w:rsid w:val="00D12AD2"/>
    <w:rsid w:val="00D12DBD"/>
    <w:rsid w:val="00D12FD2"/>
    <w:rsid w:val="00D12FEA"/>
    <w:rsid w:val="00D134CB"/>
    <w:rsid w:val="00D1361A"/>
    <w:rsid w:val="00D13685"/>
    <w:rsid w:val="00D14D0C"/>
    <w:rsid w:val="00D151FD"/>
    <w:rsid w:val="00D15621"/>
    <w:rsid w:val="00D15B29"/>
    <w:rsid w:val="00D163E8"/>
    <w:rsid w:val="00D166A5"/>
    <w:rsid w:val="00D16CD9"/>
    <w:rsid w:val="00D16CF2"/>
    <w:rsid w:val="00D17355"/>
    <w:rsid w:val="00D17E07"/>
    <w:rsid w:val="00D20731"/>
    <w:rsid w:val="00D21059"/>
    <w:rsid w:val="00D2129C"/>
    <w:rsid w:val="00D2155B"/>
    <w:rsid w:val="00D21797"/>
    <w:rsid w:val="00D2196C"/>
    <w:rsid w:val="00D22125"/>
    <w:rsid w:val="00D223A1"/>
    <w:rsid w:val="00D23AD1"/>
    <w:rsid w:val="00D23ADE"/>
    <w:rsid w:val="00D24CE2"/>
    <w:rsid w:val="00D24F4B"/>
    <w:rsid w:val="00D253B8"/>
    <w:rsid w:val="00D25748"/>
    <w:rsid w:val="00D25ABF"/>
    <w:rsid w:val="00D265AC"/>
    <w:rsid w:val="00D26915"/>
    <w:rsid w:val="00D2739F"/>
    <w:rsid w:val="00D27ECE"/>
    <w:rsid w:val="00D301BB"/>
    <w:rsid w:val="00D3118D"/>
    <w:rsid w:val="00D3127C"/>
    <w:rsid w:val="00D31393"/>
    <w:rsid w:val="00D31566"/>
    <w:rsid w:val="00D3172D"/>
    <w:rsid w:val="00D31AD5"/>
    <w:rsid w:val="00D31AD9"/>
    <w:rsid w:val="00D31D4A"/>
    <w:rsid w:val="00D323D8"/>
    <w:rsid w:val="00D327BD"/>
    <w:rsid w:val="00D32AC8"/>
    <w:rsid w:val="00D34601"/>
    <w:rsid w:val="00D3469A"/>
    <w:rsid w:val="00D350F0"/>
    <w:rsid w:val="00D352E6"/>
    <w:rsid w:val="00D363CA"/>
    <w:rsid w:val="00D36FFC"/>
    <w:rsid w:val="00D371F7"/>
    <w:rsid w:val="00D3741D"/>
    <w:rsid w:val="00D37785"/>
    <w:rsid w:val="00D37795"/>
    <w:rsid w:val="00D37AB7"/>
    <w:rsid w:val="00D37FDC"/>
    <w:rsid w:val="00D40309"/>
    <w:rsid w:val="00D4052B"/>
    <w:rsid w:val="00D40808"/>
    <w:rsid w:val="00D40CB6"/>
    <w:rsid w:val="00D40F97"/>
    <w:rsid w:val="00D4151E"/>
    <w:rsid w:val="00D417F8"/>
    <w:rsid w:val="00D418CB"/>
    <w:rsid w:val="00D41EC1"/>
    <w:rsid w:val="00D42014"/>
    <w:rsid w:val="00D4282A"/>
    <w:rsid w:val="00D42EED"/>
    <w:rsid w:val="00D43FA4"/>
    <w:rsid w:val="00D43FFD"/>
    <w:rsid w:val="00D441A7"/>
    <w:rsid w:val="00D44A98"/>
    <w:rsid w:val="00D44BD6"/>
    <w:rsid w:val="00D459CB"/>
    <w:rsid w:val="00D461B4"/>
    <w:rsid w:val="00D4631C"/>
    <w:rsid w:val="00D4635D"/>
    <w:rsid w:val="00D46B77"/>
    <w:rsid w:val="00D47C51"/>
    <w:rsid w:val="00D50A8E"/>
    <w:rsid w:val="00D51BCC"/>
    <w:rsid w:val="00D52BC4"/>
    <w:rsid w:val="00D52BFF"/>
    <w:rsid w:val="00D538C0"/>
    <w:rsid w:val="00D53DE2"/>
    <w:rsid w:val="00D55279"/>
    <w:rsid w:val="00D55786"/>
    <w:rsid w:val="00D56153"/>
    <w:rsid w:val="00D565DA"/>
    <w:rsid w:val="00D56786"/>
    <w:rsid w:val="00D56BA4"/>
    <w:rsid w:val="00D5707A"/>
    <w:rsid w:val="00D600B1"/>
    <w:rsid w:val="00D60334"/>
    <w:rsid w:val="00D60957"/>
    <w:rsid w:val="00D6110C"/>
    <w:rsid w:val="00D61147"/>
    <w:rsid w:val="00D613EE"/>
    <w:rsid w:val="00D61967"/>
    <w:rsid w:val="00D61BD2"/>
    <w:rsid w:val="00D628B3"/>
    <w:rsid w:val="00D62FF3"/>
    <w:rsid w:val="00D62FF5"/>
    <w:rsid w:val="00D63436"/>
    <w:rsid w:val="00D636DE"/>
    <w:rsid w:val="00D63A02"/>
    <w:rsid w:val="00D63EA9"/>
    <w:rsid w:val="00D64B8B"/>
    <w:rsid w:val="00D6501C"/>
    <w:rsid w:val="00D654AE"/>
    <w:rsid w:val="00D65D90"/>
    <w:rsid w:val="00D65EF4"/>
    <w:rsid w:val="00D665E8"/>
    <w:rsid w:val="00D668EA"/>
    <w:rsid w:val="00D66B40"/>
    <w:rsid w:val="00D6778E"/>
    <w:rsid w:val="00D67A05"/>
    <w:rsid w:val="00D71072"/>
    <w:rsid w:val="00D71C72"/>
    <w:rsid w:val="00D737ED"/>
    <w:rsid w:val="00D73BE9"/>
    <w:rsid w:val="00D7484C"/>
    <w:rsid w:val="00D74CE3"/>
    <w:rsid w:val="00D74D5D"/>
    <w:rsid w:val="00D75058"/>
    <w:rsid w:val="00D7520C"/>
    <w:rsid w:val="00D75468"/>
    <w:rsid w:val="00D7585C"/>
    <w:rsid w:val="00D761B5"/>
    <w:rsid w:val="00D77060"/>
    <w:rsid w:val="00D77CA6"/>
    <w:rsid w:val="00D8028B"/>
    <w:rsid w:val="00D80D39"/>
    <w:rsid w:val="00D80FB6"/>
    <w:rsid w:val="00D81782"/>
    <w:rsid w:val="00D818FA"/>
    <w:rsid w:val="00D81B0D"/>
    <w:rsid w:val="00D81E08"/>
    <w:rsid w:val="00D81F51"/>
    <w:rsid w:val="00D835D6"/>
    <w:rsid w:val="00D8390A"/>
    <w:rsid w:val="00D83B33"/>
    <w:rsid w:val="00D83BEB"/>
    <w:rsid w:val="00D83CFC"/>
    <w:rsid w:val="00D845AB"/>
    <w:rsid w:val="00D84791"/>
    <w:rsid w:val="00D85686"/>
    <w:rsid w:val="00D85766"/>
    <w:rsid w:val="00D857D9"/>
    <w:rsid w:val="00D86A3C"/>
    <w:rsid w:val="00D86BC4"/>
    <w:rsid w:val="00D877EE"/>
    <w:rsid w:val="00D90123"/>
    <w:rsid w:val="00D90476"/>
    <w:rsid w:val="00D90D7F"/>
    <w:rsid w:val="00D90ED2"/>
    <w:rsid w:val="00D912E8"/>
    <w:rsid w:val="00D913EB"/>
    <w:rsid w:val="00D9158F"/>
    <w:rsid w:val="00D923EE"/>
    <w:rsid w:val="00D925DC"/>
    <w:rsid w:val="00D92695"/>
    <w:rsid w:val="00D92ACA"/>
    <w:rsid w:val="00D92FEC"/>
    <w:rsid w:val="00D94074"/>
    <w:rsid w:val="00D94B8D"/>
    <w:rsid w:val="00D94C66"/>
    <w:rsid w:val="00D96CD5"/>
    <w:rsid w:val="00D96E2F"/>
    <w:rsid w:val="00DA00D4"/>
    <w:rsid w:val="00DA0CA6"/>
    <w:rsid w:val="00DA2176"/>
    <w:rsid w:val="00DA29D1"/>
    <w:rsid w:val="00DA2A78"/>
    <w:rsid w:val="00DA2BD8"/>
    <w:rsid w:val="00DA2E23"/>
    <w:rsid w:val="00DA30BB"/>
    <w:rsid w:val="00DA352F"/>
    <w:rsid w:val="00DA3550"/>
    <w:rsid w:val="00DA3B0B"/>
    <w:rsid w:val="00DA47E1"/>
    <w:rsid w:val="00DA4946"/>
    <w:rsid w:val="00DA4C4A"/>
    <w:rsid w:val="00DA4D9C"/>
    <w:rsid w:val="00DA56E8"/>
    <w:rsid w:val="00DA59CB"/>
    <w:rsid w:val="00DA5BC4"/>
    <w:rsid w:val="00DA5CBB"/>
    <w:rsid w:val="00DA7278"/>
    <w:rsid w:val="00DA7AAD"/>
    <w:rsid w:val="00DB039C"/>
    <w:rsid w:val="00DB0442"/>
    <w:rsid w:val="00DB0978"/>
    <w:rsid w:val="00DB3275"/>
    <w:rsid w:val="00DB32FD"/>
    <w:rsid w:val="00DB3710"/>
    <w:rsid w:val="00DB4D1C"/>
    <w:rsid w:val="00DB51FF"/>
    <w:rsid w:val="00DB65AA"/>
    <w:rsid w:val="00DB6D19"/>
    <w:rsid w:val="00DB6F79"/>
    <w:rsid w:val="00DB79ED"/>
    <w:rsid w:val="00DC00C6"/>
    <w:rsid w:val="00DC0136"/>
    <w:rsid w:val="00DC136A"/>
    <w:rsid w:val="00DC2307"/>
    <w:rsid w:val="00DC2C2A"/>
    <w:rsid w:val="00DC317E"/>
    <w:rsid w:val="00DC3808"/>
    <w:rsid w:val="00DC4300"/>
    <w:rsid w:val="00DC4898"/>
    <w:rsid w:val="00DC4902"/>
    <w:rsid w:val="00DC4D95"/>
    <w:rsid w:val="00DC5096"/>
    <w:rsid w:val="00DC5343"/>
    <w:rsid w:val="00DC5E73"/>
    <w:rsid w:val="00DC628B"/>
    <w:rsid w:val="00DC6339"/>
    <w:rsid w:val="00DC6A79"/>
    <w:rsid w:val="00DC6CAA"/>
    <w:rsid w:val="00DC74BE"/>
    <w:rsid w:val="00DC7C92"/>
    <w:rsid w:val="00DC7FE8"/>
    <w:rsid w:val="00DD00CE"/>
    <w:rsid w:val="00DD05D0"/>
    <w:rsid w:val="00DD1618"/>
    <w:rsid w:val="00DD18C5"/>
    <w:rsid w:val="00DD1B74"/>
    <w:rsid w:val="00DD1F18"/>
    <w:rsid w:val="00DD2370"/>
    <w:rsid w:val="00DD291F"/>
    <w:rsid w:val="00DD2DB9"/>
    <w:rsid w:val="00DD2E95"/>
    <w:rsid w:val="00DD3C29"/>
    <w:rsid w:val="00DD44DD"/>
    <w:rsid w:val="00DD4557"/>
    <w:rsid w:val="00DD4809"/>
    <w:rsid w:val="00DD5006"/>
    <w:rsid w:val="00DD50F9"/>
    <w:rsid w:val="00DD6259"/>
    <w:rsid w:val="00DD6A9C"/>
    <w:rsid w:val="00DD7C7D"/>
    <w:rsid w:val="00DD7F34"/>
    <w:rsid w:val="00DD7F87"/>
    <w:rsid w:val="00DE04E7"/>
    <w:rsid w:val="00DE0954"/>
    <w:rsid w:val="00DE0C08"/>
    <w:rsid w:val="00DE0C96"/>
    <w:rsid w:val="00DE0C9F"/>
    <w:rsid w:val="00DE1909"/>
    <w:rsid w:val="00DE1D4A"/>
    <w:rsid w:val="00DE1E85"/>
    <w:rsid w:val="00DE2C4E"/>
    <w:rsid w:val="00DE44CE"/>
    <w:rsid w:val="00DE44DE"/>
    <w:rsid w:val="00DE4926"/>
    <w:rsid w:val="00DE4E83"/>
    <w:rsid w:val="00DE5072"/>
    <w:rsid w:val="00DE51DE"/>
    <w:rsid w:val="00DE57CF"/>
    <w:rsid w:val="00DE5C3A"/>
    <w:rsid w:val="00DE5FE1"/>
    <w:rsid w:val="00DE6596"/>
    <w:rsid w:val="00DE6F2A"/>
    <w:rsid w:val="00DE6FB7"/>
    <w:rsid w:val="00DE7EBE"/>
    <w:rsid w:val="00DF055C"/>
    <w:rsid w:val="00DF06F3"/>
    <w:rsid w:val="00DF0D1B"/>
    <w:rsid w:val="00DF0D77"/>
    <w:rsid w:val="00DF1987"/>
    <w:rsid w:val="00DF23D0"/>
    <w:rsid w:val="00DF25F9"/>
    <w:rsid w:val="00DF29F2"/>
    <w:rsid w:val="00DF3556"/>
    <w:rsid w:val="00DF3A22"/>
    <w:rsid w:val="00DF41E1"/>
    <w:rsid w:val="00DF4442"/>
    <w:rsid w:val="00DF48E7"/>
    <w:rsid w:val="00DF49DA"/>
    <w:rsid w:val="00DF4FE9"/>
    <w:rsid w:val="00DF50B7"/>
    <w:rsid w:val="00DF6B60"/>
    <w:rsid w:val="00E008F0"/>
    <w:rsid w:val="00E00C03"/>
    <w:rsid w:val="00E00E18"/>
    <w:rsid w:val="00E013CC"/>
    <w:rsid w:val="00E016FD"/>
    <w:rsid w:val="00E0251F"/>
    <w:rsid w:val="00E045BD"/>
    <w:rsid w:val="00E04850"/>
    <w:rsid w:val="00E04C1D"/>
    <w:rsid w:val="00E04DF6"/>
    <w:rsid w:val="00E05745"/>
    <w:rsid w:val="00E066C8"/>
    <w:rsid w:val="00E06815"/>
    <w:rsid w:val="00E06BD3"/>
    <w:rsid w:val="00E06D0F"/>
    <w:rsid w:val="00E07D70"/>
    <w:rsid w:val="00E1029F"/>
    <w:rsid w:val="00E10E48"/>
    <w:rsid w:val="00E11D49"/>
    <w:rsid w:val="00E12871"/>
    <w:rsid w:val="00E1291C"/>
    <w:rsid w:val="00E1318B"/>
    <w:rsid w:val="00E13510"/>
    <w:rsid w:val="00E13671"/>
    <w:rsid w:val="00E13B0E"/>
    <w:rsid w:val="00E163DF"/>
    <w:rsid w:val="00E16ED0"/>
    <w:rsid w:val="00E170ED"/>
    <w:rsid w:val="00E17DEE"/>
    <w:rsid w:val="00E20CC2"/>
    <w:rsid w:val="00E20D3B"/>
    <w:rsid w:val="00E20DD4"/>
    <w:rsid w:val="00E21330"/>
    <w:rsid w:val="00E2147D"/>
    <w:rsid w:val="00E22471"/>
    <w:rsid w:val="00E23227"/>
    <w:rsid w:val="00E23A9C"/>
    <w:rsid w:val="00E24084"/>
    <w:rsid w:val="00E24292"/>
    <w:rsid w:val="00E245F3"/>
    <w:rsid w:val="00E24C13"/>
    <w:rsid w:val="00E24C8D"/>
    <w:rsid w:val="00E24F23"/>
    <w:rsid w:val="00E27326"/>
    <w:rsid w:val="00E30488"/>
    <w:rsid w:val="00E30B8C"/>
    <w:rsid w:val="00E31417"/>
    <w:rsid w:val="00E332BE"/>
    <w:rsid w:val="00E336C0"/>
    <w:rsid w:val="00E336FF"/>
    <w:rsid w:val="00E3541C"/>
    <w:rsid w:val="00E3716D"/>
    <w:rsid w:val="00E37C87"/>
    <w:rsid w:val="00E40897"/>
    <w:rsid w:val="00E412F0"/>
    <w:rsid w:val="00E417B9"/>
    <w:rsid w:val="00E419E5"/>
    <w:rsid w:val="00E41F70"/>
    <w:rsid w:val="00E42EE8"/>
    <w:rsid w:val="00E43260"/>
    <w:rsid w:val="00E441B6"/>
    <w:rsid w:val="00E443AD"/>
    <w:rsid w:val="00E445EE"/>
    <w:rsid w:val="00E449F9"/>
    <w:rsid w:val="00E45046"/>
    <w:rsid w:val="00E45174"/>
    <w:rsid w:val="00E45FF1"/>
    <w:rsid w:val="00E474B9"/>
    <w:rsid w:val="00E47E99"/>
    <w:rsid w:val="00E50245"/>
    <w:rsid w:val="00E508B7"/>
    <w:rsid w:val="00E508C0"/>
    <w:rsid w:val="00E51A92"/>
    <w:rsid w:val="00E5229C"/>
    <w:rsid w:val="00E52521"/>
    <w:rsid w:val="00E530D5"/>
    <w:rsid w:val="00E53441"/>
    <w:rsid w:val="00E53903"/>
    <w:rsid w:val="00E53EF8"/>
    <w:rsid w:val="00E541A9"/>
    <w:rsid w:val="00E54472"/>
    <w:rsid w:val="00E55520"/>
    <w:rsid w:val="00E555BA"/>
    <w:rsid w:val="00E55D7B"/>
    <w:rsid w:val="00E55F42"/>
    <w:rsid w:val="00E56040"/>
    <w:rsid w:val="00E567D8"/>
    <w:rsid w:val="00E60252"/>
    <w:rsid w:val="00E60958"/>
    <w:rsid w:val="00E61570"/>
    <w:rsid w:val="00E619C5"/>
    <w:rsid w:val="00E6266E"/>
    <w:rsid w:val="00E62834"/>
    <w:rsid w:val="00E62F06"/>
    <w:rsid w:val="00E63C91"/>
    <w:rsid w:val="00E6460C"/>
    <w:rsid w:val="00E65B4D"/>
    <w:rsid w:val="00E65D64"/>
    <w:rsid w:val="00E667DB"/>
    <w:rsid w:val="00E670F9"/>
    <w:rsid w:val="00E672F0"/>
    <w:rsid w:val="00E67A7E"/>
    <w:rsid w:val="00E67F67"/>
    <w:rsid w:val="00E7018D"/>
    <w:rsid w:val="00E709A2"/>
    <w:rsid w:val="00E70FEC"/>
    <w:rsid w:val="00E726DC"/>
    <w:rsid w:val="00E72A0B"/>
    <w:rsid w:val="00E72BB5"/>
    <w:rsid w:val="00E72EB8"/>
    <w:rsid w:val="00E7353C"/>
    <w:rsid w:val="00E73A2E"/>
    <w:rsid w:val="00E742C0"/>
    <w:rsid w:val="00E75050"/>
    <w:rsid w:val="00E750D3"/>
    <w:rsid w:val="00E75DA3"/>
    <w:rsid w:val="00E76756"/>
    <w:rsid w:val="00E76A5C"/>
    <w:rsid w:val="00E77063"/>
    <w:rsid w:val="00E771A3"/>
    <w:rsid w:val="00E77411"/>
    <w:rsid w:val="00E77920"/>
    <w:rsid w:val="00E77D16"/>
    <w:rsid w:val="00E77F75"/>
    <w:rsid w:val="00E800C9"/>
    <w:rsid w:val="00E80C04"/>
    <w:rsid w:val="00E80DEC"/>
    <w:rsid w:val="00E81582"/>
    <w:rsid w:val="00E82FE6"/>
    <w:rsid w:val="00E83351"/>
    <w:rsid w:val="00E838E8"/>
    <w:rsid w:val="00E841C0"/>
    <w:rsid w:val="00E85225"/>
    <w:rsid w:val="00E85266"/>
    <w:rsid w:val="00E85584"/>
    <w:rsid w:val="00E86518"/>
    <w:rsid w:val="00E86B56"/>
    <w:rsid w:val="00E86CE3"/>
    <w:rsid w:val="00E86EB1"/>
    <w:rsid w:val="00E86F22"/>
    <w:rsid w:val="00E87213"/>
    <w:rsid w:val="00E8743E"/>
    <w:rsid w:val="00E87548"/>
    <w:rsid w:val="00E91DFD"/>
    <w:rsid w:val="00E9277B"/>
    <w:rsid w:val="00E92C4B"/>
    <w:rsid w:val="00E92D01"/>
    <w:rsid w:val="00E93277"/>
    <w:rsid w:val="00E9424F"/>
    <w:rsid w:val="00E94566"/>
    <w:rsid w:val="00E949DB"/>
    <w:rsid w:val="00E95144"/>
    <w:rsid w:val="00E954E9"/>
    <w:rsid w:val="00E970C8"/>
    <w:rsid w:val="00E9725D"/>
    <w:rsid w:val="00E979A3"/>
    <w:rsid w:val="00E97A68"/>
    <w:rsid w:val="00EA1898"/>
    <w:rsid w:val="00EA1ADB"/>
    <w:rsid w:val="00EA1DD0"/>
    <w:rsid w:val="00EA2129"/>
    <w:rsid w:val="00EA22C0"/>
    <w:rsid w:val="00EA2494"/>
    <w:rsid w:val="00EA2A5E"/>
    <w:rsid w:val="00EA35DF"/>
    <w:rsid w:val="00EA3966"/>
    <w:rsid w:val="00EA3B11"/>
    <w:rsid w:val="00EA4767"/>
    <w:rsid w:val="00EA4C3B"/>
    <w:rsid w:val="00EA5468"/>
    <w:rsid w:val="00EA5812"/>
    <w:rsid w:val="00EA5927"/>
    <w:rsid w:val="00EA5A3D"/>
    <w:rsid w:val="00EA61D6"/>
    <w:rsid w:val="00EA6788"/>
    <w:rsid w:val="00EB012C"/>
    <w:rsid w:val="00EB1E5E"/>
    <w:rsid w:val="00EB215F"/>
    <w:rsid w:val="00EB2DF3"/>
    <w:rsid w:val="00EB33E5"/>
    <w:rsid w:val="00EB39F5"/>
    <w:rsid w:val="00EB405D"/>
    <w:rsid w:val="00EB428A"/>
    <w:rsid w:val="00EB4331"/>
    <w:rsid w:val="00EB4D6B"/>
    <w:rsid w:val="00EB4FCB"/>
    <w:rsid w:val="00EB61A1"/>
    <w:rsid w:val="00EB7281"/>
    <w:rsid w:val="00EB7536"/>
    <w:rsid w:val="00EB7952"/>
    <w:rsid w:val="00EC0515"/>
    <w:rsid w:val="00EC0964"/>
    <w:rsid w:val="00EC0D05"/>
    <w:rsid w:val="00EC0E96"/>
    <w:rsid w:val="00EC29BC"/>
    <w:rsid w:val="00EC2B52"/>
    <w:rsid w:val="00EC2BA8"/>
    <w:rsid w:val="00EC2EDC"/>
    <w:rsid w:val="00EC36EB"/>
    <w:rsid w:val="00EC3CE4"/>
    <w:rsid w:val="00EC5194"/>
    <w:rsid w:val="00EC5A2A"/>
    <w:rsid w:val="00EC5EC1"/>
    <w:rsid w:val="00EC62FC"/>
    <w:rsid w:val="00EC6D4C"/>
    <w:rsid w:val="00EC737D"/>
    <w:rsid w:val="00EC7590"/>
    <w:rsid w:val="00EC7C09"/>
    <w:rsid w:val="00EC7D3B"/>
    <w:rsid w:val="00ED0BC0"/>
    <w:rsid w:val="00ED0D84"/>
    <w:rsid w:val="00ED0DF8"/>
    <w:rsid w:val="00ED13AD"/>
    <w:rsid w:val="00ED1776"/>
    <w:rsid w:val="00ED1BA6"/>
    <w:rsid w:val="00ED2121"/>
    <w:rsid w:val="00ED2735"/>
    <w:rsid w:val="00ED2975"/>
    <w:rsid w:val="00ED2CE0"/>
    <w:rsid w:val="00ED3016"/>
    <w:rsid w:val="00ED47E1"/>
    <w:rsid w:val="00ED48D9"/>
    <w:rsid w:val="00ED4CD3"/>
    <w:rsid w:val="00ED4D40"/>
    <w:rsid w:val="00ED50CC"/>
    <w:rsid w:val="00ED6865"/>
    <w:rsid w:val="00ED6DD5"/>
    <w:rsid w:val="00EE03EE"/>
    <w:rsid w:val="00EE0608"/>
    <w:rsid w:val="00EE0BF7"/>
    <w:rsid w:val="00EE0E48"/>
    <w:rsid w:val="00EE1533"/>
    <w:rsid w:val="00EE1C3C"/>
    <w:rsid w:val="00EE1D82"/>
    <w:rsid w:val="00EE1E37"/>
    <w:rsid w:val="00EE235E"/>
    <w:rsid w:val="00EE23CD"/>
    <w:rsid w:val="00EE2ACF"/>
    <w:rsid w:val="00EE351C"/>
    <w:rsid w:val="00EE3D5B"/>
    <w:rsid w:val="00EE3F83"/>
    <w:rsid w:val="00EE4151"/>
    <w:rsid w:val="00EE434F"/>
    <w:rsid w:val="00EE45E6"/>
    <w:rsid w:val="00EE48BE"/>
    <w:rsid w:val="00EE502A"/>
    <w:rsid w:val="00EE50A0"/>
    <w:rsid w:val="00EE50CC"/>
    <w:rsid w:val="00EE5D8E"/>
    <w:rsid w:val="00EE5F87"/>
    <w:rsid w:val="00EE63CB"/>
    <w:rsid w:val="00EE684D"/>
    <w:rsid w:val="00EE6D06"/>
    <w:rsid w:val="00EE72BB"/>
    <w:rsid w:val="00EE7556"/>
    <w:rsid w:val="00EE7AAB"/>
    <w:rsid w:val="00EE7DE6"/>
    <w:rsid w:val="00EE7F4F"/>
    <w:rsid w:val="00EF079A"/>
    <w:rsid w:val="00EF0FB8"/>
    <w:rsid w:val="00EF1A28"/>
    <w:rsid w:val="00EF1FD8"/>
    <w:rsid w:val="00EF22E1"/>
    <w:rsid w:val="00EF259B"/>
    <w:rsid w:val="00EF291E"/>
    <w:rsid w:val="00EF2C61"/>
    <w:rsid w:val="00EF336F"/>
    <w:rsid w:val="00EF3687"/>
    <w:rsid w:val="00EF3B9C"/>
    <w:rsid w:val="00EF3C26"/>
    <w:rsid w:val="00EF3CAC"/>
    <w:rsid w:val="00EF3E22"/>
    <w:rsid w:val="00EF408B"/>
    <w:rsid w:val="00EF4107"/>
    <w:rsid w:val="00EF43B6"/>
    <w:rsid w:val="00EF449A"/>
    <w:rsid w:val="00EF5E9A"/>
    <w:rsid w:val="00EF5F34"/>
    <w:rsid w:val="00EF7234"/>
    <w:rsid w:val="00EF7380"/>
    <w:rsid w:val="00F006F3"/>
    <w:rsid w:val="00F00B39"/>
    <w:rsid w:val="00F010C6"/>
    <w:rsid w:val="00F01384"/>
    <w:rsid w:val="00F0165D"/>
    <w:rsid w:val="00F017FC"/>
    <w:rsid w:val="00F028DB"/>
    <w:rsid w:val="00F02BC5"/>
    <w:rsid w:val="00F02C47"/>
    <w:rsid w:val="00F02CE4"/>
    <w:rsid w:val="00F02D08"/>
    <w:rsid w:val="00F0344C"/>
    <w:rsid w:val="00F0496B"/>
    <w:rsid w:val="00F04D7A"/>
    <w:rsid w:val="00F053B5"/>
    <w:rsid w:val="00F05456"/>
    <w:rsid w:val="00F056D9"/>
    <w:rsid w:val="00F05B02"/>
    <w:rsid w:val="00F06F4B"/>
    <w:rsid w:val="00F07842"/>
    <w:rsid w:val="00F07D99"/>
    <w:rsid w:val="00F102FB"/>
    <w:rsid w:val="00F10855"/>
    <w:rsid w:val="00F109FE"/>
    <w:rsid w:val="00F10B7E"/>
    <w:rsid w:val="00F112B2"/>
    <w:rsid w:val="00F121B8"/>
    <w:rsid w:val="00F12C42"/>
    <w:rsid w:val="00F14347"/>
    <w:rsid w:val="00F15F39"/>
    <w:rsid w:val="00F16422"/>
    <w:rsid w:val="00F16610"/>
    <w:rsid w:val="00F16734"/>
    <w:rsid w:val="00F174DE"/>
    <w:rsid w:val="00F179A3"/>
    <w:rsid w:val="00F20005"/>
    <w:rsid w:val="00F20820"/>
    <w:rsid w:val="00F20DE4"/>
    <w:rsid w:val="00F21185"/>
    <w:rsid w:val="00F21C1C"/>
    <w:rsid w:val="00F21CFB"/>
    <w:rsid w:val="00F22764"/>
    <w:rsid w:val="00F22B3E"/>
    <w:rsid w:val="00F234D7"/>
    <w:rsid w:val="00F23A7B"/>
    <w:rsid w:val="00F23C57"/>
    <w:rsid w:val="00F23CBE"/>
    <w:rsid w:val="00F24153"/>
    <w:rsid w:val="00F244D7"/>
    <w:rsid w:val="00F246A9"/>
    <w:rsid w:val="00F2474F"/>
    <w:rsid w:val="00F257B5"/>
    <w:rsid w:val="00F25934"/>
    <w:rsid w:val="00F25AF8"/>
    <w:rsid w:val="00F25BC9"/>
    <w:rsid w:val="00F261E3"/>
    <w:rsid w:val="00F26803"/>
    <w:rsid w:val="00F2697E"/>
    <w:rsid w:val="00F26B48"/>
    <w:rsid w:val="00F279F9"/>
    <w:rsid w:val="00F27B59"/>
    <w:rsid w:val="00F27E03"/>
    <w:rsid w:val="00F27F2E"/>
    <w:rsid w:val="00F30019"/>
    <w:rsid w:val="00F308C0"/>
    <w:rsid w:val="00F30925"/>
    <w:rsid w:val="00F30C44"/>
    <w:rsid w:val="00F31060"/>
    <w:rsid w:val="00F318E1"/>
    <w:rsid w:val="00F31DD2"/>
    <w:rsid w:val="00F3240F"/>
    <w:rsid w:val="00F32907"/>
    <w:rsid w:val="00F33D23"/>
    <w:rsid w:val="00F34072"/>
    <w:rsid w:val="00F34AEA"/>
    <w:rsid w:val="00F34BD7"/>
    <w:rsid w:val="00F34DF4"/>
    <w:rsid w:val="00F350DF"/>
    <w:rsid w:val="00F3667B"/>
    <w:rsid w:val="00F37397"/>
    <w:rsid w:val="00F377AB"/>
    <w:rsid w:val="00F402BF"/>
    <w:rsid w:val="00F4058A"/>
    <w:rsid w:val="00F4122B"/>
    <w:rsid w:val="00F419C6"/>
    <w:rsid w:val="00F41AC6"/>
    <w:rsid w:val="00F42A11"/>
    <w:rsid w:val="00F42A36"/>
    <w:rsid w:val="00F42A49"/>
    <w:rsid w:val="00F42C20"/>
    <w:rsid w:val="00F43419"/>
    <w:rsid w:val="00F44774"/>
    <w:rsid w:val="00F44A9D"/>
    <w:rsid w:val="00F44B2A"/>
    <w:rsid w:val="00F4527C"/>
    <w:rsid w:val="00F458FB"/>
    <w:rsid w:val="00F461A4"/>
    <w:rsid w:val="00F463CF"/>
    <w:rsid w:val="00F46862"/>
    <w:rsid w:val="00F51351"/>
    <w:rsid w:val="00F51475"/>
    <w:rsid w:val="00F51532"/>
    <w:rsid w:val="00F51576"/>
    <w:rsid w:val="00F51DBA"/>
    <w:rsid w:val="00F51E87"/>
    <w:rsid w:val="00F51EC9"/>
    <w:rsid w:val="00F52819"/>
    <w:rsid w:val="00F53098"/>
    <w:rsid w:val="00F54485"/>
    <w:rsid w:val="00F5458F"/>
    <w:rsid w:val="00F5480D"/>
    <w:rsid w:val="00F548A3"/>
    <w:rsid w:val="00F54936"/>
    <w:rsid w:val="00F54C5F"/>
    <w:rsid w:val="00F55169"/>
    <w:rsid w:val="00F55B6F"/>
    <w:rsid w:val="00F56C65"/>
    <w:rsid w:val="00F5756B"/>
    <w:rsid w:val="00F575D3"/>
    <w:rsid w:val="00F57C44"/>
    <w:rsid w:val="00F57D80"/>
    <w:rsid w:val="00F607C3"/>
    <w:rsid w:val="00F60C30"/>
    <w:rsid w:val="00F60F3C"/>
    <w:rsid w:val="00F61352"/>
    <w:rsid w:val="00F61AA6"/>
    <w:rsid w:val="00F622ED"/>
    <w:rsid w:val="00F623E9"/>
    <w:rsid w:val="00F624AA"/>
    <w:rsid w:val="00F624E6"/>
    <w:rsid w:val="00F62A68"/>
    <w:rsid w:val="00F6361A"/>
    <w:rsid w:val="00F639F8"/>
    <w:rsid w:val="00F63B07"/>
    <w:rsid w:val="00F63D51"/>
    <w:rsid w:val="00F64B4D"/>
    <w:rsid w:val="00F6556E"/>
    <w:rsid w:val="00F65884"/>
    <w:rsid w:val="00F6602A"/>
    <w:rsid w:val="00F66892"/>
    <w:rsid w:val="00F66AC4"/>
    <w:rsid w:val="00F66DF2"/>
    <w:rsid w:val="00F6748D"/>
    <w:rsid w:val="00F67C74"/>
    <w:rsid w:val="00F701C2"/>
    <w:rsid w:val="00F702F7"/>
    <w:rsid w:val="00F70529"/>
    <w:rsid w:val="00F71445"/>
    <w:rsid w:val="00F7148D"/>
    <w:rsid w:val="00F71763"/>
    <w:rsid w:val="00F72FF1"/>
    <w:rsid w:val="00F7345A"/>
    <w:rsid w:val="00F74E8D"/>
    <w:rsid w:val="00F7543A"/>
    <w:rsid w:val="00F76347"/>
    <w:rsid w:val="00F76980"/>
    <w:rsid w:val="00F77FD7"/>
    <w:rsid w:val="00F81155"/>
    <w:rsid w:val="00F81EA8"/>
    <w:rsid w:val="00F82356"/>
    <w:rsid w:val="00F827CC"/>
    <w:rsid w:val="00F82B11"/>
    <w:rsid w:val="00F82F38"/>
    <w:rsid w:val="00F83165"/>
    <w:rsid w:val="00F83EF5"/>
    <w:rsid w:val="00F83F0A"/>
    <w:rsid w:val="00F85309"/>
    <w:rsid w:val="00F85CA7"/>
    <w:rsid w:val="00F85D0C"/>
    <w:rsid w:val="00F85EC3"/>
    <w:rsid w:val="00F860F1"/>
    <w:rsid w:val="00F865C2"/>
    <w:rsid w:val="00F86A28"/>
    <w:rsid w:val="00F86A40"/>
    <w:rsid w:val="00F86A5B"/>
    <w:rsid w:val="00F86F0D"/>
    <w:rsid w:val="00F87AB0"/>
    <w:rsid w:val="00F9084B"/>
    <w:rsid w:val="00F90CA7"/>
    <w:rsid w:val="00F91588"/>
    <w:rsid w:val="00F9172A"/>
    <w:rsid w:val="00F9183E"/>
    <w:rsid w:val="00F91BC6"/>
    <w:rsid w:val="00F92B5A"/>
    <w:rsid w:val="00F92D14"/>
    <w:rsid w:val="00F92FE1"/>
    <w:rsid w:val="00F93479"/>
    <w:rsid w:val="00F93A30"/>
    <w:rsid w:val="00F94934"/>
    <w:rsid w:val="00F94BEB"/>
    <w:rsid w:val="00F9545F"/>
    <w:rsid w:val="00F9596C"/>
    <w:rsid w:val="00F95FEE"/>
    <w:rsid w:val="00F96478"/>
    <w:rsid w:val="00F965E5"/>
    <w:rsid w:val="00F967F8"/>
    <w:rsid w:val="00F96C1E"/>
    <w:rsid w:val="00F96D07"/>
    <w:rsid w:val="00F9725D"/>
    <w:rsid w:val="00F974C5"/>
    <w:rsid w:val="00FA0174"/>
    <w:rsid w:val="00FA1802"/>
    <w:rsid w:val="00FA18F1"/>
    <w:rsid w:val="00FA2046"/>
    <w:rsid w:val="00FA2F0D"/>
    <w:rsid w:val="00FA3241"/>
    <w:rsid w:val="00FA3829"/>
    <w:rsid w:val="00FA4C7E"/>
    <w:rsid w:val="00FA4DDE"/>
    <w:rsid w:val="00FA52BA"/>
    <w:rsid w:val="00FA577D"/>
    <w:rsid w:val="00FA58D7"/>
    <w:rsid w:val="00FA5C3B"/>
    <w:rsid w:val="00FA6774"/>
    <w:rsid w:val="00FA6825"/>
    <w:rsid w:val="00FA6B15"/>
    <w:rsid w:val="00FA6D42"/>
    <w:rsid w:val="00FA77D9"/>
    <w:rsid w:val="00FA797E"/>
    <w:rsid w:val="00FA79D6"/>
    <w:rsid w:val="00FB02E2"/>
    <w:rsid w:val="00FB074D"/>
    <w:rsid w:val="00FB11EC"/>
    <w:rsid w:val="00FB13E4"/>
    <w:rsid w:val="00FB1909"/>
    <w:rsid w:val="00FB19BB"/>
    <w:rsid w:val="00FB1D45"/>
    <w:rsid w:val="00FB282C"/>
    <w:rsid w:val="00FB28EE"/>
    <w:rsid w:val="00FB2D28"/>
    <w:rsid w:val="00FB3A6F"/>
    <w:rsid w:val="00FB3ECD"/>
    <w:rsid w:val="00FB42C4"/>
    <w:rsid w:val="00FB54DA"/>
    <w:rsid w:val="00FB5ACA"/>
    <w:rsid w:val="00FB6B5C"/>
    <w:rsid w:val="00FB7E27"/>
    <w:rsid w:val="00FC0AD0"/>
    <w:rsid w:val="00FC0F91"/>
    <w:rsid w:val="00FC118D"/>
    <w:rsid w:val="00FC1950"/>
    <w:rsid w:val="00FC1CA0"/>
    <w:rsid w:val="00FC2DD3"/>
    <w:rsid w:val="00FC37C3"/>
    <w:rsid w:val="00FC3803"/>
    <w:rsid w:val="00FC383E"/>
    <w:rsid w:val="00FC3D2B"/>
    <w:rsid w:val="00FC3E25"/>
    <w:rsid w:val="00FC4BBE"/>
    <w:rsid w:val="00FC4BC8"/>
    <w:rsid w:val="00FC4FD8"/>
    <w:rsid w:val="00FC58E7"/>
    <w:rsid w:val="00FC5C2B"/>
    <w:rsid w:val="00FC5EA2"/>
    <w:rsid w:val="00FC6765"/>
    <w:rsid w:val="00FC749E"/>
    <w:rsid w:val="00FC7AD0"/>
    <w:rsid w:val="00FC7AD8"/>
    <w:rsid w:val="00FC7E8E"/>
    <w:rsid w:val="00FD04A5"/>
    <w:rsid w:val="00FD04C7"/>
    <w:rsid w:val="00FD077F"/>
    <w:rsid w:val="00FD0DF2"/>
    <w:rsid w:val="00FD1130"/>
    <w:rsid w:val="00FD1675"/>
    <w:rsid w:val="00FD1C7B"/>
    <w:rsid w:val="00FD2B51"/>
    <w:rsid w:val="00FD3086"/>
    <w:rsid w:val="00FD40DF"/>
    <w:rsid w:val="00FD4E9F"/>
    <w:rsid w:val="00FD6343"/>
    <w:rsid w:val="00FD6AA1"/>
    <w:rsid w:val="00FD743A"/>
    <w:rsid w:val="00FD7539"/>
    <w:rsid w:val="00FD7902"/>
    <w:rsid w:val="00FD7B68"/>
    <w:rsid w:val="00FD7BEE"/>
    <w:rsid w:val="00FE0760"/>
    <w:rsid w:val="00FE2967"/>
    <w:rsid w:val="00FE2DA0"/>
    <w:rsid w:val="00FE3184"/>
    <w:rsid w:val="00FE5D62"/>
    <w:rsid w:val="00FE6B07"/>
    <w:rsid w:val="00FE6B97"/>
    <w:rsid w:val="00FE7289"/>
    <w:rsid w:val="00FE7B57"/>
    <w:rsid w:val="00FF0924"/>
    <w:rsid w:val="00FF0E46"/>
    <w:rsid w:val="00FF0FCE"/>
    <w:rsid w:val="00FF1628"/>
    <w:rsid w:val="00FF1717"/>
    <w:rsid w:val="00FF1755"/>
    <w:rsid w:val="00FF1CA2"/>
    <w:rsid w:val="00FF2189"/>
    <w:rsid w:val="00FF21BD"/>
    <w:rsid w:val="00FF24F6"/>
    <w:rsid w:val="00FF4D25"/>
    <w:rsid w:val="00FF56BC"/>
    <w:rsid w:val="00FF6A3A"/>
    <w:rsid w:val="00FF6F07"/>
    <w:rsid w:val="00FF7655"/>
    <w:rsid w:val="01195CAD"/>
    <w:rsid w:val="012B25CB"/>
    <w:rsid w:val="01655B5D"/>
    <w:rsid w:val="02777BFD"/>
    <w:rsid w:val="02D70BBC"/>
    <w:rsid w:val="033A3447"/>
    <w:rsid w:val="04212517"/>
    <w:rsid w:val="046A2609"/>
    <w:rsid w:val="04C35BB6"/>
    <w:rsid w:val="05812B41"/>
    <w:rsid w:val="06394017"/>
    <w:rsid w:val="07014B7D"/>
    <w:rsid w:val="07043363"/>
    <w:rsid w:val="077227F5"/>
    <w:rsid w:val="083A7CC8"/>
    <w:rsid w:val="08962DA7"/>
    <w:rsid w:val="098A618B"/>
    <w:rsid w:val="0A4F4DA1"/>
    <w:rsid w:val="0BDC13D1"/>
    <w:rsid w:val="0C14470F"/>
    <w:rsid w:val="0C50326D"/>
    <w:rsid w:val="0C554FCB"/>
    <w:rsid w:val="0C8032A2"/>
    <w:rsid w:val="0CBB2F9D"/>
    <w:rsid w:val="0D424F63"/>
    <w:rsid w:val="0D7F3E0A"/>
    <w:rsid w:val="0DC844B2"/>
    <w:rsid w:val="0E2520B0"/>
    <w:rsid w:val="0E664FCA"/>
    <w:rsid w:val="0EAC50D3"/>
    <w:rsid w:val="0EF435C5"/>
    <w:rsid w:val="0F0C5B71"/>
    <w:rsid w:val="0FFC5BE6"/>
    <w:rsid w:val="100C3C69"/>
    <w:rsid w:val="103C4234"/>
    <w:rsid w:val="11737CC0"/>
    <w:rsid w:val="11DE1160"/>
    <w:rsid w:val="12B05511"/>
    <w:rsid w:val="133F2C82"/>
    <w:rsid w:val="1356059D"/>
    <w:rsid w:val="141379A2"/>
    <w:rsid w:val="14702D3A"/>
    <w:rsid w:val="148E0471"/>
    <w:rsid w:val="14A34313"/>
    <w:rsid w:val="14C8487A"/>
    <w:rsid w:val="16923B57"/>
    <w:rsid w:val="17795D6E"/>
    <w:rsid w:val="19E25E4D"/>
    <w:rsid w:val="1AB23A71"/>
    <w:rsid w:val="1AC063DE"/>
    <w:rsid w:val="1AD559B1"/>
    <w:rsid w:val="1C0C5329"/>
    <w:rsid w:val="1C8C02F2"/>
    <w:rsid w:val="1CF06FD5"/>
    <w:rsid w:val="1D4660B9"/>
    <w:rsid w:val="1DB337A5"/>
    <w:rsid w:val="1DFA5B93"/>
    <w:rsid w:val="1E212DD8"/>
    <w:rsid w:val="1E35555F"/>
    <w:rsid w:val="1E366767"/>
    <w:rsid w:val="1EBE473D"/>
    <w:rsid w:val="201C373B"/>
    <w:rsid w:val="207506CD"/>
    <w:rsid w:val="20D53C01"/>
    <w:rsid w:val="215055AD"/>
    <w:rsid w:val="2177331E"/>
    <w:rsid w:val="22433200"/>
    <w:rsid w:val="2254749D"/>
    <w:rsid w:val="227F6639"/>
    <w:rsid w:val="232B5651"/>
    <w:rsid w:val="23681054"/>
    <w:rsid w:val="23D42CAA"/>
    <w:rsid w:val="24212E47"/>
    <w:rsid w:val="246758CC"/>
    <w:rsid w:val="250F3C45"/>
    <w:rsid w:val="253357AE"/>
    <w:rsid w:val="25971AB4"/>
    <w:rsid w:val="26215C0B"/>
    <w:rsid w:val="266320C3"/>
    <w:rsid w:val="276E0D2B"/>
    <w:rsid w:val="27A61EA5"/>
    <w:rsid w:val="27D37F32"/>
    <w:rsid w:val="28A1404D"/>
    <w:rsid w:val="2976468E"/>
    <w:rsid w:val="2A56543D"/>
    <w:rsid w:val="2A7340D0"/>
    <w:rsid w:val="2AAE6EE1"/>
    <w:rsid w:val="2B6F32B8"/>
    <w:rsid w:val="2C1F4CDE"/>
    <w:rsid w:val="2E232138"/>
    <w:rsid w:val="2E4E3407"/>
    <w:rsid w:val="2EF0415C"/>
    <w:rsid w:val="2FA8162C"/>
    <w:rsid w:val="2FD63906"/>
    <w:rsid w:val="30BA4FD6"/>
    <w:rsid w:val="31C148CF"/>
    <w:rsid w:val="31FC33CC"/>
    <w:rsid w:val="32087FC3"/>
    <w:rsid w:val="32243EED"/>
    <w:rsid w:val="32265FD5"/>
    <w:rsid w:val="329F26D5"/>
    <w:rsid w:val="32D56359"/>
    <w:rsid w:val="345D2A1D"/>
    <w:rsid w:val="345E211C"/>
    <w:rsid w:val="34817CEF"/>
    <w:rsid w:val="348441CE"/>
    <w:rsid w:val="34880F47"/>
    <w:rsid w:val="357455F1"/>
    <w:rsid w:val="35747E49"/>
    <w:rsid w:val="35BD4739"/>
    <w:rsid w:val="35C61A88"/>
    <w:rsid w:val="36582A9C"/>
    <w:rsid w:val="36993545"/>
    <w:rsid w:val="36A93B22"/>
    <w:rsid w:val="38C761BF"/>
    <w:rsid w:val="39203E44"/>
    <w:rsid w:val="39730401"/>
    <w:rsid w:val="39CB6BCC"/>
    <w:rsid w:val="3A680AF5"/>
    <w:rsid w:val="3B0B75E8"/>
    <w:rsid w:val="3C5462DE"/>
    <w:rsid w:val="3CB27464"/>
    <w:rsid w:val="3DF14E3C"/>
    <w:rsid w:val="3EA177D5"/>
    <w:rsid w:val="3EE945C3"/>
    <w:rsid w:val="3F3C6A4D"/>
    <w:rsid w:val="3FD140EA"/>
    <w:rsid w:val="3FE411B1"/>
    <w:rsid w:val="3FF1656A"/>
    <w:rsid w:val="4015635A"/>
    <w:rsid w:val="40776A3F"/>
    <w:rsid w:val="4089760D"/>
    <w:rsid w:val="419D300F"/>
    <w:rsid w:val="42D65F34"/>
    <w:rsid w:val="43670FED"/>
    <w:rsid w:val="43F97D94"/>
    <w:rsid w:val="44365AE6"/>
    <w:rsid w:val="44FE1D18"/>
    <w:rsid w:val="45693886"/>
    <w:rsid w:val="460F1C96"/>
    <w:rsid w:val="47347438"/>
    <w:rsid w:val="473F5DDD"/>
    <w:rsid w:val="47617B01"/>
    <w:rsid w:val="47B15066"/>
    <w:rsid w:val="47CA1B4A"/>
    <w:rsid w:val="484E2617"/>
    <w:rsid w:val="48C04CFB"/>
    <w:rsid w:val="48EA3B26"/>
    <w:rsid w:val="49441489"/>
    <w:rsid w:val="4A4A5C86"/>
    <w:rsid w:val="4A613290"/>
    <w:rsid w:val="4B991F60"/>
    <w:rsid w:val="4C612351"/>
    <w:rsid w:val="4C685FF5"/>
    <w:rsid w:val="4C6C1422"/>
    <w:rsid w:val="4CEB1255"/>
    <w:rsid w:val="4D577C4A"/>
    <w:rsid w:val="4DBA3214"/>
    <w:rsid w:val="4E173610"/>
    <w:rsid w:val="4E321D7A"/>
    <w:rsid w:val="4E4B4B67"/>
    <w:rsid w:val="4E955A09"/>
    <w:rsid w:val="4F7E481F"/>
    <w:rsid w:val="4F953D47"/>
    <w:rsid w:val="4FB31116"/>
    <w:rsid w:val="5026588C"/>
    <w:rsid w:val="504C2DF0"/>
    <w:rsid w:val="508F56DF"/>
    <w:rsid w:val="50A85454"/>
    <w:rsid w:val="50BE4F60"/>
    <w:rsid w:val="52BE04FE"/>
    <w:rsid w:val="54492049"/>
    <w:rsid w:val="547D0BAA"/>
    <w:rsid w:val="54A67298"/>
    <w:rsid w:val="564407D3"/>
    <w:rsid w:val="56D3300B"/>
    <w:rsid w:val="57662666"/>
    <w:rsid w:val="578E4942"/>
    <w:rsid w:val="58807673"/>
    <w:rsid w:val="58F55A17"/>
    <w:rsid w:val="591525C6"/>
    <w:rsid w:val="594554D5"/>
    <w:rsid w:val="59607B66"/>
    <w:rsid w:val="59A43A02"/>
    <w:rsid w:val="5A940ED3"/>
    <w:rsid w:val="5B266C40"/>
    <w:rsid w:val="5BBB1A7E"/>
    <w:rsid w:val="5BD8454B"/>
    <w:rsid w:val="5BE34B31"/>
    <w:rsid w:val="5F287C61"/>
    <w:rsid w:val="5FA82844"/>
    <w:rsid w:val="5FCC080D"/>
    <w:rsid w:val="60146F80"/>
    <w:rsid w:val="628A21AA"/>
    <w:rsid w:val="62A40365"/>
    <w:rsid w:val="63337752"/>
    <w:rsid w:val="63972DD1"/>
    <w:rsid w:val="648D6791"/>
    <w:rsid w:val="671465AA"/>
    <w:rsid w:val="67352362"/>
    <w:rsid w:val="67B73C13"/>
    <w:rsid w:val="685B7298"/>
    <w:rsid w:val="6AA302AD"/>
    <w:rsid w:val="6B0574A6"/>
    <w:rsid w:val="6C9E6F7E"/>
    <w:rsid w:val="6C9F4AA4"/>
    <w:rsid w:val="6D817B44"/>
    <w:rsid w:val="6DB77BCC"/>
    <w:rsid w:val="6E603D3C"/>
    <w:rsid w:val="6E755BDC"/>
    <w:rsid w:val="70AA28E3"/>
    <w:rsid w:val="725635DD"/>
    <w:rsid w:val="72AE5598"/>
    <w:rsid w:val="72B66F8B"/>
    <w:rsid w:val="72D37256"/>
    <w:rsid w:val="735E614C"/>
    <w:rsid w:val="738564EC"/>
    <w:rsid w:val="74192FC4"/>
    <w:rsid w:val="748E25CA"/>
    <w:rsid w:val="74A70471"/>
    <w:rsid w:val="75081759"/>
    <w:rsid w:val="751F29F5"/>
    <w:rsid w:val="774B7FC3"/>
    <w:rsid w:val="77620CA2"/>
    <w:rsid w:val="777547E2"/>
    <w:rsid w:val="787D0AF9"/>
    <w:rsid w:val="79030169"/>
    <w:rsid w:val="797A042B"/>
    <w:rsid w:val="79E1494E"/>
    <w:rsid w:val="7A495DCF"/>
    <w:rsid w:val="7AE63EBE"/>
    <w:rsid w:val="7B580C40"/>
    <w:rsid w:val="7BA45C33"/>
    <w:rsid w:val="7BA615A2"/>
    <w:rsid w:val="7C285BC0"/>
    <w:rsid w:val="7C5E4916"/>
    <w:rsid w:val="7C66113B"/>
    <w:rsid w:val="7CD159DE"/>
    <w:rsid w:val="7CFA5489"/>
    <w:rsid w:val="7E0E2415"/>
    <w:rsid w:val="7E5908C8"/>
    <w:rsid w:val="7E851D4C"/>
    <w:rsid w:val="7EFE38AC"/>
    <w:rsid w:val="7FA03630"/>
    <w:rsid w:val="7FFF3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3"/>
    <w:semiHidden/>
    <w:unhideWhenUsed/>
    <w:qFormat/>
    <w:uiPriority w:val="99"/>
    <w:pPr>
      <w:jc w:val="left"/>
    </w:pPr>
  </w:style>
  <w:style w:type="paragraph" w:styleId="5">
    <w:name w:val="Plain Text"/>
    <w:basedOn w:val="1"/>
    <w:link w:val="15"/>
    <w:unhideWhenUsed/>
    <w:qFormat/>
    <w:uiPriority w:val="99"/>
    <w:rPr>
      <w:rFonts w:ascii="宋体" w:hAnsi="Courier New" w:eastAsia="宋体" w:cs="Courier New"/>
      <w:szCs w:val="21"/>
    </w:rPr>
  </w:style>
  <w:style w:type="paragraph" w:styleId="6">
    <w:name w:val="Balloon Text"/>
    <w:basedOn w:val="1"/>
    <w:link w:val="25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annotation subject"/>
    <w:basedOn w:val="4"/>
    <w:next w:val="4"/>
    <w:link w:val="24"/>
    <w:semiHidden/>
    <w:unhideWhenUsed/>
    <w:qFormat/>
    <w:uiPriority w:val="99"/>
    <w:rPr>
      <w:b/>
      <w:bCs/>
    </w:rPr>
  </w:style>
  <w:style w:type="character" w:styleId="12">
    <w:name w:val="FollowedHyperlink"/>
    <w:basedOn w:val="11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3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4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5">
    <w:name w:val="纯文本 Char"/>
    <w:basedOn w:val="11"/>
    <w:link w:val="5"/>
    <w:qFormat/>
    <w:uiPriority w:val="99"/>
    <w:rPr>
      <w:rFonts w:ascii="宋体" w:hAnsi="Courier New" w:eastAsia="宋体" w:cs="Courier New"/>
      <w:szCs w:val="21"/>
    </w:rPr>
  </w:style>
  <w:style w:type="character" w:customStyle="1" w:styleId="16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7">
    <w:name w:val="页脚 Char"/>
    <w:basedOn w:val="11"/>
    <w:link w:val="7"/>
    <w:qFormat/>
    <w:uiPriority w:val="99"/>
    <w:rPr>
      <w:sz w:val="18"/>
      <w:szCs w:val="18"/>
    </w:rPr>
  </w:style>
  <w:style w:type="character" w:customStyle="1" w:styleId="18">
    <w:name w:val="conrtib-corresp"/>
    <w:basedOn w:val="11"/>
    <w:qFormat/>
    <w:uiPriority w:val="0"/>
  </w:style>
  <w:style w:type="character" w:customStyle="1" w:styleId="19">
    <w:name w:val="标题 3 Char"/>
    <w:basedOn w:val="11"/>
    <w:link w:val="3"/>
    <w:semiHidden/>
    <w:qFormat/>
    <w:uiPriority w:val="9"/>
    <w:rPr>
      <w:b/>
      <w:bCs/>
      <w:sz w:val="32"/>
      <w:szCs w:val="32"/>
    </w:rPr>
  </w:style>
  <w:style w:type="character" w:customStyle="1" w:styleId="20">
    <w:name w:val="标题 2 Char"/>
    <w:basedOn w:val="11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customStyle="1" w:styleId="21">
    <w:name w:val="author-typ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2">
    <w:name w:val="author-nam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23">
    <w:name w:val="批注文字 Char"/>
    <w:basedOn w:val="11"/>
    <w:link w:val="4"/>
    <w:semiHidden/>
    <w:qFormat/>
    <w:uiPriority w:val="99"/>
  </w:style>
  <w:style w:type="character" w:customStyle="1" w:styleId="24">
    <w:name w:val="批注主题 Char"/>
    <w:basedOn w:val="23"/>
    <w:link w:val="9"/>
    <w:semiHidden/>
    <w:qFormat/>
    <w:uiPriority w:val="99"/>
    <w:rPr>
      <w:b/>
      <w:bCs/>
    </w:rPr>
  </w:style>
  <w:style w:type="character" w:customStyle="1" w:styleId="25">
    <w:name w:val="批注框文本 Char"/>
    <w:basedOn w:val="11"/>
    <w:link w:val="6"/>
    <w:semiHidden/>
    <w:qFormat/>
    <w:uiPriority w:val="99"/>
    <w:rPr>
      <w:sz w:val="18"/>
      <w:szCs w:val="18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6B772-4990-47B6-95DB-C25F7D09A9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27</Pages>
  <Words>563</Words>
  <Characters>3903</Characters>
  <Lines>1</Lines>
  <Paragraphs>1</Paragraphs>
  <TotalTime>192</TotalTime>
  <ScaleCrop>false</ScaleCrop>
  <LinksUpToDate>false</LinksUpToDate>
  <CharactersWithSpaces>4417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2026-04-20T01:10:00Z</dcterms:created>
  <dc:creator>bnds</dc:creator>
  <cp:lastModifiedBy>朱晓丽</cp:lastModifiedBy>
  <dcterms:modified xsi:type="dcterms:W3CDTF">2026-10-08T03:54:12Z</dcterms:modified>
  <cp:revision>347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eyJoZGlkIjoiMzYwOTRkYTgyYmFkYWY1OGIzMTE1N2NiY2ZlNjY2NzMiLCJ1c2VySWQiOiI1NDAxMTY4MjQifQ==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C508DD65B27542B4AB085974D6D2E0DB_12</vt:lpwstr>
  </property>
</Properties>
</file>