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013816">
      <w:pPr>
        <w:spacing w:line="360" w:lineRule="auto"/>
        <w:jc w:val="center"/>
        <w:rPr>
          <w:rFonts w:ascii="宋体" w:hAnsi="宋体" w:eastAsia="宋体" w:cs="宋体"/>
          <w:b/>
          <w:sz w:val="28"/>
          <w:szCs w:val="28"/>
        </w:rPr>
      </w:pPr>
      <w:r>
        <w:rPr>
          <w:rFonts w:hint="eastAsia" w:ascii="宋体" w:hAnsi="宋体" w:eastAsia="宋体" w:cs="宋体"/>
          <w:b/>
          <w:sz w:val="28"/>
          <w:szCs w:val="28"/>
        </w:rPr>
        <w:t>202</w:t>
      </w:r>
      <w:r>
        <w:rPr>
          <w:rFonts w:ascii="宋体" w:hAnsi="宋体" w:eastAsia="宋体" w:cs="宋体"/>
          <w:b/>
          <w:sz w:val="28"/>
          <w:szCs w:val="28"/>
        </w:rPr>
        <w:t>6</w:t>
      </w:r>
      <w:r>
        <w:rPr>
          <w:rFonts w:hint="eastAsia" w:ascii="宋体" w:hAnsi="宋体" w:eastAsia="宋体" w:cs="宋体"/>
          <w:b/>
          <w:sz w:val="28"/>
          <w:szCs w:val="28"/>
        </w:rPr>
        <w:t>年第</w:t>
      </w:r>
      <w:r>
        <w:rPr>
          <w:rFonts w:ascii="宋体" w:hAnsi="宋体" w:eastAsia="宋体" w:cs="宋体"/>
          <w:b/>
          <w:sz w:val="28"/>
          <w:szCs w:val="28"/>
        </w:rPr>
        <w:t>3</w:t>
      </w:r>
      <w:r>
        <w:rPr>
          <w:rFonts w:hint="eastAsia" w:ascii="宋体" w:hAnsi="宋体" w:eastAsia="宋体" w:cs="宋体"/>
          <w:b/>
          <w:sz w:val="28"/>
          <w:szCs w:val="28"/>
          <w:lang w:val="en-US" w:eastAsia="zh-CN"/>
        </w:rPr>
        <w:t>9</w:t>
      </w:r>
      <w:r>
        <w:rPr>
          <w:rFonts w:hint="eastAsia" w:ascii="宋体" w:hAnsi="宋体" w:eastAsia="宋体" w:cs="宋体"/>
          <w:b/>
          <w:sz w:val="28"/>
          <w:szCs w:val="28"/>
        </w:rPr>
        <w:t>周</w:t>
      </w:r>
    </w:p>
    <w:p w14:paraId="33BD876F">
      <w:pPr>
        <w:spacing w:line="360" w:lineRule="auto"/>
        <w:jc w:val="center"/>
        <w:rPr>
          <w:rFonts w:ascii="宋体" w:hAnsi="宋体" w:eastAsia="宋体" w:cs="宋体"/>
          <w:b/>
          <w:sz w:val="28"/>
          <w:szCs w:val="28"/>
        </w:rPr>
      </w:pPr>
      <w:r>
        <w:rPr>
          <w:rFonts w:hint="eastAsia" w:ascii="宋体" w:hAnsi="宋体" w:eastAsia="宋体" w:cs="宋体"/>
          <w:b/>
          <w:sz w:val="28"/>
          <w:szCs w:val="28"/>
        </w:rPr>
        <w:t>中国大陆学者发表的结核病英文文章摘要</w:t>
      </w:r>
    </w:p>
    <w:p w14:paraId="3B010A26">
      <w:pPr>
        <w:spacing w:line="360" w:lineRule="auto"/>
        <w:jc w:val="center"/>
        <w:rPr>
          <w:rFonts w:ascii="宋体" w:hAnsi="宋体" w:eastAsia="宋体" w:cs="宋体"/>
          <w:b/>
          <w:sz w:val="28"/>
          <w:szCs w:val="28"/>
        </w:rPr>
      </w:pPr>
      <w:r>
        <w:rPr>
          <w:rFonts w:hint="eastAsia" w:ascii="宋体" w:hAnsi="宋体" w:eastAsia="宋体" w:cs="宋体"/>
          <w:b/>
          <w:sz w:val="28"/>
          <w:szCs w:val="28"/>
        </w:rPr>
        <w:t>（</w:t>
      </w:r>
      <w:r>
        <w:rPr>
          <w:rFonts w:hint="eastAsia" w:ascii="宋体" w:hAnsi="宋体" w:eastAsia="宋体" w:cs="宋体"/>
          <w:b/>
          <w:sz w:val="28"/>
          <w:szCs w:val="28"/>
          <w:lang w:val="en-US" w:eastAsia="zh-CN"/>
        </w:rPr>
        <w:t>25</w:t>
      </w:r>
      <w:r>
        <w:rPr>
          <w:rFonts w:hint="eastAsia" w:ascii="宋体" w:hAnsi="宋体" w:eastAsia="宋体" w:cs="宋体"/>
          <w:b/>
          <w:sz w:val="28"/>
          <w:szCs w:val="28"/>
        </w:rPr>
        <w:t>篇）</w:t>
      </w:r>
    </w:p>
    <w:p w14:paraId="21046732">
      <w:pPr>
        <w:jc w:val="left"/>
        <w:rPr>
          <w:rFonts w:ascii="宋体" w:hAnsi="宋体" w:eastAsia="宋体" w:cs="宋体"/>
          <w:szCs w:val="24"/>
        </w:rPr>
      </w:pPr>
    </w:p>
    <w:p w14:paraId="7C13C355">
      <w:pPr>
        <w:jc w:val="left"/>
        <w:rPr>
          <w:rFonts w:hint="default" w:ascii="宋体" w:hAnsi="宋体" w:eastAsia="宋体" w:cs="宋体"/>
          <w:b/>
          <w:color w:val="FF0000"/>
          <w:szCs w:val="24"/>
          <w:lang w:val="en-US" w:eastAsia="zh-CN"/>
        </w:rPr>
      </w:pPr>
      <w:r>
        <w:rPr>
          <w:rFonts w:hint="eastAsia" w:ascii="宋体" w:hAnsi="宋体" w:eastAsia="宋体" w:cs="宋体"/>
          <w:b/>
          <w:color w:val="FF0000"/>
          <w:szCs w:val="24"/>
        </w:rPr>
        <w:t>PubMed  Publication date: 202</w:t>
      </w:r>
      <w:r>
        <w:rPr>
          <w:rFonts w:ascii="宋体" w:hAnsi="宋体" w:eastAsia="宋体" w:cs="宋体"/>
          <w:b/>
          <w:color w:val="FF0000"/>
          <w:szCs w:val="24"/>
        </w:rPr>
        <w:t>6</w:t>
      </w:r>
      <w:r>
        <w:rPr>
          <w:rFonts w:hint="eastAsia" w:ascii="宋体" w:hAnsi="宋体" w:eastAsia="宋体" w:cs="宋体"/>
          <w:b/>
          <w:color w:val="FF0000"/>
          <w:szCs w:val="24"/>
        </w:rPr>
        <w:t>/</w:t>
      </w:r>
      <w:r>
        <w:rPr>
          <w:rFonts w:hint="eastAsia" w:ascii="宋体" w:hAnsi="宋体" w:eastAsia="宋体" w:cs="宋体"/>
          <w:b/>
          <w:color w:val="FF0000"/>
          <w:szCs w:val="24"/>
          <w:lang w:val="en-US" w:eastAsia="zh-CN"/>
        </w:rPr>
        <w:t>9</w:t>
      </w:r>
      <w:r>
        <w:rPr>
          <w:rFonts w:hint="eastAsia" w:ascii="宋体" w:hAnsi="宋体" w:eastAsia="宋体" w:cs="宋体"/>
          <w:b/>
          <w:color w:val="FF0000"/>
          <w:szCs w:val="24"/>
        </w:rPr>
        <w:t>/</w:t>
      </w:r>
      <w:r>
        <w:rPr>
          <w:rFonts w:hint="eastAsia" w:ascii="宋体" w:hAnsi="宋体" w:eastAsia="宋体" w:cs="宋体"/>
          <w:b/>
          <w:color w:val="FF0000"/>
          <w:szCs w:val="24"/>
          <w:lang w:val="en-US" w:eastAsia="zh-CN"/>
        </w:rPr>
        <w:t>21</w:t>
      </w:r>
      <w:r>
        <w:rPr>
          <w:rFonts w:hint="eastAsia" w:ascii="宋体" w:hAnsi="宋体" w:eastAsia="宋体" w:cs="宋体"/>
          <w:b/>
          <w:color w:val="FF0000"/>
          <w:szCs w:val="24"/>
        </w:rPr>
        <w:t>---202</w:t>
      </w:r>
      <w:r>
        <w:rPr>
          <w:rFonts w:ascii="宋体" w:hAnsi="宋体" w:eastAsia="宋体" w:cs="宋体"/>
          <w:b/>
          <w:color w:val="FF0000"/>
          <w:szCs w:val="24"/>
        </w:rPr>
        <w:t>6</w:t>
      </w:r>
      <w:r>
        <w:rPr>
          <w:rFonts w:hint="eastAsia" w:ascii="宋体" w:hAnsi="宋体" w:eastAsia="宋体" w:cs="宋体"/>
          <w:b/>
          <w:color w:val="FF0000"/>
          <w:szCs w:val="24"/>
        </w:rPr>
        <w:t>/</w:t>
      </w:r>
      <w:r>
        <w:rPr>
          <w:rFonts w:hint="eastAsia" w:ascii="宋体" w:hAnsi="宋体" w:eastAsia="宋体" w:cs="宋体"/>
          <w:b/>
          <w:color w:val="FF0000"/>
          <w:szCs w:val="24"/>
          <w:lang w:val="en-US" w:eastAsia="zh-CN"/>
        </w:rPr>
        <w:t>9</w:t>
      </w:r>
      <w:r>
        <w:rPr>
          <w:rFonts w:hint="eastAsia" w:ascii="宋体" w:hAnsi="宋体" w:eastAsia="宋体" w:cs="宋体"/>
          <w:b/>
          <w:color w:val="FF0000"/>
          <w:szCs w:val="24"/>
        </w:rPr>
        <w:t>/</w:t>
      </w:r>
      <w:r>
        <w:rPr>
          <w:rFonts w:hint="eastAsia" w:ascii="宋体" w:hAnsi="宋体" w:eastAsia="宋体" w:cs="宋体"/>
          <w:b/>
          <w:color w:val="FF0000"/>
          <w:szCs w:val="24"/>
          <w:lang w:val="en-US" w:eastAsia="zh-CN"/>
        </w:rPr>
        <w:t>27</w:t>
      </w:r>
    </w:p>
    <w:p w14:paraId="50A50AAA">
      <w:pPr>
        <w:jc w:val="left"/>
        <w:rPr>
          <w:rFonts w:ascii="宋体" w:hAnsi="宋体" w:eastAsia="宋体" w:cs="宋体"/>
          <w:b/>
          <w:color w:val="FF0000"/>
          <w:szCs w:val="21"/>
        </w:rPr>
      </w:pPr>
      <w:r>
        <w:rPr>
          <w:rFonts w:hint="eastAsia" w:ascii="宋体" w:hAnsi="宋体" w:eastAsia="宋体" w:cs="宋体"/>
          <w:b/>
          <w:color w:val="FF0000"/>
          <w:szCs w:val="21"/>
        </w:rPr>
        <w:t>(tuberculosis[Title/Abstract]) AND (English[Language]) AND</w:t>
      </w:r>
      <w:r>
        <w:rPr>
          <w:rFonts w:ascii="宋体" w:hAnsi="宋体" w:eastAsia="宋体" w:cs="宋体"/>
          <w:b/>
          <w:color w:val="FF0000"/>
          <w:szCs w:val="21"/>
        </w:rPr>
        <w:t xml:space="preserve"> </w:t>
      </w:r>
      <w:r>
        <w:rPr>
          <w:rFonts w:hint="eastAsia" w:ascii="宋体" w:hAnsi="宋体" w:eastAsia="宋体" w:cs="宋体"/>
          <w:b/>
          <w:color w:val="FF0000"/>
          <w:szCs w:val="21"/>
        </w:rPr>
        <w:t>(China[Affiliation])</w:t>
      </w:r>
    </w:p>
    <w:p w14:paraId="551812EB">
      <w:pPr>
        <w:jc w:val="left"/>
        <w:rPr>
          <w:rFonts w:ascii="宋体" w:hAnsi="宋体" w:eastAsia="宋体" w:cs="宋体"/>
          <w:b/>
          <w:color w:val="FF0000"/>
          <w:szCs w:val="21"/>
        </w:rPr>
      </w:pPr>
    </w:p>
    <w:p w14:paraId="24E76DA4">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1</w:t>
      </w:r>
      <w:r>
        <w:rPr>
          <w:rFonts w:hint="eastAsia" w:ascii="宋体" w:hAnsi="宋体" w:eastAsia="宋体" w:cs="宋体"/>
          <w:b/>
          <w:bCs/>
          <w:color w:val="FF0000"/>
          <w:szCs w:val="24"/>
        </w:rPr>
        <w:t xml:space="preserve">. J Shoulder Elbow Surg. 2026 Sep 18:S1058-2746(26)00569-0. doi: </w:t>
      </w:r>
    </w:p>
    <w:p w14:paraId="7B4AF3E2">
      <w:pPr>
        <w:rPr>
          <w:rFonts w:hint="eastAsia" w:ascii="宋体" w:hAnsi="宋体" w:eastAsia="宋体" w:cs="宋体"/>
          <w:b/>
          <w:bCs/>
          <w:color w:val="FF0000"/>
          <w:szCs w:val="24"/>
        </w:rPr>
      </w:pPr>
      <w:r>
        <w:rPr>
          <w:rFonts w:hint="eastAsia" w:ascii="宋体" w:hAnsi="宋体" w:eastAsia="宋体" w:cs="宋体"/>
          <w:b/>
          <w:bCs/>
          <w:color w:val="FF0000"/>
          <w:szCs w:val="24"/>
        </w:rPr>
        <w:t>10.1016/j.jse.2026.09.002. Online ahead of print.</w:t>
      </w:r>
    </w:p>
    <w:p w14:paraId="7C80F4E5">
      <w:pPr>
        <w:rPr>
          <w:rFonts w:hint="eastAsia" w:ascii="宋体" w:hAnsi="宋体" w:eastAsia="宋体" w:cs="宋体"/>
          <w:color w:val="000000" w:themeColor="text1"/>
          <w:szCs w:val="24"/>
          <w14:textFill>
            <w14:solidFill>
              <w14:schemeClr w14:val="tx1"/>
            </w14:solidFill>
          </w14:textFill>
        </w:rPr>
      </w:pPr>
    </w:p>
    <w:p w14:paraId="350E034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Clinical Outcomes of Arthroscopic Treatment for Shoulder Joint Tuberculosis.</w:t>
      </w:r>
    </w:p>
    <w:p w14:paraId="60B3F13F">
      <w:pPr>
        <w:rPr>
          <w:rFonts w:hint="eastAsia" w:ascii="宋体" w:hAnsi="宋体" w:eastAsia="宋体" w:cs="宋体"/>
          <w:color w:val="000000" w:themeColor="text1"/>
          <w:szCs w:val="24"/>
          <w14:textFill>
            <w14:solidFill>
              <w14:schemeClr w14:val="tx1"/>
            </w14:solidFill>
          </w14:textFill>
        </w:rPr>
      </w:pPr>
    </w:p>
    <w:p w14:paraId="7A3A3F6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Chen S(1), Yang Y(2), Chen J(3), Zheng F(4), Jin H(5), Wang W(6), Wang D(7), </w:t>
      </w:r>
    </w:p>
    <w:p w14:paraId="480D095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Huang Y(8), Tang X(9).</w:t>
      </w:r>
    </w:p>
    <w:p w14:paraId="7A0E68F7">
      <w:pPr>
        <w:rPr>
          <w:rFonts w:hint="eastAsia" w:ascii="宋体" w:hAnsi="宋体" w:eastAsia="宋体" w:cs="宋体"/>
          <w:color w:val="000000" w:themeColor="text1"/>
          <w:szCs w:val="24"/>
          <w14:textFill>
            <w14:solidFill>
              <w14:schemeClr w14:val="tx1"/>
            </w14:solidFill>
          </w14:textFill>
        </w:rPr>
      </w:pPr>
    </w:p>
    <w:p w14:paraId="128CEB33">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Sijie Chen,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Yifan Yang,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Jiahui Chen,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Fuyuan Zheng,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Hongfu Jin,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Wenqi Wang,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Duan Wang,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Yizhou Huang,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Xin Tang</w:t>
      </w:r>
      <w:r>
        <w:rPr>
          <w:rFonts w:hint="eastAsia" w:ascii="宋体" w:hAnsi="宋体" w:eastAsia="宋体" w:cs="宋体"/>
          <w:b/>
          <w:bCs/>
          <w:color w:val="0070C0"/>
          <w:szCs w:val="24"/>
          <w:lang w:val="en-US" w:eastAsia="zh-CN"/>
        </w:rPr>
        <w:t>*</w:t>
      </w:r>
    </w:p>
    <w:p w14:paraId="2A7C4324">
      <w:pPr>
        <w:rPr>
          <w:rFonts w:hint="eastAsia" w:ascii="宋体" w:hAnsi="宋体" w:eastAsia="宋体" w:cs="宋体"/>
          <w:b/>
          <w:bCs/>
          <w:color w:val="0070C0"/>
          <w:szCs w:val="24"/>
        </w:rPr>
      </w:pPr>
      <w:r>
        <w:rPr>
          <w:rFonts w:hint="eastAsia" w:ascii="宋体" w:hAnsi="宋体" w:eastAsia="宋体" w:cs="宋体"/>
          <w:b/>
          <w:bCs/>
          <w:color w:val="0070C0"/>
          <w:szCs w:val="24"/>
        </w:rPr>
        <w:t>*Corresponding authors: Xin Tang, Email: tangxin9388@163.com</w:t>
      </w:r>
    </w:p>
    <w:p w14:paraId="10F7AF2E">
      <w:pPr>
        <w:rPr>
          <w:rFonts w:hint="eastAsia" w:ascii="宋体" w:hAnsi="宋体" w:eastAsia="宋体" w:cs="宋体"/>
          <w:color w:val="000000" w:themeColor="text1"/>
          <w:szCs w:val="24"/>
          <w14:textFill>
            <w14:solidFill>
              <w14:schemeClr w14:val="tx1"/>
            </w14:solidFill>
          </w14:textFill>
        </w:rPr>
      </w:pPr>
    </w:p>
    <w:p w14:paraId="44570EE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1CE04EB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(1)Sports Medicine Center, West China Hospital, Sichuan University, Chengdu </w:t>
      </w:r>
    </w:p>
    <w:p w14:paraId="5D4EB35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610041, China. Electronic address: chensijie05@163.com.</w:t>
      </w:r>
    </w:p>
    <w:p w14:paraId="5EB64FD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(2)Sports Medicine Center, West China Hospital, Sichuan University, Chengdu </w:t>
      </w:r>
    </w:p>
    <w:p w14:paraId="138CAF2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610041, China. Electronic address: yangyifanznu@163.com.</w:t>
      </w:r>
    </w:p>
    <w:p w14:paraId="39D070E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(3)Sports Medicine Center, West China Hospital, Sichuan University, Chengdu </w:t>
      </w:r>
    </w:p>
    <w:p w14:paraId="399C5C9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610041, China. Electronic address: chenjh47@126.com.</w:t>
      </w:r>
    </w:p>
    <w:p w14:paraId="114E95D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(4)Sports Medicine Center, West China Hospital, Sichuan University, Chengdu </w:t>
      </w:r>
    </w:p>
    <w:p w14:paraId="292B43F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610041, China. Electronic address: zhengfuyuanscu@163.com.</w:t>
      </w:r>
    </w:p>
    <w:p w14:paraId="0F8FC8E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(5)Sports Medicine Center, West China Hospital, Sichuan University, Chengdu </w:t>
      </w:r>
    </w:p>
    <w:p w14:paraId="513630B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610041, China. Electronic address: 3185479062@qq.com.</w:t>
      </w:r>
    </w:p>
    <w:p w14:paraId="3297ECE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(6)Sports Medicine Center, West China Hospital, Sichuan University, Chengdu </w:t>
      </w:r>
    </w:p>
    <w:p w14:paraId="274F8C0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610041, China. Electronic address: WangWenqi2001@foxmail.com.</w:t>
      </w:r>
    </w:p>
    <w:p w14:paraId="6E04121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(7)Sports Medicine Center, West China Hospital, Sichuan University, Chengdu </w:t>
      </w:r>
    </w:p>
    <w:p w14:paraId="786C19F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610041, China. Electronic address: wangduan_bone@163.com.</w:t>
      </w:r>
    </w:p>
    <w:p w14:paraId="7BE1020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(8)Laboratory of Stem Cell and Tissue Engineering, State Key Laboratory of </w:t>
      </w:r>
    </w:p>
    <w:p w14:paraId="1C8FA9B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Biotherapy, West China Hospital, Sichuan University, Chengdu 610041,China. </w:t>
      </w:r>
    </w:p>
    <w:p w14:paraId="6DDF10A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Electronic address: huangyizhou@wchscu.cn.</w:t>
      </w:r>
    </w:p>
    <w:p w14:paraId="435D5C4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(9)Sports Medicine Center, West China Hospital, Sichuan University, Chengdu </w:t>
      </w:r>
    </w:p>
    <w:p w14:paraId="424790D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610041, China. Electronic address: tangxin9388@163.com.</w:t>
      </w:r>
    </w:p>
    <w:p w14:paraId="11715C60">
      <w:pPr>
        <w:rPr>
          <w:rFonts w:hint="eastAsia" w:ascii="宋体" w:hAnsi="宋体" w:eastAsia="宋体" w:cs="宋体"/>
          <w:color w:val="000000" w:themeColor="text1"/>
          <w:szCs w:val="24"/>
          <w14:textFill>
            <w14:solidFill>
              <w14:schemeClr w14:val="tx1"/>
            </w14:solidFill>
          </w14:textFill>
        </w:rPr>
      </w:pPr>
    </w:p>
    <w:p w14:paraId="7E21D89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BACKGROUND: </w:t>
      </w:r>
      <w:r>
        <w:rPr>
          <w:rFonts w:hint="eastAsia" w:ascii="宋体" w:hAnsi="宋体" w:eastAsia="宋体" w:cs="宋体"/>
          <w:color w:val="000000" w:themeColor="text1"/>
          <w:szCs w:val="24"/>
          <w14:textFill>
            <w14:solidFill>
              <w14:schemeClr w14:val="tx1"/>
            </w14:solidFill>
          </w14:textFill>
        </w:rPr>
        <w:t xml:space="preserve">Shoulder joint tuberculosis is a rare form of extrapulmonary </w:t>
      </w:r>
    </w:p>
    <w:p w14:paraId="7AB787E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tuberculosis caused by Mycobacterium tuberculosis. Early diagnosis is </w:t>
      </w:r>
    </w:p>
    <w:p w14:paraId="71185E1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challenging, and it can lead to severe symptoms in the later stages. Currently, </w:t>
      </w:r>
    </w:p>
    <w:p w14:paraId="161E07F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there are few relevant studies on the treatment and diagnosis of this disease. </w:t>
      </w:r>
    </w:p>
    <w:p w14:paraId="6417166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This study aimed to assess the effects of early diagnosis and treatment of </w:t>
      </w:r>
    </w:p>
    <w:p w14:paraId="78B9672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shoulder tuberculosis under arthroscopy.</w:t>
      </w:r>
    </w:p>
    <w:p w14:paraId="2CBAC92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METHODS: </w:t>
      </w:r>
      <w:r>
        <w:rPr>
          <w:rFonts w:hint="eastAsia" w:ascii="宋体" w:hAnsi="宋体" w:eastAsia="宋体" w:cs="宋体"/>
          <w:color w:val="000000" w:themeColor="text1"/>
          <w:szCs w:val="24"/>
          <w14:textFill>
            <w14:solidFill>
              <w14:schemeClr w14:val="tx1"/>
            </w14:solidFill>
          </w14:textFill>
        </w:rPr>
        <w:t xml:space="preserve">Between January 2015 and January 2025, 18 patients with confirmed or </w:t>
      </w:r>
    </w:p>
    <w:p w14:paraId="60A5BCB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clinically suspected shoulder tuberculosis underwent arthroscopic debridement </w:t>
      </w:r>
    </w:p>
    <w:p w14:paraId="52A2B85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and synovectomy after at least 3 weeks of antitubercular therapy. The clinical </w:t>
      </w:r>
    </w:p>
    <w:p w14:paraId="6C89507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outcomes were evaluated including the rate of recurrence, Pain Visual Analogue </w:t>
      </w:r>
    </w:p>
    <w:p w14:paraId="01D33F1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Scale (VAS) scores, University of California at Los Angeles (UCLA) shoulder </w:t>
      </w:r>
    </w:p>
    <w:p w14:paraId="7E9DC16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scores, American Shoulder and Elbow Surgeons (ASES) scores, and Constant-Murley </w:t>
      </w:r>
    </w:p>
    <w:p w14:paraId="1D54233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scores through follow-up. Regular postoperative follow-up tests for erythrocyte </w:t>
      </w:r>
    </w:p>
    <w:p w14:paraId="7068DF1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sedimentation rate, C-reactive protein and liver and kidney functions were </w:t>
      </w:r>
    </w:p>
    <w:p w14:paraId="2C03013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conducted.</w:t>
      </w:r>
    </w:p>
    <w:p w14:paraId="20D773B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RESULTS: </w:t>
      </w:r>
      <w:r>
        <w:rPr>
          <w:rFonts w:hint="eastAsia" w:ascii="宋体" w:hAnsi="宋体" w:eastAsia="宋体" w:cs="宋体"/>
          <w:color w:val="000000" w:themeColor="text1"/>
          <w:szCs w:val="24"/>
          <w14:textFill>
            <w14:solidFill>
              <w14:schemeClr w14:val="tx1"/>
            </w14:solidFill>
          </w14:textFill>
        </w:rPr>
        <w:t xml:space="preserve">All patients successfully completed the surgery without complications. </w:t>
      </w:r>
    </w:p>
    <w:p w14:paraId="59CE177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final diagnosis of shoulder tuberculosis was established in all 18 patients </w:t>
      </w:r>
    </w:p>
    <w:p w14:paraId="6CF8B85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based on postoperative tissue examination. Characteristic tuberculous </w:t>
      </w:r>
    </w:p>
    <w:p w14:paraId="0E78752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histopathological findings were identified in 13 patients (72.2%), while the </w:t>
      </w:r>
    </w:p>
    <w:p w14:paraId="69D0AD3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remaining 5 patients were diagnosed based on further tissue-based testing and </w:t>
      </w:r>
    </w:p>
    <w:p w14:paraId="7DA97AB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compatible clinical, imaging, and arthroscopic findings. The mean follow-up </w:t>
      </w:r>
    </w:p>
    <w:p w14:paraId="3204817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period was 54 months. Mean ESR decreased from 39.7±26.8 mm/h preoperatively to </w:t>
      </w:r>
    </w:p>
    <w:p w14:paraId="05E0996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9.1±3.6 mm/h at 3 months, and mean CRP decreased from 12.9±11.4 mg/L </w:t>
      </w:r>
    </w:p>
    <w:p w14:paraId="7585118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preoperatively to 2.9±1.1 mg/L at 6 weeks. The postoperative VAS score decreased </w:t>
      </w:r>
    </w:p>
    <w:p w14:paraId="7C29633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from 4 to 1 (P &lt; 0.001), ASES score increased from 62 to 90 (P &lt; 0.001), UCLA </w:t>
      </w:r>
    </w:p>
    <w:p w14:paraId="7B1D4CD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score increased from 17 to 32 (P &lt; 0.001), and Constant-Murley score increased </w:t>
      </w:r>
    </w:p>
    <w:p w14:paraId="3200205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from 54 to 87 (P &lt; 0.001) at the final follow-up. Two patients experienced </w:t>
      </w:r>
    </w:p>
    <w:p w14:paraId="2EDACA3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recurrence and achieved clinical cure after second arthroscopic surgery.</w:t>
      </w:r>
    </w:p>
    <w:p w14:paraId="1A79606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CONCLUSION:</w:t>
      </w:r>
      <w:r>
        <w:rPr>
          <w:rFonts w:hint="eastAsia" w:ascii="宋体" w:hAnsi="宋体" w:eastAsia="宋体" w:cs="宋体"/>
          <w:color w:val="000000" w:themeColor="text1"/>
          <w:szCs w:val="24"/>
          <w14:textFill>
            <w14:solidFill>
              <w14:schemeClr w14:val="tx1"/>
            </w14:solidFill>
          </w14:textFill>
        </w:rPr>
        <w:t xml:space="preserve"> Arthroscopic debridement combined with anti-tuberculosis drugs has </w:t>
      </w:r>
    </w:p>
    <w:p w14:paraId="6DA066D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good therapeutic effect with less invasiveness, low recurrence rate, fewer </w:t>
      </w:r>
    </w:p>
    <w:p w14:paraId="00E958C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complications and postoperative joint function improvement.</w:t>
      </w:r>
    </w:p>
    <w:p w14:paraId="4A2E643A">
      <w:pPr>
        <w:rPr>
          <w:rFonts w:hint="eastAsia" w:ascii="宋体" w:hAnsi="宋体" w:eastAsia="宋体" w:cs="宋体"/>
          <w:color w:val="000000" w:themeColor="text1"/>
          <w:szCs w:val="24"/>
          <w14:textFill>
            <w14:solidFill>
              <w14:schemeClr w14:val="tx1"/>
            </w14:solidFill>
          </w14:textFill>
        </w:rPr>
      </w:pPr>
    </w:p>
    <w:p w14:paraId="5A9B70C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Copyright © 2026 American Shoulder and Elbow Surgeons. Published by Elsevier </w:t>
      </w:r>
    </w:p>
    <w:p w14:paraId="47D75A8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Inc. All rights reserved.</w:t>
      </w:r>
    </w:p>
    <w:p w14:paraId="64CD3BEF">
      <w:pPr>
        <w:rPr>
          <w:rFonts w:hint="eastAsia" w:ascii="宋体" w:hAnsi="宋体" w:eastAsia="宋体" w:cs="宋体"/>
          <w:color w:val="000000" w:themeColor="text1"/>
          <w:szCs w:val="24"/>
          <w14:textFill>
            <w14:solidFill>
              <w14:schemeClr w14:val="tx1"/>
            </w14:solidFill>
          </w14:textFill>
        </w:rPr>
      </w:pPr>
    </w:p>
    <w:p w14:paraId="4CAF4A5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10.1016/j.jse.2026.09.002</w:t>
      </w:r>
    </w:p>
    <w:p w14:paraId="5A237F9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42759869</w:t>
      </w:r>
    </w:p>
    <w:p w14:paraId="7D95DB25">
      <w:pPr>
        <w:rPr>
          <w:rFonts w:hint="eastAsia" w:ascii="宋体" w:hAnsi="宋体" w:eastAsia="宋体" w:cs="宋体"/>
          <w:color w:val="000000" w:themeColor="text1"/>
          <w:szCs w:val="24"/>
          <w14:textFill>
            <w14:solidFill>
              <w14:schemeClr w14:val="tx1"/>
            </w14:solidFill>
          </w14:textFill>
        </w:rPr>
      </w:pPr>
    </w:p>
    <w:p w14:paraId="23651A96">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2</w:t>
      </w:r>
      <w:r>
        <w:rPr>
          <w:rFonts w:hint="eastAsia" w:ascii="宋体" w:hAnsi="宋体" w:eastAsia="宋体" w:cs="宋体"/>
          <w:b/>
          <w:bCs/>
          <w:color w:val="FF0000"/>
          <w:szCs w:val="24"/>
        </w:rPr>
        <w:t xml:space="preserve">. J Microbiol Immunol Infect. 2026 Sep 16:S1684-1182(26)00118-0. doi: </w:t>
      </w:r>
    </w:p>
    <w:p w14:paraId="18133ADB">
      <w:pPr>
        <w:rPr>
          <w:rFonts w:hint="eastAsia" w:ascii="宋体" w:hAnsi="宋体" w:eastAsia="宋体" w:cs="宋体"/>
          <w:b/>
          <w:bCs/>
          <w:color w:val="FF0000"/>
          <w:szCs w:val="24"/>
        </w:rPr>
      </w:pPr>
      <w:r>
        <w:rPr>
          <w:rFonts w:hint="eastAsia" w:ascii="宋体" w:hAnsi="宋体" w:eastAsia="宋体" w:cs="宋体"/>
          <w:b/>
          <w:bCs/>
          <w:color w:val="FF0000"/>
          <w:szCs w:val="24"/>
        </w:rPr>
        <w:t>10.1016/j.jmii.2026.09.002. Online ahead of print.</w:t>
      </w:r>
    </w:p>
    <w:p w14:paraId="11067FD5">
      <w:pPr>
        <w:rPr>
          <w:rFonts w:hint="eastAsia" w:ascii="宋体" w:hAnsi="宋体" w:eastAsia="宋体" w:cs="宋体"/>
          <w:color w:val="000000" w:themeColor="text1"/>
          <w:szCs w:val="24"/>
          <w14:textFill>
            <w14:solidFill>
              <w14:schemeClr w14:val="tx1"/>
            </w14:solidFill>
          </w14:textFill>
        </w:rPr>
      </w:pPr>
    </w:p>
    <w:p w14:paraId="53F8851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Mycobacterium tuberculosis Rv0158 negatively regulates the cGAS-STING pathway </w:t>
      </w:r>
    </w:p>
    <w:p w14:paraId="5265B9F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mediated type I IFN production and enhances intracellular survival.</w:t>
      </w:r>
    </w:p>
    <w:p w14:paraId="339735E5">
      <w:pPr>
        <w:rPr>
          <w:rFonts w:hint="eastAsia" w:ascii="宋体" w:hAnsi="宋体" w:eastAsia="宋体" w:cs="宋体"/>
          <w:color w:val="000000" w:themeColor="text1"/>
          <w:szCs w:val="24"/>
          <w14:textFill>
            <w14:solidFill>
              <w14:schemeClr w14:val="tx1"/>
            </w14:solidFill>
          </w14:textFill>
        </w:rPr>
      </w:pPr>
    </w:p>
    <w:p w14:paraId="00729A4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Xu Z(1), Geng M(2), Yao Z(2), Zhang D(2), Fu S(2), Wan J(2), Xia A(2), Zheng </w:t>
      </w:r>
    </w:p>
    <w:p w14:paraId="786CEE7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C(3), Chen X(4), Jiao XA(5).</w:t>
      </w:r>
    </w:p>
    <w:p w14:paraId="70989F4B">
      <w:pPr>
        <w:rPr>
          <w:rFonts w:hint="eastAsia" w:ascii="宋体" w:hAnsi="宋体" w:eastAsia="宋体" w:cs="宋体"/>
          <w:color w:val="000000" w:themeColor="text1"/>
          <w:szCs w:val="24"/>
          <w14:textFill>
            <w14:solidFill>
              <w14:schemeClr w14:val="tx1"/>
            </w14:solidFill>
          </w14:textFill>
        </w:rPr>
      </w:pPr>
    </w:p>
    <w:p w14:paraId="0A65C7C2">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Zhengzhong Xu</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Min Geng,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Zhihong Yao,</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Dandan Zhang,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Shasha Fu,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Jiaxu Wan,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Aihong Xia,</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Chengkun Zheng,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Xiang Chen</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Xin-An Jiao</w:t>
      </w:r>
      <w:r>
        <w:rPr>
          <w:rFonts w:hint="eastAsia" w:ascii="宋体" w:hAnsi="宋体" w:eastAsia="宋体" w:cs="宋体"/>
          <w:b/>
          <w:bCs/>
          <w:color w:val="0070C0"/>
          <w:szCs w:val="24"/>
          <w:lang w:val="en-US" w:eastAsia="zh-CN"/>
        </w:rPr>
        <w:t>*</w:t>
      </w:r>
    </w:p>
    <w:p w14:paraId="680145D6">
      <w:pPr>
        <w:rPr>
          <w:rFonts w:hint="eastAsia" w:ascii="宋体" w:hAnsi="宋体" w:eastAsia="宋体" w:cs="宋体"/>
          <w:b/>
          <w:bCs/>
          <w:color w:val="0070C0"/>
          <w:szCs w:val="24"/>
        </w:rPr>
      </w:pP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E-mail addresses: zzxu@yzu.edu.cn (Zhengzhong Xu), chenxiang@yzu.edu.cn (Xiang Chen), jiao@yzu.edu.cn (Xin-An Jiao).</w:t>
      </w:r>
    </w:p>
    <w:p w14:paraId="2802B9FC">
      <w:pPr>
        <w:rPr>
          <w:rFonts w:hint="eastAsia" w:ascii="宋体" w:hAnsi="宋体" w:eastAsia="宋体" w:cs="宋体"/>
          <w:color w:val="000000" w:themeColor="text1"/>
          <w:szCs w:val="24"/>
          <w14:textFill>
            <w14:solidFill>
              <w14:schemeClr w14:val="tx1"/>
            </w14:solidFill>
          </w14:textFill>
        </w:rPr>
      </w:pPr>
    </w:p>
    <w:p w14:paraId="4D80641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693B6BA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(1)Jiangsu Key Laboratory of Zoonosis/Jiangsu Co-Innovation Center for </w:t>
      </w:r>
    </w:p>
    <w:p w14:paraId="669EB32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Prevention and Control of Important Animal Infectious Diseases and Zoonoses, </w:t>
      </w:r>
    </w:p>
    <w:p w14:paraId="22EE6A6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Yangzhou University, Yangzhou, China; Key Laboratory of Prevention and Control </w:t>
      </w:r>
    </w:p>
    <w:p w14:paraId="533B45E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of Biological Hazard Factors (Animal Origin) for Agrifood Safety and Quality, </w:t>
      </w:r>
    </w:p>
    <w:p w14:paraId="3F14FA0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MOA of China, Yangzhou University, Yangzhou, China. Electronic address: </w:t>
      </w:r>
    </w:p>
    <w:p w14:paraId="3661436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zzxu@yzu.edu.cn.</w:t>
      </w:r>
    </w:p>
    <w:p w14:paraId="0396BC3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(2)Jiangsu Key Laboratory of Zoonosis/Jiangsu Co-Innovation Center for </w:t>
      </w:r>
    </w:p>
    <w:p w14:paraId="6480A71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Prevention and Control of Important Animal Infectious Diseases and Zoonoses, </w:t>
      </w:r>
    </w:p>
    <w:p w14:paraId="409A637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Yangzhou University, Yangzhou, China.</w:t>
      </w:r>
    </w:p>
    <w:p w14:paraId="60BDC05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(3)Jiangsu Key Laboratory of Zoonosis/Jiangsu Co-Innovation Center for </w:t>
      </w:r>
    </w:p>
    <w:p w14:paraId="78533FC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Prevention and Control of Important Animal Infectious Diseases and Zoonoses, </w:t>
      </w:r>
    </w:p>
    <w:p w14:paraId="46DE598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Yangzhou University, Yangzhou, China; Key Laboratory of Prevention and Control </w:t>
      </w:r>
    </w:p>
    <w:p w14:paraId="7CABD5A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of Biological Hazard Factors (Animal Origin) for Agrifood Safety and Quality, </w:t>
      </w:r>
    </w:p>
    <w:p w14:paraId="68C76C0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MOA of China, Yangzhou University, Yangzhou, China.</w:t>
      </w:r>
    </w:p>
    <w:p w14:paraId="7999D6E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(4)Jiangsu Key Laboratory of Zoonosis/Jiangsu Co-Innovation Center for </w:t>
      </w:r>
    </w:p>
    <w:p w14:paraId="1E692F1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Prevention and Control of Important Animal Infectious Diseases and Zoonoses, </w:t>
      </w:r>
    </w:p>
    <w:p w14:paraId="7367693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Yangzhou University, Yangzhou, China; Key Laboratory of Prevention and Control </w:t>
      </w:r>
    </w:p>
    <w:p w14:paraId="33A0954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of Biological Hazard Factors (Animal Origin) for Agrifood Safety and Quality, </w:t>
      </w:r>
    </w:p>
    <w:p w14:paraId="224167E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MOA of China, Yangzhou University, Yangzhou, China. Electronic address: </w:t>
      </w:r>
    </w:p>
    <w:p w14:paraId="25203A4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chenxiang@yzu.edu.cn.</w:t>
      </w:r>
    </w:p>
    <w:p w14:paraId="743A0C0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(5)Jiangsu Key Laboratory of Zoonosis/Jiangsu Co-Innovation Center for </w:t>
      </w:r>
    </w:p>
    <w:p w14:paraId="5B66863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Prevention and Control of Important Animal Infectious Diseases and Zoonoses, </w:t>
      </w:r>
    </w:p>
    <w:p w14:paraId="3D72B4E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Yangzhou University, Yangzhou, China; Key Laboratory of Prevention and Control </w:t>
      </w:r>
    </w:p>
    <w:p w14:paraId="4EEBA4A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of Biological Hazard Factors (Animal Origin) for Agrifood Safety and Quality, </w:t>
      </w:r>
    </w:p>
    <w:p w14:paraId="41F4EB1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MOA of China, Yangzhou University, Yangzhou, China. Electronic address: </w:t>
      </w:r>
    </w:p>
    <w:p w14:paraId="17C5460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jiao@yzu.edu.cn.</w:t>
      </w:r>
    </w:p>
    <w:p w14:paraId="47B68922">
      <w:pPr>
        <w:rPr>
          <w:rFonts w:hint="eastAsia" w:ascii="宋体" w:hAnsi="宋体" w:eastAsia="宋体" w:cs="宋体"/>
          <w:color w:val="000000" w:themeColor="text1"/>
          <w:szCs w:val="24"/>
          <w14:textFill>
            <w14:solidFill>
              <w14:schemeClr w14:val="tx1"/>
            </w14:solidFill>
          </w14:textFill>
        </w:rPr>
      </w:pPr>
    </w:p>
    <w:p w14:paraId="64AB536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BACKGROUND: </w:t>
      </w:r>
      <w:r>
        <w:rPr>
          <w:rFonts w:hint="eastAsia" w:ascii="宋体" w:hAnsi="宋体" w:eastAsia="宋体" w:cs="宋体"/>
          <w:color w:val="000000" w:themeColor="text1"/>
          <w:szCs w:val="24"/>
          <w14:textFill>
            <w14:solidFill>
              <w14:schemeClr w14:val="tx1"/>
            </w14:solidFill>
          </w14:textFill>
        </w:rPr>
        <w:t xml:space="preserve">Type I interferons (IFN) play an important role in the host defense </w:t>
      </w:r>
    </w:p>
    <w:p w14:paraId="561A7D3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against Mycobacterium tuberculosis (M. tb) infection and disease pathogenesis. </w:t>
      </w:r>
    </w:p>
    <w:p w14:paraId="1F13AB2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Although M. tb has evolved several mechanisms to evade host immune surveillance, </w:t>
      </w:r>
    </w:p>
    <w:p w14:paraId="3B526D2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the mechanism used to regulate type I IFN expression remains unclear.</w:t>
      </w:r>
    </w:p>
    <w:p w14:paraId="3E739C5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METHODS: </w:t>
      </w:r>
      <w:r>
        <w:rPr>
          <w:rFonts w:hint="eastAsia" w:ascii="宋体" w:hAnsi="宋体" w:eastAsia="宋体" w:cs="宋体"/>
          <w:color w:val="000000" w:themeColor="text1"/>
          <w:szCs w:val="24"/>
          <w14:textFill>
            <w14:solidFill>
              <w14:schemeClr w14:val="tx1"/>
            </w14:solidFill>
          </w14:textFill>
        </w:rPr>
        <w:t xml:space="preserve">In this study, genome-wide high-throughput loss-of-function screening </w:t>
      </w:r>
    </w:p>
    <w:p w14:paraId="71AAC97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was performed to screen M. tb determinants that regulate the Type I IFN pathway, </w:t>
      </w:r>
    </w:p>
    <w:p w14:paraId="5EF02ED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and the role for M. tb Rv0158 in inhibiting type I IFN responses was identified </w:t>
      </w:r>
    </w:p>
    <w:p w14:paraId="74F7277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in vitro and in vivo.</w:t>
      </w:r>
    </w:p>
    <w:p w14:paraId="4E59A71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RESULTS: </w:t>
      </w:r>
      <w:r>
        <w:rPr>
          <w:rFonts w:hint="eastAsia" w:ascii="宋体" w:hAnsi="宋体" w:eastAsia="宋体" w:cs="宋体"/>
          <w:color w:val="000000" w:themeColor="text1"/>
          <w:szCs w:val="24"/>
          <w14:textFill>
            <w14:solidFill>
              <w14:schemeClr w14:val="tx1"/>
            </w14:solidFill>
          </w14:textFill>
        </w:rPr>
        <w:t xml:space="preserve">The M. tb coding protein Rv0158 was identified among many transposon </w:t>
      </w:r>
    </w:p>
    <w:p w14:paraId="3BAE0E0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(Tn) insertion mutants, which increased the expression of IFN-β and some </w:t>
      </w:r>
    </w:p>
    <w:p w14:paraId="777D7D6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pro-inflammatory cytokines. The results suggested that Rv0158 is associated with </w:t>
      </w:r>
    </w:p>
    <w:p w14:paraId="6BA0EBF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reduced STING protein levels and suppression of cGAS-STING-mediated innate </w:t>
      </w:r>
    </w:p>
    <w:p w14:paraId="3263A93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immune responses, suggesting that Rv0158 may indirectly facilitate STING </w:t>
      </w:r>
    </w:p>
    <w:p w14:paraId="53E3BD0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degradation or modulate its stability through host-interacting partners. Rv0158 </w:t>
      </w:r>
    </w:p>
    <w:p w14:paraId="1CFB9D3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also down-regulated the transcription of interferon-stimulated genes (ISGs) and </w:t>
      </w:r>
    </w:p>
    <w:p w14:paraId="57B6F2F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increased the bacterial load in mice.</w:t>
      </w:r>
    </w:p>
    <w:p w14:paraId="4374B8A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CONCLUSION: </w:t>
      </w:r>
      <w:r>
        <w:rPr>
          <w:rFonts w:hint="eastAsia" w:ascii="宋体" w:hAnsi="宋体" w:eastAsia="宋体" w:cs="宋体"/>
          <w:color w:val="000000" w:themeColor="text1"/>
          <w:szCs w:val="24"/>
          <w14:textFill>
            <w14:solidFill>
              <w14:schemeClr w14:val="tx1"/>
            </w14:solidFill>
          </w14:textFill>
        </w:rPr>
        <w:t xml:space="preserve">Overall, our finding identified a new bacterial factor Rv0158, these </w:t>
      </w:r>
    </w:p>
    <w:p w14:paraId="55FB9FC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results reveal an important role for M. tb Rv0158 in inhibiting Type I IFN </w:t>
      </w:r>
    </w:p>
    <w:p w14:paraId="4FDA75B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responses, which improves our understanding of the immune evasion mechanisms of </w:t>
      </w:r>
    </w:p>
    <w:p w14:paraId="0E4DE3F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 tb.</w:t>
      </w:r>
    </w:p>
    <w:p w14:paraId="76ED49A0">
      <w:pPr>
        <w:rPr>
          <w:rFonts w:hint="eastAsia" w:ascii="宋体" w:hAnsi="宋体" w:eastAsia="宋体" w:cs="宋体"/>
          <w:color w:val="000000" w:themeColor="text1"/>
          <w:szCs w:val="24"/>
          <w14:textFill>
            <w14:solidFill>
              <w14:schemeClr w14:val="tx1"/>
            </w14:solidFill>
          </w14:textFill>
        </w:rPr>
      </w:pPr>
    </w:p>
    <w:p w14:paraId="060003B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Copyright © 2026. Published by Elsevier B.V.</w:t>
      </w:r>
    </w:p>
    <w:p w14:paraId="7641590D">
      <w:pPr>
        <w:rPr>
          <w:rFonts w:hint="eastAsia" w:ascii="宋体" w:hAnsi="宋体" w:eastAsia="宋体" w:cs="宋体"/>
          <w:color w:val="000000" w:themeColor="text1"/>
          <w:szCs w:val="24"/>
          <w14:textFill>
            <w14:solidFill>
              <w14:schemeClr w14:val="tx1"/>
            </w14:solidFill>
          </w14:textFill>
        </w:rPr>
      </w:pPr>
    </w:p>
    <w:p w14:paraId="63F7A49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10.1016/j.jmii.2026.09.002</w:t>
      </w:r>
    </w:p>
    <w:p w14:paraId="462C354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42754491</w:t>
      </w:r>
    </w:p>
    <w:p w14:paraId="79B9249F">
      <w:pPr>
        <w:rPr>
          <w:rFonts w:hint="eastAsia" w:ascii="宋体" w:hAnsi="宋体" w:eastAsia="宋体" w:cs="宋体"/>
          <w:color w:val="000000" w:themeColor="text1"/>
          <w:szCs w:val="24"/>
          <w14:textFill>
            <w14:solidFill>
              <w14:schemeClr w14:val="tx1"/>
            </w14:solidFill>
          </w14:textFill>
        </w:rPr>
      </w:pPr>
    </w:p>
    <w:p w14:paraId="104DF5A1">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3</w:t>
      </w:r>
      <w:r>
        <w:rPr>
          <w:rFonts w:hint="eastAsia" w:ascii="宋体" w:hAnsi="宋体" w:eastAsia="宋体" w:cs="宋体"/>
          <w:b/>
          <w:bCs/>
          <w:color w:val="FF0000"/>
          <w:szCs w:val="24"/>
        </w:rPr>
        <w:t xml:space="preserve">. Eur J Pharmacol. 2026 Sep 16;1035:179358. doi: 10.1016/j.ejphar.2026.179358. </w:t>
      </w:r>
    </w:p>
    <w:p w14:paraId="073F70D7">
      <w:pPr>
        <w:rPr>
          <w:rFonts w:hint="eastAsia" w:ascii="宋体" w:hAnsi="宋体" w:eastAsia="宋体" w:cs="宋体"/>
          <w:b/>
          <w:bCs/>
          <w:color w:val="FF0000"/>
          <w:szCs w:val="24"/>
        </w:rPr>
      </w:pPr>
      <w:r>
        <w:rPr>
          <w:rFonts w:hint="eastAsia" w:ascii="宋体" w:hAnsi="宋体" w:eastAsia="宋体" w:cs="宋体"/>
          <w:b/>
          <w:bCs/>
          <w:color w:val="FF0000"/>
          <w:szCs w:val="24"/>
        </w:rPr>
        <w:t>Online ahead of print.</w:t>
      </w:r>
    </w:p>
    <w:p w14:paraId="4C607E6E">
      <w:pPr>
        <w:rPr>
          <w:rFonts w:hint="eastAsia" w:ascii="宋体" w:hAnsi="宋体" w:eastAsia="宋体" w:cs="宋体"/>
          <w:color w:val="000000" w:themeColor="text1"/>
          <w:szCs w:val="24"/>
          <w14:textFill>
            <w14:solidFill>
              <w14:schemeClr w14:val="tx1"/>
            </w14:solidFill>
          </w14:textFill>
        </w:rPr>
      </w:pPr>
    </w:p>
    <w:p w14:paraId="3A2145E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Akkermansia muciniphila attenuates anti-tuberculosis drug-induced liver injury </w:t>
      </w:r>
    </w:p>
    <w:p w14:paraId="4B4F9F6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through gut-liver axis by promoting Nr4a1 transcription.</w:t>
      </w:r>
    </w:p>
    <w:p w14:paraId="6FE6151F">
      <w:pPr>
        <w:rPr>
          <w:rFonts w:hint="eastAsia" w:ascii="宋体" w:hAnsi="宋体" w:eastAsia="宋体" w:cs="宋体"/>
          <w:color w:val="000000" w:themeColor="text1"/>
          <w:szCs w:val="24"/>
          <w14:textFill>
            <w14:solidFill>
              <w14:schemeClr w14:val="tx1"/>
            </w14:solidFill>
          </w14:textFill>
        </w:rPr>
      </w:pPr>
    </w:p>
    <w:p w14:paraId="04743E0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Jinfeng L(1), Shengfei P(2), Yifei L(1), Qirong W(1), Fumin F(3).</w:t>
      </w:r>
    </w:p>
    <w:p w14:paraId="2B17E0D2">
      <w:pPr>
        <w:rPr>
          <w:rFonts w:hint="eastAsia" w:ascii="宋体" w:hAnsi="宋体" w:eastAsia="宋体" w:cs="宋体"/>
          <w:color w:val="000000" w:themeColor="text1"/>
          <w:szCs w:val="24"/>
          <w14:textFill>
            <w14:solidFill>
              <w14:schemeClr w14:val="tx1"/>
            </w14:solidFill>
          </w14:textFill>
        </w:rPr>
      </w:pPr>
    </w:p>
    <w:p w14:paraId="6134F143">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Li Jinfeng,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Pei Shengfei,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Long Yifei,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Wang Qirong,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Feng Fumin</w:t>
      </w:r>
      <w:r>
        <w:rPr>
          <w:rFonts w:hint="eastAsia" w:ascii="宋体" w:hAnsi="宋体" w:eastAsia="宋体" w:cs="宋体"/>
          <w:b/>
          <w:bCs/>
          <w:color w:val="0070C0"/>
          <w:szCs w:val="24"/>
          <w:lang w:val="en-US" w:eastAsia="zh-CN"/>
        </w:rPr>
        <w:t>*</w:t>
      </w:r>
    </w:p>
    <w:p w14:paraId="532B89F8">
      <w:pPr>
        <w:rPr>
          <w:rFonts w:hint="eastAsia" w:ascii="宋体" w:hAnsi="宋体" w:eastAsia="宋体" w:cs="宋体"/>
          <w:b/>
          <w:bCs/>
          <w:color w:val="0070C0"/>
          <w:szCs w:val="24"/>
        </w:rPr>
      </w:pPr>
      <w:r>
        <w:rPr>
          <w:rFonts w:hint="eastAsia" w:ascii="宋体" w:hAnsi="宋体" w:eastAsia="宋体" w:cs="宋体"/>
          <w:b/>
          <w:bCs/>
          <w:color w:val="0070C0"/>
          <w:szCs w:val="24"/>
        </w:rPr>
        <w:t>* Corresponding author. E-mail address: fm_feng@sina.com (Feng Fumin).</w:t>
      </w:r>
    </w:p>
    <w:p w14:paraId="6C0209DE">
      <w:pPr>
        <w:rPr>
          <w:rFonts w:hint="eastAsia" w:ascii="宋体" w:hAnsi="宋体" w:eastAsia="宋体" w:cs="宋体"/>
          <w:color w:val="000000" w:themeColor="text1"/>
          <w:szCs w:val="24"/>
          <w14:textFill>
            <w14:solidFill>
              <w14:schemeClr w14:val="tx1"/>
            </w14:solidFill>
          </w14:textFill>
        </w:rPr>
      </w:pPr>
    </w:p>
    <w:p w14:paraId="18EAD0B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7D8AC80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(1)School of Public Health, North China University of Science and Technology, </w:t>
      </w:r>
    </w:p>
    <w:p w14:paraId="76183B9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Tangshan, Hebei Province, China.</w:t>
      </w:r>
    </w:p>
    <w:p w14:paraId="43AACBC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(2)School of Health and Senior Care, Shandong Women's University, Jinan, </w:t>
      </w:r>
    </w:p>
    <w:p w14:paraId="71F21C6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Shandong Province, China.</w:t>
      </w:r>
    </w:p>
    <w:p w14:paraId="1D38579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(3)School of Public Health, North China University of Science and Technology, </w:t>
      </w:r>
    </w:p>
    <w:p w14:paraId="599DD36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Tangshan, Hebei Province, China; Hebei Key Laboratory of Occupational Health and </w:t>
      </w:r>
    </w:p>
    <w:p w14:paraId="72DC8B4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Safety for Coal Industry, Tangshan, Hebei Province, China; Hebei Coordinated </w:t>
      </w:r>
    </w:p>
    <w:p w14:paraId="0B7E6EE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Innovation Center of Occupational Health and Safety, Tangshan, Hebei Province, </w:t>
      </w:r>
    </w:p>
    <w:p w14:paraId="609F9D7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China. Electronic address: fm_feng@sina.com.</w:t>
      </w:r>
    </w:p>
    <w:p w14:paraId="77DCB5B7">
      <w:pPr>
        <w:rPr>
          <w:rFonts w:hint="eastAsia" w:ascii="宋体" w:hAnsi="宋体" w:eastAsia="宋体" w:cs="宋体"/>
          <w:color w:val="000000" w:themeColor="text1"/>
          <w:szCs w:val="24"/>
          <w14:textFill>
            <w14:solidFill>
              <w14:schemeClr w14:val="tx1"/>
            </w14:solidFill>
          </w14:textFill>
        </w:rPr>
      </w:pPr>
    </w:p>
    <w:p w14:paraId="5AAFD47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Drug-induced liver injury (DILI) is a frequent adverse event associated with </w:t>
      </w:r>
    </w:p>
    <w:p w14:paraId="08A799B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anti-tuberculosis therapy, and current clinical management options remain </w:t>
      </w:r>
    </w:p>
    <w:p w14:paraId="27AF753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limited. Given the pivotal role of the gut-liver axis in liver pathophysiology, </w:t>
      </w:r>
    </w:p>
    <w:p w14:paraId="0C5AFE7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this study investigated the potential and underlying roles of Akkermansia </w:t>
      </w:r>
    </w:p>
    <w:p w14:paraId="0043036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muciniphila (A.muc) in ameliorating anti-tuberculosis drug-induced liver injury </w:t>
      </w:r>
    </w:p>
    <w:p w14:paraId="7ECA3AA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(ADLI). A reduction in the abundance of A. muc was observed during ADLI </w:t>
      </w:r>
    </w:p>
    <w:p w14:paraId="612BFD4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progression, suggesting its possible involvement in the modulation of liver </w:t>
      </w:r>
    </w:p>
    <w:p w14:paraId="0938FCF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injury. This study demonstrated that A. muc intervention ameliorated </w:t>
      </w:r>
    </w:p>
    <w:p w14:paraId="6EED9E9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anti-tuberculosis drug-triggered gut microbiota imbalance, repaired intestinal </w:t>
      </w:r>
    </w:p>
    <w:p w14:paraId="0F14869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barrier function and lowered serum lipopolysaccharide (LPS). Moreover, A. muc </w:t>
      </w:r>
    </w:p>
    <w:p w14:paraId="21AEE2B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supplementation inhibited the expression of pro-inflammatory cytokines, </w:t>
      </w:r>
    </w:p>
    <w:p w14:paraId="1BA20EF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alleviated oxidative stress, decreased serum transaminases, and attenuated </w:t>
      </w:r>
    </w:p>
    <w:p w14:paraId="21DA9DD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hepatic pathological damage, possibly via inhibiting the TLR4/MyD88/NF-κB </w:t>
      </w:r>
    </w:p>
    <w:p w14:paraId="39BCCDD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pathway and activating the Nrf2 antioxidant pathway. In addition, A. muc </w:t>
      </w:r>
    </w:p>
    <w:p w14:paraId="7CBCBC6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enriched short-chain fatty acid (SCFA)-producing bacteria and increased butyric </w:t>
      </w:r>
    </w:p>
    <w:p w14:paraId="3B6D9A6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acid concentrations in the intestine and serum. RNA-seq analysis identified the </w:t>
      </w:r>
    </w:p>
    <w:p w14:paraId="05549E6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core transcription factor Nr4a1. Mechanistically, butyric acid derived from A. </w:t>
      </w:r>
    </w:p>
    <w:p w14:paraId="601B488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muc suppressed histone deacetylase 1 (HDAC1), promoted H3K9ac/H3K27ac </w:t>
      </w:r>
    </w:p>
    <w:p w14:paraId="55B2998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modification at the Nr4a1 promoter to stimulate Nr4a1 transcription, and further </w:t>
      </w:r>
    </w:p>
    <w:p w14:paraId="2104C10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suppressed NF-κB signaling to modulate inflammation and liver injury. </w:t>
      </w:r>
    </w:p>
    <w:p w14:paraId="2655151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Collectively, we systematically uncover a new gut microbiota-SCFAs-HDAC1-Nr4a1 </w:t>
      </w:r>
    </w:p>
    <w:p w14:paraId="6AD0EE0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axis mediating the protective effect of A. muc against ADLI, which offers </w:t>
      </w:r>
    </w:p>
    <w:p w14:paraId="72005F6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theoretical support and promising therapeutic approaches for probiotic </w:t>
      </w:r>
    </w:p>
    <w:p w14:paraId="02BED46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intervention of DILI.</w:t>
      </w:r>
    </w:p>
    <w:p w14:paraId="17D5456A">
      <w:pPr>
        <w:rPr>
          <w:rFonts w:hint="eastAsia" w:ascii="宋体" w:hAnsi="宋体" w:eastAsia="宋体" w:cs="宋体"/>
          <w:color w:val="000000" w:themeColor="text1"/>
          <w:szCs w:val="24"/>
          <w14:textFill>
            <w14:solidFill>
              <w14:schemeClr w14:val="tx1"/>
            </w14:solidFill>
          </w14:textFill>
        </w:rPr>
      </w:pPr>
    </w:p>
    <w:p w14:paraId="6279139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Copyright © 2026 Elsevier B.V. All rights reserved.</w:t>
      </w:r>
    </w:p>
    <w:p w14:paraId="6820FFA2">
      <w:pPr>
        <w:rPr>
          <w:rFonts w:hint="eastAsia" w:ascii="宋体" w:hAnsi="宋体" w:eastAsia="宋体" w:cs="宋体"/>
          <w:color w:val="000000" w:themeColor="text1"/>
          <w:szCs w:val="24"/>
          <w14:textFill>
            <w14:solidFill>
              <w14:schemeClr w14:val="tx1"/>
            </w14:solidFill>
          </w14:textFill>
        </w:rPr>
      </w:pPr>
    </w:p>
    <w:p w14:paraId="5D8CECE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10.1016/j.ejphar.2026.179358</w:t>
      </w:r>
    </w:p>
    <w:p w14:paraId="06BF755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42749008</w:t>
      </w:r>
    </w:p>
    <w:p w14:paraId="19747459">
      <w:pPr>
        <w:rPr>
          <w:rFonts w:hint="eastAsia" w:ascii="宋体" w:hAnsi="宋体" w:eastAsia="宋体" w:cs="宋体"/>
          <w:color w:val="000000" w:themeColor="text1"/>
          <w:szCs w:val="24"/>
          <w14:textFill>
            <w14:solidFill>
              <w14:schemeClr w14:val="tx1"/>
            </w14:solidFill>
          </w14:textFill>
        </w:rPr>
      </w:pPr>
    </w:p>
    <w:p w14:paraId="3F7A8946">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4</w:t>
      </w:r>
      <w:r>
        <w:rPr>
          <w:rFonts w:hint="eastAsia" w:ascii="宋体" w:hAnsi="宋体" w:eastAsia="宋体" w:cs="宋体"/>
          <w:b/>
          <w:bCs/>
          <w:color w:val="FF0000"/>
          <w:szCs w:val="24"/>
        </w:rPr>
        <w:t>. Sci Transl Med. 2026 Sep 16;18(867):eaef2648. doi: 10.1126/scitranslmed.aef2648. Epub 2026 Sep 16.</w:t>
      </w:r>
    </w:p>
    <w:p w14:paraId="2680DE8D">
      <w:pPr>
        <w:rPr>
          <w:rFonts w:hint="eastAsia" w:ascii="宋体" w:hAnsi="宋体" w:eastAsia="宋体" w:cs="宋体"/>
          <w:color w:val="000000" w:themeColor="text1"/>
          <w:szCs w:val="24"/>
          <w14:textFill>
            <w14:solidFill>
              <w14:schemeClr w14:val="tx1"/>
            </w14:solidFill>
          </w14:textFill>
        </w:rPr>
      </w:pPr>
    </w:p>
    <w:p w14:paraId="7C4432F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 rapid CRISPR-based nanodroplet assay enables direct clinical identification of </w:t>
      </w:r>
    </w:p>
    <w:p w14:paraId="536A251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mycobacteria species.</w:t>
      </w:r>
    </w:p>
    <w:p w14:paraId="42BFD329">
      <w:pPr>
        <w:rPr>
          <w:rFonts w:hint="eastAsia" w:ascii="宋体" w:hAnsi="宋体" w:eastAsia="宋体" w:cs="宋体"/>
          <w:color w:val="000000" w:themeColor="text1"/>
          <w:szCs w:val="24"/>
          <w14:textFill>
            <w14:solidFill>
              <w14:schemeClr w14:val="tx1"/>
            </w14:solidFill>
          </w14:textFill>
        </w:rPr>
      </w:pPr>
    </w:p>
    <w:p w14:paraId="0B8DF36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Gou H(1)(2), Chen L(2)(3), Eick KL(4)(5), Bao D(2)(3), Miner TA(4), Tran D(4), </w:t>
      </w:r>
    </w:p>
    <w:p w14:paraId="447BC70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Gan M(4), Zheng W(2)(3), Wang S(2)(3), Wu Z(2)(3), Huang Z(2)(6), Dial CN(7), </w:t>
      </w:r>
    </w:p>
    <w:p w14:paraId="5757FA1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Seo S(8), Mollin S(7), Miller MB(7), Zelazny AM(8), Lyon CJ(2)(3), Fan J(2)(3), </w:t>
      </w:r>
    </w:p>
    <w:p w14:paraId="2AE23A3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Wu X(9), Yu F(9), Zhu X(1), Liu Q(4)(5), Ning B(2)(3), Hu T(2)(10).</w:t>
      </w:r>
    </w:p>
    <w:p w14:paraId="22C6560B">
      <w:pPr>
        <w:rPr>
          <w:rFonts w:hint="eastAsia" w:ascii="宋体" w:hAnsi="宋体" w:eastAsia="宋体" w:cs="宋体"/>
          <w:color w:val="000000" w:themeColor="text1"/>
          <w:szCs w:val="24"/>
          <w14:textFill>
            <w14:solidFill>
              <w14:schemeClr w14:val="tx1"/>
            </w14:solidFill>
          </w14:textFill>
        </w:rPr>
      </w:pPr>
    </w:p>
    <w:p w14:paraId="404F04A8">
      <w:pPr>
        <w:rPr>
          <w:rFonts w:hint="eastAsia" w:ascii="宋体" w:hAnsi="宋体" w:eastAsia="宋体" w:cs="宋体"/>
          <w:b/>
          <w:bCs/>
          <w:color w:val="0070C0"/>
          <w:szCs w:val="24"/>
        </w:rPr>
      </w:pPr>
      <w:r>
        <w:rPr>
          <w:rFonts w:hint="eastAsia" w:ascii="宋体" w:hAnsi="宋体" w:eastAsia="宋体" w:cs="宋体"/>
          <w:b/>
          <w:bCs/>
          <w:color w:val="0070C0"/>
          <w:szCs w:val="24"/>
        </w:rPr>
        <w:t>Hongquan Gou, Long Chen, Kelly L. Eick, Duran Bao, Taryn A. Miner, Duy Tran, Mingyu Gan, Wenshu Zheng, Shu Wang, Zhiyuan Wu, Zhen Huang, Courtney N. Dial, Seungyeon Seo, Sheila Mollin, Melissa B. Miller, Adrian Marcelo Zelazny, Christopher J. Lyon, Jia Fan, Xiaocui Wu, Fangyou Yu, Xiaoli Zhu*, Qingyun Liu*, Bo Ning*, Tony Hu*</w:t>
      </w:r>
    </w:p>
    <w:p w14:paraId="1A3490A3">
      <w:pPr>
        <w:jc w:val="left"/>
        <w:rPr>
          <w:rFonts w:hint="eastAsia" w:ascii="宋体" w:hAnsi="宋体" w:eastAsia="宋体" w:cs="宋体"/>
          <w:b/>
          <w:bCs/>
          <w:color w:val="0070C0"/>
          <w:szCs w:val="24"/>
        </w:rPr>
      </w:pPr>
      <w:r>
        <w:rPr>
          <w:rFonts w:hint="eastAsia" w:ascii="宋体" w:hAnsi="宋体" w:eastAsia="宋体" w:cs="宋体"/>
          <w:b/>
          <w:bCs/>
          <w:color w:val="0070C0"/>
          <w:szCs w:val="24"/>
          <w:lang w:val="en-US" w:eastAsia="zh-CN"/>
        </w:rPr>
        <w:t>*C</w:t>
      </w:r>
      <w:r>
        <w:rPr>
          <w:rFonts w:hint="eastAsia" w:ascii="宋体" w:hAnsi="宋体" w:eastAsia="宋体" w:cs="宋体"/>
          <w:b/>
          <w:bCs/>
          <w:color w:val="0070C0"/>
          <w:szCs w:val="24"/>
        </w:rPr>
        <w:t>orresponding author. email: xiaolizhu@tongji.edu.cn (Xiaoli Zhu); qingyun_liu@med.unc.edu (Qingyun Liu); bning1@tulane.edu(Bo Ning); tony_hu@mail.tsinghua.edu.cn (Tony Hu)</w:t>
      </w:r>
    </w:p>
    <w:p w14:paraId="0FAF8701">
      <w:pPr>
        <w:rPr>
          <w:rFonts w:hint="eastAsia" w:ascii="宋体" w:hAnsi="宋体" w:eastAsia="宋体" w:cs="宋体"/>
          <w:color w:val="000000" w:themeColor="text1"/>
          <w:szCs w:val="24"/>
          <w14:textFill>
            <w14:solidFill>
              <w14:schemeClr w14:val="tx1"/>
            </w14:solidFill>
          </w14:textFill>
        </w:rPr>
      </w:pPr>
    </w:p>
    <w:p w14:paraId="0100AF8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0272EAB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Clinical Laboratory Medicine, Shanghai Tenth People's Hospital, </w:t>
      </w:r>
    </w:p>
    <w:p w14:paraId="1E3BB46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School of Medicine, Tongji University, Shanghai 200072, China.</w:t>
      </w:r>
    </w:p>
    <w:p w14:paraId="02B93CE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(2)Center for Cellular and Molecular Diagnostics, Tulane University School of </w:t>
      </w:r>
    </w:p>
    <w:p w14:paraId="71822DA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Medicine, New Orleans, LA 70112, USA.</w:t>
      </w:r>
    </w:p>
    <w:p w14:paraId="4124360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(3)Department of Biochemistry and Molecular Biology, Tulane University School of </w:t>
      </w:r>
    </w:p>
    <w:p w14:paraId="3B1AE17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Medicine, New Orleans, LA 70112, USA.</w:t>
      </w:r>
    </w:p>
    <w:p w14:paraId="5FDCED0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(4)Department of Genetics, University of North Carolina at Chapel Hill, Chapel </w:t>
      </w:r>
    </w:p>
    <w:p w14:paraId="6AF2759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Hill, NC 27599, USA.</w:t>
      </w:r>
    </w:p>
    <w:p w14:paraId="3F042F9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(5)Department of Microbiology and Immunology, University of North Carolina at </w:t>
      </w:r>
    </w:p>
    <w:p w14:paraId="18E373E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Chapel Hill, Chapel Hill, NC 27599, USA.</w:t>
      </w:r>
    </w:p>
    <w:p w14:paraId="6195123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(6)Department of Medicine, Tulane University School of Medicine, New Orleans, LA </w:t>
      </w:r>
    </w:p>
    <w:p w14:paraId="0F1DE7B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70112, USA.</w:t>
      </w:r>
    </w:p>
    <w:p w14:paraId="1A228D6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(7)Department of Pathology and Laboratory Medicine, University of North Carolina </w:t>
      </w:r>
    </w:p>
    <w:p w14:paraId="1C4B477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at Chapel Hill School of Medicine, Chapel Hill, NC 27599, USA.</w:t>
      </w:r>
    </w:p>
    <w:p w14:paraId="0CB95F9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(8)Department of Laboratory Medicine, NIH Clinical Center, National Institutes </w:t>
      </w:r>
    </w:p>
    <w:p w14:paraId="7F0366A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of Health, Bethesda, MD 20892, USA.</w:t>
      </w:r>
    </w:p>
    <w:p w14:paraId="2A18C92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(9)Department of Clinical Laboratory, Shanghai Pulmonary Hospital, School of </w:t>
      </w:r>
    </w:p>
    <w:p w14:paraId="0E57BC8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Medicine, Tongji University, Shanghai 200433, China.</w:t>
      </w:r>
    </w:p>
    <w:p w14:paraId="1D1A7F7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(10)School of Biomedical Engineering, Tsinghua University, Beijing 100084, </w:t>
      </w:r>
    </w:p>
    <w:p w14:paraId="2E6DE7F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China.</w:t>
      </w:r>
    </w:p>
    <w:p w14:paraId="3DFA113A">
      <w:pPr>
        <w:rPr>
          <w:rFonts w:hint="eastAsia" w:ascii="宋体" w:hAnsi="宋体" w:eastAsia="宋体" w:cs="宋体"/>
          <w:color w:val="000000" w:themeColor="text1"/>
          <w:szCs w:val="24"/>
          <w14:textFill>
            <w14:solidFill>
              <w14:schemeClr w14:val="tx1"/>
            </w14:solidFill>
          </w14:textFill>
        </w:rPr>
      </w:pPr>
    </w:p>
    <w:p w14:paraId="4C2CB66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global incidence and mortality of nontuberculous mycobacterial infections </w:t>
      </w:r>
    </w:p>
    <w:p w14:paraId="2014152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have risen sharply with population aging. In some regions, they are now </w:t>
      </w:r>
    </w:p>
    <w:p w14:paraId="23A7812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surpassing Mycobacterium tuberculosis complex infections, imposing a substantial </w:t>
      </w:r>
    </w:p>
    <w:p w14:paraId="5931452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clinical and economic burden. Because nontuberous mycobacteria exhibit </w:t>
      </w:r>
    </w:p>
    <w:p w14:paraId="23A57D5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species-level heterogeneity and require prolonged culture for identification, </w:t>
      </w:r>
    </w:p>
    <w:p w14:paraId="7C1C923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their diagnosis remains slow and is frequently inaccurate. Here, we describe a </w:t>
      </w:r>
    </w:p>
    <w:p w14:paraId="2FF9740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multiplexed clustered regularly interspaced short palindromic repeats </w:t>
      </w:r>
    </w:p>
    <w:p w14:paraId="6CC1CA7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(CRISPR)-assisted nanodroplet differential identification (CANDI) diagnostic </w:t>
      </w:r>
    </w:p>
    <w:p w14:paraId="104D554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platform that integrates species-agnostic target amplification with </w:t>
      </w:r>
    </w:p>
    <w:p w14:paraId="4BA85E4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species-specific CRISPR-associated protein 12a (Cas12a) detection in </w:t>
      </w:r>
    </w:p>
    <w:p w14:paraId="7AC4D7B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fluorescence-barcoded nanodroplets. By spatially compartmentalizing CRISPR </w:t>
      </w:r>
    </w:p>
    <w:p w14:paraId="0841EEB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reactions into color-encoded nanodroplets, CANDI overcomes the multiplexing </w:t>
      </w:r>
    </w:p>
    <w:p w14:paraId="130129F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limitations of conventional CRISPR diagnostics and enables simultaneous </w:t>
      </w:r>
    </w:p>
    <w:p w14:paraId="2B29346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interrogation of multiple mycobacterial targets in a single assay. We designed a </w:t>
      </w:r>
    </w:p>
    <w:p w14:paraId="537840F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16-plex panel that distinguishes 15 clinically relevant Mycobacterium species </w:t>
      </w:r>
    </w:p>
    <w:p w14:paraId="3B7C7D5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and subspecies. CANDI achieved high analytical sensitivity and accurate </w:t>
      </w:r>
    </w:p>
    <w:p w14:paraId="050329E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discrimination in samples containing coinfections with multiple species or </w:t>
      </w:r>
    </w:p>
    <w:p w14:paraId="72B7B29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subspecies. When applied to 230 clinical specimens, including sputum, tracheal </w:t>
      </w:r>
    </w:p>
    <w:p w14:paraId="5133055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aspirates, and other respiratory fluids, CANDI delivered subspecies-level </w:t>
      </w:r>
    </w:p>
    <w:p w14:paraId="6F0205F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results within 3.5 hours, achieving 97.08% sensitivity and 99.7% specificity </w:t>
      </w:r>
    </w:p>
    <w:p w14:paraId="7E9335B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relative to culture-based identification. By combining multiplexed, </w:t>
      </w:r>
    </w:p>
    <w:p w14:paraId="0E6FCC0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high-specificity CRISPR detection with scalable droplet-based engineering, CANDI </w:t>
      </w:r>
    </w:p>
    <w:p w14:paraId="558EDAA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has the potential to overcome the culture dependency of current diagnostics and </w:t>
      </w:r>
    </w:p>
    <w:p w14:paraId="7E9EEE0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enable species- and subspecies-level identification across the genetically </w:t>
      </w:r>
    </w:p>
    <w:p w14:paraId="0247F1F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complex Mycobacterium genus, offering a clinically adaptable framework for </w:t>
      </w:r>
    </w:p>
    <w:p w14:paraId="38FE348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rapid, precision diagnosis of mycobacterial infections.</w:t>
      </w:r>
    </w:p>
    <w:p w14:paraId="5F98F38C">
      <w:pPr>
        <w:rPr>
          <w:rFonts w:hint="eastAsia" w:ascii="宋体" w:hAnsi="宋体" w:eastAsia="宋体" w:cs="宋体"/>
          <w:color w:val="000000" w:themeColor="text1"/>
          <w:szCs w:val="24"/>
          <w14:textFill>
            <w14:solidFill>
              <w14:schemeClr w14:val="tx1"/>
            </w14:solidFill>
          </w14:textFill>
        </w:rPr>
      </w:pPr>
    </w:p>
    <w:p w14:paraId="7B107B2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10.1126/scitranslmed.aef2648</w:t>
      </w:r>
    </w:p>
    <w:p w14:paraId="0DA81D7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42748215 [Indexed for MEDLINE]</w:t>
      </w:r>
    </w:p>
    <w:p w14:paraId="511073FA">
      <w:pPr>
        <w:rPr>
          <w:rFonts w:hint="eastAsia" w:ascii="宋体" w:hAnsi="宋体" w:eastAsia="宋体" w:cs="宋体"/>
          <w:color w:val="000000" w:themeColor="text1"/>
          <w:szCs w:val="24"/>
          <w14:textFill>
            <w14:solidFill>
              <w14:schemeClr w14:val="tx1"/>
            </w14:solidFill>
          </w14:textFill>
        </w:rPr>
      </w:pPr>
    </w:p>
    <w:p w14:paraId="1C8D30E5">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5</w:t>
      </w:r>
      <w:r>
        <w:rPr>
          <w:rFonts w:hint="eastAsia" w:ascii="宋体" w:hAnsi="宋体" w:eastAsia="宋体" w:cs="宋体"/>
          <w:b/>
          <w:bCs/>
          <w:color w:val="FF0000"/>
          <w:szCs w:val="24"/>
        </w:rPr>
        <w:t xml:space="preserve">. IJTLD Open. 2026 Sep 15;3(9):561-567. doi: 10.5588/ijtldopen.26.0061. </w:t>
      </w:r>
    </w:p>
    <w:p w14:paraId="36766103">
      <w:pPr>
        <w:rPr>
          <w:rFonts w:hint="eastAsia" w:ascii="宋体" w:hAnsi="宋体" w:eastAsia="宋体" w:cs="宋体"/>
          <w:b/>
          <w:bCs/>
          <w:color w:val="FF0000"/>
          <w:szCs w:val="24"/>
        </w:rPr>
      </w:pPr>
      <w:r>
        <w:rPr>
          <w:rFonts w:hint="eastAsia" w:ascii="宋体" w:hAnsi="宋体" w:eastAsia="宋体" w:cs="宋体"/>
          <w:b/>
          <w:bCs/>
          <w:color w:val="FF0000"/>
          <w:szCs w:val="24"/>
        </w:rPr>
        <w:t>eCollection 2026 Sep.</w:t>
      </w:r>
    </w:p>
    <w:p w14:paraId="47D02296">
      <w:pPr>
        <w:rPr>
          <w:rFonts w:hint="eastAsia" w:ascii="宋体" w:hAnsi="宋体" w:eastAsia="宋体" w:cs="宋体"/>
          <w:color w:val="000000" w:themeColor="text1"/>
          <w:szCs w:val="24"/>
          <w14:textFill>
            <w14:solidFill>
              <w14:schemeClr w14:val="tx1"/>
            </w14:solidFill>
          </w14:textFill>
        </w:rPr>
      </w:pPr>
    </w:p>
    <w:p w14:paraId="3AB9491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Development and validation of a primary care-accessible risk prediction model </w:t>
      </w:r>
    </w:p>
    <w:p w14:paraId="4C55771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for severe pulmonary TB.</w:t>
      </w:r>
    </w:p>
    <w:p w14:paraId="0328C7DD">
      <w:pPr>
        <w:rPr>
          <w:rFonts w:hint="eastAsia" w:ascii="宋体" w:hAnsi="宋体" w:eastAsia="宋体" w:cs="宋体"/>
          <w:color w:val="000000" w:themeColor="text1"/>
          <w:szCs w:val="24"/>
          <w14:textFill>
            <w14:solidFill>
              <w14:schemeClr w14:val="tx1"/>
            </w14:solidFill>
          </w14:textFill>
        </w:rPr>
      </w:pPr>
    </w:p>
    <w:p w14:paraId="2E68FA0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Hu X(1), Shu W(2), Su N(3), Bei C(4), Wu Y(5), Lei J(1), Sun D(2), Gao S(2), Zhu </w:t>
      </w:r>
    </w:p>
    <w:p w14:paraId="3BDD99F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Y(1), Li L(2), Gao J(1).</w:t>
      </w:r>
    </w:p>
    <w:p w14:paraId="6C4994CE">
      <w:pPr>
        <w:rPr>
          <w:rFonts w:hint="eastAsia" w:ascii="宋体" w:hAnsi="宋体" w:eastAsia="宋体" w:cs="宋体"/>
          <w:color w:val="000000" w:themeColor="text1"/>
          <w:szCs w:val="24"/>
          <w14:textFill>
            <w14:solidFill>
              <w14:schemeClr w14:val="tx1"/>
            </w14:solidFill>
          </w14:textFill>
        </w:rPr>
      </w:pPr>
    </w:p>
    <w:p w14:paraId="6775BF64">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X Hu,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W Shu,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N Su,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C Bei,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 Wu,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 Lei,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D Sun,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S Gao,</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 Zhu,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L Li,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 Gao</w:t>
      </w:r>
      <w:r>
        <w:rPr>
          <w:rFonts w:hint="eastAsia" w:ascii="宋体" w:hAnsi="宋体" w:eastAsia="宋体" w:cs="宋体"/>
          <w:b/>
          <w:bCs/>
          <w:color w:val="0070C0"/>
          <w:szCs w:val="24"/>
          <w:lang w:val="en-US" w:eastAsia="zh-CN"/>
        </w:rPr>
        <w:t>*</w:t>
      </w:r>
    </w:p>
    <w:p w14:paraId="5DE8187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 xml:space="preserve">Correspondence to: Jingtao Gao: E-mail: jingtaogao88@126.com </w:t>
      </w:r>
    </w:p>
    <w:p w14:paraId="33CC210B">
      <w:pPr>
        <w:rPr>
          <w:rFonts w:hint="eastAsia" w:ascii="宋体" w:hAnsi="宋体" w:eastAsia="宋体" w:cs="宋体"/>
          <w:color w:val="000000" w:themeColor="text1"/>
          <w:szCs w:val="24"/>
          <w14:textFill>
            <w14:solidFill>
              <w14:schemeClr w14:val="tx1"/>
            </w14:solidFill>
          </w14:textFill>
        </w:rPr>
      </w:pPr>
    </w:p>
    <w:p w14:paraId="3EAAF3C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20959B6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(1)Beijing Chest Hospital, Capital Medical University/Beijing Tuberculosis and </w:t>
      </w:r>
    </w:p>
    <w:p w14:paraId="627A55B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Thoracic Tumor Research Institute, GCP Administration Office, Beijing, China.</w:t>
      </w:r>
    </w:p>
    <w:p w14:paraId="76F65B4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(2)Beijing Chest Hospital, Capital Medical University/Beijing Tuberculosis and </w:t>
      </w:r>
    </w:p>
    <w:p w14:paraId="481775C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Thoracic Tumor Research Institute/Clinical Center on Tuberculosis, China CDC, </w:t>
      </w:r>
    </w:p>
    <w:p w14:paraId="5CCCAF8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Beijing, China.</w:t>
      </w:r>
    </w:p>
    <w:p w14:paraId="0D0B89B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(3)Guangzhou Chest Hospital, Guangzhou, Guangdong, China.</w:t>
      </w:r>
    </w:p>
    <w:p w14:paraId="66D47CC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(4)Changsha Central Hospital, Changsha, Hunan Province, China.</w:t>
      </w:r>
    </w:p>
    <w:p w14:paraId="6DAAFCF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(5)Jiangxi Chest Hospital, Nanchang, China.</w:t>
      </w:r>
    </w:p>
    <w:p w14:paraId="79FF2B3C">
      <w:pPr>
        <w:rPr>
          <w:rFonts w:hint="eastAsia" w:ascii="宋体" w:hAnsi="宋体" w:eastAsia="宋体" w:cs="宋体"/>
          <w:color w:val="000000" w:themeColor="text1"/>
          <w:szCs w:val="24"/>
          <w14:textFill>
            <w14:solidFill>
              <w14:schemeClr w14:val="tx1"/>
            </w14:solidFill>
          </w14:textFill>
        </w:rPr>
      </w:pPr>
    </w:p>
    <w:p w14:paraId="31DDA3B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BACKGROUND: </w:t>
      </w:r>
      <w:r>
        <w:rPr>
          <w:rFonts w:hint="eastAsia" w:ascii="宋体" w:hAnsi="宋体" w:eastAsia="宋体" w:cs="宋体"/>
          <w:color w:val="000000" w:themeColor="text1"/>
          <w:szCs w:val="24"/>
          <w14:textFill>
            <w14:solidFill>
              <w14:schemeClr w14:val="tx1"/>
            </w14:solidFill>
          </w14:textFill>
        </w:rPr>
        <w:t xml:space="preserve">China has a high TB burden and limited primary care. We therefore </w:t>
      </w:r>
    </w:p>
    <w:p w14:paraId="29472FF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developed a risk prediction model using routine clinical and lab indicators to </w:t>
      </w:r>
    </w:p>
    <w:p w14:paraId="0F63014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flag severe TB cases early.</w:t>
      </w:r>
    </w:p>
    <w:p w14:paraId="7D7DD7E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METHODS:</w:t>
      </w:r>
      <w:r>
        <w:rPr>
          <w:rFonts w:hint="eastAsia" w:ascii="宋体" w:hAnsi="宋体" w:eastAsia="宋体" w:cs="宋体"/>
          <w:color w:val="000000" w:themeColor="text1"/>
          <w:szCs w:val="24"/>
          <w14:textFill>
            <w14:solidFill>
              <w14:schemeClr w14:val="tx1"/>
            </w14:solidFill>
          </w14:textFill>
        </w:rPr>
        <w:t xml:space="preserve"> In a case-control study of 2,012 TB patients (499 severe, 1,513 </w:t>
      </w:r>
    </w:p>
    <w:p w14:paraId="0D443EE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non-severe) from four hospitals (2012-2022), patients were split into training </w:t>
      </w:r>
    </w:p>
    <w:p w14:paraId="77FCE2B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 = 1,408) and validation (n = 604) sets. Univariable and multivariable </w:t>
      </w:r>
    </w:p>
    <w:p w14:paraId="40C7170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logistic regression identified predictors to build a nomogram (i.e., a tool that </w:t>
      </w:r>
    </w:p>
    <w:p w14:paraId="08B003B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integrates patient-specific data to predict the probability of a specific </w:t>
      </w:r>
    </w:p>
    <w:p w14:paraId="6C8C199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clinical event), with model performance assessed using receiver operating </w:t>
      </w:r>
    </w:p>
    <w:p w14:paraId="580E558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characteristic (ROC) curves, calibration, and decision curves.</w:t>
      </w:r>
    </w:p>
    <w:p w14:paraId="222F741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RESULTS: </w:t>
      </w:r>
      <w:r>
        <w:rPr>
          <w:rFonts w:hint="eastAsia" w:ascii="宋体" w:hAnsi="宋体" w:eastAsia="宋体" w:cs="宋体"/>
          <w:color w:val="000000" w:themeColor="text1"/>
          <w:szCs w:val="24"/>
          <w14:textFill>
            <w14:solidFill>
              <w14:schemeClr w14:val="tx1"/>
            </w14:solidFill>
          </w14:textFill>
        </w:rPr>
        <w:t xml:space="preserve">Multivariable analysis identified seven independent predictors: </w:t>
      </w:r>
    </w:p>
    <w:p w14:paraId="040ADF0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advanced age, history of TB, lymphocytopenia, monocytosis, neutrophilia, </w:t>
      </w:r>
    </w:p>
    <w:p w14:paraId="7A1AABC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hyponatremia, and hypoalbuminemia. The area under the ROC curve (AUC) for the </w:t>
      </w:r>
    </w:p>
    <w:p w14:paraId="0B3D0BC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training set was 0.834 (95% confidence interval [CI]: 0.796-0.872), with a </w:t>
      </w:r>
    </w:p>
    <w:p w14:paraId="2061AE7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sensitivity of 89.0% and specificity of 63.4%; the validation set AUC was 0.807 </w:t>
      </w:r>
    </w:p>
    <w:p w14:paraId="7D64608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(95% CI: 0.746-0.867), with sensitivity 82.0% and specificity 71.7%. The </w:t>
      </w:r>
    </w:p>
    <w:p w14:paraId="6E9287D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calibration curve showed high consistency between predicted probabilities and </w:t>
      </w:r>
    </w:p>
    <w:p w14:paraId="08DE12B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actual observations. Decision curve analysis demonstrated clinical net benefit </w:t>
      </w:r>
    </w:p>
    <w:p w14:paraId="7A8178B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of the model within the threshold probability range of 5%-95%.</w:t>
      </w:r>
    </w:p>
    <w:p w14:paraId="27D4E1F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CONCLUSION: This model, based on routine indicators, effectively identifies </w:t>
      </w:r>
    </w:p>
    <w:p w14:paraId="5266CE2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high-risk severe TB cases, offering a practical and cost-efficient tool for </w:t>
      </w:r>
    </w:p>
    <w:p w14:paraId="5AF5D80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early patient stratification in primary care.</w:t>
      </w:r>
    </w:p>
    <w:p w14:paraId="0E57B00E">
      <w:pPr>
        <w:rPr>
          <w:rFonts w:hint="eastAsia" w:ascii="宋体" w:hAnsi="宋体" w:eastAsia="宋体" w:cs="宋体"/>
          <w:color w:val="000000" w:themeColor="text1"/>
          <w:szCs w:val="24"/>
          <w14:textFill>
            <w14:solidFill>
              <w14:schemeClr w14:val="tx1"/>
            </w14:solidFill>
          </w14:textFill>
        </w:rPr>
      </w:pPr>
    </w:p>
    <w:p w14:paraId="17EECB3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2026 The Authors.</w:t>
      </w:r>
    </w:p>
    <w:p w14:paraId="200A5A12">
      <w:pPr>
        <w:rPr>
          <w:rFonts w:hint="eastAsia" w:ascii="宋体" w:hAnsi="宋体" w:eastAsia="宋体" w:cs="宋体"/>
          <w:color w:val="000000" w:themeColor="text1"/>
          <w:szCs w:val="24"/>
          <w14:textFill>
            <w14:solidFill>
              <w14:schemeClr w14:val="tx1"/>
            </w14:solidFill>
          </w14:textFill>
        </w:rPr>
      </w:pPr>
    </w:p>
    <w:p w14:paraId="0C37C56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10.5588/ijtldopen.26.0061</w:t>
      </w:r>
    </w:p>
    <w:p w14:paraId="361B456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PMC13577203</w:t>
      </w:r>
    </w:p>
    <w:p w14:paraId="5DC561D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42746386</w:t>
      </w:r>
    </w:p>
    <w:p w14:paraId="2FB8D947">
      <w:pPr>
        <w:rPr>
          <w:rFonts w:hint="eastAsia" w:ascii="宋体" w:hAnsi="宋体" w:eastAsia="宋体" w:cs="宋体"/>
          <w:color w:val="000000" w:themeColor="text1"/>
          <w:szCs w:val="24"/>
          <w14:textFill>
            <w14:solidFill>
              <w14:schemeClr w14:val="tx1"/>
            </w14:solidFill>
          </w14:textFill>
        </w:rPr>
      </w:pPr>
    </w:p>
    <w:p w14:paraId="0CE7FE24">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6</w:t>
      </w:r>
      <w:r>
        <w:rPr>
          <w:rFonts w:hint="eastAsia" w:ascii="宋体" w:hAnsi="宋体" w:eastAsia="宋体" w:cs="宋体"/>
          <w:b/>
          <w:bCs/>
          <w:color w:val="FF0000"/>
          <w:szCs w:val="24"/>
        </w:rPr>
        <w:t xml:space="preserve">. Anal Chim Acta. 2026 Nov 8;1422:346090. doi: 10.1016/j.aca.2026.346090. Epub </w:t>
      </w:r>
    </w:p>
    <w:p w14:paraId="010D8A1D">
      <w:pPr>
        <w:rPr>
          <w:rFonts w:hint="eastAsia" w:ascii="宋体" w:hAnsi="宋体" w:eastAsia="宋体" w:cs="宋体"/>
          <w:b/>
          <w:bCs/>
          <w:color w:val="FF0000"/>
          <w:szCs w:val="24"/>
        </w:rPr>
      </w:pPr>
      <w:r>
        <w:rPr>
          <w:rFonts w:hint="eastAsia" w:ascii="宋体" w:hAnsi="宋体" w:eastAsia="宋体" w:cs="宋体"/>
          <w:b/>
          <w:bCs/>
          <w:color w:val="FF0000"/>
          <w:szCs w:val="24"/>
        </w:rPr>
        <w:t>2026 Aug 6.</w:t>
      </w:r>
    </w:p>
    <w:p w14:paraId="0CB25C23">
      <w:pPr>
        <w:rPr>
          <w:rFonts w:hint="eastAsia" w:ascii="宋体" w:hAnsi="宋体" w:eastAsia="宋体" w:cs="宋体"/>
          <w:color w:val="000000" w:themeColor="text1"/>
          <w:szCs w:val="24"/>
          <w14:textFill>
            <w14:solidFill>
              <w14:schemeClr w14:val="tx1"/>
            </w14:solidFill>
          </w14:textFill>
        </w:rPr>
      </w:pPr>
    </w:p>
    <w:p w14:paraId="08BF9EB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Amplification-free electrochemiluminescence biosensors based on </w:t>
      </w:r>
    </w:p>
    <w:p w14:paraId="45C3D94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peptide-templated gold nanocluster and CRISPR-Cas12a for Mycobacterium </w:t>
      </w:r>
    </w:p>
    <w:p w14:paraId="3CE8706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tuberculosis IS6110 detection.</w:t>
      </w:r>
    </w:p>
    <w:p w14:paraId="146470D0">
      <w:pPr>
        <w:rPr>
          <w:rFonts w:hint="eastAsia" w:ascii="宋体" w:hAnsi="宋体" w:eastAsia="宋体" w:cs="宋体"/>
          <w:color w:val="000000" w:themeColor="text1"/>
          <w:szCs w:val="24"/>
          <w14:textFill>
            <w14:solidFill>
              <w14:schemeClr w14:val="tx1"/>
            </w14:solidFill>
          </w14:textFill>
        </w:rPr>
      </w:pPr>
    </w:p>
    <w:p w14:paraId="48EB802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Cheng L(1), Yang Q(2), Yang Y(1), Wang Y(1), He Q(1), Zou Z(1), Su C(1), Chen </w:t>
      </w:r>
    </w:p>
    <w:p w14:paraId="4AFAEAD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J(3), Liu Y(4), Hong G(5).</w:t>
      </w:r>
    </w:p>
    <w:p w14:paraId="7B0F0A00">
      <w:pPr>
        <w:rPr>
          <w:rFonts w:hint="eastAsia" w:ascii="宋体" w:hAnsi="宋体" w:eastAsia="宋体" w:cs="宋体"/>
          <w:color w:val="000000" w:themeColor="text1"/>
          <w:szCs w:val="24"/>
          <w14:textFill>
            <w14:solidFill>
              <w14:schemeClr w14:val="tx1"/>
            </w14:solidFill>
          </w14:textFill>
        </w:rPr>
      </w:pPr>
    </w:p>
    <w:p w14:paraId="1EC9BE2A">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Lingjun Cheng,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Qingmei Yang,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Yuanyuan Yang,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Yufeng Wang,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Qingfei He,</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Zhiyan Zou,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Canping Su,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Jiaming Chen</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Yinhuan Liu</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Guolin Hong</w:t>
      </w:r>
      <w:r>
        <w:rPr>
          <w:rFonts w:hint="eastAsia" w:ascii="宋体" w:hAnsi="宋体" w:eastAsia="宋体" w:cs="宋体"/>
          <w:b/>
          <w:bCs/>
          <w:color w:val="0070C0"/>
          <w:szCs w:val="24"/>
          <w:lang w:val="en-US" w:eastAsia="zh-CN"/>
        </w:rPr>
        <w:t>*</w:t>
      </w:r>
    </w:p>
    <w:p w14:paraId="5C357C8A">
      <w:pPr>
        <w:rPr>
          <w:rFonts w:hint="eastAsia" w:ascii="宋体" w:hAnsi="宋体" w:eastAsia="宋体" w:cs="宋体"/>
          <w:b/>
          <w:bCs/>
          <w:color w:val="0070C0"/>
          <w:szCs w:val="24"/>
        </w:rPr>
      </w:pPr>
      <w:r>
        <w:rPr>
          <w:rFonts w:hint="eastAsia" w:ascii="宋体" w:hAnsi="宋体" w:eastAsia="宋体" w:cs="宋体"/>
          <w:b/>
          <w:bCs/>
          <w:color w:val="0070C0"/>
          <w:szCs w:val="24"/>
        </w:rPr>
        <w:t>*Corresponding author. E-mail addresses: jiamingchen@xmu.edu.cn(Jiaming  Chen), yhyh8585@126.com(Yinhuan  Liu), xmhgl9899@xmu.edu.cn(Guolin Hong).</w:t>
      </w:r>
    </w:p>
    <w:p w14:paraId="6FC00225">
      <w:pPr>
        <w:rPr>
          <w:rFonts w:hint="eastAsia" w:ascii="宋体" w:hAnsi="宋体" w:eastAsia="宋体" w:cs="宋体"/>
          <w:color w:val="000000" w:themeColor="text1"/>
          <w:szCs w:val="24"/>
          <w14:textFill>
            <w14:solidFill>
              <w14:schemeClr w14:val="tx1"/>
            </w14:solidFill>
          </w14:textFill>
        </w:rPr>
      </w:pPr>
    </w:p>
    <w:p w14:paraId="58B26FE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7ACC4B5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Laboratory Medicine, Xiamen Key Laboratory of Genetic Testing, </w:t>
      </w:r>
    </w:p>
    <w:p w14:paraId="690B817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First Affiliated Hospital of Xiamen University, School of Medicine, Xiamen </w:t>
      </w:r>
    </w:p>
    <w:p w14:paraId="69CED84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University, Xiamen, 361005, China.</w:t>
      </w:r>
    </w:p>
    <w:p w14:paraId="6364CEC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(2)The Graduate School of Fujian Medical University, Fuzhou, 350122, China; </w:t>
      </w:r>
    </w:p>
    <w:p w14:paraId="58E0BCE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Department of Laboratory Medicine, The Third Hospital of Xiamen, Xiamen, 361100, </w:t>
      </w:r>
    </w:p>
    <w:p w14:paraId="56FF5C5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China.</w:t>
      </w:r>
    </w:p>
    <w:p w14:paraId="21A61B9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(3)Department of Laboratory Medicine, Xiamen Key Laboratory of Genetic Testing, </w:t>
      </w:r>
    </w:p>
    <w:p w14:paraId="2217A3B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First Affiliated Hospital of Xiamen University, School of Medicine, Xiamen </w:t>
      </w:r>
    </w:p>
    <w:p w14:paraId="09FE754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University, Xiamen, 361005, China. Electronic address: jiamingchen@xmu.edu.cn.</w:t>
      </w:r>
    </w:p>
    <w:p w14:paraId="11F4D38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(4)Department of Clinical Laboratory, Fuzhou Second General Hospital, Fuzhou, </w:t>
      </w:r>
    </w:p>
    <w:p w14:paraId="5F8EFD4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350007, China. Electronic address: yhyh8585@126.com.</w:t>
      </w:r>
    </w:p>
    <w:p w14:paraId="6A22541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(5)Department of Laboratory Medicine, Xiamen Key Laboratory of Genetic Testing, </w:t>
      </w:r>
    </w:p>
    <w:p w14:paraId="57706EA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First Affiliated Hospital of Xiamen University, School of Medicine, Xiamen </w:t>
      </w:r>
    </w:p>
    <w:p w14:paraId="54C75DB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University, Xiamen, 361005, China. Electronic address: xmhgl9899@xmu.edu.cn.</w:t>
      </w:r>
    </w:p>
    <w:p w14:paraId="6B05836B">
      <w:pPr>
        <w:rPr>
          <w:rFonts w:hint="eastAsia" w:ascii="宋体" w:hAnsi="宋体" w:eastAsia="宋体" w:cs="宋体"/>
          <w:color w:val="000000" w:themeColor="text1"/>
          <w:szCs w:val="24"/>
          <w14:textFill>
            <w14:solidFill>
              <w14:schemeClr w14:val="tx1"/>
            </w14:solidFill>
          </w14:textFill>
        </w:rPr>
      </w:pPr>
    </w:p>
    <w:p w14:paraId="45C38B1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BACKGROUND: </w:t>
      </w:r>
      <w:r>
        <w:rPr>
          <w:rFonts w:hint="eastAsia" w:ascii="宋体" w:hAnsi="宋体" w:eastAsia="宋体" w:cs="宋体"/>
          <w:color w:val="000000" w:themeColor="text1"/>
          <w:szCs w:val="24"/>
          <w14:textFill>
            <w14:solidFill>
              <w14:schemeClr w14:val="tx1"/>
            </w14:solidFill>
          </w14:textFill>
        </w:rPr>
        <w:t xml:space="preserve">Tuberculosis (TB) nucleic acid diagnosis urgently requires rapid, </w:t>
      </w:r>
    </w:p>
    <w:p w14:paraId="3D4549F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amplification-free methods to overcome limitations of quantitative real-time </w:t>
      </w:r>
    </w:p>
    <w:p w14:paraId="3056AF0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polymerase chain reaction (qPCR), including instrument dependency, prolonged </w:t>
      </w:r>
    </w:p>
    <w:p w14:paraId="6EFE15C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time, and contamination risks from nucleic acid amplification.</w:t>
      </w:r>
    </w:p>
    <w:p w14:paraId="70D2DD3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RESULTS: </w:t>
      </w:r>
      <w:r>
        <w:rPr>
          <w:rFonts w:hint="eastAsia" w:ascii="宋体" w:hAnsi="宋体" w:eastAsia="宋体" w:cs="宋体"/>
          <w:color w:val="000000" w:themeColor="text1"/>
          <w:szCs w:val="24"/>
          <w14:textFill>
            <w14:solidFill>
              <w14:schemeClr w14:val="tx1"/>
            </w14:solidFill>
          </w14:textFill>
        </w:rPr>
        <w:t xml:space="preserve">Here, an amplification-free electrochemiluminescence (ECL) biosensor </w:t>
      </w:r>
    </w:p>
    <w:p w14:paraId="5762C30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based on peptide-templated gold nanoclusters and the clustered regularly </w:t>
      </w:r>
    </w:p>
    <w:p w14:paraId="08FB973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interspaced short palindromic repeats-Cas12a system (CRISPR-Cas12a) has been </w:t>
      </w:r>
    </w:p>
    <w:p w14:paraId="62124E2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constructed for the detection of Mycobacterium tuberculosis (MTB)-specific </w:t>
      </w:r>
    </w:p>
    <w:p w14:paraId="6485DAF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IS6110 sequences. Peptide-templated gold nanoclusters with low background and </w:t>
      </w:r>
    </w:p>
    <w:p w14:paraId="7045966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high ECL response can be used as sensitive signal probes. When CRISPR-Cas12a </w:t>
      </w:r>
    </w:p>
    <w:p w14:paraId="753B9B5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recognizes the target IS6110 DNA, it exhibits non-specific cleavage activity, </w:t>
      </w:r>
    </w:p>
    <w:p w14:paraId="04C4E2B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repeatedly cleaving ferrocene-labelled DNA. This results in the restoration of </w:t>
      </w:r>
    </w:p>
    <w:p w14:paraId="407F87C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ECL signals quenched by ferrocene, thereby achieving signal amplification. There </w:t>
      </w:r>
    </w:p>
    <w:p w14:paraId="45476D2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is a linear relationship between the signal and the target concentration range </w:t>
      </w:r>
    </w:p>
    <w:p w14:paraId="25F6C39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from 10 CFU/mL to 104 CFU/mL, with a detection limit of 7 CFU/mL (S/N = 3). </w:t>
      </w:r>
    </w:p>
    <w:p w14:paraId="5FC0A8D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Clinical validation (n = 40) showed strong agreement with qPCR (κ = 0.90).</w:t>
      </w:r>
    </w:p>
    <w:p w14:paraId="0965260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SIGNIFICANCE: </w:t>
      </w:r>
      <w:r>
        <w:rPr>
          <w:rFonts w:hint="eastAsia" w:ascii="宋体" w:hAnsi="宋体" w:eastAsia="宋体" w:cs="宋体"/>
          <w:color w:val="000000" w:themeColor="text1"/>
          <w:szCs w:val="24"/>
          <w14:textFill>
            <w14:solidFill>
              <w14:schemeClr w14:val="tx1"/>
            </w14:solidFill>
          </w14:textFill>
        </w:rPr>
        <w:t xml:space="preserve">Critically, this amplification-free strategy eliminates the need </w:t>
      </w:r>
    </w:p>
    <w:p w14:paraId="4432773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for temperature cycling equipment, reduces detection time to 1 h, and completely </w:t>
      </w:r>
    </w:p>
    <w:p w14:paraId="04DEB61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avoids the risk of amplicon contamination, providing an ideal solution for rapid </w:t>
      </w:r>
    </w:p>
    <w:p w14:paraId="4A55AE2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screening of highly infectious diseases such as TB.</w:t>
      </w:r>
    </w:p>
    <w:p w14:paraId="30CCB7E4">
      <w:pPr>
        <w:rPr>
          <w:rFonts w:hint="eastAsia" w:ascii="宋体" w:hAnsi="宋体" w:eastAsia="宋体" w:cs="宋体"/>
          <w:color w:val="000000" w:themeColor="text1"/>
          <w:szCs w:val="24"/>
          <w14:textFill>
            <w14:solidFill>
              <w14:schemeClr w14:val="tx1"/>
            </w14:solidFill>
          </w14:textFill>
        </w:rPr>
      </w:pPr>
    </w:p>
    <w:p w14:paraId="41286A9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Copyright © 2026. Published by Elsevier B.V.</w:t>
      </w:r>
    </w:p>
    <w:p w14:paraId="3F9C338D">
      <w:pPr>
        <w:rPr>
          <w:rFonts w:hint="eastAsia" w:ascii="宋体" w:hAnsi="宋体" w:eastAsia="宋体" w:cs="宋体"/>
          <w:color w:val="000000" w:themeColor="text1"/>
          <w:szCs w:val="24"/>
          <w14:textFill>
            <w14:solidFill>
              <w14:schemeClr w14:val="tx1"/>
            </w14:solidFill>
          </w14:textFill>
        </w:rPr>
      </w:pPr>
    </w:p>
    <w:p w14:paraId="05644B9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10.1016/j.aca.2026.346090</w:t>
      </w:r>
    </w:p>
    <w:p w14:paraId="78B05BB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42763149 [Indexed for MEDLINE]</w:t>
      </w:r>
    </w:p>
    <w:p w14:paraId="458CAC0B">
      <w:pPr>
        <w:rPr>
          <w:rFonts w:hint="eastAsia" w:ascii="宋体" w:hAnsi="宋体" w:eastAsia="宋体" w:cs="宋体"/>
          <w:color w:val="000000" w:themeColor="text1"/>
          <w:szCs w:val="24"/>
          <w14:textFill>
            <w14:solidFill>
              <w14:schemeClr w14:val="tx1"/>
            </w14:solidFill>
          </w14:textFill>
        </w:rPr>
      </w:pPr>
    </w:p>
    <w:p w14:paraId="47D95C28">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7</w:t>
      </w:r>
      <w:r>
        <w:rPr>
          <w:rFonts w:hint="eastAsia" w:ascii="宋体" w:hAnsi="宋体" w:eastAsia="宋体" w:cs="宋体"/>
          <w:b/>
          <w:bCs/>
          <w:color w:val="FF0000"/>
          <w:szCs w:val="24"/>
        </w:rPr>
        <w:t xml:space="preserve">. Case Rep Infect Dis. 2026 Sep 25;2026:8016755. doi: 10.1155/crdi/8016755. </w:t>
      </w:r>
    </w:p>
    <w:p w14:paraId="2D4D77CB">
      <w:pPr>
        <w:rPr>
          <w:rFonts w:hint="eastAsia" w:ascii="宋体" w:hAnsi="宋体" w:eastAsia="宋体" w:cs="宋体"/>
          <w:b/>
          <w:bCs/>
          <w:color w:val="FF0000"/>
          <w:szCs w:val="24"/>
        </w:rPr>
      </w:pPr>
      <w:r>
        <w:rPr>
          <w:rFonts w:hint="eastAsia" w:ascii="宋体" w:hAnsi="宋体" w:eastAsia="宋体" w:cs="宋体"/>
          <w:b/>
          <w:bCs/>
          <w:color w:val="FF0000"/>
          <w:szCs w:val="24"/>
        </w:rPr>
        <w:t>eCollection 2026.</w:t>
      </w:r>
    </w:p>
    <w:p w14:paraId="0529E774">
      <w:pPr>
        <w:rPr>
          <w:rFonts w:hint="eastAsia" w:ascii="宋体" w:hAnsi="宋体" w:eastAsia="宋体" w:cs="宋体"/>
          <w:color w:val="000000" w:themeColor="text1"/>
          <w:szCs w:val="24"/>
          <w14:textFill>
            <w14:solidFill>
              <w14:schemeClr w14:val="tx1"/>
            </w14:solidFill>
          </w14:textFill>
        </w:rPr>
      </w:pPr>
    </w:p>
    <w:p w14:paraId="297F280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Diagnostic Complexities in Congenital Tuberculosis: Insights From Preterm Twins </w:t>
      </w:r>
    </w:p>
    <w:p w14:paraId="5B1D435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Conceived via In Vitro Fertilization and a Literature Review.</w:t>
      </w:r>
    </w:p>
    <w:p w14:paraId="1871415A">
      <w:pPr>
        <w:rPr>
          <w:rFonts w:hint="eastAsia" w:ascii="宋体" w:hAnsi="宋体" w:eastAsia="宋体" w:cs="宋体"/>
          <w:color w:val="000000" w:themeColor="text1"/>
          <w:szCs w:val="24"/>
          <w14:textFill>
            <w14:solidFill>
              <w14:schemeClr w14:val="tx1"/>
            </w14:solidFill>
          </w14:textFill>
        </w:rPr>
      </w:pPr>
    </w:p>
    <w:p w14:paraId="1A056D0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Zhou MJ(1), Yu J(1), Huang FX(1), Wang N(1), Wang Q(1).</w:t>
      </w:r>
    </w:p>
    <w:p w14:paraId="282B674A">
      <w:pPr>
        <w:rPr>
          <w:rFonts w:hint="eastAsia" w:ascii="宋体" w:hAnsi="宋体" w:eastAsia="宋体" w:cs="宋体"/>
          <w:color w:val="000000" w:themeColor="text1"/>
          <w:szCs w:val="24"/>
          <w14:textFill>
            <w14:solidFill>
              <w14:schemeClr w14:val="tx1"/>
            </w14:solidFill>
          </w14:textFill>
        </w:rPr>
      </w:pPr>
    </w:p>
    <w:p w14:paraId="37A6A932">
      <w:pPr>
        <w:rPr>
          <w:rFonts w:hint="eastAsia" w:ascii="宋体" w:hAnsi="宋体" w:eastAsia="宋体" w:cs="宋体"/>
          <w:b/>
          <w:bCs/>
          <w:color w:val="4472C4" w:themeColor="accent5"/>
          <w:szCs w:val="24"/>
          <w:lang w:val="en-US" w:eastAsia="zh-CN"/>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Mei-Juan Zhou,</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Jian Yu,</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Feng-Xia Huang,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Ning Wang,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Qing Wang</w:t>
      </w:r>
      <w:r>
        <w:rPr>
          <w:rFonts w:hint="eastAsia" w:ascii="宋体" w:hAnsi="宋体" w:eastAsia="宋体" w:cs="宋体"/>
          <w:b/>
          <w:bCs/>
          <w:color w:val="4472C4" w:themeColor="accent5"/>
          <w:szCs w:val="24"/>
          <w:lang w:val="en-US" w:eastAsia="zh-CN"/>
          <w14:textFill>
            <w14:solidFill>
              <w14:schemeClr w14:val="accent5"/>
            </w14:solidFill>
          </w14:textFill>
        </w:rPr>
        <w:t>*</w:t>
      </w:r>
    </w:p>
    <w:p w14:paraId="4EC9CC7B">
      <w:pPr>
        <w:rPr>
          <w:rFonts w:hint="eastAsia" w:ascii="宋体" w:hAnsi="宋体" w:eastAsia="宋体" w:cs="宋体"/>
          <w:b/>
          <w:bCs/>
          <w:color w:val="4472C4" w:themeColor="accent5"/>
          <w:szCs w:val="24"/>
          <w:lang w:eastAsia="zh-CN"/>
          <w14:textFill>
            <w14:solidFill>
              <w14:schemeClr w14:val="accent5"/>
            </w14:solidFill>
          </w14:textFill>
        </w:rPr>
      </w:pPr>
      <w:r>
        <w:rPr>
          <w:rFonts w:hint="eastAsia" w:ascii="宋体" w:hAnsi="宋体" w:eastAsia="宋体" w:cs="宋体"/>
          <w:b/>
          <w:bCs/>
          <w:color w:val="4472C4" w:themeColor="accent5"/>
          <w:szCs w:val="24"/>
          <w:lang w:val="en-US"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Correspondence: Qing Wang (edna_wq@sina.com</w:t>
      </w:r>
      <w:r>
        <w:rPr>
          <w:rFonts w:hint="eastAsia" w:ascii="宋体" w:hAnsi="宋体" w:eastAsia="宋体" w:cs="宋体"/>
          <w:b/>
          <w:bCs/>
          <w:color w:val="4472C4" w:themeColor="accent5"/>
          <w:szCs w:val="24"/>
          <w:lang w:eastAsia="zh-CN"/>
          <w14:textFill>
            <w14:solidFill>
              <w14:schemeClr w14:val="accent5"/>
            </w14:solidFill>
          </w14:textFill>
        </w:rPr>
        <w:t>）</w:t>
      </w:r>
    </w:p>
    <w:p w14:paraId="02AAE78C">
      <w:pPr>
        <w:rPr>
          <w:rFonts w:hint="eastAsia" w:ascii="宋体" w:hAnsi="宋体" w:eastAsia="宋体" w:cs="宋体"/>
          <w:color w:val="000000" w:themeColor="text1"/>
          <w:szCs w:val="24"/>
          <w14:textFill>
            <w14:solidFill>
              <w14:schemeClr w14:val="tx1"/>
            </w14:solidFill>
          </w14:textFill>
        </w:rPr>
      </w:pPr>
    </w:p>
    <w:p w14:paraId="75A139E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5A0A686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Neonatology, Children's Hospital of Soochow University, NO92 </w:t>
      </w:r>
    </w:p>
    <w:p w14:paraId="2B47205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Zhongnan Street, Industrial Park, Suzhou 215025, Jiangsu, China, sdfey.cn.</w:t>
      </w:r>
    </w:p>
    <w:p w14:paraId="7A32FBFF">
      <w:pPr>
        <w:rPr>
          <w:rFonts w:hint="eastAsia" w:ascii="宋体" w:hAnsi="宋体" w:eastAsia="宋体" w:cs="宋体"/>
          <w:color w:val="000000" w:themeColor="text1"/>
          <w:szCs w:val="24"/>
          <w14:textFill>
            <w14:solidFill>
              <w14:schemeClr w14:val="tx1"/>
            </w14:solidFill>
          </w14:textFill>
        </w:rPr>
      </w:pPr>
    </w:p>
    <w:p w14:paraId="487B53C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Congenital tuberculosis (CTB) poses significant diagnostic challenges, </w:t>
      </w:r>
    </w:p>
    <w:p w14:paraId="29479F9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particularly in preterm infants. This case report describes the discordant </w:t>
      </w:r>
    </w:p>
    <w:p w14:paraId="1BBD2E1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clinical presentation of CTB in dizygotic twins conceived via in vitro </w:t>
      </w:r>
    </w:p>
    <w:p w14:paraId="1C4FA34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fertilization (IVF) and born at 31+6 weeks' gestation. Both twins presented with </w:t>
      </w:r>
    </w:p>
    <w:p w14:paraId="3CD1C64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nonspecific symptoms (fever and respiratory distress) on postnatal day (PND) 31 </w:t>
      </w:r>
    </w:p>
    <w:p w14:paraId="70C613A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and 25, respectively, but followed distinct clinical courses: Twin 1 developed </w:t>
      </w:r>
    </w:p>
    <w:p w14:paraId="7B40602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disseminated disease with facial palsy and central nervous system (CNS) </w:t>
      </w:r>
    </w:p>
    <w:p w14:paraId="3E1ACC5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involvement, whereas Twin 2 presented with a cervical mass and bone destruction. </w:t>
      </w:r>
    </w:p>
    <w:p w14:paraId="5F4EC28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Diagnosis was markedly delayed, with confirmation on PND 99 and 98, </w:t>
      </w:r>
    </w:p>
    <w:p w14:paraId="2B0CAD7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respectively, and initially mistaken for sepsis or histiocytosis. Definitive </w:t>
      </w:r>
    </w:p>
    <w:p w14:paraId="7C96F8D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diagnosis was achieved through next-generation sequencing (NGS) and Xpert </w:t>
      </w:r>
    </w:p>
    <w:p w14:paraId="41ECE47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Mycobacterium tuberculosis/Rifampicin (Xpert MTB/RIF) assays. The twins were </w:t>
      </w:r>
    </w:p>
    <w:p w14:paraId="526EE77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treated with a 14-month antitubercular regimen including linezolid. Their </w:t>
      </w:r>
    </w:p>
    <w:p w14:paraId="4AF5BA6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asymptomatic mother was subsequently diagnosed with latent genital TB-a likely </w:t>
      </w:r>
    </w:p>
    <w:p w14:paraId="0EB9D19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contributor to her primary infertility-and received standard therapy with </w:t>
      </w:r>
    </w:p>
    <w:p w14:paraId="65594D9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isoniazid (INH), rifampicin (RIF), pyrazinamide (PZA), and ethambutol (EMB). At </w:t>
      </w:r>
    </w:p>
    <w:p w14:paraId="43F5122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follow-up (chronological age 2 years), both twins showed adequate catch-up </w:t>
      </w:r>
    </w:p>
    <w:p w14:paraId="28C00CB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growth and normal visual function. This case illustrates that CTB can manifest </w:t>
      </w:r>
    </w:p>
    <w:p w14:paraId="1DA3091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as phenotypically diverse and disseminated disease in preterm IVF twins </w:t>
      </w:r>
    </w:p>
    <w:p w14:paraId="1E72B9A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following reactivation of maternal latent infection. It also provides a clinical </w:t>
      </w:r>
    </w:p>
    <w:p w14:paraId="26842C2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paradigm linking female genital tuberculosis (FGTB) pathogenesis-mediated by </w:t>
      </w:r>
    </w:p>
    <w:p w14:paraId="5AEE0A3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Th1/Th17-driven endometrial damage-to infertility, IVF-associated </w:t>
      </w:r>
    </w:p>
    <w:p w14:paraId="7899D49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immunosuppressive reactivation, and congenital transmission. These findings </w:t>
      </w:r>
    </w:p>
    <w:p w14:paraId="7D9FEDB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highlight the potential value of considering latent TB screening in women </w:t>
      </w:r>
    </w:p>
    <w:p w14:paraId="6EC95B7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undergoing infertility evaluation, particularly before IVF, to prevent severe </w:t>
      </w:r>
    </w:p>
    <w:p w14:paraId="59FE4EF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maternal and neonatal outcomes. However, given that these observations are </w:t>
      </w:r>
    </w:p>
    <w:p w14:paraId="2A15729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derived from a single case report, larger studies are warranted to establish </w:t>
      </w:r>
    </w:p>
    <w:p w14:paraId="349E8AD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definitive screening recommendations.</w:t>
      </w:r>
    </w:p>
    <w:p w14:paraId="44401454">
      <w:pPr>
        <w:rPr>
          <w:rFonts w:hint="eastAsia" w:ascii="宋体" w:hAnsi="宋体" w:eastAsia="宋体" w:cs="宋体"/>
          <w:color w:val="000000" w:themeColor="text1"/>
          <w:szCs w:val="24"/>
          <w14:textFill>
            <w14:solidFill>
              <w14:schemeClr w14:val="tx1"/>
            </w14:solidFill>
          </w14:textFill>
        </w:rPr>
      </w:pPr>
    </w:p>
    <w:p w14:paraId="2345B98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Copyright © 2026 Mei-Juan Zhou et al. Case Reports in Infectious Diseases </w:t>
      </w:r>
    </w:p>
    <w:p w14:paraId="7D79DDD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published by John Wiley &amp; Sons Ltd.</w:t>
      </w:r>
    </w:p>
    <w:p w14:paraId="08C0D0B4">
      <w:pPr>
        <w:rPr>
          <w:rFonts w:hint="eastAsia" w:ascii="宋体" w:hAnsi="宋体" w:eastAsia="宋体" w:cs="宋体"/>
          <w:color w:val="000000" w:themeColor="text1"/>
          <w:szCs w:val="24"/>
          <w14:textFill>
            <w14:solidFill>
              <w14:schemeClr w14:val="tx1"/>
            </w14:solidFill>
          </w14:textFill>
        </w:rPr>
      </w:pPr>
    </w:p>
    <w:p w14:paraId="3256625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10.1155/crdi/8016755</w:t>
      </w:r>
    </w:p>
    <w:p w14:paraId="3D2FDBF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PMC13614344</w:t>
      </w:r>
    </w:p>
    <w:p w14:paraId="5A0F8BB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42799489</w:t>
      </w:r>
    </w:p>
    <w:p w14:paraId="7628DEA0">
      <w:pPr>
        <w:rPr>
          <w:rFonts w:hint="eastAsia" w:ascii="宋体" w:hAnsi="宋体" w:eastAsia="宋体" w:cs="宋体"/>
          <w:color w:val="000000" w:themeColor="text1"/>
          <w:szCs w:val="24"/>
          <w14:textFill>
            <w14:solidFill>
              <w14:schemeClr w14:val="tx1"/>
            </w14:solidFill>
          </w14:textFill>
        </w:rPr>
      </w:pPr>
    </w:p>
    <w:p w14:paraId="352D607D">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8</w:t>
      </w:r>
      <w:r>
        <w:rPr>
          <w:rFonts w:hint="eastAsia" w:ascii="宋体" w:hAnsi="宋体" w:eastAsia="宋体" w:cs="宋体"/>
          <w:b/>
          <w:bCs/>
          <w:color w:val="FF0000"/>
          <w:szCs w:val="24"/>
        </w:rPr>
        <w:t xml:space="preserve">. Pediatr Infect Dis J. 2026 Sep 25. doi: 10.1097/INF.0000000000005420. Online </w:t>
      </w:r>
    </w:p>
    <w:p w14:paraId="1EA6F5BC">
      <w:pPr>
        <w:rPr>
          <w:rFonts w:hint="eastAsia" w:ascii="宋体" w:hAnsi="宋体" w:eastAsia="宋体" w:cs="宋体"/>
          <w:b/>
          <w:bCs/>
          <w:color w:val="FF0000"/>
          <w:szCs w:val="24"/>
        </w:rPr>
      </w:pPr>
      <w:r>
        <w:rPr>
          <w:rFonts w:hint="eastAsia" w:ascii="宋体" w:hAnsi="宋体" w:eastAsia="宋体" w:cs="宋体"/>
          <w:b/>
          <w:bCs/>
          <w:color w:val="FF0000"/>
          <w:szCs w:val="24"/>
        </w:rPr>
        <w:t>ahead of print.</w:t>
      </w:r>
    </w:p>
    <w:p w14:paraId="177B1301">
      <w:pPr>
        <w:rPr>
          <w:rFonts w:hint="eastAsia" w:ascii="宋体" w:hAnsi="宋体" w:eastAsia="宋体" w:cs="宋体"/>
          <w:color w:val="000000" w:themeColor="text1"/>
          <w:szCs w:val="24"/>
          <w14:textFill>
            <w14:solidFill>
              <w14:schemeClr w14:val="tx1"/>
            </w14:solidFill>
          </w14:textFill>
        </w:rPr>
      </w:pPr>
    </w:p>
    <w:p w14:paraId="5BBA148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Use of Levofloxacin in Congenital Tuberculosis: Two Case Reports and a Review of </w:t>
      </w:r>
    </w:p>
    <w:p w14:paraId="5E898DE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the Literature.</w:t>
      </w:r>
    </w:p>
    <w:p w14:paraId="539BBE87">
      <w:pPr>
        <w:rPr>
          <w:rFonts w:hint="eastAsia" w:ascii="宋体" w:hAnsi="宋体" w:eastAsia="宋体" w:cs="宋体"/>
          <w:color w:val="000000" w:themeColor="text1"/>
          <w:szCs w:val="24"/>
          <w14:textFill>
            <w14:solidFill>
              <w14:schemeClr w14:val="tx1"/>
            </w14:solidFill>
          </w14:textFill>
        </w:rPr>
      </w:pPr>
    </w:p>
    <w:p w14:paraId="29C214C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Ouyang S(1)(2), Huang T(1)(2), Wang C(3), Wang S(2), Zhang L(2), Ding J(2), Wang </w:t>
      </w:r>
    </w:p>
    <w:p w14:paraId="5C18052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Y(2), Xu Y(2).</w:t>
      </w:r>
    </w:p>
    <w:p w14:paraId="4BFE3197">
      <w:pPr>
        <w:rPr>
          <w:rFonts w:hint="eastAsia" w:ascii="宋体" w:hAnsi="宋体" w:eastAsia="宋体" w:cs="宋体"/>
          <w:color w:val="000000" w:themeColor="text1"/>
          <w:szCs w:val="24"/>
          <w14:textFill>
            <w14:solidFill>
              <w14:schemeClr w14:val="tx1"/>
            </w14:solidFill>
          </w14:textFill>
        </w:rPr>
      </w:pPr>
    </w:p>
    <w:p w14:paraId="3D1C3EDB">
      <w:pPr>
        <w:rPr>
          <w:rFonts w:hint="eastAsia" w:ascii="宋体" w:hAnsi="宋体" w:eastAsia="宋体" w:cs="宋体"/>
          <w:b/>
          <w:bCs/>
          <w:color w:val="4472C4" w:themeColor="accent5"/>
          <w:szCs w:val="24"/>
          <w:lang w:val="en-US" w:eastAsia="zh-CN"/>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Suxia Ouyang,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Tingxuan Huang,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Chang Wang,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Shun Wang,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Le Zhang,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Jie Ding,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Yanxin Wang,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Yuanyuan Xu</w:t>
      </w:r>
      <w:r>
        <w:rPr>
          <w:rFonts w:hint="eastAsia" w:ascii="宋体" w:hAnsi="宋体" w:eastAsia="宋体" w:cs="宋体"/>
          <w:b/>
          <w:bCs/>
          <w:color w:val="4472C4" w:themeColor="accent5"/>
          <w:szCs w:val="24"/>
          <w:lang w:val="en-US" w:eastAsia="zh-CN"/>
          <w14:textFill>
            <w14:solidFill>
              <w14:schemeClr w14:val="accent5"/>
            </w14:solidFill>
          </w14:textFill>
        </w:rPr>
        <w:t>*</w:t>
      </w:r>
    </w:p>
    <w:p w14:paraId="0D3B721A">
      <w:pPr>
        <w:rPr>
          <w:rFonts w:hint="eastAsia" w:ascii="宋体" w:hAnsi="宋体" w:eastAsia="宋体" w:cs="宋体"/>
          <w:b/>
          <w:bCs/>
          <w:color w:val="4472C4" w:themeColor="accent5"/>
          <w:szCs w:val="24"/>
          <w14:textFill>
            <w14:solidFill>
              <w14:schemeClr w14:val="accent5"/>
            </w14:solidFill>
          </w14:textFill>
        </w:rPr>
      </w:pPr>
      <w:r>
        <w:rPr>
          <w:rFonts w:hint="eastAsia" w:ascii="宋体" w:hAnsi="宋体" w:eastAsia="宋体" w:cs="宋体"/>
          <w:b/>
          <w:bCs/>
          <w:color w:val="4472C4" w:themeColor="accent5"/>
          <w:szCs w:val="24"/>
          <w:lang w:val="en-US"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 xml:space="preserve">Address for correspondence: Yuanyuan Xu, E-mail </w:t>
      </w:r>
      <w:r>
        <w:rPr>
          <w:rFonts w:hint="default" w:ascii="宋体" w:hAnsi="宋体" w:eastAsia="宋体" w:cs="宋体"/>
          <w:b/>
          <w:bCs/>
          <w:color w:val="4472C4" w:themeColor="accent5"/>
          <w:szCs w:val="24"/>
          <w14:textFill>
            <w14:solidFill>
              <w14:schemeClr w14:val="accent5"/>
            </w14:solidFill>
          </w14:textFill>
        </w:rPr>
        <w:fldChar w:fldCharType="begin"/>
      </w:r>
      <w:r>
        <w:rPr>
          <w:rFonts w:hint="default" w:ascii="宋体" w:hAnsi="宋体" w:eastAsia="宋体" w:cs="宋体"/>
          <w:b/>
          <w:bCs/>
          <w:color w:val="4472C4" w:themeColor="accent5"/>
          <w:szCs w:val="24"/>
          <w14:textFill>
            <w14:solidFill>
              <w14:schemeClr w14:val="accent5"/>
            </w14:solidFill>
          </w14:textFill>
        </w:rPr>
        <w:instrText xml:space="preserve"> HYPERLINK "mailto:xuyuanyuan@ahmu.edu.cn" \t "https://www.ovid.com/jnls/pidj/abstract/10.1097/_self" </w:instrText>
      </w:r>
      <w:r>
        <w:rPr>
          <w:rFonts w:hint="default" w:ascii="宋体" w:hAnsi="宋体" w:eastAsia="宋体" w:cs="宋体"/>
          <w:b/>
          <w:bCs/>
          <w:color w:val="4472C4" w:themeColor="accent5"/>
          <w:szCs w:val="24"/>
          <w14:textFill>
            <w14:solidFill>
              <w14:schemeClr w14:val="accent5"/>
            </w14:solidFill>
          </w14:textFill>
        </w:rPr>
        <w:fldChar w:fldCharType="separate"/>
      </w:r>
      <w:r>
        <w:rPr>
          <w:rFonts w:hint="default" w:ascii="宋体" w:hAnsi="宋体" w:eastAsia="宋体" w:cs="宋体"/>
          <w:b/>
          <w:bCs/>
          <w:color w:val="4472C4" w:themeColor="accent5"/>
          <w:szCs w:val="24"/>
          <w14:textFill>
            <w14:solidFill>
              <w14:schemeClr w14:val="accent5"/>
            </w14:solidFill>
          </w14:textFill>
        </w:rPr>
        <w:t>xuyuanyuan@ahmu.edu.cn</w:t>
      </w:r>
      <w:r>
        <w:rPr>
          <w:rFonts w:hint="default" w:ascii="宋体" w:hAnsi="宋体" w:eastAsia="宋体" w:cs="宋体"/>
          <w:b/>
          <w:bCs/>
          <w:color w:val="4472C4" w:themeColor="accent5"/>
          <w:szCs w:val="24"/>
          <w14:textFill>
            <w14:solidFill>
              <w14:schemeClr w14:val="accent5"/>
            </w14:solidFill>
          </w14:textFill>
        </w:rPr>
        <w:fldChar w:fldCharType="end"/>
      </w:r>
      <w:r>
        <w:rPr>
          <w:rFonts w:hint="default" w:ascii="宋体" w:hAnsi="宋体" w:eastAsia="宋体" w:cs="宋体"/>
          <w:b/>
          <w:bCs/>
          <w:color w:val="4472C4" w:themeColor="accent5"/>
          <w:szCs w:val="24"/>
          <w14:textFill>
            <w14:solidFill>
              <w14:schemeClr w14:val="accent5"/>
            </w14:solidFill>
          </w14:textFill>
        </w:rPr>
        <w:t>.</w:t>
      </w:r>
    </w:p>
    <w:p w14:paraId="62559BEA">
      <w:pPr>
        <w:rPr>
          <w:rFonts w:hint="eastAsia" w:ascii="宋体" w:hAnsi="宋体" w:eastAsia="宋体" w:cs="宋体"/>
          <w:color w:val="000000" w:themeColor="text1"/>
          <w:szCs w:val="24"/>
          <w14:textFill>
            <w14:solidFill>
              <w14:schemeClr w14:val="tx1"/>
            </w14:solidFill>
          </w14:textFill>
        </w:rPr>
      </w:pPr>
    </w:p>
    <w:p w14:paraId="26981D2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2CA87A1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(1)From the Graduate School of Wannan Medical University, Wuhu, Anhui, China.</w:t>
      </w:r>
    </w:p>
    <w:p w14:paraId="61A1CA4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(2)Department of Pediatric Intensive Care Unit, Anhui Provincial Children's </w:t>
      </w:r>
    </w:p>
    <w:p w14:paraId="57122EE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Hospital, Hefei, Anhui, China.</w:t>
      </w:r>
    </w:p>
    <w:p w14:paraId="5C89283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(3)Department of Radiology, Anhui Provincial Children's Hospital, Hefei, Anhui, </w:t>
      </w:r>
    </w:p>
    <w:p w14:paraId="2A8AF74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China.</w:t>
      </w:r>
    </w:p>
    <w:p w14:paraId="17F64976">
      <w:pPr>
        <w:rPr>
          <w:rFonts w:hint="eastAsia" w:ascii="宋体" w:hAnsi="宋体" w:eastAsia="宋体" w:cs="宋体"/>
          <w:color w:val="000000" w:themeColor="text1"/>
          <w:szCs w:val="24"/>
          <w14:textFill>
            <w14:solidFill>
              <w14:schemeClr w14:val="tx1"/>
            </w14:solidFill>
          </w14:textFill>
        </w:rPr>
      </w:pPr>
    </w:p>
    <w:p w14:paraId="29DF36F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BACKGROUND:</w:t>
      </w:r>
      <w:r>
        <w:rPr>
          <w:rFonts w:hint="eastAsia" w:ascii="宋体" w:hAnsi="宋体" w:eastAsia="宋体" w:cs="宋体"/>
          <w:color w:val="000000" w:themeColor="text1"/>
          <w:szCs w:val="24"/>
          <w14:textFill>
            <w14:solidFill>
              <w14:schemeClr w14:val="tx1"/>
            </w14:solidFill>
          </w14:textFill>
        </w:rPr>
        <w:t xml:space="preserve"> Congenital tuberculosis (CTB), a serious and often fatal infection </w:t>
      </w:r>
    </w:p>
    <w:p w14:paraId="3110CE3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acquired in utero or during delivery, continues to pose significant challenges </w:t>
      </w:r>
    </w:p>
    <w:p w14:paraId="3CBA163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in treatment.</w:t>
      </w:r>
    </w:p>
    <w:p w14:paraId="1E81C7E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METHODS: </w:t>
      </w:r>
      <w:r>
        <w:rPr>
          <w:rFonts w:hint="eastAsia" w:ascii="宋体" w:hAnsi="宋体" w:eastAsia="宋体" w:cs="宋体"/>
          <w:color w:val="000000" w:themeColor="text1"/>
          <w:szCs w:val="24"/>
          <w14:textFill>
            <w14:solidFill>
              <w14:schemeClr w14:val="tx1"/>
            </w14:solidFill>
          </w14:textFill>
        </w:rPr>
        <w:t xml:space="preserve">We describe 2 cases of CTB treated with levofloxacin from the inpatient </w:t>
      </w:r>
    </w:p>
    <w:p w14:paraId="5551083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department of Anhui Provincial Children's Hospital. In addition, we performed a </w:t>
      </w:r>
    </w:p>
    <w:p w14:paraId="084C99F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literature review and identified 18 eligible cases from 17 published case </w:t>
      </w:r>
    </w:p>
    <w:p w14:paraId="66B1416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reports of CTB treated with levofloxacin-containing antituberculosis regimens, </w:t>
      </w:r>
    </w:p>
    <w:p w14:paraId="48BBEF0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which were reported in both Chinese and English journals. These cases were </w:t>
      </w:r>
    </w:p>
    <w:p w14:paraId="7D4266F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analyzed together with our patients.</w:t>
      </w:r>
    </w:p>
    <w:p w14:paraId="07DDCD6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RESULTS:</w:t>
      </w:r>
      <w:r>
        <w:rPr>
          <w:rFonts w:hint="eastAsia" w:ascii="宋体" w:hAnsi="宋体" w:eastAsia="宋体" w:cs="宋体"/>
          <w:color w:val="000000" w:themeColor="text1"/>
          <w:szCs w:val="24"/>
          <w14:textFill>
            <w14:solidFill>
              <w14:schemeClr w14:val="tx1"/>
            </w14:solidFill>
          </w14:textFill>
        </w:rPr>
        <w:t xml:space="preserve"> A total of 20 cases of CTB were analyzed. Of these, at least 80% </w:t>
      </w:r>
    </w:p>
    <w:p w14:paraId="212695C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(16/20) were preterm infants. The rationale for including levofloxacin in the </w:t>
      </w:r>
    </w:p>
    <w:p w14:paraId="300AC9C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antituberculosis regimen fell into 4 main categories: hepatic dysfunction 35% </w:t>
      </w:r>
    </w:p>
    <w:p w14:paraId="77332EA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(7/20), drug resistance to first-line agents 45% (9/20), severe or disseminated </w:t>
      </w:r>
    </w:p>
    <w:p w14:paraId="0594ACD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disease, such as miliary tuberculosis or tuberculous meningitis 20% (4/20), and </w:t>
      </w:r>
    </w:p>
    <w:p w14:paraId="2FF3EC1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intention to avoid the ocular toxicity of ethambutol 10% (2/20). The indications </w:t>
      </w:r>
    </w:p>
    <w:p w14:paraId="2643AB8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were not mutually exclusive, as some patients had more than 1 reason for </w:t>
      </w:r>
    </w:p>
    <w:p w14:paraId="49C60F7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receiving levofloxacin. Excluding one case with unevaluable outcomes, treatment </w:t>
      </w:r>
    </w:p>
    <w:p w14:paraId="41F06EA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was effective in 18 of the remaining 19 cases (94.74%). Notable outcomes among </w:t>
      </w:r>
    </w:p>
    <w:p w14:paraId="0D4F9CB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responders included 1 child with mild developmental delay and hearing loss. One </w:t>
      </w:r>
    </w:p>
    <w:p w14:paraId="38BD10D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patient (5.26%) died. No definitive levofloxacin-associated articular cartilage </w:t>
      </w:r>
    </w:p>
    <w:p w14:paraId="12099DE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damage or other severe adverse reactions were reported in any of the 18 </w:t>
      </w:r>
    </w:p>
    <w:p w14:paraId="34623C6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patients. Likewise, no articular cartilage abnormalities were detected during </w:t>
      </w:r>
    </w:p>
    <w:p w14:paraId="7B0A36C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follow-up in our 2 in-house cases.</w:t>
      </w:r>
    </w:p>
    <w:p w14:paraId="092EADE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CONCLUSIONS:</w:t>
      </w:r>
      <w:r>
        <w:rPr>
          <w:rFonts w:hint="eastAsia" w:ascii="宋体" w:hAnsi="宋体" w:eastAsia="宋体" w:cs="宋体"/>
          <w:color w:val="000000" w:themeColor="text1"/>
          <w:szCs w:val="24"/>
          <w14:textFill>
            <w14:solidFill>
              <w14:schemeClr w14:val="tx1"/>
            </w14:solidFill>
          </w14:textFill>
        </w:rPr>
        <w:t xml:space="preserve"> We suggest that levofloxacin be considered for inclusion in </w:t>
      </w:r>
    </w:p>
    <w:p w14:paraId="771EFC3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combination regimens for CTB under strict therapeutic drug monitoring in </w:t>
      </w:r>
    </w:p>
    <w:p w14:paraId="5AB5FA4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specific clinical scenarios. These include severe antituberculosis drug-induced </w:t>
      </w:r>
    </w:p>
    <w:p w14:paraId="1CC62EF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liver injury, resistance to first-line agents, critical illness such as miliary </w:t>
      </w:r>
    </w:p>
    <w:p w14:paraId="2B9C2B9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or meningeal disease, and when the ocular toxicity risk of ethambutol must be </w:t>
      </w:r>
    </w:p>
    <w:p w14:paraId="766D34E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avoided.</w:t>
      </w:r>
    </w:p>
    <w:p w14:paraId="318643D6">
      <w:pPr>
        <w:rPr>
          <w:rFonts w:hint="eastAsia" w:ascii="宋体" w:hAnsi="宋体" w:eastAsia="宋体" w:cs="宋体"/>
          <w:color w:val="000000" w:themeColor="text1"/>
          <w:szCs w:val="24"/>
          <w14:textFill>
            <w14:solidFill>
              <w14:schemeClr w14:val="tx1"/>
            </w14:solidFill>
          </w14:textFill>
        </w:rPr>
      </w:pPr>
    </w:p>
    <w:p w14:paraId="20E272C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Copyright © 2026 Wolters Kluwer Health, LLC. All rights reserved.</w:t>
      </w:r>
    </w:p>
    <w:p w14:paraId="20805357">
      <w:pPr>
        <w:rPr>
          <w:rFonts w:hint="eastAsia" w:ascii="宋体" w:hAnsi="宋体" w:eastAsia="宋体" w:cs="宋体"/>
          <w:color w:val="000000" w:themeColor="text1"/>
          <w:szCs w:val="24"/>
          <w14:textFill>
            <w14:solidFill>
              <w14:schemeClr w14:val="tx1"/>
            </w14:solidFill>
          </w14:textFill>
        </w:rPr>
      </w:pPr>
    </w:p>
    <w:p w14:paraId="575FA69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10.1097/INF.0000000000005420</w:t>
      </w:r>
    </w:p>
    <w:p w14:paraId="3594E18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42786538</w:t>
      </w:r>
    </w:p>
    <w:p w14:paraId="4691828A">
      <w:pPr>
        <w:rPr>
          <w:rFonts w:hint="eastAsia" w:ascii="宋体" w:hAnsi="宋体" w:eastAsia="宋体" w:cs="宋体"/>
          <w:color w:val="000000" w:themeColor="text1"/>
          <w:szCs w:val="24"/>
          <w14:textFill>
            <w14:solidFill>
              <w14:schemeClr w14:val="tx1"/>
            </w14:solidFill>
          </w14:textFill>
        </w:rPr>
      </w:pPr>
    </w:p>
    <w:p w14:paraId="4C909970">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9</w:t>
      </w:r>
      <w:r>
        <w:rPr>
          <w:rFonts w:hint="eastAsia" w:ascii="宋体" w:hAnsi="宋体" w:eastAsia="宋体" w:cs="宋体"/>
          <w:b/>
          <w:bCs/>
          <w:color w:val="FF0000"/>
          <w:szCs w:val="24"/>
        </w:rPr>
        <w:t xml:space="preserve">. PLoS Pathog. 2026 Sep 24;22(9):e1014628. doi: 10.1371/journal.ppat.1014628. </w:t>
      </w:r>
    </w:p>
    <w:p w14:paraId="06DBB0EB">
      <w:pPr>
        <w:rPr>
          <w:rFonts w:hint="eastAsia" w:ascii="宋体" w:hAnsi="宋体" w:eastAsia="宋体" w:cs="宋体"/>
          <w:b/>
          <w:bCs/>
          <w:color w:val="FF0000"/>
          <w:szCs w:val="24"/>
        </w:rPr>
      </w:pPr>
      <w:r>
        <w:rPr>
          <w:rFonts w:hint="eastAsia" w:ascii="宋体" w:hAnsi="宋体" w:eastAsia="宋体" w:cs="宋体"/>
          <w:b/>
          <w:bCs/>
          <w:color w:val="FF0000"/>
          <w:szCs w:val="24"/>
        </w:rPr>
        <w:t>eCollection 2026 Sep.</w:t>
      </w:r>
    </w:p>
    <w:p w14:paraId="4A3AFF01">
      <w:pPr>
        <w:rPr>
          <w:rFonts w:hint="eastAsia" w:ascii="宋体" w:hAnsi="宋体" w:eastAsia="宋体" w:cs="宋体"/>
          <w:color w:val="000000" w:themeColor="text1"/>
          <w:szCs w:val="24"/>
          <w14:textFill>
            <w14:solidFill>
              <w14:schemeClr w14:val="tx1"/>
            </w14:solidFill>
          </w14:textFill>
        </w:rPr>
      </w:pPr>
    </w:p>
    <w:p w14:paraId="739CD11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Formal Comment on "Platelet-leucocyte interactions drive MMP-mediated tissue </w:t>
      </w:r>
    </w:p>
    <w:p w14:paraId="1B40A8F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damage in tuberculosis" (Kirwan et al., 2026).</w:t>
      </w:r>
    </w:p>
    <w:p w14:paraId="5EB8C9DC">
      <w:pPr>
        <w:rPr>
          <w:rFonts w:hint="eastAsia" w:ascii="宋体" w:hAnsi="宋体" w:eastAsia="宋体" w:cs="宋体"/>
          <w:color w:val="000000" w:themeColor="text1"/>
          <w:szCs w:val="24"/>
          <w14:textFill>
            <w14:solidFill>
              <w14:schemeClr w14:val="tx1"/>
            </w14:solidFill>
          </w14:textFill>
        </w:rPr>
      </w:pPr>
    </w:p>
    <w:p w14:paraId="337539B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Shan Q(1).</w:t>
      </w:r>
    </w:p>
    <w:p w14:paraId="28212955">
      <w:pPr>
        <w:rPr>
          <w:rFonts w:hint="eastAsia" w:ascii="宋体" w:hAnsi="宋体" w:eastAsia="宋体" w:cs="宋体"/>
          <w:color w:val="000000" w:themeColor="text1"/>
          <w:szCs w:val="24"/>
          <w14:textFill>
            <w14:solidFill>
              <w14:schemeClr w14:val="tx1"/>
            </w14:solidFill>
          </w14:textFill>
        </w:rPr>
      </w:pPr>
    </w:p>
    <w:p w14:paraId="5F62B384">
      <w:pPr>
        <w:rPr>
          <w:rFonts w:hint="eastAsia" w:ascii="宋体" w:hAnsi="宋体" w:eastAsia="宋体" w:cs="宋体"/>
          <w:color w:val="000000" w:themeColor="text1"/>
          <w:szCs w:val="24"/>
          <w:lang w:val="en-US" w:eastAsia="zh-CN"/>
          <w14:textFill>
            <w14:solidFill>
              <w14:schemeClr w14:val="tx1"/>
            </w14:solidFill>
          </w14:textFill>
        </w:rPr>
      </w:pPr>
      <w:r>
        <w:rPr>
          <w:rFonts w:ascii="Segoe UI" w:hAnsi="Segoe UI" w:eastAsia="Segoe UI" w:cs="Segoe UI"/>
          <w:i w:val="0"/>
          <w:iCs w:val="0"/>
          <w:caps w:val="0"/>
          <w:color w:val="4C4C4C"/>
          <w:spacing w:val="0"/>
          <w:sz w:val="19"/>
          <w:szCs w:val="19"/>
        </w:rPr>
        <w:t>Qingqing Shan</w:t>
      </w:r>
      <w:r>
        <w:rPr>
          <w:rFonts w:hint="eastAsia" w:ascii="Segoe UI" w:hAnsi="Segoe UI" w:eastAsia="宋体" w:cs="Segoe UI"/>
          <w:i w:val="0"/>
          <w:iCs w:val="0"/>
          <w:caps w:val="0"/>
          <w:color w:val="4C4C4C"/>
          <w:spacing w:val="0"/>
          <w:sz w:val="19"/>
          <w:szCs w:val="19"/>
          <w:lang w:val="en-US" w:eastAsia="zh-CN"/>
        </w:rPr>
        <w:t>*</w:t>
      </w:r>
    </w:p>
    <w:p w14:paraId="1A04A314">
      <w:pPr>
        <w:rPr>
          <w:rFonts w:hint="eastAsia" w:ascii="宋体" w:hAnsi="宋体" w:eastAsia="宋体" w:cs="宋体"/>
          <w:color w:val="000000" w:themeColor="text1"/>
          <w:szCs w:val="24"/>
          <w14:textFill>
            <w14:solidFill>
              <w14:schemeClr w14:val="tx1"/>
            </w14:solidFill>
          </w14:textFill>
        </w:rPr>
      </w:pPr>
    </w:p>
    <w:p w14:paraId="7787732A">
      <w:pPr>
        <w:rPr>
          <w:rFonts w:hint="eastAsia" w:ascii="Segoe UI" w:hAnsi="Segoe UI" w:eastAsia="Segoe UI" w:cs="Segoe UI"/>
          <w:b/>
          <w:bCs/>
          <w:i w:val="0"/>
          <w:iCs w:val="0"/>
          <w:caps w:val="0"/>
          <w:color w:val="4472C4" w:themeColor="accent5"/>
          <w:spacing w:val="0"/>
          <w:sz w:val="19"/>
          <w:szCs w:val="19"/>
          <w14:textFill>
            <w14:solidFill>
              <w14:schemeClr w14:val="accent5"/>
            </w14:solidFill>
          </w14:textFill>
        </w:rPr>
      </w:pPr>
      <w:r>
        <w:rPr>
          <w:rFonts w:ascii="Segoe UI" w:hAnsi="Segoe UI" w:eastAsia="Segoe UI" w:cs="Segoe UI"/>
          <w:b/>
          <w:bCs/>
          <w:i w:val="0"/>
          <w:iCs w:val="0"/>
          <w:caps w:val="0"/>
          <w:color w:val="4472C4" w:themeColor="accent5"/>
          <w:spacing w:val="0"/>
          <w:sz w:val="19"/>
          <w:szCs w:val="19"/>
          <w14:textFill>
            <w14:solidFill>
              <w14:schemeClr w14:val="accent5"/>
            </w14:solidFill>
          </w14:textFill>
        </w:rPr>
        <w:t xml:space="preserve"> * shanqingqing52377@126.com</w:t>
      </w:r>
    </w:p>
    <w:p w14:paraId="50B9348F">
      <w:pPr>
        <w:rPr>
          <w:rFonts w:hint="eastAsia" w:ascii="宋体" w:hAnsi="宋体" w:eastAsia="宋体" w:cs="宋体"/>
          <w:color w:val="000000" w:themeColor="text1"/>
          <w:szCs w:val="24"/>
          <w14:textFill>
            <w14:solidFill>
              <w14:schemeClr w14:val="tx1"/>
            </w14:solidFill>
          </w14:textFill>
        </w:rPr>
      </w:pPr>
    </w:p>
    <w:p w14:paraId="04E1631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3BE243E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Respiration, Chengdu Integrated TCM &amp; Western Medicine </w:t>
      </w:r>
    </w:p>
    <w:p w14:paraId="7DADEC6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Hospital, Chengdu, China.</w:t>
      </w:r>
    </w:p>
    <w:p w14:paraId="2EAC72BA">
      <w:pPr>
        <w:rPr>
          <w:rFonts w:hint="eastAsia" w:ascii="宋体" w:hAnsi="宋体" w:eastAsia="宋体" w:cs="宋体"/>
          <w:color w:val="000000" w:themeColor="text1"/>
          <w:szCs w:val="24"/>
          <w14:textFill>
            <w14:solidFill>
              <w14:schemeClr w14:val="tx1"/>
            </w14:solidFill>
          </w14:textFill>
        </w:rPr>
      </w:pPr>
    </w:p>
    <w:p w14:paraId="10071FD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Comment on</w:t>
      </w:r>
    </w:p>
    <w:p w14:paraId="2B0BC2A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    PLoS Pathog. 2026 May 11;22(5):e1014205. doi: 10.1371/journal.ppat.1014205.</w:t>
      </w:r>
    </w:p>
    <w:p w14:paraId="3FF89A4E">
      <w:pPr>
        <w:rPr>
          <w:rFonts w:hint="eastAsia" w:ascii="宋体" w:hAnsi="宋体" w:eastAsia="宋体" w:cs="宋体"/>
          <w:color w:val="000000" w:themeColor="text1"/>
          <w:szCs w:val="24"/>
          <w14:textFill>
            <w14:solidFill>
              <w14:schemeClr w14:val="tx1"/>
            </w14:solidFill>
          </w14:textFill>
        </w:rPr>
      </w:pPr>
    </w:p>
    <w:p w14:paraId="7399BBE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10.1371/journal.ppat.1014628</w:t>
      </w:r>
    </w:p>
    <w:p w14:paraId="05150BA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42784615</w:t>
      </w:r>
    </w:p>
    <w:p w14:paraId="4C390B7F">
      <w:pPr>
        <w:rPr>
          <w:rFonts w:hint="eastAsia" w:ascii="宋体" w:hAnsi="宋体" w:eastAsia="宋体" w:cs="宋体"/>
          <w:color w:val="000000" w:themeColor="text1"/>
          <w:szCs w:val="24"/>
          <w14:textFill>
            <w14:solidFill>
              <w14:schemeClr w14:val="tx1"/>
            </w14:solidFill>
          </w14:textFill>
        </w:rPr>
      </w:pPr>
    </w:p>
    <w:p w14:paraId="719FFAD9">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10</w:t>
      </w:r>
      <w:r>
        <w:rPr>
          <w:rFonts w:hint="eastAsia" w:ascii="宋体" w:hAnsi="宋体" w:eastAsia="宋体" w:cs="宋体"/>
          <w:b/>
          <w:bCs/>
          <w:color w:val="FF0000"/>
          <w:szCs w:val="24"/>
        </w:rPr>
        <w:t>. Sci Adv. 2026 Sep 25;12(39):eaee8463. doi: 10.1126/sciadv.aee8463. Epub 2026 Sep 23.</w:t>
      </w:r>
    </w:p>
    <w:p w14:paraId="1F4572B4">
      <w:pPr>
        <w:rPr>
          <w:rFonts w:hint="eastAsia" w:ascii="宋体" w:hAnsi="宋体" w:eastAsia="宋体" w:cs="宋体"/>
          <w:color w:val="000000" w:themeColor="text1"/>
          <w:szCs w:val="24"/>
          <w14:textFill>
            <w14:solidFill>
              <w14:schemeClr w14:val="tx1"/>
            </w14:solidFill>
          </w14:textFill>
        </w:rPr>
      </w:pPr>
    </w:p>
    <w:p w14:paraId="09C3421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Transmembrane delivery of antimicrobial peptides by engineered eCIS into </w:t>
      </w:r>
    </w:p>
    <w:p w14:paraId="74D0A5C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macrophages for intracellular mycobacteria elimination.</w:t>
      </w:r>
    </w:p>
    <w:p w14:paraId="0CA23FB4">
      <w:pPr>
        <w:rPr>
          <w:rFonts w:hint="eastAsia" w:ascii="宋体" w:hAnsi="宋体" w:eastAsia="宋体" w:cs="宋体"/>
          <w:color w:val="000000" w:themeColor="text1"/>
          <w:szCs w:val="24"/>
          <w14:textFill>
            <w14:solidFill>
              <w14:schemeClr w14:val="tx1"/>
            </w14:solidFill>
          </w14:textFill>
        </w:rPr>
      </w:pPr>
    </w:p>
    <w:p w14:paraId="50DD6D0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Wu Q(1), Zhang R(1), Yan MY(1), Wang Y(2), Feng X(1), Yang W(1), Ding XY(1), Sun </w:t>
      </w:r>
    </w:p>
    <w:p w14:paraId="2B24C03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YC(1), Zhan L(2), Jin Q(1), Jiang F(1).</w:t>
      </w:r>
    </w:p>
    <w:p w14:paraId="1986EA9E">
      <w:pPr>
        <w:rPr>
          <w:rFonts w:hint="eastAsia" w:ascii="宋体" w:hAnsi="宋体" w:eastAsia="宋体" w:cs="宋体"/>
          <w:color w:val="000000" w:themeColor="text1"/>
          <w:szCs w:val="24"/>
          <w14:textFill>
            <w14:solidFill>
              <w14:schemeClr w14:val="tx1"/>
            </w14:solidFill>
          </w14:textFill>
        </w:rPr>
      </w:pPr>
    </w:p>
    <w:p w14:paraId="03C4568D">
      <w:pPr>
        <w:rPr>
          <w:rFonts w:hint="eastAsia" w:ascii="宋体" w:hAnsi="宋体" w:eastAsia="宋体" w:cs="宋体"/>
          <w:b/>
          <w:bCs/>
          <w:color w:val="4472C4" w:themeColor="accent5"/>
          <w:szCs w:val="24"/>
          <w:lang w:val="en-US" w:eastAsia="zh-CN"/>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Qiqi Wu,</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Ruiwen Zhang,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Mei-Yi Yan,</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Yu Wang,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Xiao Feng,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Wen Yang,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Xin-Yuan Ding,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Yi-Cheng Sun,</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Lingjun Zhan</w:t>
      </w:r>
      <w:r>
        <w:rPr>
          <w:rFonts w:hint="eastAsia" w:ascii="宋体" w:hAnsi="宋体" w:eastAsia="宋体" w:cs="宋体"/>
          <w:b/>
          <w:bCs/>
          <w:color w:val="4472C4" w:themeColor="accent5"/>
          <w:szCs w:val="24"/>
          <w:lang w:val="en-US"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Qi Jin</w:t>
      </w:r>
      <w:r>
        <w:rPr>
          <w:rFonts w:hint="eastAsia" w:ascii="宋体" w:hAnsi="宋体" w:eastAsia="宋体" w:cs="宋体"/>
          <w:b/>
          <w:bCs/>
          <w:color w:val="4472C4" w:themeColor="accent5"/>
          <w:szCs w:val="24"/>
          <w:lang w:val="en-US"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Feng Jiang</w:t>
      </w:r>
      <w:r>
        <w:rPr>
          <w:rFonts w:hint="eastAsia" w:ascii="宋体" w:hAnsi="宋体" w:eastAsia="宋体" w:cs="宋体"/>
          <w:b/>
          <w:bCs/>
          <w:color w:val="4472C4" w:themeColor="accent5"/>
          <w:szCs w:val="24"/>
          <w:lang w:val="en-US" w:eastAsia="zh-CN"/>
          <w14:textFill>
            <w14:solidFill>
              <w14:schemeClr w14:val="accent5"/>
            </w14:solidFill>
          </w14:textFill>
        </w:rPr>
        <w:t>*</w:t>
      </w:r>
    </w:p>
    <w:p w14:paraId="01E9B6A9">
      <w:pPr>
        <w:jc w:val="left"/>
        <w:rPr>
          <w:rFonts w:hint="eastAsia" w:ascii="宋体" w:hAnsi="宋体" w:eastAsia="宋体" w:cs="宋体"/>
          <w:b/>
          <w:bCs/>
          <w:color w:val="4472C4" w:themeColor="accent5"/>
          <w:szCs w:val="24"/>
          <w:lang w:eastAsia="zh-CN"/>
          <w14:textFill>
            <w14:solidFill>
              <w14:schemeClr w14:val="accent5"/>
            </w14:solidFill>
          </w14:textFill>
        </w:rPr>
      </w:pPr>
      <w:r>
        <w:rPr>
          <w:rFonts w:hint="eastAsia" w:ascii="宋体" w:hAnsi="宋体" w:eastAsia="宋体" w:cs="宋体"/>
          <w:b/>
          <w:bCs/>
          <w:color w:val="4472C4" w:themeColor="accent5"/>
          <w:szCs w:val="24"/>
          <w:lang w:val="en-US"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corresponding author. email: zhanlj@cnilas.org (Lingjun Zhan); zdsys@vip.sina.com (Qi Jin);</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jiangfenguva@126.com (Feng Jiang</w:t>
      </w:r>
      <w:r>
        <w:rPr>
          <w:rFonts w:hint="eastAsia" w:ascii="宋体" w:hAnsi="宋体" w:eastAsia="宋体" w:cs="宋体"/>
          <w:b/>
          <w:bCs/>
          <w:color w:val="4472C4" w:themeColor="accent5"/>
          <w:szCs w:val="24"/>
          <w:lang w:eastAsia="zh-CN"/>
          <w14:textFill>
            <w14:solidFill>
              <w14:schemeClr w14:val="accent5"/>
            </w14:solidFill>
          </w14:textFill>
        </w:rPr>
        <w:t>）</w:t>
      </w:r>
    </w:p>
    <w:p w14:paraId="6A8DE6C8">
      <w:pPr>
        <w:rPr>
          <w:rFonts w:hint="eastAsia" w:ascii="宋体" w:hAnsi="宋体" w:eastAsia="宋体" w:cs="宋体"/>
          <w:color w:val="000000" w:themeColor="text1"/>
          <w:szCs w:val="24"/>
          <w14:textFill>
            <w14:solidFill>
              <w14:schemeClr w14:val="tx1"/>
            </w14:solidFill>
          </w14:textFill>
        </w:rPr>
      </w:pPr>
    </w:p>
    <w:p w14:paraId="2F5BF3E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02B50BC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(1)NHC Key Laboratory of Systems Biology of Pathogens, Key Laboratory of </w:t>
      </w:r>
    </w:p>
    <w:p w14:paraId="0B94230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Pathogen Infection Prevention and Control (MOE), National Institute of Pathogen </w:t>
      </w:r>
    </w:p>
    <w:p w14:paraId="1D7CDB8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Biology and Center for Tuberculosis Research, Chinese Academy of Medical </w:t>
      </w:r>
    </w:p>
    <w:p w14:paraId="0C84940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Sciences &amp; Peking Union Medical College, Beijing, China.</w:t>
      </w:r>
    </w:p>
    <w:p w14:paraId="508367C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(2)State Key Laboratory of Respiratory Health and Multimorbidity, Institute of </w:t>
      </w:r>
    </w:p>
    <w:p w14:paraId="4B97065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Laboratory Animal Science, Chinese Academy of Medical Sciences &amp; Peking Union </w:t>
      </w:r>
    </w:p>
    <w:p w14:paraId="5A8BFA4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Medical College, Beijing, China.</w:t>
      </w:r>
    </w:p>
    <w:p w14:paraId="2F862DA1">
      <w:pPr>
        <w:rPr>
          <w:rFonts w:hint="eastAsia" w:ascii="宋体" w:hAnsi="宋体" w:eastAsia="宋体" w:cs="宋体"/>
          <w:color w:val="000000" w:themeColor="text1"/>
          <w:szCs w:val="24"/>
          <w14:textFill>
            <w14:solidFill>
              <w14:schemeClr w14:val="tx1"/>
            </w14:solidFill>
          </w14:textFill>
        </w:rPr>
      </w:pPr>
    </w:p>
    <w:p w14:paraId="2422843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Mycobacterium tuberculosis (M. tuberculosis, Mtb) is an intracellular bacterium </w:t>
      </w:r>
    </w:p>
    <w:p w14:paraId="3973B90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persisting in macrophages, which can cause chronic infection and drug </w:t>
      </w:r>
    </w:p>
    <w:p w14:paraId="353EB39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resistance. To address transmembrane limitation and improve treatment accuracy, </w:t>
      </w:r>
    </w:p>
    <w:p w14:paraId="2ED6015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we employed the Photorhabdus virulence cassette (PVC), a typical bacterial </w:t>
      </w:r>
    </w:p>
    <w:p w14:paraId="571F6AF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extracellular Contractile Injection System (eCIS), to deliver antimicrobial </w:t>
      </w:r>
    </w:p>
    <w:p w14:paraId="5BAAA78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peptides (AMPs) into macrophages for intracellular mycobacteria clearance. We </w:t>
      </w:r>
    </w:p>
    <w:p w14:paraId="73332BB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demonstrated that the survival of various intracellular mycobacteria, including </w:t>
      </w:r>
    </w:p>
    <w:p w14:paraId="379862A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Mycobacterium smegmatis (M. smegmatis), Mycobacterium bovis (M. bovis), M. </w:t>
      </w:r>
    </w:p>
    <w:p w14:paraId="255166E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tuberculosis and its isoniazid-resistant strain, can be significantly inhibited </w:t>
      </w:r>
    </w:p>
    <w:p w14:paraId="7BA1A30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by PVC-mediated AMP transmembrane delivery. The engineered PVC, loaded with </w:t>
      </w:r>
    </w:p>
    <w:p w14:paraId="69B2589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mycobacteriophage-derived AMPs and targeting alveolar macrophages (AMs) through </w:t>
      </w:r>
    </w:p>
    <w:p w14:paraId="3162CC9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binding to surface receptor CD11b, eliminated AM-dwelling mycobacteria and </w:t>
      </w:r>
    </w:p>
    <w:p w14:paraId="1A85466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alleviated inflammation in murine infection models. Notably, the pulmonary </w:t>
      </w:r>
    </w:p>
    <w:p w14:paraId="4CB1B7E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mycobacterial load in M. tuberculosis H37Rv-infected mice was reduced by more </w:t>
      </w:r>
    </w:p>
    <w:p w14:paraId="4BA7192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than tenfold. In summary, this work represents a pioneering application of </w:t>
      </w:r>
    </w:p>
    <w:p w14:paraId="424BB73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engineered PVC-based intracellular delivery of biomacromolecules into </w:t>
      </w:r>
    </w:p>
    <w:p w14:paraId="0BDF6C5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macrophages, providing a novel therapeutic strategy against mycobacterial </w:t>
      </w:r>
    </w:p>
    <w:p w14:paraId="6069086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infection.</w:t>
      </w:r>
    </w:p>
    <w:p w14:paraId="1956AF5B">
      <w:pPr>
        <w:rPr>
          <w:rFonts w:hint="eastAsia" w:ascii="宋体" w:hAnsi="宋体" w:eastAsia="宋体" w:cs="宋体"/>
          <w:color w:val="000000" w:themeColor="text1"/>
          <w:szCs w:val="24"/>
          <w14:textFill>
            <w14:solidFill>
              <w14:schemeClr w14:val="tx1"/>
            </w14:solidFill>
          </w14:textFill>
        </w:rPr>
      </w:pPr>
    </w:p>
    <w:p w14:paraId="4683169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10.1126/sciadv.aee8463</w:t>
      </w:r>
    </w:p>
    <w:p w14:paraId="70F6854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PMC13600224</w:t>
      </w:r>
    </w:p>
    <w:p w14:paraId="502F18B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42777046 [Indexed for MEDLINE]</w:t>
      </w:r>
    </w:p>
    <w:p w14:paraId="169989F0">
      <w:pPr>
        <w:rPr>
          <w:rFonts w:hint="eastAsia" w:ascii="宋体" w:hAnsi="宋体" w:eastAsia="宋体" w:cs="宋体"/>
          <w:color w:val="000000" w:themeColor="text1"/>
          <w:szCs w:val="24"/>
          <w14:textFill>
            <w14:solidFill>
              <w14:schemeClr w14:val="tx1"/>
            </w14:solidFill>
          </w14:textFill>
        </w:rPr>
      </w:pPr>
    </w:p>
    <w:p w14:paraId="60AAD3B1">
      <w:pPr>
        <w:rPr>
          <w:rFonts w:hint="eastAsia" w:ascii="宋体" w:hAnsi="宋体" w:eastAsia="宋体" w:cs="宋体"/>
          <w:b/>
          <w:bCs/>
          <w:color w:val="FF0000"/>
          <w:szCs w:val="24"/>
        </w:rPr>
      </w:pPr>
      <w:r>
        <w:rPr>
          <w:rFonts w:hint="eastAsia" w:ascii="宋体" w:hAnsi="宋体" w:eastAsia="宋体" w:cs="宋体"/>
          <w:b/>
          <w:bCs/>
          <w:color w:val="FF0000"/>
          <w:szCs w:val="24"/>
        </w:rPr>
        <w:t>11. J Clin Microbiol. 2026 Sep 21:e0066226. doi: 10.1128/jcm.00662-26. Online ahead of print.</w:t>
      </w:r>
    </w:p>
    <w:p w14:paraId="73C925D7">
      <w:pPr>
        <w:rPr>
          <w:rFonts w:hint="eastAsia" w:ascii="宋体" w:hAnsi="宋体" w:eastAsia="宋体" w:cs="宋体"/>
          <w:color w:val="000000" w:themeColor="text1"/>
          <w:szCs w:val="24"/>
          <w14:textFill>
            <w14:solidFill>
              <w14:schemeClr w14:val="tx1"/>
            </w14:solidFill>
          </w14:textFill>
        </w:rPr>
      </w:pPr>
    </w:p>
    <w:p w14:paraId="553CB9F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Dual-modal LAMP platform integrating biosensor and real-time fluorescence for </w:t>
      </w:r>
    </w:p>
    <w:p w14:paraId="3CF87B2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rapid differentiation of Mycobacterium tuberculosis complex from nontuberculous </w:t>
      </w:r>
    </w:p>
    <w:p w14:paraId="71C1749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mycobacteria.</w:t>
      </w:r>
    </w:p>
    <w:p w14:paraId="05FB717B">
      <w:pPr>
        <w:rPr>
          <w:rFonts w:hint="eastAsia" w:ascii="宋体" w:hAnsi="宋体" w:eastAsia="宋体" w:cs="宋体"/>
          <w:color w:val="000000" w:themeColor="text1"/>
          <w:szCs w:val="24"/>
          <w14:textFill>
            <w14:solidFill>
              <w14:schemeClr w14:val="tx1"/>
            </w14:solidFill>
          </w14:textFill>
        </w:rPr>
      </w:pPr>
    </w:p>
    <w:p w14:paraId="30C1BD5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Huang J(#)(1)(2), Wei X(#)(1)(2), Wan Y(1)(2), Yang C(3), Chen F(2), Zou L(2), </w:t>
      </w:r>
    </w:p>
    <w:p w14:paraId="7E0CA02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Chen Y(2), Chen J(4), He X(1), Li S(1)(2), You M(1), Yang G(1)(2).</w:t>
      </w:r>
    </w:p>
    <w:p w14:paraId="38F53511">
      <w:pPr>
        <w:rPr>
          <w:rFonts w:hint="eastAsia" w:ascii="宋体" w:hAnsi="宋体" w:eastAsia="宋体" w:cs="宋体"/>
          <w:color w:val="000000" w:themeColor="text1"/>
          <w:szCs w:val="24"/>
          <w14:textFill>
            <w14:solidFill>
              <w14:schemeClr w14:val="tx1"/>
            </w14:solidFill>
          </w14:textFill>
        </w:rPr>
      </w:pPr>
    </w:p>
    <w:p w14:paraId="7200EAB4">
      <w:pPr>
        <w:rPr>
          <w:rFonts w:hint="eastAsia" w:ascii="宋体" w:hAnsi="宋体" w:eastAsia="宋体" w:cs="宋体"/>
          <w:b/>
          <w:bCs/>
          <w:color w:val="4472C4" w:themeColor="accent5"/>
          <w:szCs w:val="24"/>
          <w:lang w:val="en-US" w:eastAsia="zh-CN"/>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Junfei Huang,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Xiaoyu Wei,</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Yonghu Wan,</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Chao Yang,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Fengming Chen,</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Lu Zou,</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Yijiang Chen,</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Jing Chen,</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Xiu He,</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Shijun Li</w:t>
      </w:r>
      <w:r>
        <w:rPr>
          <w:rFonts w:hint="eastAsia" w:ascii="宋体" w:hAnsi="宋体" w:eastAsia="宋体" w:cs="宋体"/>
          <w:b/>
          <w:bCs/>
          <w:color w:val="4472C4" w:themeColor="accent5"/>
          <w:szCs w:val="24"/>
          <w:lang w:val="en-US"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Mingdan You</w:t>
      </w:r>
      <w:r>
        <w:rPr>
          <w:rFonts w:hint="eastAsia" w:ascii="宋体" w:hAnsi="宋体" w:eastAsia="宋体" w:cs="宋体"/>
          <w:b/>
          <w:bCs/>
          <w:color w:val="4472C4" w:themeColor="accent5"/>
          <w:szCs w:val="24"/>
          <w:lang w:val="en-US"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Guanghong Yang</w:t>
      </w:r>
      <w:r>
        <w:rPr>
          <w:rFonts w:hint="eastAsia" w:ascii="宋体" w:hAnsi="宋体" w:eastAsia="宋体" w:cs="宋体"/>
          <w:b/>
          <w:bCs/>
          <w:color w:val="4472C4" w:themeColor="accent5"/>
          <w:szCs w:val="24"/>
          <w:lang w:val="en-US" w:eastAsia="zh-CN"/>
          <w14:textFill>
            <w14:solidFill>
              <w14:schemeClr w14:val="accent5"/>
            </w14:solidFill>
          </w14:textFill>
        </w:rPr>
        <w:t>*</w:t>
      </w:r>
    </w:p>
    <w:p w14:paraId="2FC15922">
      <w:pPr>
        <w:jc w:val="left"/>
        <w:rPr>
          <w:rFonts w:hint="eastAsia" w:ascii="宋体" w:hAnsi="宋体" w:eastAsia="宋体" w:cs="宋体"/>
          <w:b/>
          <w:bCs/>
          <w:color w:val="4472C4" w:themeColor="accent5"/>
          <w:szCs w:val="24"/>
          <w14:textFill>
            <w14:solidFill>
              <w14:schemeClr w14:val="accent5"/>
            </w14:solidFill>
          </w14:textFill>
        </w:rPr>
      </w:pPr>
      <w:r>
        <w:rPr>
          <w:rFonts w:hint="eastAsia" w:ascii="宋体" w:hAnsi="宋体" w:eastAsia="宋体" w:cs="宋体"/>
          <w:b/>
          <w:bCs/>
          <w:color w:val="4472C4" w:themeColor="accent5"/>
          <w:szCs w:val="24"/>
          <w:lang w:val="en-US"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 xml:space="preserve">Address correspondence to Shijun Li, </w:t>
      </w:r>
      <w:r>
        <w:rPr>
          <w:rFonts w:hint="default" w:ascii="宋体" w:hAnsi="宋体" w:eastAsia="宋体" w:cs="宋体"/>
          <w:b/>
          <w:bCs/>
          <w:color w:val="4472C4" w:themeColor="accent5"/>
          <w:szCs w:val="24"/>
          <w14:textFill>
            <w14:solidFill>
              <w14:schemeClr w14:val="accent5"/>
            </w14:solidFill>
          </w14:textFill>
        </w:rPr>
        <w:fldChar w:fldCharType="begin"/>
      </w:r>
      <w:r>
        <w:rPr>
          <w:rFonts w:hint="default" w:ascii="宋体" w:hAnsi="宋体" w:eastAsia="宋体" w:cs="宋体"/>
          <w:b/>
          <w:bCs/>
          <w:color w:val="4472C4" w:themeColor="accent5"/>
          <w:szCs w:val="24"/>
          <w14:textFill>
            <w14:solidFill>
              <w14:schemeClr w14:val="accent5"/>
            </w14:solidFill>
          </w14:textFill>
        </w:rPr>
        <w:instrText xml:space="preserve"> HYPERLINK "mailto:zjumedjun@163.com" </w:instrText>
      </w:r>
      <w:r>
        <w:rPr>
          <w:rFonts w:hint="default" w:ascii="宋体" w:hAnsi="宋体" w:eastAsia="宋体" w:cs="宋体"/>
          <w:b/>
          <w:bCs/>
          <w:color w:val="4472C4" w:themeColor="accent5"/>
          <w:szCs w:val="24"/>
          <w14:textFill>
            <w14:solidFill>
              <w14:schemeClr w14:val="accent5"/>
            </w14:solidFill>
          </w14:textFill>
        </w:rPr>
        <w:fldChar w:fldCharType="separate"/>
      </w:r>
      <w:r>
        <w:rPr>
          <w:rFonts w:hint="default" w:ascii="宋体" w:hAnsi="宋体" w:eastAsia="宋体" w:cs="宋体"/>
          <w:b/>
          <w:bCs/>
          <w:color w:val="4472C4" w:themeColor="accent5"/>
          <w:szCs w:val="24"/>
          <w14:textFill>
            <w14:solidFill>
              <w14:schemeClr w14:val="accent5"/>
            </w14:solidFill>
          </w14:textFill>
        </w:rPr>
        <w:t>zjumedjun@163.com</w:t>
      </w:r>
      <w:r>
        <w:rPr>
          <w:rFonts w:hint="default" w:ascii="宋体" w:hAnsi="宋体" w:eastAsia="宋体" w:cs="宋体"/>
          <w:b/>
          <w:bCs/>
          <w:color w:val="4472C4" w:themeColor="accent5"/>
          <w:szCs w:val="24"/>
          <w14:textFill>
            <w14:solidFill>
              <w14:schemeClr w14:val="accent5"/>
            </w14:solidFill>
          </w14:textFill>
        </w:rPr>
        <w:fldChar w:fldCharType="end"/>
      </w:r>
      <w:r>
        <w:rPr>
          <w:rFonts w:hint="default" w:ascii="宋体" w:hAnsi="宋体" w:eastAsia="宋体" w:cs="宋体"/>
          <w:b/>
          <w:bCs/>
          <w:color w:val="4472C4" w:themeColor="accent5"/>
          <w:szCs w:val="24"/>
          <w14:textFill>
            <w14:solidFill>
              <w14:schemeClr w14:val="accent5"/>
            </w14:solidFill>
          </w14:textFill>
        </w:rPr>
        <w:t xml:space="preserve">; Mingdan You, </w:t>
      </w:r>
      <w:r>
        <w:rPr>
          <w:rFonts w:hint="default" w:ascii="宋体" w:hAnsi="宋体" w:eastAsia="宋体" w:cs="宋体"/>
          <w:b/>
          <w:bCs/>
          <w:color w:val="4472C4" w:themeColor="accent5"/>
          <w:szCs w:val="24"/>
          <w14:textFill>
            <w14:solidFill>
              <w14:schemeClr w14:val="accent5"/>
            </w14:solidFill>
          </w14:textFill>
        </w:rPr>
        <w:fldChar w:fldCharType="begin"/>
      </w:r>
      <w:r>
        <w:rPr>
          <w:rFonts w:hint="default" w:ascii="宋体" w:hAnsi="宋体" w:eastAsia="宋体" w:cs="宋体"/>
          <w:b/>
          <w:bCs/>
          <w:color w:val="4472C4" w:themeColor="accent5"/>
          <w:szCs w:val="24"/>
          <w14:textFill>
            <w14:solidFill>
              <w14:schemeClr w14:val="accent5"/>
            </w14:solidFill>
          </w14:textFill>
        </w:rPr>
        <w:instrText xml:space="preserve"> HYPERLINK "mailto:youmingdan@gmc.edu.cn" </w:instrText>
      </w:r>
      <w:r>
        <w:rPr>
          <w:rFonts w:hint="default" w:ascii="宋体" w:hAnsi="宋体" w:eastAsia="宋体" w:cs="宋体"/>
          <w:b/>
          <w:bCs/>
          <w:color w:val="4472C4" w:themeColor="accent5"/>
          <w:szCs w:val="24"/>
          <w14:textFill>
            <w14:solidFill>
              <w14:schemeClr w14:val="accent5"/>
            </w14:solidFill>
          </w14:textFill>
        </w:rPr>
        <w:fldChar w:fldCharType="separate"/>
      </w:r>
      <w:r>
        <w:rPr>
          <w:rFonts w:hint="default" w:ascii="宋体" w:hAnsi="宋体" w:eastAsia="宋体" w:cs="宋体"/>
          <w:b/>
          <w:bCs/>
          <w:color w:val="4472C4" w:themeColor="accent5"/>
          <w:szCs w:val="24"/>
          <w14:textFill>
            <w14:solidFill>
              <w14:schemeClr w14:val="accent5"/>
            </w14:solidFill>
          </w14:textFill>
        </w:rPr>
        <w:t>youmingdan@gmc.edu.cn</w:t>
      </w:r>
      <w:r>
        <w:rPr>
          <w:rFonts w:hint="default" w:ascii="宋体" w:hAnsi="宋体" w:eastAsia="宋体" w:cs="宋体"/>
          <w:b/>
          <w:bCs/>
          <w:color w:val="4472C4" w:themeColor="accent5"/>
          <w:szCs w:val="24"/>
          <w14:textFill>
            <w14:solidFill>
              <w14:schemeClr w14:val="accent5"/>
            </w14:solidFill>
          </w14:textFill>
        </w:rPr>
        <w:fldChar w:fldCharType="end"/>
      </w:r>
      <w:r>
        <w:rPr>
          <w:rFonts w:hint="default" w:ascii="宋体" w:hAnsi="宋体" w:eastAsia="宋体" w:cs="宋体"/>
          <w:b/>
          <w:bCs/>
          <w:color w:val="4472C4" w:themeColor="accent5"/>
          <w:szCs w:val="24"/>
          <w14:textFill>
            <w14:solidFill>
              <w14:schemeClr w14:val="accent5"/>
            </w14:solidFill>
          </w14:textFill>
        </w:rPr>
        <w:t xml:space="preserve">; Guanghong Yang, </w:t>
      </w:r>
      <w:r>
        <w:rPr>
          <w:rFonts w:hint="default" w:ascii="宋体" w:hAnsi="宋体" w:eastAsia="宋体" w:cs="宋体"/>
          <w:b/>
          <w:bCs/>
          <w:color w:val="4472C4" w:themeColor="accent5"/>
          <w:szCs w:val="24"/>
          <w14:textFill>
            <w14:solidFill>
              <w14:schemeClr w14:val="accent5"/>
            </w14:solidFill>
          </w14:textFill>
        </w:rPr>
        <w:fldChar w:fldCharType="begin"/>
      </w:r>
      <w:r>
        <w:rPr>
          <w:rFonts w:hint="default" w:ascii="宋体" w:hAnsi="宋体" w:eastAsia="宋体" w:cs="宋体"/>
          <w:b/>
          <w:bCs/>
          <w:color w:val="4472C4" w:themeColor="accent5"/>
          <w:szCs w:val="24"/>
          <w14:textFill>
            <w14:solidFill>
              <w14:schemeClr w14:val="accent5"/>
            </w14:solidFill>
          </w14:textFill>
        </w:rPr>
        <w:instrText xml:space="preserve"> HYPERLINK "mailto:ghyang_gzmu@outlook.com" </w:instrText>
      </w:r>
      <w:r>
        <w:rPr>
          <w:rFonts w:hint="default" w:ascii="宋体" w:hAnsi="宋体" w:eastAsia="宋体" w:cs="宋体"/>
          <w:b/>
          <w:bCs/>
          <w:color w:val="4472C4" w:themeColor="accent5"/>
          <w:szCs w:val="24"/>
          <w14:textFill>
            <w14:solidFill>
              <w14:schemeClr w14:val="accent5"/>
            </w14:solidFill>
          </w14:textFill>
        </w:rPr>
        <w:fldChar w:fldCharType="separate"/>
      </w:r>
      <w:r>
        <w:rPr>
          <w:rFonts w:hint="default" w:ascii="宋体" w:hAnsi="宋体" w:eastAsia="宋体" w:cs="宋体"/>
          <w:b/>
          <w:bCs/>
          <w:color w:val="4472C4" w:themeColor="accent5"/>
          <w:szCs w:val="24"/>
          <w14:textFill>
            <w14:solidFill>
              <w14:schemeClr w14:val="accent5"/>
            </w14:solidFill>
          </w14:textFill>
        </w:rPr>
        <w:t>ghyang_gzmu@outlook.com</w:t>
      </w:r>
      <w:r>
        <w:rPr>
          <w:rFonts w:hint="default" w:ascii="宋体" w:hAnsi="宋体" w:eastAsia="宋体" w:cs="宋体"/>
          <w:b/>
          <w:bCs/>
          <w:color w:val="4472C4" w:themeColor="accent5"/>
          <w:szCs w:val="24"/>
          <w14:textFill>
            <w14:solidFill>
              <w14:schemeClr w14:val="accent5"/>
            </w14:solidFill>
          </w14:textFill>
        </w:rPr>
        <w:fldChar w:fldCharType="end"/>
      </w:r>
      <w:r>
        <w:rPr>
          <w:rFonts w:hint="default" w:ascii="宋体" w:hAnsi="宋体" w:eastAsia="宋体" w:cs="宋体"/>
          <w:b/>
          <w:bCs/>
          <w:color w:val="4472C4" w:themeColor="accent5"/>
          <w:szCs w:val="24"/>
          <w14:textFill>
            <w14:solidFill>
              <w14:schemeClr w14:val="accent5"/>
            </w14:solidFill>
          </w14:textFill>
        </w:rPr>
        <w:t>.</w:t>
      </w:r>
    </w:p>
    <w:p w14:paraId="527A1CBD">
      <w:pPr>
        <w:rPr>
          <w:rFonts w:hint="eastAsia" w:ascii="宋体" w:hAnsi="宋体" w:eastAsia="宋体" w:cs="宋体"/>
          <w:color w:val="000000" w:themeColor="text1"/>
          <w:szCs w:val="24"/>
          <w14:textFill>
            <w14:solidFill>
              <w14:schemeClr w14:val="tx1"/>
            </w14:solidFill>
          </w14:textFill>
        </w:rPr>
      </w:pPr>
    </w:p>
    <w:p w14:paraId="5043041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010CFA3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(1)School of Public Health, the Key Laboratory of Environmental Pollution </w:t>
      </w:r>
    </w:p>
    <w:p w14:paraId="0CABD44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Monitoring and Disease Control, Ministry of Education, Guizhou Medical </w:t>
      </w:r>
    </w:p>
    <w:p w14:paraId="20105CA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University, Guiyang, Guizhou, China.</w:t>
      </w:r>
    </w:p>
    <w:p w14:paraId="7A4740B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(2)Guizhou Provincial Center for Disease Control and Prevention, Guiyang, </w:t>
      </w:r>
    </w:p>
    <w:p w14:paraId="5CC6E06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Guizhou, China.</w:t>
      </w:r>
    </w:p>
    <w:p w14:paraId="29266F3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(3)State Key Laboratory of Functions and Applications of Medicinal Plants, </w:t>
      </w:r>
    </w:p>
    <w:p w14:paraId="2602F49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Guizhou Provincial Engineering Technology Research Center for Chemical Drug R&amp;D, </w:t>
      </w:r>
    </w:p>
    <w:p w14:paraId="2298AC6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Guizhou Medical University, Guiyang, Guizhou, China.</w:t>
      </w:r>
    </w:p>
    <w:p w14:paraId="3CD17B0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(4)Department of Nosocomial Infection Control, Guizhou Provincial People's </w:t>
      </w:r>
    </w:p>
    <w:p w14:paraId="6170879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Hospital, Guiyang, Guizhou, China.</w:t>
      </w:r>
    </w:p>
    <w:p w14:paraId="4E4DA57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(#)Contributed equally</w:t>
      </w:r>
    </w:p>
    <w:p w14:paraId="4A3D4715">
      <w:pPr>
        <w:rPr>
          <w:rFonts w:hint="eastAsia" w:ascii="宋体" w:hAnsi="宋体" w:eastAsia="宋体" w:cs="宋体"/>
          <w:color w:val="000000" w:themeColor="text1"/>
          <w:szCs w:val="24"/>
          <w14:textFill>
            <w14:solidFill>
              <w14:schemeClr w14:val="tx1"/>
            </w14:solidFill>
          </w14:textFill>
        </w:rPr>
      </w:pPr>
    </w:p>
    <w:p w14:paraId="370A31E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Mycobacterium tuberculosis complex (MTBC), the primary causative agent of </w:t>
      </w:r>
    </w:p>
    <w:p w14:paraId="7174068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pulmonary tuberculosis (PTB), shares pathological features with nontuberculous </w:t>
      </w:r>
    </w:p>
    <w:p w14:paraId="52A4DDB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mycobacteria (NTM). Some NTM species act as opportunistic pathogens that can </w:t>
      </w:r>
    </w:p>
    <w:p w14:paraId="5545599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cause NTM lung disease, often leading to diagnostic confusion with PTB. Given </w:t>
      </w:r>
    </w:p>
    <w:p w14:paraId="4794DE7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persistent global burden of tuberculosis and the rising incidence of NTM </w:t>
      </w:r>
    </w:p>
    <w:p w14:paraId="0B2596E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infections worldwide, there is an urgent need for rapid, highly sensitive </w:t>
      </w:r>
    </w:p>
    <w:p w14:paraId="321B83E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diagnostic techniques capable of distinguishing MTBC and NTM at initial clinical </w:t>
      </w:r>
    </w:p>
    <w:p w14:paraId="38792A9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presentation. In this study, we developed a novel diagnostic platform that </w:t>
      </w:r>
    </w:p>
    <w:p w14:paraId="176E963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integrates loop-mediated isothermal amplification (LAMP) with nanoparticle-based </w:t>
      </w:r>
    </w:p>
    <w:p w14:paraId="6C8BCB3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lateral flow biosensors (LFB), and real-time (RT) fluorescence analysis for </w:t>
      </w:r>
    </w:p>
    <w:p w14:paraId="19A061A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simultaneous detection of MTBC and NTM. Target-specific primers were designed </w:t>
      </w:r>
    </w:p>
    <w:p w14:paraId="6AACD7C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for IS6110 (MTBC-specific) and 16S rDNA (pan-mycobacterial), and the </w:t>
      </w:r>
    </w:p>
    <w:p w14:paraId="0DAA89A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corresponding probes were multi-labeled: FAM-biotin/digoxigenin-biotin for LFB </w:t>
      </w:r>
    </w:p>
    <w:p w14:paraId="75E85E7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capture, and FAM-BHQ1/Cy5-BHQ2 for real-time fluorescence monitoring. After </w:t>
      </w:r>
    </w:p>
    <w:p w14:paraId="0330D6F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systematic optimization, the LFB-RT-LAMP assay performed best at 67°C for 50 </w:t>
      </w:r>
    </w:p>
    <w:p w14:paraId="42088BC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min. Analytical evaluation using genomic DNA from MTB reference strain H37Rv, 22 </w:t>
      </w:r>
    </w:p>
    <w:p w14:paraId="7BDB347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mycobacterial strains, 13 clinically relevant non-mycobacterial pathogens, and </w:t>
      </w:r>
    </w:p>
    <w:p w14:paraId="51C6E92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80 respiratory specimens showed the following: (i) a limit of detection (LoD) of </w:t>
      </w:r>
    </w:p>
    <w:p w14:paraId="245AB04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576 fg/reaction for purified MTB DNA; (ii) 100% detection rate for the tested </w:t>
      </w:r>
    </w:p>
    <w:p w14:paraId="0229C40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mycobacteria; (iii) 100% specificity against non-target pathogens; (iv) 100% </w:t>
      </w:r>
    </w:p>
    <w:p w14:paraId="0114500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clinical concordance with composite diagnostic PCR-based methods; and (v) a </w:t>
      </w:r>
    </w:p>
    <w:p w14:paraId="5BDD268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turnaround time of &lt;60 min for both LFB readout and real-time fluorescence </w:t>
      </w:r>
    </w:p>
    <w:p w14:paraId="40364F3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monitoring. Our dual-modal LFB-RT-LAMP platform provides a diagnostic workflow </w:t>
      </w:r>
    </w:p>
    <w:p w14:paraId="60C5D29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for simultaneous MTBC detection (via IS6110) and NTM screening (via 16S rDNA) in </w:t>
      </w:r>
    </w:p>
    <w:p w14:paraId="31B859F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 single assay. The method achieves a turnaround time of under 60 min, a </w:t>
      </w:r>
    </w:p>
    <w:p w14:paraId="40F3A81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sensitivity of 576 fg/reaction, and 100% specificity against non-mycobacterial </w:t>
      </w:r>
    </w:p>
    <w:p w14:paraId="241FB08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pathogens, demonstrating potential for point-of-care use in clinical and field </w:t>
      </w:r>
    </w:p>
    <w:p w14:paraId="362E7C0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settings.</w:t>
      </w:r>
      <w:r>
        <w:rPr>
          <w:rFonts w:hint="eastAsia" w:ascii="宋体" w:hAnsi="宋体" w:eastAsia="宋体" w:cs="宋体"/>
          <w:b/>
          <w:bCs/>
          <w:color w:val="000000" w:themeColor="text1"/>
          <w:szCs w:val="24"/>
          <w14:textFill>
            <w14:solidFill>
              <w14:schemeClr w14:val="tx1"/>
            </w14:solidFill>
          </w14:textFill>
        </w:rPr>
        <w:t>IMPORTANCE</w:t>
      </w:r>
      <w:r>
        <w:rPr>
          <w:rFonts w:hint="eastAsia" w:ascii="宋体" w:hAnsi="宋体" w:eastAsia="宋体" w:cs="宋体"/>
          <w:b/>
          <w:bCs/>
          <w:color w:val="000000" w:themeColor="text1"/>
          <w:szCs w:val="24"/>
          <w:lang w:val="en-US" w:eastAsia="zh-CN"/>
          <w14:textFill>
            <w14:solidFill>
              <w14:schemeClr w14:val="tx1"/>
            </w14:solidFill>
          </w14:textFill>
        </w:rPr>
        <w:t xml:space="preserve"> </w:t>
      </w:r>
      <w:r>
        <w:rPr>
          <w:rFonts w:hint="eastAsia" w:ascii="宋体" w:hAnsi="宋体" w:eastAsia="宋体" w:cs="宋体"/>
          <w:color w:val="000000" w:themeColor="text1"/>
          <w:szCs w:val="24"/>
          <w14:textFill>
            <w14:solidFill>
              <w14:schemeClr w14:val="tx1"/>
            </w14:solidFill>
          </w14:textFill>
        </w:rPr>
        <w:t xml:space="preserve">Tuberculosis (TB) and nontuberculous mycobacteria (NTM) lung </w:t>
      </w:r>
    </w:p>
    <w:p w14:paraId="6E4EF54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disease present with similar symptoms but require completely different treatment </w:t>
      </w:r>
    </w:p>
    <w:p w14:paraId="7BF9ADB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regimens. Rapid and accurate differentiation between these pathogens at initial </w:t>
      </w:r>
    </w:p>
    <w:p w14:paraId="5081062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presentation remains a critical unmet need, as current molecular tests primarily </w:t>
      </w:r>
    </w:p>
    <w:p w14:paraId="0A46860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focus on TB and are not designed for NTM screening. In this study, we developed </w:t>
      </w:r>
    </w:p>
    <w:p w14:paraId="6BDE840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 simple, rapid, and equipment‑free diagnostic platform that distinguishes TB </w:t>
      </w:r>
    </w:p>
    <w:p w14:paraId="7D0C539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from NTM within 60 min using a lateral flow biosensor, alongside a real‑time </w:t>
      </w:r>
    </w:p>
    <w:p w14:paraId="4234BDE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fluorescence option for laboratory use. The assay simultaneously targets IS6110 </w:t>
      </w:r>
    </w:p>
    <w:p w14:paraId="4F5DD86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(Mycobacterium tuberculosis complex [MTBC]‑specific) and 16S rDNA </w:t>
      </w:r>
    </w:p>
    <w:p w14:paraId="296CA99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(pan‑mycobacterial), enabling species‑level identification of MTBC and </w:t>
      </w:r>
    </w:p>
    <w:p w14:paraId="500EAD3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genus‑level screening of NTM in a single reaction, achieving 100% accuracy on </w:t>
      </w:r>
    </w:p>
    <w:p w14:paraId="30DBCE2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clinical samples with a limit of detection of 576 fg (~120 genome copies) per </w:t>
      </w:r>
    </w:p>
    <w:p w14:paraId="3D09C98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reaction. This dual‑modal approach offers practical solutions for both </w:t>
      </w:r>
    </w:p>
    <w:p w14:paraId="56306D1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well‑equipped hospitals and remote clinics, addressing a critical gap in TB and </w:t>
      </w:r>
    </w:p>
    <w:p w14:paraId="05FA689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NTM diagnostics.</w:t>
      </w:r>
    </w:p>
    <w:p w14:paraId="626A0DE8">
      <w:pPr>
        <w:rPr>
          <w:rFonts w:hint="eastAsia" w:ascii="宋体" w:hAnsi="宋体" w:eastAsia="宋体" w:cs="宋体"/>
          <w:color w:val="000000" w:themeColor="text1"/>
          <w:szCs w:val="24"/>
          <w14:textFill>
            <w14:solidFill>
              <w14:schemeClr w14:val="tx1"/>
            </w14:solidFill>
          </w14:textFill>
        </w:rPr>
      </w:pPr>
    </w:p>
    <w:p w14:paraId="3B34EAE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10.1128/jcm.00662-26</w:t>
      </w:r>
    </w:p>
    <w:p w14:paraId="31419C7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42766131</w:t>
      </w:r>
    </w:p>
    <w:p w14:paraId="2610DF0A">
      <w:pPr>
        <w:rPr>
          <w:rFonts w:hint="eastAsia" w:ascii="宋体" w:hAnsi="宋体" w:eastAsia="宋体" w:cs="宋体"/>
          <w:color w:val="000000" w:themeColor="text1"/>
          <w:szCs w:val="24"/>
          <w14:textFill>
            <w14:solidFill>
              <w14:schemeClr w14:val="tx1"/>
            </w14:solidFill>
          </w14:textFill>
        </w:rPr>
      </w:pPr>
    </w:p>
    <w:p w14:paraId="50DCBC61">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12</w:t>
      </w:r>
      <w:r>
        <w:rPr>
          <w:rFonts w:hint="eastAsia" w:ascii="宋体" w:hAnsi="宋体" w:eastAsia="宋体" w:cs="宋体"/>
          <w:b/>
          <w:bCs/>
          <w:color w:val="FF0000"/>
          <w:szCs w:val="24"/>
        </w:rPr>
        <w:t xml:space="preserve">. Front Public Health. 2026 Sep 11;14:1958154. doi: 10.3389/fpubh.2026.1958154. </w:t>
      </w:r>
    </w:p>
    <w:p w14:paraId="524CB977">
      <w:pPr>
        <w:rPr>
          <w:rFonts w:hint="eastAsia" w:ascii="宋体" w:hAnsi="宋体" w:eastAsia="宋体" w:cs="宋体"/>
          <w:b/>
          <w:bCs/>
          <w:color w:val="FF0000"/>
          <w:szCs w:val="24"/>
        </w:rPr>
      </w:pPr>
      <w:r>
        <w:rPr>
          <w:rFonts w:hint="eastAsia" w:ascii="宋体" w:hAnsi="宋体" w:eastAsia="宋体" w:cs="宋体"/>
          <w:b/>
          <w:bCs/>
          <w:color w:val="FF0000"/>
          <w:szCs w:val="24"/>
        </w:rPr>
        <w:t>eCollection 2026.</w:t>
      </w:r>
    </w:p>
    <w:p w14:paraId="5D5F8693">
      <w:pPr>
        <w:rPr>
          <w:rFonts w:hint="eastAsia" w:ascii="宋体" w:hAnsi="宋体" w:eastAsia="宋体" w:cs="宋体"/>
          <w:color w:val="000000" w:themeColor="text1"/>
          <w:szCs w:val="24"/>
          <w14:textFill>
            <w14:solidFill>
              <w14:schemeClr w14:val="tx1"/>
            </w14:solidFill>
          </w14:textFill>
        </w:rPr>
      </w:pPr>
    </w:p>
    <w:p w14:paraId="740F7C1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Systematic review and meta-analysis of risk prediction models for </w:t>
      </w:r>
    </w:p>
    <w:p w14:paraId="177EC23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anti-tuberculosis drug-induced liver injury in East Asian populations.</w:t>
      </w:r>
    </w:p>
    <w:p w14:paraId="2FC3A7F8">
      <w:pPr>
        <w:rPr>
          <w:rFonts w:hint="eastAsia" w:ascii="宋体" w:hAnsi="宋体" w:eastAsia="宋体" w:cs="宋体"/>
          <w:color w:val="000000" w:themeColor="text1"/>
          <w:szCs w:val="24"/>
          <w14:textFill>
            <w14:solidFill>
              <w14:schemeClr w14:val="tx1"/>
            </w14:solidFill>
          </w14:textFill>
        </w:rPr>
      </w:pPr>
    </w:p>
    <w:p w14:paraId="10CEF88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Li H(1), Feng X(2), Zheng X(3), Zhong X(1).</w:t>
      </w:r>
    </w:p>
    <w:p w14:paraId="5C508DA8">
      <w:pPr>
        <w:rPr>
          <w:rFonts w:hint="eastAsia" w:ascii="宋体" w:hAnsi="宋体" w:eastAsia="宋体" w:cs="宋体"/>
          <w:color w:val="000000" w:themeColor="text1"/>
          <w:szCs w:val="24"/>
          <w14:textFill>
            <w14:solidFill>
              <w14:schemeClr w14:val="tx1"/>
            </w14:solidFill>
          </w14:textFill>
        </w:rPr>
      </w:pPr>
    </w:p>
    <w:p w14:paraId="5EC575E6">
      <w:pPr>
        <w:rPr>
          <w:rFonts w:hint="eastAsia" w:ascii="宋体" w:hAnsi="宋体" w:eastAsia="宋体" w:cs="宋体"/>
          <w:b/>
          <w:bCs/>
          <w:color w:val="4472C4" w:themeColor="accent5"/>
          <w:szCs w:val="24"/>
          <w:lang w:val="en-US" w:eastAsia="zh-CN"/>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Hongjiao Li,</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Xin Feng,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Xi Zheng,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Xianmei Zhong</w:t>
      </w:r>
      <w:r>
        <w:rPr>
          <w:rFonts w:hint="eastAsia" w:ascii="宋体" w:hAnsi="宋体" w:eastAsia="宋体" w:cs="宋体"/>
          <w:b/>
          <w:bCs/>
          <w:color w:val="4472C4" w:themeColor="accent5"/>
          <w:szCs w:val="24"/>
          <w:lang w:val="en-US" w:eastAsia="zh-CN"/>
          <w14:textFill>
            <w14:solidFill>
              <w14:schemeClr w14:val="accent5"/>
            </w14:solidFill>
          </w14:textFill>
        </w:rPr>
        <w:t>*</w:t>
      </w:r>
    </w:p>
    <w:p w14:paraId="447C46A1">
      <w:pPr>
        <w:rPr>
          <w:rFonts w:hint="eastAsia" w:ascii="宋体" w:hAnsi="宋体" w:eastAsia="宋体" w:cs="宋体"/>
          <w:b/>
          <w:bCs/>
          <w:color w:val="4472C4" w:themeColor="accent5"/>
          <w:szCs w:val="24"/>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*CORRESPONDENCE Xianmei Zhong</w:t>
      </w:r>
      <w:r>
        <w:rPr>
          <w:rFonts w:hint="eastAsia" w:ascii="宋体" w:hAnsi="宋体" w:eastAsia="宋体" w:cs="宋体"/>
          <w:b/>
          <w:bCs/>
          <w:color w:val="4472C4" w:themeColor="accent5"/>
          <w:szCs w:val="24"/>
          <w:lang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zhongxiaohaha@126.com</w:t>
      </w:r>
    </w:p>
    <w:p w14:paraId="2AC6F07F">
      <w:pPr>
        <w:rPr>
          <w:rFonts w:hint="eastAsia" w:ascii="宋体" w:hAnsi="宋体" w:eastAsia="宋体" w:cs="宋体"/>
          <w:color w:val="000000" w:themeColor="text1"/>
          <w:szCs w:val="24"/>
          <w14:textFill>
            <w14:solidFill>
              <w14:schemeClr w14:val="tx1"/>
            </w14:solidFill>
          </w14:textFill>
        </w:rPr>
      </w:pPr>
    </w:p>
    <w:p w14:paraId="7BC0627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2E8DB69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(1)Department of Pharmacy, Nanbu People's Hospital, Nanchong, China.</w:t>
      </w:r>
    </w:p>
    <w:p w14:paraId="1C1DD77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(2)Department of Pulmonary and Critical Care Medicine, Nanbu People's Hospital, </w:t>
      </w:r>
    </w:p>
    <w:p w14:paraId="1F97FD7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Nanchong, China.</w:t>
      </w:r>
    </w:p>
    <w:p w14:paraId="08F24B8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(3)Department of Pharmacy, Sichuan Academy of Medical Sciences &amp; Sichuan </w:t>
      </w:r>
    </w:p>
    <w:p w14:paraId="2A2AD47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Provincial People's Hospital, School of Medicine, University of Electronic </w:t>
      </w:r>
    </w:p>
    <w:p w14:paraId="634EF2E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Science and Technology of China, Chengdu, China.</w:t>
      </w:r>
    </w:p>
    <w:p w14:paraId="2CFD245D">
      <w:pPr>
        <w:rPr>
          <w:rFonts w:hint="eastAsia" w:ascii="宋体" w:hAnsi="宋体" w:eastAsia="宋体" w:cs="宋体"/>
          <w:color w:val="000000" w:themeColor="text1"/>
          <w:szCs w:val="24"/>
          <w14:textFill>
            <w14:solidFill>
              <w14:schemeClr w14:val="tx1"/>
            </w14:solidFill>
          </w14:textFill>
        </w:rPr>
      </w:pPr>
    </w:p>
    <w:p w14:paraId="7D28F22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OBJECTIVE:</w:t>
      </w:r>
      <w:r>
        <w:rPr>
          <w:rFonts w:hint="eastAsia" w:ascii="宋体" w:hAnsi="宋体" w:eastAsia="宋体" w:cs="宋体"/>
          <w:color w:val="000000" w:themeColor="text1"/>
          <w:szCs w:val="24"/>
          <w14:textFill>
            <w14:solidFill>
              <w14:schemeClr w14:val="tx1"/>
            </w14:solidFill>
          </w14:textFill>
        </w:rPr>
        <w:t xml:space="preserve"> This study systematically evaluates the construction methods, </w:t>
      </w:r>
    </w:p>
    <w:p w14:paraId="3D1203B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predictive factors, and performance of risk prediction models for </w:t>
      </w:r>
    </w:p>
    <w:p w14:paraId="6941FF8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anti-tuberculosis drug-induced liver injury (ATB-DILI). It aims to furnish </w:t>
      </w:r>
    </w:p>
    <w:p w14:paraId="04FAFA2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evidence-based evidence for early detection of East Asian individuals at high </w:t>
      </w:r>
    </w:p>
    <w:p w14:paraId="5DE57F3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risk of ATB-DILI and the development of personalized clinical treatment plans.</w:t>
      </w:r>
    </w:p>
    <w:p w14:paraId="18A0BBE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METHODS: </w:t>
      </w:r>
      <w:r>
        <w:rPr>
          <w:rFonts w:hint="eastAsia" w:ascii="宋体" w:hAnsi="宋体" w:eastAsia="宋体" w:cs="宋体"/>
          <w:color w:val="000000" w:themeColor="text1"/>
          <w:szCs w:val="24"/>
          <w14:textFill>
            <w14:solidFill>
              <w14:schemeClr w14:val="tx1"/>
            </w14:solidFill>
          </w14:textFill>
        </w:rPr>
        <w:t xml:space="preserve">A comprehensive literature search was conducted to identify studies </w:t>
      </w:r>
    </w:p>
    <w:p w14:paraId="13B6711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related to risk prediction models for ATB-DILI. Key data, including study </w:t>
      </w:r>
    </w:p>
    <w:p w14:paraId="417456C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population, sample size, model construction algorithms, predictive factors, and </w:t>
      </w:r>
    </w:p>
    <w:p w14:paraId="5C41F8C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model discrimination, were extracted. Qualitative synthesis and systematic </w:t>
      </w:r>
    </w:p>
    <w:p w14:paraId="3D45174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analysis were then performed.</w:t>
      </w:r>
    </w:p>
    <w:p w14:paraId="127A843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RESULTS:</w:t>
      </w:r>
      <w:r>
        <w:rPr>
          <w:rFonts w:hint="eastAsia" w:ascii="宋体" w:hAnsi="宋体" w:eastAsia="宋体" w:cs="宋体"/>
          <w:color w:val="000000" w:themeColor="text1"/>
          <w:szCs w:val="24"/>
          <w14:textFill>
            <w14:solidFill>
              <w14:schemeClr w14:val="tx1"/>
            </w14:solidFill>
          </w14:textFill>
        </w:rPr>
        <w:t xml:space="preserve"> A total of 26 studies comprising 31 risk prediction models (cumulative </w:t>
      </w:r>
    </w:p>
    <w:p w14:paraId="1139973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sample size approximately 41,734 cases) were included. Twenty studies reported </w:t>
      </w:r>
    </w:p>
    <w:p w14:paraId="4719DF2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internal validation and six reported external validation. Model discriminative </w:t>
      </w:r>
    </w:p>
    <w:p w14:paraId="75D08B5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ability varied from 0.624 to 1.0, indicating at least modest-to-excellent </w:t>
      </w:r>
    </w:p>
    <w:p w14:paraId="0D88F88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discriminatory ability. Prediction model Risk Of Bias ASsessment Tool (PROBAST) </w:t>
      </w:r>
    </w:p>
    <w:p w14:paraId="10F584F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assessment identified only one study at low risk of bias, with all remaining </w:t>
      </w:r>
    </w:p>
    <w:p w14:paraId="4A9CEFB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studies rated high risk of bias. Meta-analysis yielded a pooled AUC of 0.81 for </w:t>
      </w:r>
    </w:p>
    <w:p w14:paraId="5A2ECF6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ATB-DILI prediction models. History of liver disease, extrapulmonary </w:t>
      </w:r>
    </w:p>
    <w:p w14:paraId="71FA536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tuberculosis, age ≥60 years, alcohol consumption, concomitant medication use, </w:t>
      </w:r>
    </w:p>
    <w:p w14:paraId="17E4B0C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retreatment, elevated AST, diabetes, and smoking were associated with higher </w:t>
      </w:r>
    </w:p>
    <w:p w14:paraId="2605150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ATB-DILI risk (all P &lt; 0.05), whereas uric acid showed an inverse association (P </w:t>
      </w:r>
    </w:p>
    <w:p w14:paraId="7159A96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&lt; 0.05). Importantly, the observed association for non-use of hepatoprotective </w:t>
      </w:r>
    </w:p>
    <w:p w14:paraId="04A2937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agents cannot confirm a preventive effect; these factors should inform risk </w:t>
      </w:r>
    </w:p>
    <w:p w14:paraId="0B20388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stratification and intensified monitoring rather than guide prophylactic </w:t>
      </w:r>
    </w:p>
    <w:p w14:paraId="39D0DB3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hepatoprotective therapy.</w:t>
      </w:r>
    </w:p>
    <w:p w14:paraId="15E441E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CONCLUSION:</w:t>
      </w:r>
      <w:r>
        <w:rPr>
          <w:rFonts w:hint="eastAsia" w:ascii="宋体" w:hAnsi="宋体" w:eastAsia="宋体" w:cs="宋体"/>
          <w:color w:val="000000" w:themeColor="text1"/>
          <w:szCs w:val="24"/>
          <w14:textFill>
            <w14:solidFill>
              <w14:schemeClr w14:val="tx1"/>
            </w14:solidFill>
          </w14:textFill>
        </w:rPr>
        <w:t xml:space="preserve"> Published risk prediction models for ATB-DILI among East Asian </w:t>
      </w:r>
    </w:p>
    <w:p w14:paraId="327B32E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populations were systematically appraised. These models yielded moderate-to-good </w:t>
      </w:r>
    </w:p>
    <w:p w14:paraId="1D17EDE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discriminative performance yet showed substantial heterogeneity and high risk of </w:t>
      </w:r>
    </w:p>
    <w:p w14:paraId="4478575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bias, mainly due to defective missing-data processing, univariate-based </w:t>
      </w:r>
    </w:p>
    <w:p w14:paraId="4E5051C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predictor selection, insufficient outcome events, and absent external </w:t>
      </w:r>
    </w:p>
    <w:p w14:paraId="458092A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validation. Such methodological shortcomings may overestimate AUC values, </w:t>
      </w:r>
    </w:p>
    <w:p w14:paraId="15F658C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especially for retrospective non-validated models. Existing ATB-DILI prediction </w:t>
      </w:r>
    </w:p>
    <w:p w14:paraId="048024F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models are thus of uncertain reliability and generalizability. Future </w:t>
      </w:r>
    </w:p>
    <w:p w14:paraId="62972BC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large-sample multicenter prospective studies with standardized outcomes and </w:t>
      </w:r>
    </w:p>
    <w:p w14:paraId="73286A4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external validation are required to develop robust clinically applicable models.</w:t>
      </w:r>
    </w:p>
    <w:p w14:paraId="300894C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SYSTEMATIC REVIEW REGISTRATION: </w:t>
      </w:r>
    </w:p>
    <w:p w14:paraId="6BE2FE5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https://www.crd.york.ac.uk/PROSPERO/view/CRD420261468400, identifier </w:t>
      </w:r>
    </w:p>
    <w:p w14:paraId="74CCA3E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CRD420261468400.</w:t>
      </w:r>
    </w:p>
    <w:p w14:paraId="6513CA20">
      <w:pPr>
        <w:rPr>
          <w:rFonts w:hint="eastAsia" w:ascii="宋体" w:hAnsi="宋体" w:eastAsia="宋体" w:cs="宋体"/>
          <w:color w:val="000000" w:themeColor="text1"/>
          <w:szCs w:val="24"/>
          <w14:textFill>
            <w14:solidFill>
              <w14:schemeClr w14:val="tx1"/>
            </w14:solidFill>
          </w14:textFill>
        </w:rPr>
      </w:pPr>
    </w:p>
    <w:p w14:paraId="68906C7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Copyright © 2026 Li, Feng, Zheng and Zhong.</w:t>
      </w:r>
    </w:p>
    <w:p w14:paraId="02ACCE32">
      <w:pPr>
        <w:rPr>
          <w:rFonts w:hint="eastAsia" w:ascii="宋体" w:hAnsi="宋体" w:eastAsia="宋体" w:cs="宋体"/>
          <w:color w:val="000000" w:themeColor="text1"/>
          <w:szCs w:val="24"/>
          <w14:textFill>
            <w14:solidFill>
              <w14:schemeClr w14:val="tx1"/>
            </w14:solidFill>
          </w14:textFill>
        </w:rPr>
      </w:pPr>
    </w:p>
    <w:p w14:paraId="50763EE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10.3389/fpubh.2026.1958154</w:t>
      </w:r>
    </w:p>
    <w:p w14:paraId="4573C96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PMC13612468</w:t>
      </w:r>
    </w:p>
    <w:p w14:paraId="137E281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42798580 [Indexed for MEDLINE]</w:t>
      </w:r>
    </w:p>
    <w:p w14:paraId="23C28424">
      <w:pPr>
        <w:rPr>
          <w:rFonts w:hint="eastAsia" w:ascii="宋体" w:hAnsi="宋体" w:eastAsia="宋体" w:cs="宋体"/>
          <w:color w:val="000000" w:themeColor="text1"/>
          <w:szCs w:val="24"/>
          <w14:textFill>
            <w14:solidFill>
              <w14:schemeClr w14:val="tx1"/>
            </w14:solidFill>
          </w14:textFill>
        </w:rPr>
      </w:pPr>
    </w:p>
    <w:p w14:paraId="21B5956F">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13</w:t>
      </w:r>
      <w:r>
        <w:rPr>
          <w:rFonts w:hint="eastAsia" w:ascii="宋体" w:hAnsi="宋体" w:eastAsia="宋体" w:cs="宋体"/>
          <w:b/>
          <w:bCs/>
          <w:color w:val="FF0000"/>
          <w:szCs w:val="24"/>
        </w:rPr>
        <w:t>. Microorganisms. 2026 Aug 28;14(9):1912. doi: 10.3390/microorganisms14091912.</w:t>
      </w:r>
    </w:p>
    <w:p w14:paraId="3CF2706B">
      <w:pPr>
        <w:rPr>
          <w:rFonts w:hint="eastAsia" w:ascii="宋体" w:hAnsi="宋体" w:eastAsia="宋体" w:cs="宋体"/>
          <w:color w:val="000000" w:themeColor="text1"/>
          <w:szCs w:val="24"/>
          <w14:textFill>
            <w14:solidFill>
              <w14:schemeClr w14:val="tx1"/>
            </w14:solidFill>
          </w14:textFill>
        </w:rPr>
      </w:pPr>
    </w:p>
    <w:p w14:paraId="23E0522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PPE57 Cooperates with MmpL3 to Mediate Bacterial Lipid Transport and Promote </w:t>
      </w:r>
    </w:p>
    <w:p w14:paraId="7F024FA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Persistent Infection of Mycobacterium tuberculosis.</w:t>
      </w:r>
    </w:p>
    <w:p w14:paraId="74350E29">
      <w:pPr>
        <w:rPr>
          <w:rFonts w:hint="eastAsia" w:ascii="宋体" w:hAnsi="宋体" w:eastAsia="宋体" w:cs="宋体"/>
          <w:color w:val="000000" w:themeColor="text1"/>
          <w:szCs w:val="24"/>
          <w14:textFill>
            <w14:solidFill>
              <w14:schemeClr w14:val="tx1"/>
            </w14:solidFill>
          </w14:textFill>
        </w:rPr>
      </w:pPr>
    </w:p>
    <w:p w14:paraId="3D48E5D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Weng S(1)(2), Li Q(1), Zhao Y(1), Lin T(1), Wang Z(1), Zhu M(1), Xin M(1), Xu </w:t>
      </w:r>
    </w:p>
    <w:p w14:paraId="066FF32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Y(1)(2)(3).</w:t>
      </w:r>
    </w:p>
    <w:p w14:paraId="46350E10">
      <w:pPr>
        <w:rPr>
          <w:rFonts w:hint="eastAsia" w:ascii="宋体" w:hAnsi="宋体" w:eastAsia="宋体" w:cs="宋体"/>
          <w:color w:val="000000" w:themeColor="text1"/>
          <w:szCs w:val="24"/>
          <w14:textFill>
            <w14:solidFill>
              <w14:schemeClr w14:val="tx1"/>
            </w14:solidFill>
          </w14:textFill>
        </w:rPr>
      </w:pPr>
    </w:p>
    <w:p w14:paraId="18189270">
      <w:pPr>
        <w:rPr>
          <w:rFonts w:hint="eastAsia" w:ascii="宋体" w:hAnsi="宋体" w:eastAsia="宋体" w:cs="宋体"/>
          <w:b/>
          <w:bCs/>
          <w:color w:val="4472C4" w:themeColor="accent5"/>
          <w:szCs w:val="24"/>
          <w:lang w:val="en-US" w:eastAsia="zh-CN"/>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Shufeng Weng,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Qingchun Li,</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Yamin Zhao,</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Taiyue Lin,</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Zihan Wang,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Mingrui Zhu,</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Miaochengyue Xin,</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Ying Xu</w:t>
      </w:r>
      <w:r>
        <w:rPr>
          <w:rFonts w:hint="eastAsia" w:ascii="宋体" w:hAnsi="宋体" w:eastAsia="宋体" w:cs="宋体"/>
          <w:b/>
          <w:bCs/>
          <w:color w:val="4472C4" w:themeColor="accent5"/>
          <w:szCs w:val="24"/>
          <w:lang w:val="en-US" w:eastAsia="zh-CN"/>
          <w14:textFill>
            <w14:solidFill>
              <w14:schemeClr w14:val="accent5"/>
            </w14:solidFill>
          </w14:textFill>
        </w:rPr>
        <w:t>*</w:t>
      </w:r>
    </w:p>
    <w:p w14:paraId="2EDB0DA7">
      <w:pPr>
        <w:rPr>
          <w:rFonts w:hint="eastAsia" w:ascii="宋体" w:hAnsi="宋体" w:eastAsia="宋体" w:cs="宋体"/>
          <w:b/>
          <w:bCs/>
          <w:color w:val="4472C4" w:themeColor="accent5"/>
          <w:szCs w:val="24"/>
          <w14:textFill>
            <w14:solidFill>
              <w14:schemeClr w14:val="accent5"/>
            </w14:solidFill>
          </w14:textFill>
        </w:rPr>
      </w:pPr>
      <w:r>
        <w:rPr>
          <w:rFonts w:hint="eastAsia" w:ascii="宋体" w:hAnsi="宋体" w:eastAsia="宋体" w:cs="宋体"/>
          <w:b/>
          <w:bCs/>
          <w:color w:val="4472C4" w:themeColor="accent5"/>
          <w:szCs w:val="24"/>
          <w:lang w:val="en-US"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 xml:space="preserve">Correspondence: </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Ying Xu</w:t>
      </w:r>
      <w:r>
        <w:rPr>
          <w:rFonts w:hint="eastAsia" w:ascii="宋体" w:hAnsi="宋体" w:eastAsia="宋体" w:cs="宋体"/>
          <w:b/>
          <w:bCs/>
          <w:color w:val="4472C4" w:themeColor="accent5"/>
          <w:szCs w:val="24"/>
          <w:lang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yingxu2520@fudan.edu.cn</w:t>
      </w:r>
    </w:p>
    <w:p w14:paraId="41301713">
      <w:pPr>
        <w:rPr>
          <w:rFonts w:hint="eastAsia" w:ascii="宋体" w:hAnsi="宋体" w:eastAsia="宋体" w:cs="宋体"/>
          <w:color w:val="000000" w:themeColor="text1"/>
          <w:szCs w:val="24"/>
          <w14:textFill>
            <w14:solidFill>
              <w14:schemeClr w14:val="tx1"/>
            </w14:solidFill>
          </w14:textFill>
        </w:rPr>
      </w:pPr>
    </w:p>
    <w:p w14:paraId="0BFDE6A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2EE8ABE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(1)State Key Laboratory of Genetic Engineering, School of Life Science, </w:t>
      </w:r>
    </w:p>
    <w:p w14:paraId="257141D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Institute of Infection and Health, National Medical Center for Infectious </w:t>
      </w:r>
    </w:p>
    <w:p w14:paraId="2A1DEF6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Diseases, Fudan University, Shanghai 200438, China.</w:t>
      </w:r>
    </w:p>
    <w:p w14:paraId="1CA522C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(2)Shanghai Sci-Tech Inno Center for Infection &amp; Immunity, Shanghai 200052, </w:t>
      </w:r>
    </w:p>
    <w:p w14:paraId="204B57B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China.</w:t>
      </w:r>
    </w:p>
    <w:p w14:paraId="3B15AB6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(3)MOE Engineering Research Center of Gene Technology, Shanghai Engineering </w:t>
      </w:r>
    </w:p>
    <w:p w14:paraId="079C970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Research Center of Industrial Microorganism, Fudan University, Shanghai 200433, </w:t>
      </w:r>
    </w:p>
    <w:p w14:paraId="5546BE9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China.</w:t>
      </w:r>
    </w:p>
    <w:p w14:paraId="3CEF4EC1">
      <w:pPr>
        <w:rPr>
          <w:rFonts w:hint="eastAsia" w:ascii="宋体" w:hAnsi="宋体" w:eastAsia="宋体" w:cs="宋体"/>
          <w:color w:val="000000" w:themeColor="text1"/>
          <w:szCs w:val="24"/>
          <w14:textFill>
            <w14:solidFill>
              <w14:schemeClr w14:val="tx1"/>
            </w14:solidFill>
          </w14:textFill>
        </w:rPr>
      </w:pPr>
    </w:p>
    <w:p w14:paraId="6E5696F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Mycobacterium tuberculosis (M. tb) possesses a unique, lipid-rich cell envelope </w:t>
      </w:r>
    </w:p>
    <w:p w14:paraId="7A2D4CD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that is critical for virulence, drug resistance, and persistence. Here, we </w:t>
      </w:r>
    </w:p>
    <w:p w14:paraId="01BA7C3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identify the PPE family protein PPE57 as a key regulator of mycolic acid </w:t>
      </w:r>
    </w:p>
    <w:p w14:paraId="762788A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transport and host lipid exploitation. PPE57 physically interacts with the </w:t>
      </w:r>
    </w:p>
    <w:p w14:paraId="3595AD0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essential lipid transporter MmpL3, promoting trehalose monomycolate (TMM) </w:t>
      </w:r>
    </w:p>
    <w:p w14:paraId="613D720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translocation, enhancing trehalose dimycolate (TDM) synthesis, and increasing </w:t>
      </w:r>
    </w:p>
    <w:p w14:paraId="5AEE7EC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cell wall lipid content. Site-directed mutagenesis identified G175 as a critical </w:t>
      </w:r>
    </w:p>
    <w:p w14:paraId="7B6966F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residue for PPE57-MmpL3 binding. Deletion of PPE57 reduces cell wall thickness, </w:t>
      </w:r>
    </w:p>
    <w:p w14:paraId="0C91D96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alters lipid composition, and impairs biofilm formation. Mechanistically, PPE57 </w:t>
      </w:r>
    </w:p>
    <w:p w14:paraId="6885E4F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facilitates bacterial cholesterol acquisition, and during infection, activates </w:t>
      </w:r>
    </w:p>
    <w:p w14:paraId="3B1285D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host PPAR-γ pathway in macrophages, leading to enhanced cholesterol uptake, </w:t>
      </w:r>
    </w:p>
    <w:p w14:paraId="5A6ED04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lipid droplet accumulation, and increased intracellular triglyceride and </w:t>
      </w:r>
    </w:p>
    <w:p w14:paraId="4CD47C2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cholesteryl ester levels. These changes provide a nutrient-rich niche that </w:t>
      </w:r>
    </w:p>
    <w:p w14:paraId="5BA66A3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promotes bacterial survival and persistence. In a mouse model of infection, </w:t>
      </w:r>
    </w:p>
    <w:p w14:paraId="301AC1D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PPE57 deficiency results in reduced bacterial burden, milder lung pathology, and </w:t>
      </w:r>
    </w:p>
    <w:p w14:paraId="2446B01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diminished lipid droplet-positive cell accumulation in lung tissues. These </w:t>
      </w:r>
    </w:p>
    <w:p w14:paraId="4A49F86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findings establish PPE57 as an essential accessory component of the MmpL3 lipid </w:t>
      </w:r>
    </w:p>
    <w:p w14:paraId="0E85448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transport system, bridging mycobacterial cell wall assembly with host nutrient </w:t>
      </w:r>
    </w:p>
    <w:p w14:paraId="05DD7FB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exploitation during persistent infection.</w:t>
      </w:r>
    </w:p>
    <w:p w14:paraId="2D599290">
      <w:pPr>
        <w:rPr>
          <w:rFonts w:hint="eastAsia" w:ascii="宋体" w:hAnsi="宋体" w:eastAsia="宋体" w:cs="宋体"/>
          <w:color w:val="000000" w:themeColor="text1"/>
          <w:szCs w:val="24"/>
          <w14:textFill>
            <w14:solidFill>
              <w14:schemeClr w14:val="tx1"/>
            </w14:solidFill>
          </w14:textFill>
        </w:rPr>
      </w:pPr>
    </w:p>
    <w:p w14:paraId="40DD83D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10.3390/microorganisms14091912</w:t>
      </w:r>
    </w:p>
    <w:p w14:paraId="168B5A1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42795494</w:t>
      </w:r>
    </w:p>
    <w:p w14:paraId="45E45648">
      <w:pPr>
        <w:rPr>
          <w:rFonts w:hint="eastAsia" w:ascii="宋体" w:hAnsi="宋体" w:eastAsia="宋体" w:cs="宋体"/>
          <w:color w:val="000000" w:themeColor="text1"/>
          <w:szCs w:val="24"/>
          <w14:textFill>
            <w14:solidFill>
              <w14:schemeClr w14:val="tx1"/>
            </w14:solidFill>
          </w14:textFill>
        </w:rPr>
      </w:pPr>
    </w:p>
    <w:p w14:paraId="6D01FA20">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14</w:t>
      </w:r>
      <w:r>
        <w:rPr>
          <w:rFonts w:hint="eastAsia" w:ascii="宋体" w:hAnsi="宋体" w:eastAsia="宋体" w:cs="宋体"/>
          <w:b/>
          <w:bCs/>
          <w:color w:val="FF0000"/>
          <w:szCs w:val="24"/>
        </w:rPr>
        <w:t>. Biomolecules. 2026 Sep 14;16(9):1333. doi: 10.3390/biom16091333.</w:t>
      </w:r>
    </w:p>
    <w:p w14:paraId="135C3B8D">
      <w:pPr>
        <w:rPr>
          <w:rFonts w:hint="eastAsia" w:ascii="宋体" w:hAnsi="宋体" w:eastAsia="宋体" w:cs="宋体"/>
          <w:color w:val="000000" w:themeColor="text1"/>
          <w:szCs w:val="24"/>
          <w14:textFill>
            <w14:solidFill>
              <w14:schemeClr w14:val="tx1"/>
            </w14:solidFill>
          </w14:textFill>
        </w:rPr>
      </w:pPr>
    </w:p>
    <w:p w14:paraId="45C8EE4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Flexible Peripheral Segments Modulate the Catalytic Activity of the </w:t>
      </w:r>
    </w:p>
    <w:p w14:paraId="64BE2A9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FAD-Containing Monooxygenase EthA from Mycobacterium tuberculosis.</w:t>
      </w:r>
    </w:p>
    <w:p w14:paraId="363ADD62">
      <w:pPr>
        <w:rPr>
          <w:rFonts w:hint="eastAsia" w:ascii="宋体" w:hAnsi="宋体" w:eastAsia="宋体" w:cs="宋体"/>
          <w:color w:val="000000" w:themeColor="text1"/>
          <w:szCs w:val="24"/>
          <w14:textFill>
            <w14:solidFill>
              <w14:schemeClr w14:val="tx1"/>
            </w14:solidFill>
          </w14:textFill>
        </w:rPr>
      </w:pPr>
    </w:p>
    <w:p w14:paraId="2A543CF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Liu D(1)(2), Sun X(1), Yu F(1), Song H(2), Yao W(2), Deng H(2), Song D(2).</w:t>
      </w:r>
    </w:p>
    <w:p w14:paraId="1B643943">
      <w:pPr>
        <w:rPr>
          <w:rFonts w:hint="eastAsia" w:ascii="宋体" w:hAnsi="宋体" w:eastAsia="宋体" w:cs="宋体"/>
          <w:color w:val="000000" w:themeColor="text1"/>
          <w:szCs w:val="24"/>
          <w14:textFill>
            <w14:solidFill>
              <w14:schemeClr w14:val="tx1"/>
            </w14:solidFill>
          </w14:textFill>
        </w:rPr>
      </w:pPr>
    </w:p>
    <w:p w14:paraId="6F736C93">
      <w:pPr>
        <w:rPr>
          <w:rFonts w:hint="eastAsia" w:ascii="宋体" w:hAnsi="宋体" w:eastAsia="宋体" w:cs="宋体"/>
          <w:b/>
          <w:bCs/>
          <w:color w:val="4472C4" w:themeColor="accent5"/>
          <w:szCs w:val="24"/>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Dafeng Liu</w:t>
      </w:r>
      <w:r>
        <w:rPr>
          <w:rFonts w:hint="eastAsia" w:ascii="宋体" w:hAnsi="宋体" w:eastAsia="宋体" w:cs="宋体"/>
          <w:b/>
          <w:bCs/>
          <w:color w:val="4472C4" w:themeColor="accent5"/>
          <w:szCs w:val="24"/>
          <w:lang w:val="en-US"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Xieping Sun,</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Feng Yu,</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Hongying Song,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Wenshuang Yao,</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Huashui Deng,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Daoqi Song</w:t>
      </w:r>
    </w:p>
    <w:p w14:paraId="0A35C9BA">
      <w:pPr>
        <w:rPr>
          <w:rFonts w:hint="eastAsia" w:ascii="宋体" w:hAnsi="宋体" w:eastAsia="宋体" w:cs="宋体"/>
          <w:b/>
          <w:bCs/>
          <w:color w:val="4472C4" w:themeColor="accent5"/>
          <w:szCs w:val="24"/>
          <w14:textFill>
            <w14:solidFill>
              <w14:schemeClr w14:val="accent5"/>
            </w14:solidFill>
          </w14:textFill>
        </w:rPr>
      </w:pPr>
      <w:r>
        <w:rPr>
          <w:rFonts w:hint="eastAsia" w:ascii="宋体" w:hAnsi="宋体" w:eastAsia="宋体" w:cs="宋体"/>
          <w:b/>
          <w:bCs/>
          <w:color w:val="4472C4" w:themeColor="accent5"/>
          <w:szCs w:val="24"/>
          <w:lang w:val="en-US"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Correspondence: Dafeng Liu</w:t>
      </w:r>
      <w:r>
        <w:rPr>
          <w:rFonts w:hint="eastAsia" w:ascii="宋体" w:hAnsi="宋体" w:eastAsia="宋体" w:cs="宋体"/>
          <w:b/>
          <w:bCs/>
          <w:color w:val="4472C4" w:themeColor="accent5"/>
          <w:szCs w:val="24"/>
          <w:lang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dafeli@sina.cn or liudafeng2017@163.com</w:t>
      </w:r>
    </w:p>
    <w:p w14:paraId="661C8DF2">
      <w:pPr>
        <w:rPr>
          <w:rFonts w:hint="eastAsia" w:ascii="宋体" w:hAnsi="宋体" w:eastAsia="宋体" w:cs="宋体"/>
          <w:color w:val="000000" w:themeColor="text1"/>
          <w:szCs w:val="24"/>
          <w14:textFill>
            <w14:solidFill>
              <w14:schemeClr w14:val="tx1"/>
            </w14:solidFill>
          </w14:textFill>
        </w:rPr>
      </w:pPr>
    </w:p>
    <w:p w14:paraId="0480A4C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6C42E8F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(1)College of Biological Sciences and Technology, Yili Normal University, Yining </w:t>
      </w:r>
    </w:p>
    <w:p w14:paraId="6CCD70E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835000, China.</w:t>
      </w:r>
    </w:p>
    <w:p w14:paraId="51BB2EB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(2)School of Life Sciences, Xiamen University, Xiamen 361102, China.</w:t>
      </w:r>
    </w:p>
    <w:p w14:paraId="75B8D235">
      <w:pPr>
        <w:rPr>
          <w:rFonts w:hint="eastAsia" w:ascii="宋体" w:hAnsi="宋体" w:eastAsia="宋体" w:cs="宋体"/>
          <w:color w:val="000000" w:themeColor="text1"/>
          <w:szCs w:val="24"/>
          <w14:textFill>
            <w14:solidFill>
              <w14:schemeClr w14:val="tx1"/>
            </w14:solidFill>
          </w14:textFill>
        </w:rPr>
      </w:pPr>
    </w:p>
    <w:p w14:paraId="16E011B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Tuberculosis (TB), caused by Mycobacterium tuberculosis (Mtb), remains a major </w:t>
      </w:r>
    </w:p>
    <w:p w14:paraId="12A7910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global health concern, particularly due to the emergence of drug-resistant </w:t>
      </w:r>
    </w:p>
    <w:p w14:paraId="6AD891C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strains. FAD-containing monooxygenase EthA activates the antitubercular prodrug </w:t>
      </w:r>
    </w:p>
    <w:p w14:paraId="6FC5E2C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ethionamide (ETH) in Mtb. However, the structural and functional mechanisms of </w:t>
      </w:r>
    </w:p>
    <w:p w14:paraId="30E9562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Mtb EthA are not fully understood. Here, we report an AlphaFold2-predicted </w:t>
      </w:r>
    </w:p>
    <w:p w14:paraId="1DB7684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structural model of Mtb EthA, validated using Ramachandran analysis (91.7% </w:t>
      </w:r>
    </w:p>
    <w:p w14:paraId="368B940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residues in favored regions) and a ProSA Z-score of -10.96. Based on the results </w:t>
      </w:r>
    </w:p>
    <w:p w14:paraId="00B35BA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of molecular docking, site-directed mutagenesis was conducted. We found that </w:t>
      </w:r>
    </w:p>
    <w:p w14:paraId="4CDC42A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R207 is required for EthA activity. Alanine substitutions at T186, S208, and </w:t>
      </w:r>
    </w:p>
    <w:p w14:paraId="6ACE387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T210 resulted in 5.8- to 7.2-fold reductions in activity. Conversely, deletion </w:t>
      </w:r>
    </w:p>
    <w:p w14:paraId="2FFAA6A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of three peripheral segments (residues 137-176, 315-336, and 419-460) enhanced </w:t>
      </w:r>
    </w:p>
    <w:p w14:paraId="42021B5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activity by 1.9-, 1.5-, and 1.2-fold, respectively. These results provide a </w:t>
      </w:r>
    </w:p>
    <w:p w14:paraId="60C4ED1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structural framework for EthA function and suggest that flexible peripheral </w:t>
      </w:r>
    </w:p>
    <w:p w14:paraId="3C41288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regions may constrain catalytic activity, offering insights into ETH activation </w:t>
      </w:r>
    </w:p>
    <w:p w14:paraId="1F05032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and potential mechanisms of drug resistance.</w:t>
      </w:r>
    </w:p>
    <w:p w14:paraId="28DE571F">
      <w:pPr>
        <w:rPr>
          <w:rFonts w:hint="eastAsia" w:ascii="宋体" w:hAnsi="宋体" w:eastAsia="宋体" w:cs="宋体"/>
          <w:color w:val="000000" w:themeColor="text1"/>
          <w:szCs w:val="24"/>
          <w14:textFill>
            <w14:solidFill>
              <w14:schemeClr w14:val="tx1"/>
            </w14:solidFill>
          </w14:textFill>
        </w:rPr>
      </w:pPr>
    </w:p>
    <w:p w14:paraId="231321B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10.3390/biom16091333</w:t>
      </w:r>
    </w:p>
    <w:p w14:paraId="1007F10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42793164 [Indexed for MEDLINE]</w:t>
      </w:r>
    </w:p>
    <w:p w14:paraId="17F7EFBC">
      <w:pPr>
        <w:rPr>
          <w:rFonts w:hint="eastAsia" w:ascii="宋体" w:hAnsi="宋体" w:eastAsia="宋体" w:cs="宋体"/>
          <w:color w:val="000000" w:themeColor="text1"/>
          <w:szCs w:val="24"/>
          <w14:textFill>
            <w14:solidFill>
              <w14:schemeClr w14:val="tx1"/>
            </w14:solidFill>
          </w14:textFill>
        </w:rPr>
      </w:pPr>
    </w:p>
    <w:p w14:paraId="3778BFD5">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15</w:t>
      </w:r>
      <w:r>
        <w:rPr>
          <w:rFonts w:hint="eastAsia" w:ascii="宋体" w:hAnsi="宋体" w:eastAsia="宋体" w:cs="宋体"/>
          <w:b/>
          <w:bCs/>
          <w:color w:val="FF0000"/>
          <w:szCs w:val="24"/>
        </w:rPr>
        <w:t xml:space="preserve">. Front Cell Infect Microbiol. 2026 Sep 10;16:1912652. doi: </w:t>
      </w:r>
    </w:p>
    <w:p w14:paraId="27A9EB6E">
      <w:pPr>
        <w:rPr>
          <w:rFonts w:hint="eastAsia" w:ascii="宋体" w:hAnsi="宋体" w:eastAsia="宋体" w:cs="宋体"/>
          <w:b/>
          <w:bCs/>
          <w:color w:val="FF0000"/>
          <w:szCs w:val="24"/>
        </w:rPr>
      </w:pPr>
      <w:r>
        <w:rPr>
          <w:rFonts w:hint="eastAsia" w:ascii="宋体" w:hAnsi="宋体" w:eastAsia="宋体" w:cs="宋体"/>
          <w:b/>
          <w:bCs/>
          <w:color w:val="FF0000"/>
          <w:szCs w:val="24"/>
        </w:rPr>
        <w:t>10.3389/fcimb.2026.1912652. eCollection 2026.</w:t>
      </w:r>
    </w:p>
    <w:p w14:paraId="10EDC4FB">
      <w:pPr>
        <w:rPr>
          <w:rFonts w:hint="eastAsia" w:ascii="宋体" w:hAnsi="宋体" w:eastAsia="宋体" w:cs="宋体"/>
          <w:color w:val="000000" w:themeColor="text1"/>
          <w:szCs w:val="24"/>
          <w14:textFill>
            <w14:solidFill>
              <w14:schemeClr w14:val="tx1"/>
            </w14:solidFill>
          </w14:textFill>
        </w:rPr>
      </w:pPr>
    </w:p>
    <w:p w14:paraId="122F614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Impact of clinical sample processing time on the performance and T-cell response </w:t>
      </w:r>
    </w:p>
    <w:p w14:paraId="3ED63BA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of the T-SPOT.TB assay.</w:t>
      </w:r>
    </w:p>
    <w:p w14:paraId="0375BBA0">
      <w:pPr>
        <w:rPr>
          <w:rFonts w:hint="eastAsia" w:ascii="宋体" w:hAnsi="宋体" w:eastAsia="宋体" w:cs="宋体"/>
          <w:color w:val="000000" w:themeColor="text1"/>
          <w:szCs w:val="24"/>
          <w14:textFill>
            <w14:solidFill>
              <w14:schemeClr w14:val="tx1"/>
            </w14:solidFill>
          </w14:textFill>
        </w:rPr>
      </w:pPr>
    </w:p>
    <w:p w14:paraId="67EFF7D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Chang Y(#)(1), Ruan G(#)(1), Liu Y(2), Zhou B(1), Zhang L(1)(3)(4), Han Y(1).</w:t>
      </w:r>
    </w:p>
    <w:p w14:paraId="5F5FC83A">
      <w:pPr>
        <w:rPr>
          <w:rFonts w:hint="eastAsia" w:ascii="宋体" w:hAnsi="宋体" w:eastAsia="宋体" w:cs="宋体"/>
          <w:color w:val="000000" w:themeColor="text1"/>
          <w:szCs w:val="24"/>
          <w14:textFill>
            <w14:solidFill>
              <w14:schemeClr w14:val="tx1"/>
            </w14:solidFill>
          </w14:textFill>
        </w:rPr>
      </w:pPr>
    </w:p>
    <w:p w14:paraId="7393C07C">
      <w:pPr>
        <w:rPr>
          <w:rFonts w:hint="eastAsia" w:ascii="宋体" w:hAnsi="宋体" w:eastAsia="宋体" w:cs="宋体"/>
          <w:b/>
          <w:bCs/>
          <w:color w:val="4472C4" w:themeColor="accent5"/>
          <w:szCs w:val="24"/>
          <w:lang w:val="en-US" w:eastAsia="zh-CN"/>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Yue Chang,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Guiren Ruan,</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Yaxu Liu,</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Baotong Zhou,</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Lifan Zhang</w:t>
      </w:r>
      <w:r>
        <w:rPr>
          <w:rFonts w:hint="eastAsia" w:ascii="宋体" w:hAnsi="宋体" w:eastAsia="宋体" w:cs="宋体"/>
          <w:b/>
          <w:bCs/>
          <w:color w:val="4472C4" w:themeColor="accent5"/>
          <w:szCs w:val="24"/>
          <w:lang w:val="en-US"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Yang Han</w:t>
      </w:r>
      <w:r>
        <w:rPr>
          <w:rFonts w:hint="eastAsia" w:ascii="宋体" w:hAnsi="宋体" w:eastAsia="宋体" w:cs="宋体"/>
          <w:b/>
          <w:bCs/>
          <w:color w:val="4472C4" w:themeColor="accent5"/>
          <w:szCs w:val="24"/>
          <w:lang w:val="en-US" w:eastAsia="zh-CN"/>
          <w14:textFill>
            <w14:solidFill>
              <w14:schemeClr w14:val="accent5"/>
            </w14:solidFill>
          </w14:textFill>
        </w:rPr>
        <w:t>*</w:t>
      </w:r>
    </w:p>
    <w:p w14:paraId="0468ADA7">
      <w:pPr>
        <w:jc w:val="left"/>
        <w:rPr>
          <w:rFonts w:hint="eastAsia" w:ascii="宋体" w:hAnsi="宋体" w:eastAsia="宋体" w:cs="宋体"/>
          <w:b/>
          <w:bCs/>
          <w:color w:val="4472C4" w:themeColor="accent5"/>
          <w:szCs w:val="24"/>
          <w:lang w:eastAsia="zh-CN"/>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*CORRESPONDENCE Lifan Zhang</w:t>
      </w:r>
      <w:r>
        <w:rPr>
          <w:rFonts w:hint="eastAsia" w:ascii="宋体" w:hAnsi="宋体" w:eastAsia="宋体" w:cs="宋体"/>
          <w:b/>
          <w:bCs/>
          <w:color w:val="4472C4" w:themeColor="accent5"/>
          <w:szCs w:val="24"/>
          <w:lang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zhanglifan@pumch.cn</w:t>
      </w:r>
      <w:r>
        <w:rPr>
          <w:rFonts w:hint="eastAsia" w:ascii="宋体" w:hAnsi="宋体" w:eastAsia="宋体" w:cs="宋体"/>
          <w:b/>
          <w:bCs/>
          <w:color w:val="4472C4" w:themeColor="accent5"/>
          <w:szCs w:val="24"/>
          <w:lang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lifanzhang1982@126.com</w:t>
      </w:r>
      <w:r>
        <w:rPr>
          <w:rFonts w:hint="eastAsia" w:ascii="宋体" w:hAnsi="宋体" w:eastAsia="宋体" w:cs="宋体"/>
          <w:b/>
          <w:bCs/>
          <w:color w:val="4472C4" w:themeColor="accent5"/>
          <w:szCs w:val="24"/>
          <w:lang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 xml:space="preserve"> Yang Han</w:t>
      </w:r>
      <w:r>
        <w:rPr>
          <w:rFonts w:hint="eastAsia" w:ascii="宋体" w:hAnsi="宋体" w:eastAsia="宋体" w:cs="宋体"/>
          <w:b/>
          <w:bCs/>
          <w:color w:val="4472C4" w:themeColor="accent5"/>
          <w:szCs w:val="24"/>
          <w:lang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hanyang_pumch@126.com</w:t>
      </w:r>
      <w:r>
        <w:rPr>
          <w:rFonts w:hint="eastAsia" w:ascii="宋体" w:hAnsi="宋体" w:eastAsia="宋体" w:cs="宋体"/>
          <w:b/>
          <w:bCs/>
          <w:color w:val="4472C4" w:themeColor="accent5"/>
          <w:szCs w:val="24"/>
          <w:lang w:eastAsia="zh-CN"/>
          <w14:textFill>
            <w14:solidFill>
              <w14:schemeClr w14:val="accent5"/>
            </w14:solidFill>
          </w14:textFill>
        </w:rPr>
        <w:t>）</w:t>
      </w:r>
    </w:p>
    <w:p w14:paraId="6A86CBFE">
      <w:pPr>
        <w:rPr>
          <w:rFonts w:hint="eastAsia" w:ascii="宋体" w:hAnsi="宋体" w:eastAsia="宋体" w:cs="宋体"/>
          <w:color w:val="000000" w:themeColor="text1"/>
          <w:szCs w:val="24"/>
          <w14:textFill>
            <w14:solidFill>
              <w14:schemeClr w14:val="tx1"/>
            </w14:solidFill>
          </w14:textFill>
        </w:rPr>
      </w:pPr>
    </w:p>
    <w:p w14:paraId="6538071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1952A92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Infectious Diseases, State Key Laboratory of Complex Severe and </w:t>
      </w:r>
    </w:p>
    <w:p w14:paraId="0296957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Rare Disease, Peking Union Medical College Hospital, Chinese Academy of Medical </w:t>
      </w:r>
    </w:p>
    <w:p w14:paraId="0F01BB6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Sciences and Peking Union Medical College, Beijing, China.</w:t>
      </w:r>
    </w:p>
    <w:p w14:paraId="1800668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(2)Department of Health Care, Peking Union Medical College Hospital, Chinese </w:t>
      </w:r>
    </w:p>
    <w:p w14:paraId="1158F79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Academy of Medical Sciences, Beijing, China.</w:t>
      </w:r>
    </w:p>
    <w:p w14:paraId="32FFE42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(3)Clinical Epidemiology Unit, Peking Union Medical College, International </w:t>
      </w:r>
    </w:p>
    <w:p w14:paraId="4C10E9C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Clinical Epidemiology Network, Beijing, China.</w:t>
      </w:r>
    </w:p>
    <w:p w14:paraId="5A97EDF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(4)Center for Tuberculosis Research, Chinese Academy of Medical Sciences and </w:t>
      </w:r>
    </w:p>
    <w:p w14:paraId="45768E4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Peking Union Medical College, Beijing, China.</w:t>
      </w:r>
    </w:p>
    <w:p w14:paraId="6B032FC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(#)Contributed equally</w:t>
      </w:r>
    </w:p>
    <w:p w14:paraId="61206208">
      <w:pPr>
        <w:rPr>
          <w:rFonts w:hint="eastAsia" w:ascii="宋体" w:hAnsi="宋体" w:eastAsia="宋体" w:cs="宋体"/>
          <w:b/>
          <w:bCs/>
          <w:color w:val="000000" w:themeColor="text1"/>
          <w:szCs w:val="24"/>
          <w14:textFill>
            <w14:solidFill>
              <w14:schemeClr w14:val="tx1"/>
            </w14:solidFill>
          </w14:textFill>
        </w:rPr>
      </w:pPr>
    </w:p>
    <w:p w14:paraId="77ACAC1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OBJECTIVES: </w:t>
      </w:r>
      <w:r>
        <w:rPr>
          <w:rFonts w:hint="eastAsia" w:ascii="宋体" w:hAnsi="宋体" w:eastAsia="宋体" w:cs="宋体"/>
          <w:color w:val="000000" w:themeColor="text1"/>
          <w:szCs w:val="24"/>
          <w14:textFill>
            <w14:solidFill>
              <w14:schemeClr w14:val="tx1"/>
            </w14:solidFill>
          </w14:textFill>
        </w:rPr>
        <w:t xml:space="preserve">T-SPOT.TB, an interferon-gamma release assay (IGRA) for detecting </w:t>
      </w:r>
    </w:p>
    <w:p w14:paraId="3667779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Mycobacterium tuberculosis infection, requires blood processing within 4 hours, </w:t>
      </w:r>
    </w:p>
    <w:p w14:paraId="051F033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limiting clinical flexibility. T-Cell Xtend™ (TCX) extends permissible storage </w:t>
      </w:r>
    </w:p>
    <w:p w14:paraId="175859F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but is costly. This study evaluated delayed processing impacts on T-SPOT.TB </w:t>
      </w:r>
    </w:p>
    <w:p w14:paraId="2B5D484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consistency in a real-world setting.</w:t>
      </w:r>
    </w:p>
    <w:p w14:paraId="77EE89D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METHODS:</w:t>
      </w:r>
      <w:r>
        <w:rPr>
          <w:rFonts w:hint="eastAsia" w:ascii="宋体" w:hAnsi="宋体" w:eastAsia="宋体" w:cs="宋体"/>
          <w:color w:val="000000" w:themeColor="text1"/>
          <w:szCs w:val="24"/>
          <w14:textFill>
            <w14:solidFill>
              <w14:schemeClr w14:val="tx1"/>
            </w14:solidFill>
          </w14:textFill>
        </w:rPr>
        <w:t xml:space="preserve"> Outpatients undergoing T-SPOT.TB testing were prospectively enrolled. </w:t>
      </w:r>
    </w:p>
    <w:p w14:paraId="055AB34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Samples were processed at standard timing (≤4 h), after 24-h delay with TCX, and </w:t>
      </w:r>
    </w:p>
    <w:p w14:paraId="38C8FB2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after 24-h delay without TCX. Consecutive-day fresh samples served as </w:t>
      </w:r>
    </w:p>
    <w:p w14:paraId="2369419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within-subject reproducibility references.</w:t>
      </w:r>
    </w:p>
    <w:p w14:paraId="76782B8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RESULTS: </w:t>
      </w:r>
      <w:r>
        <w:rPr>
          <w:rFonts w:hint="eastAsia" w:ascii="宋体" w:hAnsi="宋体" w:eastAsia="宋体" w:cs="宋体"/>
          <w:color w:val="000000" w:themeColor="text1"/>
          <w:szCs w:val="24"/>
          <w14:textFill>
            <w14:solidFill>
              <w14:schemeClr w14:val="tx1"/>
            </w14:solidFill>
          </w14:textFill>
        </w:rPr>
        <w:t xml:space="preserve">Among 443 patients, 282 underwent 24-h delayed testing. Agreement with </w:t>
      </w:r>
    </w:p>
    <w:p w14:paraId="5562797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standard-timing results was 93.3% without TCX (κ=0.859) and 93.0% with TCX </w:t>
      </w:r>
    </w:p>
    <w:p w14:paraId="7A92D61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(κ=0.860), comparable to fresh-sample reproducibility (95.0%; κ=0.840; all </w:t>
      </w:r>
    </w:p>
    <w:p w14:paraId="7C4F463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p&lt;0.001). Multivariable analysis identified initial borderline results (OR = </w:t>
      </w:r>
    </w:p>
    <w:p w14:paraId="0939EA6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15.21, p&lt;0.001) and 24-h delay (p&lt;0.05) as independent predictors of T-SPOT.TB </w:t>
      </w:r>
    </w:p>
    <w:p w14:paraId="792AEF0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reversion, regardless of TCX use. Antigen-well spot-forming cell (SFC) counts </w:t>
      </w:r>
    </w:p>
    <w:p w14:paraId="35F69AF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were significantly reduced after 24-h delay (p&lt;0.001); TCX did not mitigate this </w:t>
      </w:r>
    </w:p>
    <w:p w14:paraId="7497B83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decline (p=1.000). Positive-control SFC counts remained stable (p=0.602).</w:t>
      </w:r>
    </w:p>
    <w:p w14:paraId="2B4B124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CONCLUSIONS: </w:t>
      </w:r>
      <w:r>
        <w:rPr>
          <w:rFonts w:hint="eastAsia" w:ascii="宋体" w:hAnsi="宋体" w:eastAsia="宋体" w:cs="宋体"/>
          <w:color w:val="000000" w:themeColor="text1"/>
          <w:szCs w:val="24"/>
          <w14:textFill>
            <w14:solidFill>
              <w14:schemeClr w14:val="tx1"/>
            </w14:solidFill>
          </w14:textFill>
        </w:rPr>
        <w:t xml:space="preserve">A 24-h processing delay demonstrated high concordance with </w:t>
      </w:r>
    </w:p>
    <w:p w14:paraId="4749C5A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standard-timing T-SPOT.TB results, supporting clinical feasibility. </w:t>
      </w:r>
    </w:p>
    <w:p w14:paraId="1107C43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Nevertheless, borderline results and delayed processing were independently </w:t>
      </w:r>
    </w:p>
    <w:p w14:paraId="36ACD34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associated with result discordance, warranting cautious clinical interpretation.</w:t>
      </w:r>
    </w:p>
    <w:p w14:paraId="54E9C90B">
      <w:pPr>
        <w:rPr>
          <w:rFonts w:hint="eastAsia" w:ascii="宋体" w:hAnsi="宋体" w:eastAsia="宋体" w:cs="宋体"/>
          <w:color w:val="000000" w:themeColor="text1"/>
          <w:szCs w:val="24"/>
          <w14:textFill>
            <w14:solidFill>
              <w14:schemeClr w14:val="tx1"/>
            </w14:solidFill>
          </w14:textFill>
        </w:rPr>
      </w:pPr>
    </w:p>
    <w:p w14:paraId="307D1E7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Copyright © 2026 Chang, Ruan, Liu, Zhou, Zhang and Han.</w:t>
      </w:r>
    </w:p>
    <w:p w14:paraId="08176BAD">
      <w:pPr>
        <w:rPr>
          <w:rFonts w:hint="eastAsia" w:ascii="宋体" w:hAnsi="宋体" w:eastAsia="宋体" w:cs="宋体"/>
          <w:color w:val="000000" w:themeColor="text1"/>
          <w:szCs w:val="24"/>
          <w14:textFill>
            <w14:solidFill>
              <w14:schemeClr w14:val="tx1"/>
            </w14:solidFill>
          </w14:textFill>
        </w:rPr>
      </w:pPr>
    </w:p>
    <w:p w14:paraId="2F06C4B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10.3389/fcimb.2026.1912652</w:t>
      </w:r>
    </w:p>
    <w:p w14:paraId="261BC2D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PMC13600888</w:t>
      </w:r>
    </w:p>
    <w:p w14:paraId="7638F6C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42787216 [Indexed for MEDLINE]</w:t>
      </w:r>
    </w:p>
    <w:p w14:paraId="56B0BB0E">
      <w:pPr>
        <w:rPr>
          <w:rFonts w:hint="eastAsia" w:ascii="宋体" w:hAnsi="宋体" w:eastAsia="宋体" w:cs="宋体"/>
          <w:color w:val="000000" w:themeColor="text1"/>
          <w:szCs w:val="24"/>
          <w14:textFill>
            <w14:solidFill>
              <w14:schemeClr w14:val="tx1"/>
            </w14:solidFill>
          </w14:textFill>
        </w:rPr>
      </w:pPr>
    </w:p>
    <w:p w14:paraId="3F559391">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16</w:t>
      </w:r>
      <w:r>
        <w:rPr>
          <w:rFonts w:hint="eastAsia" w:ascii="宋体" w:hAnsi="宋体" w:eastAsia="宋体" w:cs="宋体"/>
          <w:b/>
          <w:bCs/>
          <w:color w:val="FF0000"/>
          <w:szCs w:val="24"/>
        </w:rPr>
        <w:t xml:space="preserve">. Front Med (Lausanne). 2026 Sep 10;13:1921992. doi: 10.3389/fmed.2026.1921992. </w:t>
      </w:r>
    </w:p>
    <w:p w14:paraId="3D1223F2">
      <w:pPr>
        <w:rPr>
          <w:rFonts w:hint="eastAsia" w:ascii="宋体" w:hAnsi="宋体" w:eastAsia="宋体" w:cs="宋体"/>
          <w:b/>
          <w:bCs/>
          <w:color w:val="FF0000"/>
          <w:szCs w:val="24"/>
        </w:rPr>
      </w:pPr>
      <w:r>
        <w:rPr>
          <w:rFonts w:hint="eastAsia" w:ascii="宋体" w:hAnsi="宋体" w:eastAsia="宋体" w:cs="宋体"/>
          <w:b/>
          <w:bCs/>
          <w:color w:val="FF0000"/>
          <w:szCs w:val="24"/>
        </w:rPr>
        <w:t>eCollection 2026.</w:t>
      </w:r>
    </w:p>
    <w:p w14:paraId="4B72A473">
      <w:pPr>
        <w:rPr>
          <w:rFonts w:hint="eastAsia" w:ascii="宋体" w:hAnsi="宋体" w:eastAsia="宋体" w:cs="宋体"/>
          <w:color w:val="000000" w:themeColor="text1"/>
          <w:szCs w:val="24"/>
          <w14:textFill>
            <w14:solidFill>
              <w14:schemeClr w14:val="tx1"/>
            </w14:solidFill>
          </w14:textFill>
        </w:rPr>
      </w:pPr>
    </w:p>
    <w:p w14:paraId="7D9775A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Clinical features of intestinal tuberculosis: an analysis of 46 cases, including </w:t>
      </w:r>
    </w:p>
    <w:p w14:paraId="6B97AD9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six initially misdiagnosed as Crohn's disease.</w:t>
      </w:r>
    </w:p>
    <w:p w14:paraId="3FD86791">
      <w:pPr>
        <w:rPr>
          <w:rFonts w:hint="eastAsia" w:ascii="宋体" w:hAnsi="宋体" w:eastAsia="宋体" w:cs="宋体"/>
          <w:color w:val="000000" w:themeColor="text1"/>
          <w:szCs w:val="24"/>
          <w14:textFill>
            <w14:solidFill>
              <w14:schemeClr w14:val="tx1"/>
            </w14:solidFill>
          </w14:textFill>
        </w:rPr>
      </w:pPr>
    </w:p>
    <w:p w14:paraId="25B6167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Li L(#)(1), Wang J(#)(1), Niu X(1).</w:t>
      </w:r>
    </w:p>
    <w:p w14:paraId="21D454CD">
      <w:pPr>
        <w:rPr>
          <w:rFonts w:hint="eastAsia" w:ascii="宋体" w:hAnsi="宋体" w:eastAsia="宋体" w:cs="宋体"/>
          <w:color w:val="000000" w:themeColor="text1"/>
          <w:szCs w:val="24"/>
          <w14:textFill>
            <w14:solidFill>
              <w14:schemeClr w14:val="tx1"/>
            </w14:solidFill>
          </w14:textFill>
        </w:rPr>
      </w:pPr>
    </w:p>
    <w:p w14:paraId="7784ECB5">
      <w:pPr>
        <w:rPr>
          <w:rFonts w:hint="eastAsia" w:ascii="宋体" w:hAnsi="宋体" w:eastAsia="宋体" w:cs="宋体"/>
          <w:b/>
          <w:bCs/>
          <w:color w:val="4472C4" w:themeColor="accent5"/>
          <w:szCs w:val="24"/>
          <w:lang w:val="en-US" w:eastAsia="zh-CN"/>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Lin Li,</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Jing Wang,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Xiaoping Niu</w:t>
      </w:r>
      <w:r>
        <w:rPr>
          <w:rFonts w:hint="eastAsia" w:ascii="宋体" w:hAnsi="宋体" w:eastAsia="宋体" w:cs="宋体"/>
          <w:b/>
          <w:bCs/>
          <w:color w:val="4472C4" w:themeColor="accent5"/>
          <w:szCs w:val="24"/>
          <w:lang w:val="en-US" w:eastAsia="zh-CN"/>
          <w14:textFill>
            <w14:solidFill>
              <w14:schemeClr w14:val="accent5"/>
            </w14:solidFill>
          </w14:textFill>
        </w:rPr>
        <w:t>*</w:t>
      </w:r>
    </w:p>
    <w:p w14:paraId="336AB236">
      <w:pPr>
        <w:rPr>
          <w:rFonts w:hint="eastAsia" w:ascii="宋体" w:hAnsi="宋体" w:eastAsia="宋体" w:cs="宋体"/>
          <w:b/>
          <w:bCs/>
          <w:color w:val="4472C4" w:themeColor="accent5"/>
          <w:szCs w:val="24"/>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*CORRESPONDENCE Xiaoping Niu</w:t>
      </w:r>
      <w:r>
        <w:rPr>
          <w:rFonts w:hint="eastAsia" w:ascii="宋体" w:hAnsi="宋体" w:eastAsia="宋体" w:cs="宋体"/>
          <w:b/>
          <w:bCs/>
          <w:color w:val="4472C4" w:themeColor="accent5"/>
          <w:szCs w:val="24"/>
          <w:lang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niuxiaoping05@163.com</w:t>
      </w:r>
    </w:p>
    <w:p w14:paraId="5ACCEF49">
      <w:pPr>
        <w:rPr>
          <w:rFonts w:hint="eastAsia" w:ascii="宋体" w:hAnsi="宋体" w:eastAsia="宋体" w:cs="宋体"/>
          <w:color w:val="000000" w:themeColor="text1"/>
          <w:szCs w:val="24"/>
          <w14:textFill>
            <w14:solidFill>
              <w14:schemeClr w14:val="tx1"/>
            </w14:solidFill>
          </w14:textFill>
        </w:rPr>
      </w:pPr>
    </w:p>
    <w:p w14:paraId="4A44453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02C2522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Gastroenterology, The First Affiliated Hospital of Wannan </w:t>
      </w:r>
    </w:p>
    <w:p w14:paraId="12C8720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Medical University, Wuhu, China.</w:t>
      </w:r>
    </w:p>
    <w:p w14:paraId="657BEAE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(#)Contributed equally</w:t>
      </w:r>
    </w:p>
    <w:p w14:paraId="1F5765E7">
      <w:pPr>
        <w:rPr>
          <w:rFonts w:hint="eastAsia" w:ascii="宋体" w:hAnsi="宋体" w:eastAsia="宋体" w:cs="宋体"/>
          <w:color w:val="000000" w:themeColor="text1"/>
          <w:szCs w:val="24"/>
          <w14:textFill>
            <w14:solidFill>
              <w14:schemeClr w14:val="tx1"/>
            </w14:solidFill>
          </w14:textFill>
        </w:rPr>
      </w:pPr>
    </w:p>
    <w:p w14:paraId="1ECB9B1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OBJECTIVE: </w:t>
      </w:r>
      <w:r>
        <w:rPr>
          <w:rFonts w:hint="eastAsia" w:ascii="宋体" w:hAnsi="宋体" w:eastAsia="宋体" w:cs="宋体"/>
          <w:color w:val="000000" w:themeColor="text1"/>
          <w:szCs w:val="24"/>
          <w14:textFill>
            <w14:solidFill>
              <w14:schemeClr w14:val="tx1"/>
            </w14:solidFill>
          </w14:textFill>
        </w:rPr>
        <w:t xml:space="preserve">The purpose of this study was to summarize the clinical, laboratory, </w:t>
      </w:r>
    </w:p>
    <w:p w14:paraId="4581495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endoscopic, imaging, and histopathological features of intestinal tuberculosis </w:t>
      </w:r>
    </w:p>
    <w:p w14:paraId="7AE96E2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(ITB), with a focus on the clinical characteristics of ITB cases initially </w:t>
      </w:r>
    </w:p>
    <w:p w14:paraId="46F7868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misdiagnosed as Crohn's disease (CD), to improve clinicians' understanding and </w:t>
      </w:r>
    </w:p>
    <w:p w14:paraId="465D261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diagnosis of ITB.</w:t>
      </w:r>
    </w:p>
    <w:p w14:paraId="66085FC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METHODS: </w:t>
      </w:r>
      <w:r>
        <w:rPr>
          <w:rFonts w:hint="eastAsia" w:ascii="宋体" w:hAnsi="宋体" w:eastAsia="宋体" w:cs="宋体"/>
          <w:color w:val="000000" w:themeColor="text1"/>
          <w:szCs w:val="24"/>
          <w14:textFill>
            <w14:solidFill>
              <w14:schemeClr w14:val="tx1"/>
            </w14:solidFill>
          </w14:textFill>
        </w:rPr>
        <w:t xml:space="preserve">The clinical data of patients diagnosed with ITB at the First </w:t>
      </w:r>
    </w:p>
    <w:p w14:paraId="096CCAC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Affiliated Hospital of Wannan Medical University between 1 January 2012 and 31 </w:t>
      </w:r>
    </w:p>
    <w:p w14:paraId="3D0DFA0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December 2025 were retrospectively analyzed. Among them, six patients were </w:t>
      </w:r>
    </w:p>
    <w:p w14:paraId="1396D64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initially misdiagnosed as having CD and were analyzed as a separate subgroup. </w:t>
      </w:r>
    </w:p>
    <w:p w14:paraId="35BBD2B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All data were analyzed using descriptive statistical methods.</w:t>
      </w:r>
    </w:p>
    <w:p w14:paraId="7D2AD09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RESULTS: </w:t>
      </w:r>
      <w:r>
        <w:rPr>
          <w:rFonts w:hint="eastAsia" w:ascii="宋体" w:hAnsi="宋体" w:eastAsia="宋体" w:cs="宋体"/>
          <w:color w:val="000000" w:themeColor="text1"/>
          <w:szCs w:val="24"/>
          <w14:textFill>
            <w14:solidFill>
              <w14:schemeClr w14:val="tx1"/>
            </w14:solidFill>
          </w14:textFill>
        </w:rPr>
        <w:t xml:space="preserve">In total, 46 patients with ITB were enrolled in the study. The most </w:t>
      </w:r>
    </w:p>
    <w:p w14:paraId="4744DA7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common clinical manifestation was abdominal pain (32 cases, 69.56%), followed by </w:t>
      </w:r>
    </w:p>
    <w:p w14:paraId="0B1F411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abdominal distention (18 cases, 39.13%). The positive rates of the T-Spot assay </w:t>
      </w:r>
    </w:p>
    <w:p w14:paraId="176F080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for tuberculosis (T-SPOT.TB test), purified protein-derived (PPD) test, and </w:t>
      </w:r>
    </w:p>
    <w:p w14:paraId="489D84A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chest imaging were 81.25% (26/32), 40.91% (9/22), and 39.13% (18/46), </w:t>
      </w:r>
    </w:p>
    <w:p w14:paraId="3DEFCD9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respectively. In the subgroup of six patients with ITB initially misdiagnosed as </w:t>
      </w:r>
    </w:p>
    <w:p w14:paraId="415F628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CD, all six underwent PPD and T-SPOT.TB testing, with positive rates of 50% and </w:t>
      </w:r>
    </w:p>
    <w:p w14:paraId="5505E6E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100%, respectively, indicating 50% agreement between the two diagnostic methods. </w:t>
      </w:r>
    </w:p>
    <w:p w14:paraId="062AAB9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Because ITB could not be ruled out, all six patients received diagnostic </w:t>
      </w:r>
    </w:p>
    <w:p w14:paraId="39801F2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antituberculosis therapy and showed a favorable response.</w:t>
      </w:r>
    </w:p>
    <w:p w14:paraId="265EFAE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CONCLUSION: </w:t>
      </w:r>
      <w:r>
        <w:rPr>
          <w:rFonts w:hint="eastAsia" w:ascii="宋体" w:hAnsi="宋体" w:eastAsia="宋体" w:cs="宋体"/>
          <w:color w:val="000000" w:themeColor="text1"/>
          <w:szCs w:val="24"/>
          <w14:textFill>
            <w14:solidFill>
              <w14:schemeClr w14:val="tx1"/>
            </w14:solidFill>
          </w14:textFill>
        </w:rPr>
        <w:t xml:space="preserve">The clinical manifestations of ITB lack specificity, and its </w:t>
      </w:r>
    </w:p>
    <w:p w14:paraId="1A8A96C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endoscopic and imaging manifestations are diverse, making ITB easily confused </w:t>
      </w:r>
    </w:p>
    <w:p w14:paraId="7D753F3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with CD. In patients with a high clinical suspicion of ITB, diagnostic </w:t>
      </w:r>
    </w:p>
    <w:p w14:paraId="4D4D2A1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antituberculosis treatment can serve as an important auxiliary diagnostic </w:t>
      </w:r>
    </w:p>
    <w:p w14:paraId="7B19520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method. Improving the recognition of atypical ITB cases may help reduce </w:t>
      </w:r>
    </w:p>
    <w:p w14:paraId="1B81C8F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misdiagnosis and improve patient prognosis.</w:t>
      </w:r>
    </w:p>
    <w:p w14:paraId="32B1173A">
      <w:pPr>
        <w:rPr>
          <w:rFonts w:hint="eastAsia" w:ascii="宋体" w:hAnsi="宋体" w:eastAsia="宋体" w:cs="宋体"/>
          <w:color w:val="000000" w:themeColor="text1"/>
          <w:szCs w:val="24"/>
          <w14:textFill>
            <w14:solidFill>
              <w14:schemeClr w14:val="tx1"/>
            </w14:solidFill>
          </w14:textFill>
        </w:rPr>
      </w:pPr>
    </w:p>
    <w:p w14:paraId="3C222E8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2026 Li, Wang and Niu.</w:t>
      </w:r>
    </w:p>
    <w:p w14:paraId="1D2A4D56">
      <w:pPr>
        <w:rPr>
          <w:rFonts w:hint="eastAsia" w:ascii="宋体" w:hAnsi="宋体" w:eastAsia="宋体" w:cs="宋体"/>
          <w:color w:val="000000" w:themeColor="text1"/>
          <w:szCs w:val="24"/>
          <w14:textFill>
            <w14:solidFill>
              <w14:schemeClr w14:val="tx1"/>
            </w14:solidFill>
          </w14:textFill>
        </w:rPr>
      </w:pPr>
    </w:p>
    <w:p w14:paraId="0BE72AA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10.3389/fmed.2026.1921992</w:t>
      </w:r>
    </w:p>
    <w:p w14:paraId="104C07F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PMC13600854</w:t>
      </w:r>
    </w:p>
    <w:p w14:paraId="6DB850F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42787032</w:t>
      </w:r>
    </w:p>
    <w:p w14:paraId="72C2A8DF">
      <w:pPr>
        <w:rPr>
          <w:rFonts w:hint="eastAsia" w:ascii="宋体" w:hAnsi="宋体" w:eastAsia="宋体" w:cs="宋体"/>
          <w:color w:val="000000" w:themeColor="text1"/>
          <w:szCs w:val="24"/>
          <w14:textFill>
            <w14:solidFill>
              <w14:schemeClr w14:val="tx1"/>
            </w14:solidFill>
          </w14:textFill>
        </w:rPr>
      </w:pPr>
    </w:p>
    <w:p w14:paraId="2A88EE58">
      <w:pPr>
        <w:rPr>
          <w:rFonts w:hint="eastAsia" w:ascii="宋体" w:hAnsi="宋体" w:eastAsia="宋体" w:cs="宋体"/>
          <w:b/>
          <w:bCs/>
          <w:color w:val="FF0000"/>
          <w:szCs w:val="24"/>
        </w:rPr>
      </w:pPr>
      <w:r>
        <w:rPr>
          <w:rFonts w:hint="eastAsia" w:ascii="宋体" w:hAnsi="宋体" w:eastAsia="宋体" w:cs="宋体"/>
          <w:b/>
          <w:bCs/>
          <w:color w:val="FF0000"/>
          <w:szCs w:val="24"/>
        </w:rPr>
        <w:t>1</w:t>
      </w:r>
      <w:r>
        <w:rPr>
          <w:rFonts w:hint="eastAsia" w:ascii="宋体" w:hAnsi="宋体" w:eastAsia="宋体" w:cs="宋体"/>
          <w:b/>
          <w:bCs/>
          <w:color w:val="FF0000"/>
          <w:szCs w:val="24"/>
          <w:lang w:val="en-US" w:eastAsia="zh-CN"/>
        </w:rPr>
        <w:t>7</w:t>
      </w:r>
      <w:r>
        <w:rPr>
          <w:rFonts w:hint="eastAsia" w:ascii="宋体" w:hAnsi="宋体" w:eastAsia="宋体" w:cs="宋体"/>
          <w:b/>
          <w:bCs/>
          <w:color w:val="FF0000"/>
          <w:szCs w:val="24"/>
        </w:rPr>
        <w:t xml:space="preserve">. Front Public Health. 2026 Sep 9;14:1914382. doi: 10.3389/fpubh.2026.1914382. </w:t>
      </w:r>
    </w:p>
    <w:p w14:paraId="7CD6E31E">
      <w:pPr>
        <w:rPr>
          <w:rFonts w:hint="eastAsia" w:ascii="宋体" w:hAnsi="宋体" w:eastAsia="宋体" w:cs="宋体"/>
          <w:b/>
          <w:bCs/>
          <w:color w:val="FF0000"/>
          <w:szCs w:val="24"/>
        </w:rPr>
      </w:pPr>
      <w:r>
        <w:rPr>
          <w:rFonts w:hint="eastAsia" w:ascii="宋体" w:hAnsi="宋体" w:eastAsia="宋体" w:cs="宋体"/>
          <w:b/>
          <w:bCs/>
          <w:color w:val="FF0000"/>
          <w:szCs w:val="24"/>
        </w:rPr>
        <w:t>eCollection 2026.</w:t>
      </w:r>
    </w:p>
    <w:p w14:paraId="28C82261">
      <w:pPr>
        <w:rPr>
          <w:rFonts w:hint="eastAsia" w:ascii="宋体" w:hAnsi="宋体" w:eastAsia="宋体" w:cs="宋体"/>
          <w:color w:val="000000" w:themeColor="text1"/>
          <w:szCs w:val="24"/>
          <w14:textFill>
            <w14:solidFill>
              <w14:schemeClr w14:val="tx1"/>
            </w14:solidFill>
          </w14:textFill>
        </w:rPr>
      </w:pPr>
    </w:p>
    <w:p w14:paraId="77C2593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 three-phase epidemiological fluctuation framework of extrapulmonary </w:t>
      </w:r>
    </w:p>
    <w:p w14:paraId="2D5B268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tuberculosis in Fuyang, China: a retrospective study.</w:t>
      </w:r>
    </w:p>
    <w:p w14:paraId="7141A635">
      <w:pPr>
        <w:rPr>
          <w:rFonts w:hint="eastAsia" w:ascii="宋体" w:hAnsi="宋体" w:eastAsia="宋体" w:cs="宋体"/>
          <w:color w:val="000000" w:themeColor="text1"/>
          <w:szCs w:val="24"/>
          <w14:textFill>
            <w14:solidFill>
              <w14:schemeClr w14:val="tx1"/>
            </w14:solidFill>
          </w14:textFill>
        </w:rPr>
      </w:pPr>
    </w:p>
    <w:p w14:paraId="5C6AF88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Li T(#)(1), Wang X(#)(1), Li M(1), Ding Y(1), Gao Y(2), Liu Y(1).</w:t>
      </w:r>
    </w:p>
    <w:p w14:paraId="6BF2C9EE">
      <w:pPr>
        <w:rPr>
          <w:rFonts w:hint="eastAsia" w:ascii="宋体" w:hAnsi="宋体" w:eastAsia="宋体" w:cs="宋体"/>
          <w:color w:val="000000" w:themeColor="text1"/>
          <w:szCs w:val="24"/>
          <w14:textFill>
            <w14:solidFill>
              <w14:schemeClr w14:val="tx1"/>
            </w14:solidFill>
          </w14:textFill>
        </w:rPr>
      </w:pPr>
    </w:p>
    <w:p w14:paraId="4BEFD7E5">
      <w:pPr>
        <w:rPr>
          <w:rFonts w:hint="eastAsia" w:ascii="宋体" w:hAnsi="宋体" w:eastAsia="宋体" w:cs="宋体"/>
          <w:b/>
          <w:bCs/>
          <w:color w:val="4472C4" w:themeColor="accent5"/>
          <w:szCs w:val="24"/>
          <w:lang w:val="en-US" w:eastAsia="zh-CN"/>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Tuantuan Li,</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Xiaowu Wang,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Mei Li,</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Yunyun Ding,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Yong Gao</w:t>
      </w:r>
      <w:r>
        <w:rPr>
          <w:rFonts w:hint="eastAsia" w:ascii="宋体" w:hAnsi="宋体" w:eastAsia="宋体" w:cs="宋体"/>
          <w:b/>
          <w:bCs/>
          <w:color w:val="4472C4" w:themeColor="accent5"/>
          <w:szCs w:val="24"/>
          <w:lang w:val="en-US"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Yan Liu</w:t>
      </w:r>
      <w:r>
        <w:rPr>
          <w:rFonts w:hint="eastAsia" w:ascii="宋体" w:hAnsi="宋体" w:eastAsia="宋体" w:cs="宋体"/>
          <w:b/>
          <w:bCs/>
          <w:color w:val="4472C4" w:themeColor="accent5"/>
          <w:szCs w:val="24"/>
          <w:lang w:val="en-US" w:eastAsia="zh-CN"/>
          <w14:textFill>
            <w14:solidFill>
              <w14:schemeClr w14:val="accent5"/>
            </w14:solidFill>
          </w14:textFill>
        </w:rPr>
        <w:t>*</w:t>
      </w:r>
    </w:p>
    <w:p w14:paraId="02AB4804">
      <w:pPr>
        <w:rPr>
          <w:rFonts w:hint="eastAsia" w:ascii="宋体" w:hAnsi="宋体" w:eastAsia="宋体" w:cs="宋体"/>
          <w:b/>
          <w:bCs/>
          <w:color w:val="4472C4" w:themeColor="accent5"/>
          <w:szCs w:val="24"/>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*CORRESPONDENCE Yong Gao</w:t>
      </w:r>
      <w:r>
        <w:rPr>
          <w:rFonts w:hint="eastAsia" w:ascii="宋体" w:hAnsi="宋体" w:eastAsia="宋体" w:cs="宋体"/>
          <w:b/>
          <w:bCs/>
          <w:color w:val="4472C4" w:themeColor="accent5"/>
          <w:szCs w:val="24"/>
          <w:lang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 xml:space="preserve">fyeryuangy8@126.com </w:t>
      </w:r>
      <w:r>
        <w:rPr>
          <w:rFonts w:hint="eastAsia" w:ascii="宋体" w:hAnsi="宋体" w:eastAsia="宋体" w:cs="宋体"/>
          <w:b/>
          <w:bCs/>
          <w:color w:val="4472C4" w:themeColor="accent5"/>
          <w:szCs w:val="24"/>
          <w:lang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Yan Liu</w:t>
      </w:r>
      <w:r>
        <w:rPr>
          <w:rFonts w:hint="eastAsia" w:ascii="宋体" w:hAnsi="宋体" w:eastAsia="宋体" w:cs="宋体"/>
          <w:b/>
          <w:bCs/>
          <w:color w:val="4472C4" w:themeColor="accent5"/>
          <w:szCs w:val="24"/>
          <w:lang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fyeryuanliuyan@126.com</w:t>
      </w:r>
    </w:p>
    <w:p w14:paraId="238C90D9">
      <w:pPr>
        <w:rPr>
          <w:rFonts w:hint="eastAsia" w:ascii="宋体" w:hAnsi="宋体" w:eastAsia="宋体" w:cs="宋体"/>
          <w:color w:val="000000" w:themeColor="text1"/>
          <w:szCs w:val="24"/>
          <w14:textFill>
            <w14:solidFill>
              <w14:schemeClr w14:val="tx1"/>
            </w14:solidFill>
          </w14:textFill>
        </w:rPr>
      </w:pPr>
    </w:p>
    <w:p w14:paraId="28603BB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0B433C4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Clinical Laboratory, The Second People's Hospital of Fuyang </w:t>
      </w:r>
    </w:p>
    <w:p w14:paraId="72B5D31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City, Fuyang, Anhui, China.</w:t>
      </w:r>
    </w:p>
    <w:p w14:paraId="0BEEFFB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(2)The Third People's Hospital of Fuyang City, Fuyang, Anhui, China.</w:t>
      </w:r>
    </w:p>
    <w:p w14:paraId="304630E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(#)Contributed equally</w:t>
      </w:r>
    </w:p>
    <w:p w14:paraId="68B876A4">
      <w:pPr>
        <w:rPr>
          <w:rFonts w:hint="eastAsia" w:ascii="宋体" w:hAnsi="宋体" w:eastAsia="宋体" w:cs="宋体"/>
          <w:color w:val="000000" w:themeColor="text1"/>
          <w:szCs w:val="24"/>
          <w14:textFill>
            <w14:solidFill>
              <w14:schemeClr w14:val="tx1"/>
            </w14:solidFill>
          </w14:textFill>
        </w:rPr>
      </w:pPr>
    </w:p>
    <w:p w14:paraId="66CF141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OBJECTIVE: T</w:t>
      </w:r>
      <w:r>
        <w:rPr>
          <w:rFonts w:hint="eastAsia" w:ascii="宋体" w:hAnsi="宋体" w:eastAsia="宋体" w:cs="宋体"/>
          <w:color w:val="000000" w:themeColor="text1"/>
          <w:szCs w:val="24"/>
          <w14:textFill>
            <w14:solidFill>
              <w14:schemeClr w14:val="tx1"/>
            </w14:solidFill>
          </w14:textFill>
        </w:rPr>
        <w:t xml:space="preserve">his study characterized eight-year epidemiological and clinical </w:t>
      </w:r>
    </w:p>
    <w:p w14:paraId="53710AA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features, diagnostic performance, and drug resistance of EPTB in Fuyang, China, </w:t>
      </w:r>
    </w:p>
    <w:p w14:paraId="4816AE2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and proposed a framework to interpret its dynamic burden.</w:t>
      </w:r>
    </w:p>
    <w:p w14:paraId="4CE6681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METHODS: W</w:t>
      </w:r>
      <w:r>
        <w:rPr>
          <w:rFonts w:hint="eastAsia" w:ascii="宋体" w:hAnsi="宋体" w:eastAsia="宋体" w:cs="宋体"/>
          <w:color w:val="000000" w:themeColor="text1"/>
          <w:szCs w:val="24"/>
          <w14:textFill>
            <w14:solidFill>
              <w14:schemeClr w14:val="tx1"/>
            </w14:solidFill>
          </w14:textFill>
        </w:rPr>
        <w:t xml:space="preserve">e conducted a retrospective study of EPTB patients at Fuyang Second </w:t>
      </w:r>
    </w:p>
    <w:p w14:paraId="0BB3D3E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People's Hospital from January 2018 to December 2025. Demographic, clinical, and </w:t>
      </w:r>
    </w:p>
    <w:p w14:paraId="316B130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laboratory data were extracted from medical records. Descriptive statistics and </w:t>
      </w:r>
    </w:p>
    <w:p w14:paraId="7B06F54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chi-square tests were used to analyze epidemiological characteristics. </w:t>
      </w:r>
    </w:p>
    <w:p w14:paraId="439E4D1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Diagnostic yields of IGRA, GeneXpert MTB/RIF Ultra, and culture were compared </w:t>
      </w:r>
    </w:p>
    <w:p w14:paraId="04283A4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based on positivity rates. Drug susceptibility testing (DST) was performed on </w:t>
      </w:r>
    </w:p>
    <w:p w14:paraId="7DAC583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culture-positive isolates. MDR was defined as resistance to at least isoniazid </w:t>
      </w:r>
    </w:p>
    <w:p w14:paraId="1ECDCCF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and rifampicin.</w:t>
      </w:r>
    </w:p>
    <w:p w14:paraId="5EC788F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RESULTS: </w:t>
      </w:r>
      <w:r>
        <w:rPr>
          <w:rFonts w:hint="eastAsia" w:ascii="宋体" w:hAnsi="宋体" w:eastAsia="宋体" w:cs="宋体"/>
          <w:color w:val="000000" w:themeColor="text1"/>
          <w:szCs w:val="24"/>
          <w14:textFill>
            <w14:solidFill>
              <w14:schemeClr w14:val="tx1"/>
            </w14:solidFill>
          </w14:textFill>
        </w:rPr>
        <w:t xml:space="preserve">EPTB accounted for 28.46% (2,281/8015) of all tuberculosis (TB) cases. </w:t>
      </w:r>
    </w:p>
    <w:p w14:paraId="1941371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majority of patients were aged (≥50 years, 52.78%), male (70.45%), and </w:t>
      </w:r>
    </w:p>
    <w:p w14:paraId="717F3D3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farmers (70.50%). Temporal analysis revealed a distinctive fluctuation pattern, </w:t>
      </w:r>
    </w:p>
    <w:p w14:paraId="443E2B5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with EPTB cases predominantly concentrated in 2019-2021 and 2024, which we </w:t>
      </w:r>
    </w:p>
    <w:p w14:paraId="54592CD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interpret as reflecting a three-phase fluctuation framework. The most prevalent </w:t>
      </w:r>
    </w:p>
    <w:p w14:paraId="23632FD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subtypes of EPTB were pleural TB (60.50%), osteoarticular TB (12.98%), lymphatic </w:t>
      </w:r>
    </w:p>
    <w:p w14:paraId="797D62F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TB (6.97%), central nervous system (4.65%), and gastrointestinal TB (3.24%). </w:t>
      </w:r>
    </w:p>
    <w:p w14:paraId="6FD90C3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IGRA showed the highest positivity rate (88.04%), significantly higher than </w:t>
      </w:r>
    </w:p>
    <w:p w14:paraId="540A123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GeneXpert MTB/RIF Ultra (35.60%) and culture (14.53%) (p &lt; 0.001). Clinical </w:t>
      </w:r>
    </w:p>
    <w:p w14:paraId="0FC2B5E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characteristics differed across the five most common EPTB subtypes. Among the 54 </w:t>
      </w:r>
    </w:p>
    <w:p w14:paraId="4790D97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isolates that underwent DST, resistance rates were highest for isoniazid </w:t>
      </w:r>
    </w:p>
    <w:p w14:paraId="3CCA131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(14.81%) and ethambutol (11.11%). Overall, 83.33% of these tested isolates were </w:t>
      </w:r>
    </w:p>
    <w:p w14:paraId="14AB25E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fully susceptible, while 9.26% were multidrugresistant (MDR), accounting for </w:t>
      </w:r>
    </w:p>
    <w:p w14:paraId="079C9B8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55.60% of all resistant cases within this tested subset.</w:t>
      </w:r>
    </w:p>
    <w:p w14:paraId="51D5C87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CONCLUSION:</w:t>
      </w:r>
      <w:r>
        <w:rPr>
          <w:rFonts w:hint="eastAsia" w:ascii="宋体" w:hAnsi="宋体" w:eastAsia="宋体" w:cs="宋体"/>
          <w:color w:val="000000" w:themeColor="text1"/>
          <w:szCs w:val="24"/>
          <w14:textFill>
            <w14:solidFill>
              <w14:schemeClr w14:val="tx1"/>
            </w14:solidFill>
          </w14:textFill>
        </w:rPr>
        <w:t xml:space="preserve"> EPTB constitutes a significant burden, particularly among aged, </w:t>
      </w:r>
    </w:p>
    <w:p w14:paraId="5E33DEC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male, and farming populations. Pleural TB is the most common form, and IGRA </w:t>
      </w:r>
    </w:p>
    <w:p w14:paraId="6C5DEA0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offers superior detection yield. Notably, the 2018-2025 EPTB proportion </w:t>
      </w:r>
    </w:p>
    <w:p w14:paraId="33D7310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fluctuations fit a three-phase descriptive framework (diagnosis-driven </w:t>
      </w:r>
    </w:p>
    <w:p w14:paraId="52CEAB2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ascendancy, pandemic disruption, re-equilibration), inspired by Omran's theory </w:t>
      </w:r>
    </w:p>
    <w:p w14:paraId="4B4552C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as a heuristic analogy, with breakpoints based on annual trends rather than </w:t>
      </w:r>
    </w:p>
    <w:p w14:paraId="50C7A61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statistically derived. Although overall drug resistance was low among the tested </w:t>
      </w:r>
    </w:p>
    <w:p w14:paraId="56AA093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isolates, the presence of MDR cases in this selected sample underscores the </w:t>
      </w:r>
    </w:p>
    <w:p w14:paraId="47CA014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importance of routine DST; however, larger unselected studies are warranted to </w:t>
      </w:r>
    </w:p>
    <w:p w14:paraId="619B544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validate the true population-level MDR burden.</w:t>
      </w:r>
    </w:p>
    <w:p w14:paraId="39CFBC06">
      <w:pPr>
        <w:rPr>
          <w:rFonts w:hint="eastAsia" w:ascii="宋体" w:hAnsi="宋体" w:eastAsia="宋体" w:cs="宋体"/>
          <w:color w:val="000000" w:themeColor="text1"/>
          <w:szCs w:val="24"/>
          <w14:textFill>
            <w14:solidFill>
              <w14:schemeClr w14:val="tx1"/>
            </w14:solidFill>
          </w14:textFill>
        </w:rPr>
      </w:pPr>
    </w:p>
    <w:p w14:paraId="1E26693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Copyright © 2026 Li, Wang, Li, Ding, Gao and Liu.</w:t>
      </w:r>
    </w:p>
    <w:p w14:paraId="6BE68C6A">
      <w:pPr>
        <w:rPr>
          <w:rFonts w:hint="eastAsia" w:ascii="宋体" w:hAnsi="宋体" w:eastAsia="宋体" w:cs="宋体"/>
          <w:color w:val="000000" w:themeColor="text1"/>
          <w:szCs w:val="24"/>
          <w14:textFill>
            <w14:solidFill>
              <w14:schemeClr w14:val="tx1"/>
            </w14:solidFill>
          </w14:textFill>
        </w:rPr>
      </w:pPr>
    </w:p>
    <w:p w14:paraId="61D331C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10.3389/fpubh.2026.1914382</w:t>
      </w:r>
    </w:p>
    <w:p w14:paraId="007CCB0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PMC13597729</w:t>
      </w:r>
    </w:p>
    <w:p w14:paraId="4BB9B4C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42780778 [Indexed for MEDLINE]</w:t>
      </w:r>
    </w:p>
    <w:p w14:paraId="63253941">
      <w:pPr>
        <w:rPr>
          <w:rFonts w:hint="eastAsia" w:ascii="宋体" w:hAnsi="宋体" w:eastAsia="宋体" w:cs="宋体"/>
          <w:color w:val="000000" w:themeColor="text1"/>
          <w:szCs w:val="24"/>
          <w14:textFill>
            <w14:solidFill>
              <w14:schemeClr w14:val="tx1"/>
            </w14:solidFill>
          </w14:textFill>
        </w:rPr>
      </w:pPr>
    </w:p>
    <w:p w14:paraId="0D753D00">
      <w:pPr>
        <w:rPr>
          <w:rFonts w:hint="eastAsia" w:ascii="宋体" w:hAnsi="宋体" w:eastAsia="宋体" w:cs="宋体"/>
          <w:b/>
          <w:bCs/>
          <w:color w:val="FF0000"/>
          <w:szCs w:val="24"/>
        </w:rPr>
      </w:pPr>
      <w:r>
        <w:rPr>
          <w:rFonts w:hint="eastAsia" w:ascii="宋体" w:hAnsi="宋体" w:eastAsia="宋体" w:cs="宋体"/>
          <w:b/>
          <w:bCs/>
          <w:color w:val="FF0000"/>
          <w:szCs w:val="24"/>
        </w:rPr>
        <w:t>1</w:t>
      </w:r>
      <w:r>
        <w:rPr>
          <w:rFonts w:hint="eastAsia" w:ascii="宋体" w:hAnsi="宋体" w:eastAsia="宋体" w:cs="宋体"/>
          <w:b/>
          <w:bCs/>
          <w:color w:val="FF0000"/>
          <w:szCs w:val="24"/>
          <w:lang w:val="en-US" w:eastAsia="zh-CN"/>
        </w:rPr>
        <w:t>8</w:t>
      </w:r>
      <w:r>
        <w:rPr>
          <w:rFonts w:hint="eastAsia" w:ascii="宋体" w:hAnsi="宋体" w:eastAsia="宋体" w:cs="宋体"/>
          <w:b/>
          <w:bCs/>
          <w:color w:val="FF0000"/>
          <w:szCs w:val="24"/>
        </w:rPr>
        <w:t xml:space="preserve">. Front Med (Lausanne). 2026 Sep 9;13:1895708. doi: 10.3389/fmed.2026.1895708. </w:t>
      </w:r>
    </w:p>
    <w:p w14:paraId="497D7720">
      <w:pPr>
        <w:rPr>
          <w:rFonts w:hint="eastAsia" w:ascii="宋体" w:hAnsi="宋体" w:eastAsia="宋体" w:cs="宋体"/>
          <w:b/>
          <w:bCs/>
          <w:color w:val="FF0000"/>
          <w:szCs w:val="24"/>
        </w:rPr>
      </w:pPr>
      <w:r>
        <w:rPr>
          <w:rFonts w:hint="eastAsia" w:ascii="宋体" w:hAnsi="宋体" w:eastAsia="宋体" w:cs="宋体"/>
          <w:b/>
          <w:bCs/>
          <w:color w:val="FF0000"/>
          <w:szCs w:val="24"/>
        </w:rPr>
        <w:t>eCollection 2026.</w:t>
      </w:r>
    </w:p>
    <w:p w14:paraId="22416C5C">
      <w:pPr>
        <w:rPr>
          <w:rFonts w:hint="eastAsia" w:ascii="宋体" w:hAnsi="宋体" w:eastAsia="宋体" w:cs="宋体"/>
          <w:color w:val="000000" w:themeColor="text1"/>
          <w:szCs w:val="24"/>
          <w14:textFill>
            <w14:solidFill>
              <w14:schemeClr w14:val="tx1"/>
            </w14:solidFill>
          </w14:textFill>
        </w:rPr>
      </w:pPr>
    </w:p>
    <w:p w14:paraId="32D444D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Neurological complication burden and in-hospital mortality in non-HIV </w:t>
      </w:r>
    </w:p>
    <w:p w14:paraId="5D5EE3B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tuberculous meningitis across the lifespan: a retrospective cohort study.</w:t>
      </w:r>
    </w:p>
    <w:p w14:paraId="53A14978">
      <w:pPr>
        <w:rPr>
          <w:rFonts w:hint="eastAsia" w:ascii="宋体" w:hAnsi="宋体" w:eastAsia="宋体" w:cs="宋体"/>
          <w:color w:val="000000" w:themeColor="text1"/>
          <w:szCs w:val="24"/>
          <w14:textFill>
            <w14:solidFill>
              <w14:schemeClr w14:val="tx1"/>
            </w14:solidFill>
          </w14:textFill>
        </w:rPr>
      </w:pPr>
    </w:p>
    <w:p w14:paraId="3A8C77B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Zhou Y(#)(1), Wu Q(#)(2), Xiao X(3), Zhou H(4), Ouyang Y(3), Hu J(5), Wang Z(5), </w:t>
      </w:r>
    </w:p>
    <w:p w14:paraId="5DC1FB7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Zeng W(3).</w:t>
      </w:r>
    </w:p>
    <w:p w14:paraId="2DC1D71A">
      <w:pPr>
        <w:rPr>
          <w:rFonts w:hint="eastAsia" w:ascii="宋体" w:hAnsi="宋体" w:eastAsia="宋体" w:cs="宋体"/>
          <w:color w:val="000000" w:themeColor="text1"/>
          <w:szCs w:val="24"/>
          <w14:textFill>
            <w14:solidFill>
              <w14:schemeClr w14:val="tx1"/>
            </w14:solidFill>
          </w14:textFill>
        </w:rPr>
      </w:pPr>
    </w:p>
    <w:p w14:paraId="301A712D">
      <w:pPr>
        <w:rPr>
          <w:rFonts w:hint="eastAsia" w:ascii="宋体" w:hAnsi="宋体" w:eastAsia="宋体" w:cs="宋体"/>
          <w:b/>
          <w:bCs/>
          <w:color w:val="4472C4" w:themeColor="accent5"/>
          <w:szCs w:val="24"/>
          <w:lang w:val="en-US" w:eastAsia="zh-CN"/>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Yanhua Zhou,</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Qiong Wu,</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Xiangzhi Xiao,</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Huashan Zhou,</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Yan Ouyang,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Jue Hu,</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Zhen Wang,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Wengao Zeng</w:t>
      </w:r>
      <w:r>
        <w:rPr>
          <w:rFonts w:hint="eastAsia" w:ascii="宋体" w:hAnsi="宋体" w:eastAsia="宋体" w:cs="宋体"/>
          <w:b/>
          <w:bCs/>
          <w:color w:val="4472C4" w:themeColor="accent5"/>
          <w:szCs w:val="24"/>
          <w:lang w:val="en-US" w:eastAsia="zh-CN"/>
          <w14:textFill>
            <w14:solidFill>
              <w14:schemeClr w14:val="accent5"/>
            </w14:solidFill>
          </w14:textFill>
        </w:rPr>
        <w:t>*</w:t>
      </w:r>
    </w:p>
    <w:p w14:paraId="5BA8986B">
      <w:pPr>
        <w:rPr>
          <w:rFonts w:hint="eastAsia" w:ascii="宋体" w:hAnsi="宋体" w:eastAsia="宋体" w:cs="宋体"/>
          <w:b/>
          <w:bCs/>
          <w:color w:val="4472C4" w:themeColor="accent5"/>
          <w:szCs w:val="24"/>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*CORRESPONDENCE Wengao Zeng</w:t>
      </w:r>
      <w:r>
        <w:rPr>
          <w:rFonts w:hint="eastAsia" w:ascii="宋体" w:hAnsi="宋体" w:eastAsia="宋体" w:cs="宋体"/>
          <w:b/>
          <w:bCs/>
          <w:color w:val="4472C4" w:themeColor="accent5"/>
          <w:szCs w:val="24"/>
          <w:lang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wgz9988@163.com</w:t>
      </w:r>
    </w:p>
    <w:p w14:paraId="65956AC1">
      <w:pPr>
        <w:rPr>
          <w:rFonts w:hint="eastAsia" w:ascii="宋体" w:hAnsi="宋体" w:eastAsia="宋体" w:cs="宋体"/>
          <w:color w:val="000000" w:themeColor="text1"/>
          <w:szCs w:val="24"/>
          <w14:textFill>
            <w14:solidFill>
              <w14:schemeClr w14:val="tx1"/>
            </w14:solidFill>
          </w14:textFill>
        </w:rPr>
      </w:pPr>
    </w:p>
    <w:p w14:paraId="7AE1FDC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0072723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Otorhinolaryngology, The Second Hospital of Changsha (West </w:t>
      </w:r>
    </w:p>
    <w:p w14:paraId="358B83C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Branch of Changsha Hospital for Maternal &amp; Child Health Care), Changsha, Hunan, </w:t>
      </w:r>
    </w:p>
    <w:p w14:paraId="77B3E9C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China.</w:t>
      </w:r>
    </w:p>
    <w:p w14:paraId="293AF06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(2)Department of Neurosurgery, The Affiliated Changsha Central Hospital, </w:t>
      </w:r>
    </w:p>
    <w:p w14:paraId="6AB8F76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Hengyang Medical School, University of South China, Changsha, Hunan, China.</w:t>
      </w:r>
    </w:p>
    <w:p w14:paraId="7C79F74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(3)Department of Neurology, The Second Hospital of Changsha (West Branch of </w:t>
      </w:r>
    </w:p>
    <w:p w14:paraId="783E9AC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Changsha Hospital for Maternal &amp; Child Health Care), Changsha, Hunan, China.</w:t>
      </w:r>
    </w:p>
    <w:p w14:paraId="75A632C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(4)Department of Pathology, The Second Hospital of Changsha (West Branch of </w:t>
      </w:r>
    </w:p>
    <w:p w14:paraId="3F97ADD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Changsha Hospital for Maternal &amp; Child Health Care), Changsha, Hunan, China.</w:t>
      </w:r>
    </w:p>
    <w:p w14:paraId="1DC1D3C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(5)Department of Neurology, The Affiliated Changsha Central Hospital, Hengyang </w:t>
      </w:r>
    </w:p>
    <w:p w14:paraId="68CDE03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Medical School, University of South China, Changsha, Hunan, China.</w:t>
      </w:r>
    </w:p>
    <w:p w14:paraId="26CC47D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(#)Contributed equally</w:t>
      </w:r>
    </w:p>
    <w:p w14:paraId="0CBE65A0">
      <w:pPr>
        <w:rPr>
          <w:rFonts w:hint="eastAsia" w:ascii="宋体" w:hAnsi="宋体" w:eastAsia="宋体" w:cs="宋体"/>
          <w:color w:val="000000" w:themeColor="text1"/>
          <w:szCs w:val="24"/>
          <w14:textFill>
            <w14:solidFill>
              <w14:schemeClr w14:val="tx1"/>
            </w14:solidFill>
          </w14:textFill>
        </w:rPr>
      </w:pPr>
    </w:p>
    <w:p w14:paraId="045BB7D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BACKGROUND: </w:t>
      </w:r>
      <w:r>
        <w:rPr>
          <w:rFonts w:hint="eastAsia" w:ascii="宋体" w:hAnsi="宋体" w:eastAsia="宋体" w:cs="宋体"/>
          <w:color w:val="000000" w:themeColor="text1"/>
          <w:szCs w:val="24"/>
          <w14:textFill>
            <w14:solidFill>
              <w14:schemeClr w14:val="tx1"/>
            </w14:solidFill>
          </w14:textFill>
        </w:rPr>
        <w:t xml:space="preserve">Tuberculous meningitis (TBM) is a severe form of extrapulmonary </w:t>
      </w:r>
    </w:p>
    <w:p w14:paraId="6B37DA6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tuberculosis and is frequently complicated by neurological injury. Existing </w:t>
      </w:r>
    </w:p>
    <w:p w14:paraId="7006DBA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studies have usually evaluated individual complications or admission-based </w:t>
      </w:r>
    </w:p>
    <w:p w14:paraId="7DBA076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prognostic models, whereas cumulative neurological complication burden </w:t>
      </w:r>
    </w:p>
    <w:p w14:paraId="07F593A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documented across a hospitalization remains poorly characterized in non-human </w:t>
      </w:r>
    </w:p>
    <w:p w14:paraId="5B570CA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immunodeficiency virus (HIV) cohorts spanning pediatric and adult patients. We </w:t>
      </w:r>
    </w:p>
    <w:p w14:paraId="3A0E764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evaluated whether neurological complications present at admission or documented </w:t>
      </w:r>
    </w:p>
    <w:p w14:paraId="6F38A43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later during the index hospitalization were associated with in-hospital </w:t>
      </w:r>
    </w:p>
    <w:p w14:paraId="4B68EAA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mortality.</w:t>
      </w:r>
    </w:p>
    <w:p w14:paraId="001CE46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METHODS: </w:t>
      </w:r>
      <w:r>
        <w:rPr>
          <w:rFonts w:hint="eastAsia" w:ascii="宋体" w:hAnsi="宋体" w:eastAsia="宋体" w:cs="宋体"/>
          <w:color w:val="000000" w:themeColor="text1"/>
          <w:szCs w:val="24"/>
          <w14:textFill>
            <w14:solidFill>
              <w14:schemeClr w14:val="tx1"/>
            </w14:solidFill>
          </w14:textFill>
        </w:rPr>
        <w:t xml:space="preserve">We conducted a single-center retrospective cohort study of non-HIV TBM </w:t>
      </w:r>
    </w:p>
    <w:p w14:paraId="426BF5B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patients hospitalized between October 1, 2013, and January 1, 2024. Potentially </w:t>
      </w:r>
    </w:p>
    <w:p w14:paraId="66E0E35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eligible cases were screened using electronic health records and </w:t>
      </w:r>
    </w:p>
    <w:p w14:paraId="011A86E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discharge-diagnosis systems and confirmed by chart review. TBM diagnostic </w:t>
      </w:r>
    </w:p>
    <w:p w14:paraId="7201F5F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certainty was retrospectively harmonized according to the Marais uniform </w:t>
      </w:r>
    </w:p>
    <w:p w14:paraId="0278375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research case definition. The primary five-component neurological complication </w:t>
      </w:r>
    </w:p>
    <w:p w14:paraId="005EE58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burden score included hydrocephalus, documented acute seizures, cerebral </w:t>
      </w:r>
    </w:p>
    <w:p w14:paraId="447D32A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infarction, cerebral hemorrhage, and elevated intracranial pressure (ICP). </w:t>
      </w:r>
    </w:p>
    <w:p w14:paraId="66491F9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Components could be present at admission or first documented later during the </w:t>
      </w:r>
    </w:p>
    <w:p w14:paraId="27B5FE8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index hospitalization. Among non-survivors, chart review confirmed that no </w:t>
      </w:r>
    </w:p>
    <w:p w14:paraId="676D796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burden-score neurological complication was first documented within the final </w:t>
      </w:r>
    </w:p>
    <w:p w14:paraId="51E552E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48 h before death. Logistic regression and exploratory model-performance </w:t>
      </w:r>
    </w:p>
    <w:p w14:paraId="1E317FC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analyses were performed using complete-case data.</w:t>
      </w:r>
    </w:p>
    <w:p w14:paraId="5B4108A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RESULTS:</w:t>
      </w:r>
      <w:r>
        <w:rPr>
          <w:rFonts w:hint="eastAsia" w:ascii="宋体" w:hAnsi="宋体" w:eastAsia="宋体" w:cs="宋体"/>
          <w:color w:val="000000" w:themeColor="text1"/>
          <w:szCs w:val="24"/>
          <w14:textFill>
            <w14:solidFill>
              <w14:schemeClr w14:val="tx1"/>
            </w14:solidFill>
          </w14:textFill>
        </w:rPr>
        <w:t xml:space="preserve"> Among 1,574 non-HIV TBM patients, including 211 children/adolescents </w:t>
      </w:r>
    </w:p>
    <w:p w14:paraId="284C755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(≤18 years) and 1,363 adults (&gt;18 years), 187 (11.9%) died during </w:t>
      </w:r>
    </w:p>
    <w:p w14:paraId="4721B76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hospitalization. Mortality increased across primary five-component burden </w:t>
      </w:r>
    </w:p>
    <w:p w14:paraId="4517C92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categories: 8.8% for 0 components, 13.3% for 1 component, 20.3% for 2 </w:t>
      </w:r>
    </w:p>
    <w:p w14:paraId="03DBC29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components, and 34.5% for ≥3 components. In adjusted models, documented acute </w:t>
      </w:r>
    </w:p>
    <w:p w14:paraId="4813277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seizures [adjusted odds ratio [aOR] 4.10; 95% confidence interval [CI], </w:t>
      </w:r>
    </w:p>
    <w:p w14:paraId="2BF2666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2.43-6.90], hydrocephalus (aOR 3.06; 95% CI, 1.92-4.88), and elevated ICP (aOR </w:t>
      </w:r>
    </w:p>
    <w:p w14:paraId="266D51D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1.48; 95% CI, 1.03-2.11; P = 0.032) were independently associated with </w:t>
      </w:r>
    </w:p>
    <w:p w14:paraId="089535C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mortality. Adding neurological burden to the base model improved discrimination </w:t>
      </w:r>
    </w:p>
    <w:p w14:paraId="1F0138F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modestly (area under the curve from 0.596 to 0.652; DeLong P = 0.002), with </w:t>
      </w:r>
    </w:p>
    <w:p w14:paraId="5584D6D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acceptable calibration; exploratory decision curve analysis showed generally </w:t>
      </w:r>
    </w:p>
    <w:p w14:paraId="1F50BEE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small between-model differences in net benefit.</w:t>
      </w:r>
    </w:p>
    <w:p w14:paraId="6C30E85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CONCLUSIONS: </w:t>
      </w:r>
      <w:r>
        <w:rPr>
          <w:rFonts w:hint="eastAsia" w:ascii="宋体" w:hAnsi="宋体" w:eastAsia="宋体" w:cs="宋体"/>
          <w:color w:val="000000" w:themeColor="text1"/>
          <w:szCs w:val="24"/>
          <w14:textFill>
            <w14:solidFill>
              <w14:schemeClr w14:val="tx1"/>
            </w14:solidFill>
          </w14:textFill>
        </w:rPr>
        <w:t xml:space="preserve">Cumulative neurological complication burden encompassing components </w:t>
      </w:r>
    </w:p>
    <w:p w14:paraId="1BB2659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present at admission or documented later during hospitalization was associated </w:t>
      </w:r>
    </w:p>
    <w:p w14:paraId="52D4CE6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with stepwise increases in in-hospital mortality among non-HIV TBM patients </w:t>
      </w:r>
    </w:p>
    <w:p w14:paraId="63FF6DD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across the lifespan. Hydrocephalus, documented acute seizures, and elevated ICP </w:t>
      </w:r>
    </w:p>
    <w:p w14:paraId="20B9A59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were key mortality-associated factors. The score should be interpreted as a </w:t>
      </w:r>
    </w:p>
    <w:p w14:paraId="5043366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study-developed summary of hospitalization-period neurological severity rather </w:t>
      </w:r>
    </w:p>
    <w:p w14:paraId="05B6E26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than as a baseline prediction model, causal exposure, or externally validated </w:t>
      </w:r>
    </w:p>
    <w:p w14:paraId="5D5DFAF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prognostic score.</w:t>
      </w:r>
    </w:p>
    <w:p w14:paraId="39582ACB">
      <w:pPr>
        <w:rPr>
          <w:rFonts w:hint="eastAsia" w:ascii="宋体" w:hAnsi="宋体" w:eastAsia="宋体" w:cs="宋体"/>
          <w:color w:val="000000" w:themeColor="text1"/>
          <w:szCs w:val="24"/>
          <w14:textFill>
            <w14:solidFill>
              <w14:schemeClr w14:val="tx1"/>
            </w14:solidFill>
          </w14:textFill>
        </w:rPr>
      </w:pPr>
    </w:p>
    <w:p w14:paraId="6836D11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2026 Zhou, Wu, Xiao, Zhou, Ouyang, Hu, Wang and Zeng.</w:t>
      </w:r>
    </w:p>
    <w:p w14:paraId="06BBF9C0">
      <w:pPr>
        <w:rPr>
          <w:rFonts w:hint="eastAsia" w:ascii="宋体" w:hAnsi="宋体" w:eastAsia="宋体" w:cs="宋体"/>
          <w:color w:val="000000" w:themeColor="text1"/>
          <w:szCs w:val="24"/>
          <w14:textFill>
            <w14:solidFill>
              <w14:schemeClr w14:val="tx1"/>
            </w14:solidFill>
          </w14:textFill>
        </w:rPr>
      </w:pPr>
    </w:p>
    <w:p w14:paraId="4FAF7EF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10.3389/fmed.2026.1895708</w:t>
      </w:r>
    </w:p>
    <w:p w14:paraId="4E2392E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PMC13597350</w:t>
      </w:r>
    </w:p>
    <w:p w14:paraId="2BB3C80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42780562</w:t>
      </w:r>
    </w:p>
    <w:p w14:paraId="295CD531">
      <w:pPr>
        <w:rPr>
          <w:rFonts w:hint="eastAsia" w:ascii="宋体" w:hAnsi="宋体" w:eastAsia="宋体" w:cs="宋体"/>
          <w:color w:val="000000" w:themeColor="text1"/>
          <w:szCs w:val="24"/>
          <w14:textFill>
            <w14:solidFill>
              <w14:schemeClr w14:val="tx1"/>
            </w14:solidFill>
          </w14:textFill>
        </w:rPr>
      </w:pPr>
    </w:p>
    <w:p w14:paraId="06E2630F">
      <w:pPr>
        <w:rPr>
          <w:rFonts w:hint="eastAsia" w:ascii="宋体" w:hAnsi="宋体" w:eastAsia="宋体" w:cs="宋体"/>
          <w:b/>
          <w:bCs/>
          <w:color w:val="FF0000"/>
          <w:szCs w:val="24"/>
        </w:rPr>
      </w:pPr>
      <w:r>
        <w:rPr>
          <w:rFonts w:hint="eastAsia" w:ascii="宋体" w:hAnsi="宋体" w:eastAsia="宋体" w:cs="宋体"/>
          <w:b/>
          <w:bCs/>
          <w:color w:val="FF0000"/>
          <w:szCs w:val="24"/>
        </w:rPr>
        <w:t>1</w:t>
      </w:r>
      <w:r>
        <w:rPr>
          <w:rFonts w:hint="eastAsia" w:ascii="宋体" w:hAnsi="宋体" w:eastAsia="宋体" w:cs="宋体"/>
          <w:b/>
          <w:bCs/>
          <w:color w:val="FF0000"/>
          <w:szCs w:val="24"/>
          <w:lang w:val="en-US" w:eastAsia="zh-CN"/>
        </w:rPr>
        <w:t>9</w:t>
      </w:r>
      <w:r>
        <w:rPr>
          <w:rFonts w:hint="eastAsia" w:ascii="宋体" w:hAnsi="宋体" w:eastAsia="宋体" w:cs="宋体"/>
          <w:b/>
          <w:bCs/>
          <w:color w:val="FF0000"/>
          <w:szCs w:val="24"/>
        </w:rPr>
        <w:t xml:space="preserve">. Front Med (Lausanne). 2026 Sep 9;13:1910932. doi: 10.3389/fmed.2026.1910932. </w:t>
      </w:r>
    </w:p>
    <w:p w14:paraId="4277108A">
      <w:pPr>
        <w:rPr>
          <w:rFonts w:hint="eastAsia" w:ascii="宋体" w:hAnsi="宋体" w:eastAsia="宋体" w:cs="宋体"/>
          <w:b/>
          <w:bCs/>
          <w:color w:val="FF0000"/>
          <w:szCs w:val="24"/>
        </w:rPr>
      </w:pPr>
      <w:r>
        <w:rPr>
          <w:rFonts w:hint="eastAsia" w:ascii="宋体" w:hAnsi="宋体" w:eastAsia="宋体" w:cs="宋体"/>
          <w:b/>
          <w:bCs/>
          <w:color w:val="FF0000"/>
          <w:szCs w:val="24"/>
        </w:rPr>
        <w:t>eCollection 2026.</w:t>
      </w:r>
    </w:p>
    <w:p w14:paraId="2744B9C6">
      <w:pPr>
        <w:rPr>
          <w:rFonts w:hint="eastAsia" w:ascii="宋体" w:hAnsi="宋体" w:eastAsia="宋体" w:cs="宋体"/>
          <w:color w:val="000000" w:themeColor="text1"/>
          <w:szCs w:val="24"/>
          <w14:textFill>
            <w14:solidFill>
              <w14:schemeClr w14:val="tx1"/>
            </w14:solidFill>
          </w14:textFill>
        </w:rPr>
      </w:pPr>
    </w:p>
    <w:p w14:paraId="01CB4B3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Case Report: Suspected Mycobacterium abscessus-associated polyserositis </w:t>
      </w:r>
    </w:p>
    <w:p w14:paraId="3415478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following coronary stenting, diagnosed with the aid of metagenomic </w:t>
      </w:r>
    </w:p>
    <w:p w14:paraId="7B7878D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next-generation sequencing.</w:t>
      </w:r>
    </w:p>
    <w:p w14:paraId="684C1614">
      <w:pPr>
        <w:rPr>
          <w:rFonts w:hint="eastAsia" w:ascii="宋体" w:hAnsi="宋体" w:eastAsia="宋体" w:cs="宋体"/>
          <w:color w:val="000000" w:themeColor="text1"/>
          <w:szCs w:val="24"/>
          <w14:textFill>
            <w14:solidFill>
              <w14:schemeClr w14:val="tx1"/>
            </w14:solidFill>
          </w14:textFill>
        </w:rPr>
      </w:pPr>
    </w:p>
    <w:p w14:paraId="3D2A107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Zhou Y(1), Zhang L(1), Liu X(2), Wu D(1).</w:t>
      </w:r>
    </w:p>
    <w:p w14:paraId="27E9AC8B">
      <w:pPr>
        <w:rPr>
          <w:rFonts w:hint="eastAsia" w:ascii="宋体" w:hAnsi="宋体" w:eastAsia="宋体" w:cs="宋体"/>
          <w:b/>
          <w:bCs/>
          <w:color w:val="4472C4" w:themeColor="accent5"/>
          <w:szCs w:val="24"/>
          <w14:textFill>
            <w14:solidFill>
              <w14:schemeClr w14:val="accent5"/>
            </w14:solidFill>
          </w14:textFill>
        </w:rPr>
      </w:pPr>
    </w:p>
    <w:p w14:paraId="7503D75C">
      <w:pPr>
        <w:rPr>
          <w:rFonts w:hint="eastAsia" w:ascii="宋体" w:hAnsi="宋体" w:eastAsia="宋体" w:cs="宋体"/>
          <w:b/>
          <w:bCs/>
          <w:color w:val="4472C4" w:themeColor="accent5"/>
          <w:szCs w:val="24"/>
          <w:lang w:val="en-US" w:eastAsia="zh-CN"/>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Yimeng Zhou,</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Lin Zhang,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Xiaoxia Liu,</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Dan Wu</w:t>
      </w:r>
      <w:r>
        <w:rPr>
          <w:rFonts w:hint="eastAsia" w:ascii="宋体" w:hAnsi="宋体" w:eastAsia="宋体" w:cs="宋体"/>
          <w:b/>
          <w:bCs/>
          <w:color w:val="4472C4" w:themeColor="accent5"/>
          <w:szCs w:val="24"/>
          <w:lang w:val="en-US" w:eastAsia="zh-CN"/>
          <w14:textFill>
            <w14:solidFill>
              <w14:schemeClr w14:val="accent5"/>
            </w14:solidFill>
          </w14:textFill>
        </w:rPr>
        <w:t>*</w:t>
      </w:r>
    </w:p>
    <w:p w14:paraId="6DDBCE8A">
      <w:pPr>
        <w:rPr>
          <w:rFonts w:hint="eastAsia" w:ascii="宋体" w:hAnsi="宋体" w:eastAsia="宋体" w:cs="宋体"/>
          <w:b/>
          <w:bCs/>
          <w:color w:val="4472C4" w:themeColor="accent5"/>
          <w:szCs w:val="24"/>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*CORRESPONDENCE Dan Wu</w:t>
      </w:r>
      <w:r>
        <w:rPr>
          <w:rFonts w:hint="eastAsia" w:ascii="宋体" w:hAnsi="宋体" w:eastAsia="宋体" w:cs="宋体"/>
          <w:b/>
          <w:bCs/>
          <w:color w:val="4472C4" w:themeColor="accent5"/>
          <w:szCs w:val="24"/>
          <w:lang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wudancmu@sj-hospital.org</w:t>
      </w:r>
    </w:p>
    <w:p w14:paraId="24747193">
      <w:pPr>
        <w:rPr>
          <w:rFonts w:hint="eastAsia" w:ascii="宋体" w:hAnsi="宋体" w:eastAsia="宋体" w:cs="宋体"/>
          <w:color w:val="000000" w:themeColor="text1"/>
          <w:szCs w:val="24"/>
          <w14:textFill>
            <w14:solidFill>
              <w14:schemeClr w14:val="tx1"/>
            </w14:solidFill>
          </w14:textFill>
        </w:rPr>
      </w:pPr>
    </w:p>
    <w:p w14:paraId="55871AE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3CFDB69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Infectious Diseases, Shengjing Hospital of China Medical </w:t>
      </w:r>
    </w:p>
    <w:p w14:paraId="71F412D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University, Shenyang, China.</w:t>
      </w:r>
    </w:p>
    <w:p w14:paraId="56FE2EE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(2)Department of Radiology, Shengjing Hospital of China Medical University, </w:t>
      </w:r>
    </w:p>
    <w:p w14:paraId="73FD1CF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Shenyang, China.</w:t>
      </w:r>
    </w:p>
    <w:p w14:paraId="4A535FB1">
      <w:pPr>
        <w:rPr>
          <w:rFonts w:hint="eastAsia" w:ascii="宋体" w:hAnsi="宋体" w:eastAsia="宋体" w:cs="宋体"/>
          <w:color w:val="000000" w:themeColor="text1"/>
          <w:szCs w:val="24"/>
          <w14:textFill>
            <w14:solidFill>
              <w14:schemeClr w14:val="tx1"/>
            </w14:solidFill>
          </w14:textFill>
        </w:rPr>
      </w:pPr>
    </w:p>
    <w:p w14:paraId="3D51971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BACKGROUND:</w:t>
      </w:r>
      <w:r>
        <w:rPr>
          <w:rFonts w:hint="eastAsia" w:ascii="宋体" w:hAnsi="宋体" w:eastAsia="宋体" w:cs="宋体"/>
          <w:color w:val="000000" w:themeColor="text1"/>
          <w:szCs w:val="24"/>
          <w14:textFill>
            <w14:solidFill>
              <w14:schemeClr w14:val="tx1"/>
            </w14:solidFill>
          </w14:textFill>
        </w:rPr>
        <w:t xml:space="preserve"> Mycobacterium abscessus (M. abscessus), a rapidly growing </w:t>
      </w:r>
    </w:p>
    <w:p w14:paraId="34B1078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non-tuberculous mycobacterium (NTM), rarely causes extrapulmonary disease </w:t>
      </w:r>
    </w:p>
    <w:p w14:paraId="03839FF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involving more than one serosal compartment.</w:t>
      </w:r>
    </w:p>
    <w:p w14:paraId="5E25F89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CASE PRESENTATION:</w:t>
      </w:r>
      <w:r>
        <w:rPr>
          <w:rFonts w:hint="eastAsia" w:ascii="宋体" w:hAnsi="宋体" w:eastAsia="宋体" w:cs="宋体"/>
          <w:color w:val="000000" w:themeColor="text1"/>
          <w:szCs w:val="24"/>
          <w14:textFill>
            <w14:solidFill>
              <w14:schemeClr w14:val="tx1"/>
            </w14:solidFill>
          </w14:textFill>
        </w:rPr>
        <w:t xml:space="preserve"> An 83-year-old man developed intermittent fever about 6 weeks </w:t>
      </w:r>
    </w:p>
    <w:p w14:paraId="626EB9A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after coronary stent implantation. Multiple antibiotics were ineffective, and he </w:t>
      </w:r>
    </w:p>
    <w:p w14:paraId="2B9EE77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was admitted for fever of unknown origin. Echocardiography showed newly </w:t>
      </w:r>
    </w:p>
    <w:p w14:paraId="0A4BAE6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developed pericardial adhesion with echocardiographic changes suggestive of </w:t>
      </w:r>
    </w:p>
    <w:p w14:paraId="6D30C01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possible early constrictive physiology. These were absent on the echocardiogram </w:t>
      </w:r>
    </w:p>
    <w:p w14:paraId="429DBE0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performed on the day of percutaneous coronary intervention. During admission, he </w:t>
      </w:r>
    </w:p>
    <w:p w14:paraId="267BFB8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underwent surgery for mechanical small-bowel obstruction, in which dense omental </w:t>
      </w:r>
    </w:p>
    <w:p w14:paraId="28CE629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adhesions were found. With no prior abdominal surgery, the synchronous </w:t>
      </w:r>
    </w:p>
    <w:p w14:paraId="3ECAD4D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pericardial, pleural, and peritoneal abnormalities raised suspicion of a </w:t>
      </w:r>
    </w:p>
    <w:p w14:paraId="3A7C8B4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systemic inflammatory or infectious process. A single blood-culture draw at the </w:t>
      </w:r>
    </w:p>
    <w:p w14:paraId="6A0CE4B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outside hospital grew coagulase-negative staphylococcus, but blood cultures </w:t>
      </w:r>
    </w:p>
    <w:p w14:paraId="2665AF4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repeated after admission and a bone-marrow culture were negative. Blood </w:t>
      </w:r>
    </w:p>
    <w:p w14:paraId="70B36CB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metagenomic next-generation sequencing (mNGS) detected M. abscessus at very low </w:t>
      </w:r>
    </w:p>
    <w:p w14:paraId="6E6BDA9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abundance (three species-level reads, below the ≥8-read threshold), reported as </w:t>
      </w:r>
    </w:p>
    <w:p w14:paraId="1B857D7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 suspected organism. Temperature improved during the administration of agents </w:t>
      </w:r>
    </w:p>
    <w:p w14:paraId="5EAC813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with recognized activity against M. abscessus (linezolid, tigecycline) and </w:t>
      </w:r>
    </w:p>
    <w:p w14:paraId="3074A62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relapsed during the administration of β-lactams not active against this </w:t>
      </w:r>
    </w:p>
    <w:p w14:paraId="191C63C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organism. Integrating the clinical course, treatment response, and consultation </w:t>
      </w:r>
    </w:p>
    <w:p w14:paraId="3EF0662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from a tuberculosis specialty hospital, a clinically suspected diagnosis of M. </w:t>
      </w:r>
    </w:p>
    <w:p w14:paraId="1D608AB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abscessus infection supported by mNGS was made, although microbiological </w:t>
      </w:r>
    </w:p>
    <w:p w14:paraId="7BF1C35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confirmation was not obtained. Temperature normalized on tigecycline and the </w:t>
      </w:r>
    </w:p>
    <w:p w14:paraId="3169D7C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patient's condition improved, and he was transferred for continued anti-NTM </w:t>
      </w:r>
    </w:p>
    <w:p w14:paraId="7572B96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therapy. He was subsequently lost to follow-up, and therefore, the long-term </w:t>
      </w:r>
    </w:p>
    <w:p w14:paraId="5792C07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outcome is unknown.</w:t>
      </w:r>
    </w:p>
    <w:p w14:paraId="1B31C8B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CONCLUSION:</w:t>
      </w:r>
      <w:r>
        <w:rPr>
          <w:rFonts w:hint="eastAsia" w:ascii="宋体" w:hAnsi="宋体" w:eastAsia="宋体" w:cs="宋体"/>
          <w:color w:val="000000" w:themeColor="text1"/>
          <w:szCs w:val="24"/>
          <w14:textFill>
            <w14:solidFill>
              <w14:schemeClr w14:val="tx1"/>
            </w14:solidFill>
          </w14:textFill>
        </w:rPr>
        <w:t xml:space="preserve"> We report a rare presentation of suspected M. abscessus-associated </w:t>
      </w:r>
    </w:p>
    <w:p w14:paraId="7F0729C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polyserositis following coronary stenting, in which mNGS provided the etiologic </w:t>
      </w:r>
    </w:p>
    <w:p w14:paraId="00CF7AA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clue when cultures were unrevealing. NTM should be considered in older patients </w:t>
      </w:r>
    </w:p>
    <w:p w14:paraId="467AA69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with unexplained fever after cardiovascular intervention. Low-abundance mNGS </w:t>
      </w:r>
    </w:p>
    <w:p w14:paraId="73360CC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results, although below reporting thresholds, may be clinically meaningful when </w:t>
      </w:r>
    </w:p>
    <w:p w14:paraId="4E682BC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interpreted alongside the clinical course and treatment response, while </w:t>
      </w:r>
    </w:p>
    <w:p w14:paraId="4B1D787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remaining open to contamination and misclassification. NTM-associated </w:t>
      </w:r>
    </w:p>
    <w:p w14:paraId="03EC181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myeloperoxidase-antineutrophil cytoplasmic antibody positivity is non-specific </w:t>
      </w:r>
    </w:p>
    <w:p w14:paraId="45F7E0D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and must be distinguished from primary vasculitis.</w:t>
      </w:r>
    </w:p>
    <w:p w14:paraId="499D2D0D">
      <w:pPr>
        <w:rPr>
          <w:rFonts w:hint="eastAsia" w:ascii="宋体" w:hAnsi="宋体" w:eastAsia="宋体" w:cs="宋体"/>
          <w:color w:val="000000" w:themeColor="text1"/>
          <w:szCs w:val="24"/>
          <w14:textFill>
            <w14:solidFill>
              <w14:schemeClr w14:val="tx1"/>
            </w14:solidFill>
          </w14:textFill>
        </w:rPr>
      </w:pPr>
    </w:p>
    <w:p w14:paraId="4FE2CE2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2026 Zhou, Zhang, Liu and Wu.</w:t>
      </w:r>
    </w:p>
    <w:p w14:paraId="34CB0412">
      <w:pPr>
        <w:rPr>
          <w:rFonts w:hint="eastAsia" w:ascii="宋体" w:hAnsi="宋体" w:eastAsia="宋体" w:cs="宋体"/>
          <w:color w:val="000000" w:themeColor="text1"/>
          <w:szCs w:val="24"/>
          <w14:textFill>
            <w14:solidFill>
              <w14:schemeClr w14:val="tx1"/>
            </w14:solidFill>
          </w14:textFill>
        </w:rPr>
      </w:pPr>
    </w:p>
    <w:p w14:paraId="654975E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10.3389/fmed.2026.1910932</w:t>
      </w:r>
    </w:p>
    <w:p w14:paraId="143AAF4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PMC13597330</w:t>
      </w:r>
    </w:p>
    <w:p w14:paraId="5EC588D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42780415</w:t>
      </w:r>
    </w:p>
    <w:p w14:paraId="48EF3957">
      <w:pPr>
        <w:rPr>
          <w:rFonts w:hint="eastAsia" w:ascii="宋体" w:hAnsi="宋体" w:eastAsia="宋体" w:cs="宋体"/>
          <w:color w:val="000000" w:themeColor="text1"/>
          <w:szCs w:val="24"/>
          <w14:textFill>
            <w14:solidFill>
              <w14:schemeClr w14:val="tx1"/>
            </w14:solidFill>
          </w14:textFill>
        </w:rPr>
      </w:pPr>
    </w:p>
    <w:p w14:paraId="2A910B3C">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20</w:t>
      </w:r>
      <w:r>
        <w:rPr>
          <w:rFonts w:hint="eastAsia" w:ascii="宋体" w:hAnsi="宋体" w:eastAsia="宋体" w:cs="宋体"/>
          <w:b/>
          <w:bCs/>
          <w:color w:val="FF0000"/>
          <w:szCs w:val="24"/>
        </w:rPr>
        <w:t xml:space="preserve">. Front Immunol. 2026 Sep 9;17:1844914. doi: 10.3389/fimmu.2026.1844914. </w:t>
      </w:r>
    </w:p>
    <w:p w14:paraId="7E012E5C">
      <w:pPr>
        <w:rPr>
          <w:rFonts w:hint="eastAsia" w:ascii="宋体" w:hAnsi="宋体" w:eastAsia="宋体" w:cs="宋体"/>
          <w:b/>
          <w:bCs/>
          <w:color w:val="FF0000"/>
          <w:szCs w:val="24"/>
        </w:rPr>
      </w:pPr>
      <w:r>
        <w:rPr>
          <w:rFonts w:hint="eastAsia" w:ascii="宋体" w:hAnsi="宋体" w:eastAsia="宋体" w:cs="宋体"/>
          <w:b/>
          <w:bCs/>
          <w:color w:val="FF0000"/>
          <w:szCs w:val="24"/>
        </w:rPr>
        <w:t>eCollection 2026.</w:t>
      </w:r>
    </w:p>
    <w:p w14:paraId="6367959E">
      <w:pPr>
        <w:rPr>
          <w:rFonts w:hint="eastAsia" w:ascii="宋体" w:hAnsi="宋体" w:eastAsia="宋体" w:cs="宋体"/>
          <w:color w:val="000000" w:themeColor="text1"/>
          <w:szCs w:val="24"/>
          <w14:textFill>
            <w14:solidFill>
              <w14:schemeClr w14:val="tx1"/>
            </w14:solidFill>
          </w14:textFill>
        </w:rPr>
      </w:pPr>
    </w:p>
    <w:p w14:paraId="142A16B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Integrating metagenomics, transcriptomics, and molecular docking to reveal core </w:t>
      </w:r>
    </w:p>
    <w:p w14:paraId="2737EF8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gene biomarkers and gut microbiota regulatory mechanisms in tuberculous </w:t>
      </w:r>
    </w:p>
    <w:p w14:paraId="37B34D2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meningitis.</w:t>
      </w:r>
    </w:p>
    <w:p w14:paraId="305F728D">
      <w:pPr>
        <w:rPr>
          <w:rFonts w:hint="eastAsia" w:ascii="宋体" w:hAnsi="宋体" w:eastAsia="宋体" w:cs="宋体"/>
          <w:color w:val="000000" w:themeColor="text1"/>
          <w:szCs w:val="24"/>
          <w14:textFill>
            <w14:solidFill>
              <w14:schemeClr w14:val="tx1"/>
            </w14:solidFill>
          </w14:textFill>
        </w:rPr>
      </w:pPr>
    </w:p>
    <w:p w14:paraId="2D34371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Cui D(1), Ren X(1), Li N(1).</w:t>
      </w:r>
    </w:p>
    <w:p w14:paraId="18B0F9B1">
      <w:pPr>
        <w:rPr>
          <w:rFonts w:hint="eastAsia" w:ascii="宋体" w:hAnsi="宋体" w:eastAsia="宋体" w:cs="宋体"/>
          <w:color w:val="000000" w:themeColor="text1"/>
          <w:szCs w:val="24"/>
          <w14:textFill>
            <w14:solidFill>
              <w14:schemeClr w14:val="tx1"/>
            </w14:solidFill>
          </w14:textFill>
        </w:rPr>
      </w:pPr>
    </w:p>
    <w:p w14:paraId="5406B1EE">
      <w:pPr>
        <w:rPr>
          <w:rFonts w:hint="eastAsia" w:ascii="宋体" w:hAnsi="宋体" w:eastAsia="宋体" w:cs="宋体"/>
          <w:b/>
          <w:bCs/>
          <w:color w:val="4472C4" w:themeColor="accent5"/>
          <w:szCs w:val="24"/>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Dan Cui</w:t>
      </w:r>
      <w:r>
        <w:rPr>
          <w:rFonts w:hint="eastAsia" w:ascii="宋体" w:hAnsi="宋体" w:eastAsia="宋体" w:cs="宋体"/>
          <w:b/>
          <w:bCs/>
          <w:color w:val="4472C4" w:themeColor="accent5"/>
          <w:szCs w:val="24"/>
          <w:lang w:val="en-US"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Xinxin Ren,</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Na Li</w:t>
      </w:r>
    </w:p>
    <w:p w14:paraId="3F0BE29D">
      <w:pPr>
        <w:rPr>
          <w:rFonts w:hint="eastAsia" w:ascii="宋体" w:hAnsi="宋体" w:eastAsia="宋体" w:cs="宋体"/>
          <w:b/>
          <w:bCs/>
          <w:color w:val="4472C4" w:themeColor="accent5"/>
          <w:szCs w:val="24"/>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*CORRESPONDENCE Dan Cui</w:t>
      </w:r>
      <w:r>
        <w:rPr>
          <w:rFonts w:hint="eastAsia" w:ascii="宋体" w:hAnsi="宋体" w:eastAsia="宋体" w:cs="宋体"/>
          <w:b/>
          <w:bCs/>
          <w:color w:val="4472C4" w:themeColor="accent5"/>
          <w:szCs w:val="24"/>
          <w:lang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shuiqing_2001@sina.com</w:t>
      </w:r>
    </w:p>
    <w:p w14:paraId="0F37831C">
      <w:pPr>
        <w:rPr>
          <w:rFonts w:hint="eastAsia" w:ascii="宋体" w:hAnsi="宋体" w:eastAsia="宋体" w:cs="宋体"/>
          <w:color w:val="000000" w:themeColor="text1"/>
          <w:szCs w:val="24"/>
          <w14:textFill>
            <w14:solidFill>
              <w14:schemeClr w14:val="tx1"/>
            </w14:solidFill>
          </w14:textFill>
        </w:rPr>
      </w:pPr>
    </w:p>
    <w:p w14:paraId="32D3FB44">
      <w:pPr>
        <w:rPr>
          <w:rFonts w:hint="eastAsia" w:ascii="宋体" w:hAnsi="宋体" w:eastAsia="宋体" w:cs="宋体"/>
          <w:b/>
          <w:bCs/>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1B8F0B0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(1)Department of Tuberculosis, Hebei Chest Hospital, Shijiazhuang, Hebei, China.</w:t>
      </w:r>
    </w:p>
    <w:p w14:paraId="22060B98">
      <w:pPr>
        <w:rPr>
          <w:rFonts w:hint="eastAsia" w:ascii="宋体" w:hAnsi="宋体" w:eastAsia="宋体" w:cs="宋体"/>
          <w:color w:val="000000" w:themeColor="text1"/>
          <w:szCs w:val="24"/>
          <w14:textFill>
            <w14:solidFill>
              <w14:schemeClr w14:val="tx1"/>
            </w14:solidFill>
          </w14:textFill>
        </w:rPr>
      </w:pPr>
    </w:p>
    <w:p w14:paraId="332D62A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PURPOSE:</w:t>
      </w:r>
      <w:r>
        <w:rPr>
          <w:rFonts w:hint="eastAsia" w:ascii="宋体" w:hAnsi="宋体" w:eastAsia="宋体" w:cs="宋体"/>
          <w:color w:val="000000" w:themeColor="text1"/>
          <w:szCs w:val="24"/>
          <w14:textFill>
            <w14:solidFill>
              <w14:schemeClr w14:val="tx1"/>
            </w14:solidFill>
          </w14:textFill>
        </w:rPr>
        <w:t xml:space="preserve"> Tuberculous meningitis (TBM) is a severe extrapulmonary tuberculosis </w:t>
      </w:r>
    </w:p>
    <w:p w14:paraId="4A9E817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with high mortality and neurological sequelae, while the role of gut microbiota </w:t>
      </w:r>
    </w:p>
    <w:p w14:paraId="02F5717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and its metabolites in TBM pathogenesis remains poorly understood. This study </w:t>
      </w:r>
    </w:p>
    <w:p w14:paraId="398350B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aimed to characterize gut microbiota alterations in TBM patients and elucidate </w:t>
      </w:r>
    </w:p>
    <w:p w14:paraId="5943227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the "microbiota-metabolite-gene" regulatory axis.</w:t>
      </w:r>
    </w:p>
    <w:p w14:paraId="4A10C8A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METHODS: </w:t>
      </w:r>
      <w:r>
        <w:rPr>
          <w:rFonts w:hint="eastAsia" w:ascii="宋体" w:hAnsi="宋体" w:eastAsia="宋体" w:cs="宋体"/>
          <w:color w:val="000000" w:themeColor="text1"/>
          <w:szCs w:val="24"/>
          <w14:textFill>
            <w14:solidFill>
              <w14:schemeClr w14:val="tx1"/>
            </w14:solidFill>
          </w14:textFill>
        </w:rPr>
        <w:t xml:space="preserve">Fecal samples from 11 TBM patients and 11 healthy controls were </w:t>
      </w:r>
    </w:p>
    <w:p w14:paraId="68368BC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subjected to 16S rRNA sequencing. Core target genes were identified via </w:t>
      </w:r>
    </w:p>
    <w:p w14:paraId="62FCB5C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differential expression screening, machine learning, immune infiltration </w:t>
      </w:r>
    </w:p>
    <w:p w14:paraId="7B564FE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analysis and gene set enrichment analysis based on the public GSE40586 dataset. </w:t>
      </w:r>
    </w:p>
    <w:p w14:paraId="7696CC9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regulatory axis was constructed by database prediction and molecular </w:t>
      </w:r>
    </w:p>
    <w:p w14:paraId="21877EF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docking, and the regulatory effect was verified by in vitro functional assays in </w:t>
      </w:r>
    </w:p>
    <w:p w14:paraId="3C294E4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THP-1-derived macrophages.</w:t>
      </w:r>
    </w:p>
    <w:p w14:paraId="13DE5D3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RESULTS:</w:t>
      </w:r>
      <w:r>
        <w:rPr>
          <w:rFonts w:hint="eastAsia" w:ascii="宋体" w:hAnsi="宋体" w:eastAsia="宋体" w:cs="宋体"/>
          <w:color w:val="000000" w:themeColor="text1"/>
          <w:szCs w:val="24"/>
          <w14:textFill>
            <w14:solidFill>
              <w14:schemeClr w14:val="tx1"/>
            </w14:solidFill>
          </w14:textFill>
        </w:rPr>
        <w:t xml:space="preserve"> TBM patients exhibited significant gut dysbiosis. Two core genes </w:t>
      </w:r>
    </w:p>
    <w:p w14:paraId="74A66E2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(PIK3CB and JAK2) were identified, which were positively correlated with </w:t>
      </w:r>
    </w:p>
    <w:p w14:paraId="1F75013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pro-inflammatory immune cells and enriched in bacterial infection pathways. The </w:t>
      </w:r>
    </w:p>
    <w:p w14:paraId="149076B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constructed regulatory axis showed that upregulated gut bacteria produced bile </w:t>
      </w:r>
    </w:p>
    <w:p w14:paraId="5F69F54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acid metabolites targeting PIK3CB/JAK2, with strong binding affinity verified by </w:t>
      </w:r>
    </w:p>
    <w:p w14:paraId="61584D2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molecular docking. In vitro experiments verified that CDCA dose-dependently </w:t>
      </w:r>
    </w:p>
    <w:p w14:paraId="6F83078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upregulated PIK3CB and JAK2 expression and promoted pro-inflammatory activation </w:t>
      </w:r>
    </w:p>
    <w:p w14:paraId="00A096E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of macrophages, while silencing of target genes significantly reversed this </w:t>
      </w:r>
    </w:p>
    <w:p w14:paraId="5175D41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effect.</w:t>
      </w:r>
    </w:p>
    <w:p w14:paraId="432E14E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CONCLUSION:</w:t>
      </w:r>
      <w:r>
        <w:rPr>
          <w:rFonts w:hint="eastAsia" w:ascii="宋体" w:hAnsi="宋体" w:eastAsia="宋体" w:cs="宋体"/>
          <w:color w:val="000000" w:themeColor="text1"/>
          <w:szCs w:val="24"/>
          <w14:textFill>
            <w14:solidFill>
              <w14:schemeClr w14:val="tx1"/>
            </w14:solidFill>
          </w14:textFill>
        </w:rPr>
        <w:t xml:space="preserve"> This study identifies a "gut microbiota-bile acid-PIK3CB/JAK2" </w:t>
      </w:r>
    </w:p>
    <w:p w14:paraId="25CBC6E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regulatory axis in TBM, thus providing novel insights into gut-brain crosstalk </w:t>
      </w:r>
    </w:p>
    <w:p w14:paraId="36BB44C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and potential diagnostic biomarkers and therapeutic targets.</w:t>
      </w:r>
    </w:p>
    <w:p w14:paraId="0B1D20D1">
      <w:pPr>
        <w:rPr>
          <w:rFonts w:hint="eastAsia" w:ascii="宋体" w:hAnsi="宋体" w:eastAsia="宋体" w:cs="宋体"/>
          <w:color w:val="000000" w:themeColor="text1"/>
          <w:szCs w:val="24"/>
          <w14:textFill>
            <w14:solidFill>
              <w14:schemeClr w14:val="tx1"/>
            </w14:solidFill>
          </w14:textFill>
        </w:rPr>
      </w:pPr>
    </w:p>
    <w:p w14:paraId="4EE8350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Copyright © 2026 Cui, Ren and Li.</w:t>
      </w:r>
    </w:p>
    <w:p w14:paraId="185F67A6">
      <w:pPr>
        <w:rPr>
          <w:rFonts w:hint="eastAsia" w:ascii="宋体" w:hAnsi="宋体" w:eastAsia="宋体" w:cs="宋体"/>
          <w:color w:val="000000" w:themeColor="text1"/>
          <w:szCs w:val="24"/>
          <w14:textFill>
            <w14:solidFill>
              <w14:schemeClr w14:val="tx1"/>
            </w14:solidFill>
          </w14:textFill>
        </w:rPr>
      </w:pPr>
    </w:p>
    <w:p w14:paraId="51C8673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10.3389/fimmu.2026.1844914</w:t>
      </w:r>
    </w:p>
    <w:p w14:paraId="75DCD1B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PMC13597347</w:t>
      </w:r>
    </w:p>
    <w:p w14:paraId="4500687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42780152 [Indexed for MEDLINE]</w:t>
      </w:r>
    </w:p>
    <w:p w14:paraId="2C097B12">
      <w:pPr>
        <w:rPr>
          <w:rFonts w:hint="eastAsia" w:ascii="宋体" w:hAnsi="宋体" w:eastAsia="宋体" w:cs="宋体"/>
          <w:color w:val="000000" w:themeColor="text1"/>
          <w:szCs w:val="24"/>
          <w14:textFill>
            <w14:solidFill>
              <w14:schemeClr w14:val="tx1"/>
            </w14:solidFill>
          </w14:textFill>
        </w:rPr>
      </w:pPr>
    </w:p>
    <w:p w14:paraId="19D2DFF0">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21</w:t>
      </w:r>
      <w:r>
        <w:rPr>
          <w:rFonts w:hint="eastAsia" w:ascii="宋体" w:hAnsi="宋体" w:eastAsia="宋体" w:cs="宋体"/>
          <w:b/>
          <w:bCs/>
          <w:color w:val="FF0000"/>
          <w:szCs w:val="24"/>
        </w:rPr>
        <w:t xml:space="preserve">. Front Cell Infect Microbiol. 2026 Sep 9;16:1899254. doi: </w:t>
      </w:r>
    </w:p>
    <w:p w14:paraId="38BEC31D">
      <w:pPr>
        <w:rPr>
          <w:rFonts w:hint="eastAsia" w:ascii="宋体" w:hAnsi="宋体" w:eastAsia="宋体" w:cs="宋体"/>
          <w:b/>
          <w:bCs/>
          <w:color w:val="FF0000"/>
          <w:szCs w:val="24"/>
        </w:rPr>
      </w:pPr>
      <w:r>
        <w:rPr>
          <w:rFonts w:hint="eastAsia" w:ascii="宋体" w:hAnsi="宋体" w:eastAsia="宋体" w:cs="宋体"/>
          <w:b/>
          <w:bCs/>
          <w:color w:val="FF0000"/>
          <w:szCs w:val="24"/>
        </w:rPr>
        <w:t>10.3389/fcimb.2026.1899254. eCollection 2026.</w:t>
      </w:r>
    </w:p>
    <w:p w14:paraId="5119ABC1">
      <w:pPr>
        <w:rPr>
          <w:rFonts w:hint="eastAsia" w:ascii="宋体" w:hAnsi="宋体" w:eastAsia="宋体" w:cs="宋体"/>
          <w:color w:val="000000" w:themeColor="text1"/>
          <w:szCs w:val="24"/>
          <w14:textFill>
            <w14:solidFill>
              <w14:schemeClr w14:val="tx1"/>
            </w14:solidFill>
          </w14:textFill>
        </w:rPr>
      </w:pPr>
    </w:p>
    <w:p w14:paraId="397F0F4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Immune-inflammatory profiles and disease severity in pulmonary tuberculosis </w:t>
      </w:r>
    </w:p>
    <w:p w14:paraId="2EC46CF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complicated by central nervous system tuberculosis.</w:t>
      </w:r>
    </w:p>
    <w:p w14:paraId="316F9F1E">
      <w:pPr>
        <w:rPr>
          <w:rFonts w:hint="eastAsia" w:ascii="宋体" w:hAnsi="宋体" w:eastAsia="宋体" w:cs="宋体"/>
          <w:color w:val="000000" w:themeColor="text1"/>
          <w:szCs w:val="24"/>
          <w14:textFill>
            <w14:solidFill>
              <w14:schemeClr w14:val="tx1"/>
            </w14:solidFill>
          </w14:textFill>
        </w:rPr>
      </w:pPr>
    </w:p>
    <w:p w14:paraId="3C4DCDF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Chen M(#)(1)(2), Wu D(#)(1)(2), Chen X(2), Lin J(2), Lin Y(2), Li H(1).</w:t>
      </w:r>
    </w:p>
    <w:p w14:paraId="0FE57C93">
      <w:pPr>
        <w:rPr>
          <w:rFonts w:hint="eastAsia" w:ascii="宋体" w:hAnsi="宋体" w:eastAsia="宋体" w:cs="宋体"/>
          <w:color w:val="000000" w:themeColor="text1"/>
          <w:szCs w:val="24"/>
          <w14:textFill>
            <w14:solidFill>
              <w14:schemeClr w14:val="tx1"/>
            </w14:solidFill>
          </w14:textFill>
        </w:rPr>
      </w:pPr>
    </w:p>
    <w:p w14:paraId="06C26D1A">
      <w:pPr>
        <w:rPr>
          <w:rFonts w:hint="eastAsia" w:ascii="宋体" w:hAnsi="宋体" w:eastAsia="宋体" w:cs="宋体"/>
          <w:b/>
          <w:bCs/>
          <w:color w:val="4472C4" w:themeColor="accent5"/>
          <w:szCs w:val="24"/>
          <w:lang w:val="en-US" w:eastAsia="zh-CN"/>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Muxing Chen,</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Di Wu,</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Xiaohong Chen,</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Jiandong Lin,</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Youfei Lin,</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Hongru Li</w:t>
      </w:r>
      <w:r>
        <w:rPr>
          <w:rFonts w:hint="eastAsia" w:ascii="宋体" w:hAnsi="宋体" w:eastAsia="宋体" w:cs="宋体"/>
          <w:b/>
          <w:bCs/>
          <w:color w:val="4472C4" w:themeColor="accent5"/>
          <w:szCs w:val="24"/>
          <w:lang w:val="en-US" w:eastAsia="zh-CN"/>
          <w14:textFill>
            <w14:solidFill>
              <w14:schemeClr w14:val="accent5"/>
            </w14:solidFill>
          </w14:textFill>
        </w:rPr>
        <w:t>*</w:t>
      </w:r>
    </w:p>
    <w:p w14:paraId="5C9B0C49">
      <w:pPr>
        <w:rPr>
          <w:rFonts w:hint="eastAsia" w:ascii="宋体" w:hAnsi="宋体" w:eastAsia="宋体" w:cs="宋体"/>
          <w:b/>
          <w:bCs/>
          <w:color w:val="4472C4" w:themeColor="accent5"/>
          <w:szCs w:val="24"/>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*CORRESPONDENCE Hongru Li</w:t>
      </w:r>
      <w:r>
        <w:rPr>
          <w:rFonts w:hint="eastAsia" w:ascii="宋体" w:hAnsi="宋体" w:eastAsia="宋体" w:cs="宋体"/>
          <w:b/>
          <w:bCs/>
          <w:color w:val="4472C4" w:themeColor="accent5"/>
          <w:szCs w:val="24"/>
          <w:lang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muzi131122@163.com</w:t>
      </w:r>
    </w:p>
    <w:p w14:paraId="39191712">
      <w:pPr>
        <w:rPr>
          <w:rFonts w:hint="eastAsia" w:ascii="宋体" w:hAnsi="宋体" w:eastAsia="宋体" w:cs="宋体"/>
          <w:color w:val="000000" w:themeColor="text1"/>
          <w:szCs w:val="24"/>
          <w14:textFill>
            <w14:solidFill>
              <w14:schemeClr w14:val="tx1"/>
            </w14:solidFill>
          </w14:textFill>
        </w:rPr>
      </w:pPr>
    </w:p>
    <w:p w14:paraId="0713CBB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46C9449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(1)Shengli Clinical Medical College of Fujian Medical University, Fujian </w:t>
      </w:r>
    </w:p>
    <w:p w14:paraId="0BAF308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Provincial Hospital, Fuzhou University Affiliated Provincial Hospital, </w:t>
      </w:r>
    </w:p>
    <w:p w14:paraId="3705020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Fuzhou, China.</w:t>
      </w:r>
    </w:p>
    <w:p w14:paraId="609DF83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(2)Department of Tuberculosis, Fuzhou Pulmonary Hospital of Fujian, </w:t>
      </w:r>
    </w:p>
    <w:p w14:paraId="189A76B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Fuzhou, China.</w:t>
      </w:r>
    </w:p>
    <w:p w14:paraId="320C495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(#)Contributed equally</w:t>
      </w:r>
    </w:p>
    <w:p w14:paraId="0DE78905">
      <w:pPr>
        <w:rPr>
          <w:rFonts w:hint="eastAsia" w:ascii="宋体" w:hAnsi="宋体" w:eastAsia="宋体" w:cs="宋体"/>
          <w:color w:val="000000" w:themeColor="text1"/>
          <w:szCs w:val="24"/>
          <w14:textFill>
            <w14:solidFill>
              <w14:schemeClr w14:val="tx1"/>
            </w14:solidFill>
          </w14:textFill>
        </w:rPr>
      </w:pPr>
    </w:p>
    <w:p w14:paraId="414DE3B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OBJECTIVE:</w:t>
      </w:r>
      <w:r>
        <w:rPr>
          <w:rFonts w:hint="eastAsia" w:ascii="宋体" w:hAnsi="宋体" w:eastAsia="宋体" w:cs="宋体"/>
          <w:color w:val="000000" w:themeColor="text1"/>
          <w:szCs w:val="24"/>
          <w14:textFill>
            <w14:solidFill>
              <w14:schemeClr w14:val="tx1"/>
            </w14:solidFill>
          </w14:textFill>
        </w:rPr>
        <w:t xml:space="preserve"> To compare peripheral blood immune-inflammatory profiles between </w:t>
      </w:r>
    </w:p>
    <w:p w14:paraId="2EFF408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patients with pulmonary tuberculosis complicated by central nervous system </w:t>
      </w:r>
    </w:p>
    <w:p w14:paraId="4249872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tuberculosis (PTB + CNS-TB) and those with pulmonary tuberculosis alone (PTB), </w:t>
      </w:r>
    </w:p>
    <w:p w14:paraId="2694654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and to identify laboratory parameters associated with disease severity in PTB + </w:t>
      </w:r>
    </w:p>
    <w:p w14:paraId="1749A1B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CNS-TB.</w:t>
      </w:r>
    </w:p>
    <w:p w14:paraId="4B613B1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METHODS: </w:t>
      </w:r>
      <w:r>
        <w:rPr>
          <w:rFonts w:hint="eastAsia" w:ascii="宋体" w:hAnsi="宋体" w:eastAsia="宋体" w:cs="宋体"/>
          <w:color w:val="000000" w:themeColor="text1"/>
          <w:szCs w:val="24"/>
          <w14:textFill>
            <w14:solidFill>
              <w14:schemeClr w14:val="tx1"/>
            </w14:solidFill>
          </w14:textFill>
        </w:rPr>
        <w:t xml:space="preserve">This retrospective study included 4,829 inpatients with tuberculosis </w:t>
      </w:r>
    </w:p>
    <w:p w14:paraId="58A8D1B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(January 2018-March 2026), comprising a PTB group (n = 4,578) and a PTB + CNS-TB group (n = 251). Propensity score matching (1:4) was performed using sex, age, body mass index, albumin, and hemoglobin, yielding 246 PTB + CNS-TB patients and 954 matched PTB controls. PTB + CNS-TB cases were further stratified by Medical Research Council (MRC) grading (Grade I: n = 165; Grades II-III: n = 86). Covariate-adjusted analyses with FDR correction were used to screen </w:t>
      </w:r>
    </w:p>
    <w:p w14:paraId="7F8B005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severity-associated parameters; LASSO and Firth's logistic regression were </w:t>
      </w:r>
    </w:p>
    <w:p w14:paraId="5F41E60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applied to identify mutually independent factors and to construct a severity </w:t>
      </w:r>
    </w:p>
    <w:p w14:paraId="5CA3F9A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assessment model.</w:t>
      </w:r>
    </w:p>
    <w:p w14:paraId="6A734C7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RESULTS:</w:t>
      </w:r>
      <w:r>
        <w:rPr>
          <w:rFonts w:hint="eastAsia" w:ascii="宋体" w:hAnsi="宋体" w:eastAsia="宋体" w:cs="宋体"/>
          <w:color w:val="000000" w:themeColor="text1"/>
          <w:szCs w:val="24"/>
          <w14:textFill>
            <w14:solidFill>
              <w14:schemeClr w14:val="tx1"/>
            </w14:solidFill>
          </w14:textFill>
        </w:rPr>
        <w:t xml:space="preserve"> After matching, PTB + CNS-TB patients exhibited a distinct </w:t>
      </w:r>
    </w:p>
    <w:p w14:paraId="6CE6214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bidirectional pattern characterized by reduced peripheral lymphocyte counts and </w:t>
      </w:r>
    </w:p>
    <w:p w14:paraId="71261C7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lower peripheral T-cell counts (CD3+, CD4+, and CD8+) and CD45+ lymphocytes </w:t>
      </w:r>
    </w:p>
    <w:p w14:paraId="686DACD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counts, alongside increased neutrophil-related inflammatory indices (including </w:t>
      </w:r>
    </w:p>
    <w:p w14:paraId="09E8AC1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neutrophil count, neutrophil-to-lymphocyte ratio, platelet-to-lymphocyte ratio, </w:t>
      </w:r>
    </w:p>
    <w:p w14:paraId="1ECA468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and systemic immune-inflammation index) (all P &lt; 0.05). Within the PTB + CNS-TB </w:t>
      </w:r>
    </w:p>
    <w:p w14:paraId="28CF0C6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cohort, severe disease was associated with higher white blood cell and </w:t>
      </w:r>
    </w:p>
    <w:p w14:paraId="39E9F18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neutrophil-related measures (notably NEU% and NLR) and more pronounced </w:t>
      </w:r>
    </w:p>
    <w:p w14:paraId="7445606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cerebrospinal fluid (CSF) abnormalities, particularly elevated CSF protein and </w:t>
      </w:r>
    </w:p>
    <w:p w14:paraId="7DBAEE3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decreased CSF chloride, whereas peripheral T-cell subset parameters did not </w:t>
      </w:r>
    </w:p>
    <w:p w14:paraId="58CDE11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differ significantly by severity. Multivariable modeling identified CSF protein, </w:t>
      </w:r>
    </w:p>
    <w:p w14:paraId="116E293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NEU%, and albumin as mutually independent factors associated with severe </w:t>
      </w:r>
    </w:p>
    <w:p w14:paraId="5BFD71F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disease. A combined model including these three markers showed good internal </w:t>
      </w:r>
    </w:p>
    <w:p w14:paraId="6E8C8A2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discrimination (AUC = 0.772; bootstrap-corrected AUC = 0.767) and calibration.</w:t>
      </w:r>
    </w:p>
    <w:p w14:paraId="6798E98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CONCLUSIONS:</w:t>
      </w:r>
      <w:r>
        <w:rPr>
          <w:rFonts w:hint="eastAsia" w:ascii="宋体" w:hAnsi="宋体" w:eastAsia="宋体" w:cs="宋体"/>
          <w:color w:val="000000" w:themeColor="text1"/>
          <w:szCs w:val="24"/>
          <w14:textFill>
            <w14:solidFill>
              <w14:schemeClr w14:val="tx1"/>
            </w14:solidFill>
          </w14:textFill>
        </w:rPr>
        <w:t xml:space="preserve"> PTB + CNS-TB is associated with reduced peripheral </w:t>
      </w:r>
    </w:p>
    <w:p w14:paraId="543C0BF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lymphocyte/T-cell subset counts accompanied by heightened a </w:t>
      </w:r>
    </w:p>
    <w:p w14:paraId="2AA72C9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neutrophil-predominant inflammatory profile. Among PTB + CNS-TB patients, </w:t>
      </w:r>
    </w:p>
    <w:p w14:paraId="42787C0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disease severity shows a closer association with neutrophil-related indices and </w:t>
      </w:r>
    </w:p>
    <w:p w14:paraId="6FC84C0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routine CSF parameters, particularly CSF protein, than with peripheral T-cell </w:t>
      </w:r>
    </w:p>
    <w:p w14:paraId="0E9FA5D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subset counts. A model incorporating NEU%, CSF protein, and albumin may aid in </w:t>
      </w:r>
    </w:p>
    <w:p w14:paraId="04B7E57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severity assessment.</w:t>
      </w:r>
    </w:p>
    <w:p w14:paraId="617AAA9D">
      <w:pPr>
        <w:rPr>
          <w:rFonts w:hint="eastAsia" w:ascii="宋体" w:hAnsi="宋体" w:eastAsia="宋体" w:cs="宋体"/>
          <w:color w:val="000000" w:themeColor="text1"/>
          <w:szCs w:val="24"/>
          <w14:textFill>
            <w14:solidFill>
              <w14:schemeClr w14:val="tx1"/>
            </w14:solidFill>
          </w14:textFill>
        </w:rPr>
      </w:pPr>
    </w:p>
    <w:p w14:paraId="650AA80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Copyright © 2026 Chen, Wu, Chen, Lin, Lin and Li.</w:t>
      </w:r>
    </w:p>
    <w:p w14:paraId="479BBC53">
      <w:pPr>
        <w:rPr>
          <w:rFonts w:hint="eastAsia" w:ascii="宋体" w:hAnsi="宋体" w:eastAsia="宋体" w:cs="宋体"/>
          <w:color w:val="000000" w:themeColor="text1"/>
          <w:szCs w:val="24"/>
          <w14:textFill>
            <w14:solidFill>
              <w14:schemeClr w14:val="tx1"/>
            </w14:solidFill>
          </w14:textFill>
        </w:rPr>
      </w:pPr>
    </w:p>
    <w:p w14:paraId="1985BD4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10.3389/fcimb.2026.1899254</w:t>
      </w:r>
    </w:p>
    <w:p w14:paraId="47F9335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PMC13597226</w:t>
      </w:r>
    </w:p>
    <w:p w14:paraId="3669D38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42780022 [Indexed for MEDLINE]</w:t>
      </w:r>
    </w:p>
    <w:p w14:paraId="7E89D255">
      <w:pPr>
        <w:rPr>
          <w:rFonts w:hint="eastAsia" w:ascii="宋体" w:hAnsi="宋体" w:eastAsia="宋体" w:cs="宋体"/>
          <w:color w:val="000000" w:themeColor="text1"/>
          <w:szCs w:val="24"/>
          <w14:textFill>
            <w14:solidFill>
              <w14:schemeClr w14:val="tx1"/>
            </w14:solidFill>
          </w14:textFill>
        </w:rPr>
      </w:pPr>
    </w:p>
    <w:p w14:paraId="1783972F">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22</w:t>
      </w:r>
      <w:r>
        <w:rPr>
          <w:rFonts w:hint="eastAsia" w:ascii="宋体" w:hAnsi="宋体" w:eastAsia="宋体" w:cs="宋体"/>
          <w:b/>
          <w:bCs/>
          <w:color w:val="FF0000"/>
          <w:szCs w:val="24"/>
        </w:rPr>
        <w:t xml:space="preserve">. Front Med (Lausanne). 2026 Sep 8;13:1918544. doi: 10.3389/fmed.2026.1918544. </w:t>
      </w:r>
    </w:p>
    <w:p w14:paraId="06248DAF">
      <w:pPr>
        <w:rPr>
          <w:rFonts w:hint="eastAsia" w:ascii="宋体" w:hAnsi="宋体" w:eastAsia="宋体" w:cs="宋体"/>
          <w:b/>
          <w:bCs/>
          <w:color w:val="FF0000"/>
          <w:szCs w:val="24"/>
        </w:rPr>
      </w:pPr>
      <w:r>
        <w:rPr>
          <w:rFonts w:hint="eastAsia" w:ascii="宋体" w:hAnsi="宋体" w:eastAsia="宋体" w:cs="宋体"/>
          <w:b/>
          <w:bCs/>
          <w:color w:val="FF0000"/>
          <w:szCs w:val="24"/>
        </w:rPr>
        <w:t>eCollection 2026.</w:t>
      </w:r>
    </w:p>
    <w:p w14:paraId="15167850">
      <w:pPr>
        <w:rPr>
          <w:rFonts w:hint="eastAsia" w:ascii="宋体" w:hAnsi="宋体" w:eastAsia="宋体" w:cs="宋体"/>
          <w:color w:val="000000" w:themeColor="text1"/>
          <w:szCs w:val="24"/>
          <w14:textFill>
            <w14:solidFill>
              <w14:schemeClr w14:val="tx1"/>
            </w14:solidFill>
          </w14:textFill>
        </w:rPr>
      </w:pPr>
    </w:p>
    <w:p w14:paraId="023BD8E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 unusual presentation of tracheobronchial tuberculosis mimicking airway tumor: </w:t>
      </w:r>
    </w:p>
    <w:p w14:paraId="5CAF0AA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 case report and literature review.</w:t>
      </w:r>
    </w:p>
    <w:p w14:paraId="1E5D865D">
      <w:pPr>
        <w:rPr>
          <w:rFonts w:hint="eastAsia" w:ascii="宋体" w:hAnsi="宋体" w:eastAsia="宋体" w:cs="宋体"/>
          <w:color w:val="000000" w:themeColor="text1"/>
          <w:szCs w:val="24"/>
          <w14:textFill>
            <w14:solidFill>
              <w14:schemeClr w14:val="tx1"/>
            </w14:solidFill>
          </w14:textFill>
        </w:rPr>
      </w:pPr>
    </w:p>
    <w:p w14:paraId="7BE0FEC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Yuan F(1), Ying C(1), Huang Z(1), Yang J(2), Li A(3).</w:t>
      </w:r>
    </w:p>
    <w:p w14:paraId="2AA30A9B">
      <w:pPr>
        <w:rPr>
          <w:rFonts w:hint="eastAsia" w:ascii="宋体" w:hAnsi="宋体" w:eastAsia="宋体" w:cs="宋体"/>
          <w:color w:val="000000" w:themeColor="text1"/>
          <w:szCs w:val="24"/>
          <w14:textFill>
            <w14:solidFill>
              <w14:schemeClr w14:val="tx1"/>
            </w14:solidFill>
          </w14:textFill>
        </w:rPr>
      </w:pPr>
    </w:p>
    <w:p w14:paraId="220881E8">
      <w:pPr>
        <w:rPr>
          <w:rFonts w:hint="eastAsia" w:ascii="宋体" w:hAnsi="宋体" w:eastAsia="宋体" w:cs="宋体"/>
          <w:b/>
          <w:bCs/>
          <w:color w:val="4472C4" w:themeColor="accent5"/>
          <w:szCs w:val="24"/>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Fei Yuan</w:t>
      </w:r>
      <w:r>
        <w:rPr>
          <w:rFonts w:hint="eastAsia" w:ascii="宋体" w:hAnsi="宋体" w:eastAsia="宋体" w:cs="宋体"/>
          <w:b/>
          <w:bCs/>
          <w:color w:val="4472C4" w:themeColor="accent5"/>
          <w:szCs w:val="24"/>
          <w:lang w:val="en-US"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Chiqing Ying,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Zhengming Huang,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Jiaojiao Yang,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Angcheng Li</w:t>
      </w:r>
    </w:p>
    <w:p w14:paraId="0879B049">
      <w:pPr>
        <w:rPr>
          <w:rFonts w:hint="eastAsia" w:ascii="宋体" w:hAnsi="宋体" w:eastAsia="宋体" w:cs="宋体"/>
          <w:b/>
          <w:bCs/>
          <w:color w:val="4472C4" w:themeColor="accent5"/>
          <w:szCs w:val="24"/>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*CORRESPONDENCE Fei Yuan yuanfei85-@163.com</w:t>
      </w:r>
    </w:p>
    <w:p w14:paraId="6DF0DD5F">
      <w:pPr>
        <w:rPr>
          <w:rFonts w:hint="eastAsia" w:ascii="宋体" w:hAnsi="宋体" w:eastAsia="宋体" w:cs="宋体"/>
          <w:color w:val="000000" w:themeColor="text1"/>
          <w:szCs w:val="24"/>
          <w14:textFill>
            <w14:solidFill>
              <w14:schemeClr w14:val="tx1"/>
            </w14:solidFill>
          </w14:textFill>
        </w:rPr>
      </w:pPr>
    </w:p>
    <w:p w14:paraId="084B55F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281505D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Respiratory and Critical Care Medicine, Jinhua Municipal </w:t>
      </w:r>
    </w:p>
    <w:p w14:paraId="76D77E8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Central Hospital, Jinhua, Zhejiang, China.</w:t>
      </w:r>
    </w:p>
    <w:p w14:paraId="74B19D1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(2)Department of Respiratory and Critical Care Medicine, Zhejiang Jinhua Guangfu </w:t>
      </w:r>
    </w:p>
    <w:p w14:paraId="17B3375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Hospital, Jinhua, Zhejiang, China.</w:t>
      </w:r>
    </w:p>
    <w:p w14:paraId="7560FB6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(3)Department of Pathology, Jinhua Municipal Central Hospital, Jinhua, Zhejiang, </w:t>
      </w:r>
    </w:p>
    <w:p w14:paraId="3C0F48F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China.</w:t>
      </w:r>
    </w:p>
    <w:p w14:paraId="373E70A6">
      <w:pPr>
        <w:rPr>
          <w:rFonts w:hint="eastAsia" w:ascii="宋体" w:hAnsi="宋体" w:eastAsia="宋体" w:cs="宋体"/>
          <w:color w:val="000000" w:themeColor="text1"/>
          <w:szCs w:val="24"/>
          <w14:textFill>
            <w14:solidFill>
              <w14:schemeClr w14:val="tx1"/>
            </w14:solidFill>
          </w14:textFill>
        </w:rPr>
      </w:pPr>
    </w:p>
    <w:p w14:paraId="25657F3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Tracheobronchial tuberculosis is a special type of pulmonary tuberculosis that </w:t>
      </w:r>
    </w:p>
    <w:p w14:paraId="52C9444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poses significant diagnostic challenges due to its nonspecific clinical and </w:t>
      </w:r>
    </w:p>
    <w:p w14:paraId="721664E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radiological manifestations. The tumorous subtype of tracheobronchial </w:t>
      </w:r>
    </w:p>
    <w:p w14:paraId="248544A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tuberculosis is particularly rare and carries a variable clinical course with </w:t>
      </w:r>
    </w:p>
    <w:p w14:paraId="14D5CB3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risk of airway stenosis. A 21-year-old male presented with acute-onset cough, </w:t>
      </w:r>
    </w:p>
    <w:p w14:paraId="2602FB1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chest tightness, and fever. Chest CT revealed a large obstructive endobronchial </w:t>
      </w:r>
    </w:p>
    <w:p w14:paraId="67EBC4C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mass in the left main bronchus and left upper lobe bronchus, initially </w:t>
      </w:r>
    </w:p>
    <w:p w14:paraId="3D0841C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misdiagnosed as an airway tumor. Given the severe airway obstruction, the </w:t>
      </w:r>
    </w:p>
    <w:p w14:paraId="60C1E43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patient underwent bronchoscopic resection of the endobronchial mass for </w:t>
      </w:r>
    </w:p>
    <w:p w14:paraId="3AA584C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diagnosis and symptom relief. Histopathological analysis of the resected mass </w:t>
      </w:r>
    </w:p>
    <w:p w14:paraId="67A09C9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and molecular testing of bronchoalveolar lavage fluid confirmed tumorous </w:t>
      </w:r>
    </w:p>
    <w:p w14:paraId="1D86D5F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tracheobronchial tuberculosis complicated with infiltrative pulmonary </w:t>
      </w:r>
    </w:p>
    <w:p w14:paraId="24202CE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tuberculosis. The patient received individualized anti-tuberculosis therapy </w:t>
      </w:r>
    </w:p>
    <w:p w14:paraId="4BE3054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tailored to bronchoscopic findings, and follow-up chest CT showed marked lesion </w:t>
      </w:r>
    </w:p>
    <w:p w14:paraId="070D504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regression without complications such as bronchial stenosis. Tumorous </w:t>
      </w:r>
    </w:p>
    <w:p w14:paraId="50D9E1D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tracheobronchial tuberculosis is an unusual, easily misdiagnosed subtype with a </w:t>
      </w:r>
    </w:p>
    <w:p w14:paraId="2E50C1C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potentially severe prognosis, and it must be carefully considered in the </w:t>
      </w:r>
    </w:p>
    <w:p w14:paraId="342C32A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differential diagnosis of endobronchial masses. Timely diagnosis and early </w:t>
      </w:r>
    </w:p>
    <w:p w14:paraId="57673D8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initiation of anti-tuberculosis therapy are critical for achieving uncomplicated </w:t>
      </w:r>
    </w:p>
    <w:p w14:paraId="14F4821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healing, as demonstrated by this patient's favorable outcome.</w:t>
      </w:r>
    </w:p>
    <w:p w14:paraId="027CCF0A">
      <w:pPr>
        <w:rPr>
          <w:rFonts w:hint="eastAsia" w:ascii="宋体" w:hAnsi="宋体" w:eastAsia="宋体" w:cs="宋体"/>
          <w:color w:val="000000" w:themeColor="text1"/>
          <w:szCs w:val="24"/>
          <w14:textFill>
            <w14:solidFill>
              <w14:schemeClr w14:val="tx1"/>
            </w14:solidFill>
          </w14:textFill>
        </w:rPr>
      </w:pPr>
    </w:p>
    <w:p w14:paraId="3CB2FB3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2026 Yuan, Ying, Huang, Yang and Li.</w:t>
      </w:r>
    </w:p>
    <w:p w14:paraId="731DE308">
      <w:pPr>
        <w:rPr>
          <w:rFonts w:hint="eastAsia" w:ascii="宋体" w:hAnsi="宋体" w:eastAsia="宋体" w:cs="宋体"/>
          <w:color w:val="000000" w:themeColor="text1"/>
          <w:szCs w:val="24"/>
          <w14:textFill>
            <w14:solidFill>
              <w14:schemeClr w14:val="tx1"/>
            </w14:solidFill>
          </w14:textFill>
        </w:rPr>
      </w:pPr>
    </w:p>
    <w:p w14:paraId="09F2DEA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10.3389/fmed.2026.1918544</w:t>
      </w:r>
    </w:p>
    <w:p w14:paraId="32B5099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PMC13593766</w:t>
      </w:r>
    </w:p>
    <w:p w14:paraId="291BB8B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42774220</w:t>
      </w:r>
    </w:p>
    <w:p w14:paraId="47E13732">
      <w:pPr>
        <w:rPr>
          <w:rFonts w:hint="eastAsia" w:ascii="宋体" w:hAnsi="宋体" w:eastAsia="宋体" w:cs="宋体"/>
          <w:color w:val="000000" w:themeColor="text1"/>
          <w:szCs w:val="24"/>
          <w14:textFill>
            <w14:solidFill>
              <w14:schemeClr w14:val="tx1"/>
            </w14:solidFill>
          </w14:textFill>
        </w:rPr>
      </w:pPr>
    </w:p>
    <w:p w14:paraId="679ADADC">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23</w:t>
      </w:r>
      <w:r>
        <w:rPr>
          <w:rFonts w:hint="eastAsia" w:ascii="宋体" w:hAnsi="宋体" w:eastAsia="宋体" w:cs="宋体"/>
          <w:b/>
          <w:bCs/>
          <w:color w:val="FF0000"/>
          <w:szCs w:val="24"/>
        </w:rPr>
        <w:t xml:space="preserve">. Front Cell Infect Microbiol. 2026 Sep 8;16:1955690. doi: </w:t>
      </w:r>
    </w:p>
    <w:p w14:paraId="08805B7E">
      <w:pPr>
        <w:rPr>
          <w:rFonts w:hint="eastAsia" w:ascii="宋体" w:hAnsi="宋体" w:eastAsia="宋体" w:cs="宋体"/>
          <w:b/>
          <w:bCs/>
          <w:color w:val="FF0000"/>
          <w:szCs w:val="24"/>
        </w:rPr>
      </w:pPr>
      <w:r>
        <w:rPr>
          <w:rFonts w:hint="eastAsia" w:ascii="宋体" w:hAnsi="宋体" w:eastAsia="宋体" w:cs="宋体"/>
          <w:b/>
          <w:bCs/>
          <w:color w:val="FF0000"/>
          <w:szCs w:val="24"/>
        </w:rPr>
        <w:t>10.3389/fcimb.2026.1955690. eCollection 2026.</w:t>
      </w:r>
    </w:p>
    <w:p w14:paraId="60155569">
      <w:pPr>
        <w:rPr>
          <w:rFonts w:hint="eastAsia" w:ascii="宋体" w:hAnsi="宋体" w:eastAsia="宋体" w:cs="宋体"/>
          <w:color w:val="000000" w:themeColor="text1"/>
          <w:szCs w:val="24"/>
          <w14:textFill>
            <w14:solidFill>
              <w14:schemeClr w14:val="tx1"/>
            </w14:solidFill>
          </w14:textFill>
        </w:rPr>
      </w:pPr>
    </w:p>
    <w:p w14:paraId="0B66242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Contezolid in tuberculous meningitis: comparable efficacy and favorable safety.</w:t>
      </w:r>
    </w:p>
    <w:p w14:paraId="306340FB">
      <w:pPr>
        <w:rPr>
          <w:rFonts w:hint="eastAsia" w:ascii="宋体" w:hAnsi="宋体" w:eastAsia="宋体" w:cs="宋体"/>
          <w:color w:val="000000" w:themeColor="text1"/>
          <w:szCs w:val="24"/>
          <w14:textFill>
            <w14:solidFill>
              <w14:schemeClr w14:val="tx1"/>
            </w14:solidFill>
          </w14:textFill>
        </w:rPr>
      </w:pPr>
    </w:p>
    <w:p w14:paraId="266A719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Liao Y(1), Lv F(1), Quan T(1), Zheng L(1), Wu G(2).</w:t>
      </w:r>
    </w:p>
    <w:p w14:paraId="7751BDE5">
      <w:pPr>
        <w:rPr>
          <w:rFonts w:hint="eastAsia" w:ascii="宋体" w:hAnsi="宋体" w:eastAsia="宋体" w:cs="宋体"/>
          <w:color w:val="000000" w:themeColor="text1"/>
          <w:szCs w:val="24"/>
          <w14:textFill>
            <w14:solidFill>
              <w14:schemeClr w14:val="tx1"/>
            </w14:solidFill>
          </w14:textFill>
        </w:rPr>
      </w:pPr>
    </w:p>
    <w:p w14:paraId="2145ABA7">
      <w:pPr>
        <w:rPr>
          <w:rFonts w:hint="eastAsia" w:ascii="宋体" w:hAnsi="宋体" w:eastAsia="宋体" w:cs="宋体"/>
          <w:b/>
          <w:bCs/>
          <w:color w:val="4472C4" w:themeColor="accent5"/>
          <w:szCs w:val="24"/>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Yanmei Liao</w:t>
      </w:r>
      <w:r>
        <w:rPr>
          <w:rFonts w:hint="eastAsia" w:ascii="宋体" w:hAnsi="宋体" w:eastAsia="宋体" w:cs="宋体"/>
          <w:b/>
          <w:bCs/>
          <w:color w:val="4472C4" w:themeColor="accent5"/>
          <w:szCs w:val="24"/>
          <w:lang w:val="en-US"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Fei Lv,</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Tianwen Quan,</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Li Zheng,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Guihui Wu</w:t>
      </w:r>
    </w:p>
    <w:p w14:paraId="5F1991B3">
      <w:pPr>
        <w:rPr>
          <w:rFonts w:hint="eastAsia" w:ascii="宋体" w:hAnsi="宋体" w:eastAsia="宋体" w:cs="宋体"/>
          <w:b/>
          <w:bCs/>
          <w:color w:val="4472C4" w:themeColor="accent5"/>
          <w:szCs w:val="24"/>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*CORRESPONDENCE Yanmei Liao</w:t>
      </w:r>
      <w:r>
        <w:rPr>
          <w:rFonts w:hint="eastAsia" w:ascii="宋体" w:hAnsi="宋体" w:eastAsia="宋体" w:cs="宋体"/>
          <w:b/>
          <w:bCs/>
          <w:color w:val="4472C4" w:themeColor="accent5"/>
          <w:szCs w:val="24"/>
          <w:lang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liaoyanmei2024@163.com</w:t>
      </w:r>
    </w:p>
    <w:p w14:paraId="7ADF1B05">
      <w:pPr>
        <w:rPr>
          <w:rFonts w:hint="eastAsia" w:ascii="宋体" w:hAnsi="宋体" w:eastAsia="宋体" w:cs="宋体"/>
          <w:color w:val="000000" w:themeColor="text1"/>
          <w:szCs w:val="24"/>
          <w14:textFill>
            <w14:solidFill>
              <w14:schemeClr w14:val="tx1"/>
            </w14:solidFill>
          </w14:textFill>
        </w:rPr>
      </w:pPr>
    </w:p>
    <w:p w14:paraId="4A60BBA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7C8B7AC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Pharmacy, Public Health Clinical Center of Chengdu, Jinjiang </w:t>
      </w:r>
    </w:p>
    <w:p w14:paraId="6D26FB3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District, Sichuan, Chengdu, China.</w:t>
      </w:r>
    </w:p>
    <w:p w14:paraId="7FA5BDE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(2)Department of Tuberculosis, Public Health Clinical Center of Chengdu, </w:t>
      </w:r>
    </w:p>
    <w:p w14:paraId="7561B1C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Jinjiang District, Sichuan, Chengdu, China.</w:t>
      </w:r>
    </w:p>
    <w:p w14:paraId="65A6497A">
      <w:pPr>
        <w:rPr>
          <w:rFonts w:hint="eastAsia" w:ascii="宋体" w:hAnsi="宋体" w:eastAsia="宋体" w:cs="宋体"/>
          <w:color w:val="000000" w:themeColor="text1"/>
          <w:szCs w:val="24"/>
          <w14:textFill>
            <w14:solidFill>
              <w14:schemeClr w14:val="tx1"/>
            </w14:solidFill>
          </w14:textFill>
        </w:rPr>
      </w:pPr>
    </w:p>
    <w:p w14:paraId="74ABDFA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BACKGROUND:</w:t>
      </w:r>
      <w:r>
        <w:rPr>
          <w:rFonts w:hint="eastAsia" w:ascii="宋体" w:hAnsi="宋体" w:eastAsia="宋体" w:cs="宋体"/>
          <w:color w:val="000000" w:themeColor="text1"/>
          <w:szCs w:val="24"/>
          <w14:textFill>
            <w14:solidFill>
              <w14:schemeClr w14:val="tx1"/>
            </w14:solidFill>
          </w14:textFill>
        </w:rPr>
        <w:t xml:space="preserve"> Tuberculous meningitis (TBM) is the most severe and fatal form of </w:t>
      </w:r>
    </w:p>
    <w:p w14:paraId="054CCB2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tuberculosis (TB). Linezolid (Lzd), a key oxazolidinone with excellent central </w:t>
      </w:r>
    </w:p>
    <w:p w14:paraId="5A97C6E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nervous system penetration, is widely used for TBM but is limited by significant </w:t>
      </w:r>
    </w:p>
    <w:p w14:paraId="190CAEE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adverse events (AEs). Contezolid (Czd), a next-generation oxazolidinone </w:t>
      </w:r>
    </w:p>
    <w:p w14:paraId="3AF9023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structurally optimized from Lzd, has shown promising potential. However, </w:t>
      </w:r>
    </w:p>
    <w:p w14:paraId="187A288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clinical evidence for its use in TBM remains limited to isolated case reports.</w:t>
      </w:r>
    </w:p>
    <w:p w14:paraId="2489E3A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METHODS: W</w:t>
      </w:r>
      <w:r>
        <w:rPr>
          <w:rFonts w:hint="eastAsia" w:ascii="宋体" w:hAnsi="宋体" w:eastAsia="宋体" w:cs="宋体"/>
          <w:color w:val="000000" w:themeColor="text1"/>
          <w:szCs w:val="24"/>
          <w14:textFill>
            <w14:solidFill>
              <w14:schemeClr w14:val="tx1"/>
            </w14:solidFill>
          </w14:textFill>
        </w:rPr>
        <w:t xml:space="preserve">e conducted a retrospective study of TBM patients treated with Czd- or </w:t>
      </w:r>
    </w:p>
    <w:p w14:paraId="558430A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Lzd-containing regimens. Patients were categorized into two groups: the Czd </w:t>
      </w:r>
    </w:p>
    <w:p w14:paraId="27CA445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group (n=16, including 9 patients who switched from Lzd to Czd due to Lzd </w:t>
      </w:r>
    </w:p>
    <w:p w14:paraId="6054B16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intolerance) and the Lzd group (n=32). We analyzed treatment outcomes, including </w:t>
      </w:r>
    </w:p>
    <w:p w14:paraId="2C2D421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Cerebrospinal fluid (CSF) parameters, imaging findings, and CSF culture </w:t>
      </w:r>
    </w:p>
    <w:p w14:paraId="3907EB7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conversion, as well as safety outcomes in both groups.</w:t>
      </w:r>
    </w:p>
    <w:p w14:paraId="7F74272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RESULTS:</w:t>
      </w:r>
      <w:r>
        <w:rPr>
          <w:rFonts w:hint="eastAsia" w:ascii="宋体" w:hAnsi="宋体" w:eastAsia="宋体" w:cs="宋体"/>
          <w:color w:val="000000" w:themeColor="text1"/>
          <w:szCs w:val="24"/>
          <w14:textFill>
            <w14:solidFill>
              <w14:schemeClr w14:val="tx1"/>
            </w14:solidFill>
          </w14:textFill>
        </w:rPr>
        <w:t xml:space="preserve"> No AEs were observed in the Czd group, and hematological parameters </w:t>
      </w:r>
    </w:p>
    <w:p w14:paraId="668B616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remained stable. All Lzd-related AEs completely resolved after switching to Czd </w:t>
      </w:r>
    </w:p>
    <w:p w14:paraId="3A303F6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 the Lzd-to-Czd group. In the Lzd group, 68.75% experienced AEs, with 34.38% </w:t>
      </w:r>
    </w:p>
    <w:p w14:paraId="09E98AB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requiring dose reduction and 21.88% discontinuing treatment. Treatment outcomes </w:t>
      </w:r>
    </w:p>
    <w:p w14:paraId="24F1BCC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were favorable in both groups: all 48 patients achieved clinical symptom </w:t>
      </w:r>
    </w:p>
    <w:p w14:paraId="35627F9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improvement, with CSF Mtb culture conversion rates of 100% (Czd) vs. 93.33% </w:t>
      </w:r>
    </w:p>
    <w:p w14:paraId="55392B1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(Lzd), and radiological improvement in 81.25% of patients in both groups. No </w:t>
      </w:r>
    </w:p>
    <w:p w14:paraId="15FBFEC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significant differences were found in CSF parameter trends between the two </w:t>
      </w:r>
    </w:p>
    <w:p w14:paraId="02225A1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groups (all P &gt; 0.05).</w:t>
      </w:r>
    </w:p>
    <w:p w14:paraId="638D207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CONCLUSION: </w:t>
      </w:r>
      <w:r>
        <w:rPr>
          <w:rFonts w:hint="eastAsia" w:ascii="宋体" w:hAnsi="宋体" w:eastAsia="宋体" w:cs="宋体"/>
          <w:color w:val="000000" w:themeColor="text1"/>
          <w:szCs w:val="24"/>
          <w14:textFill>
            <w14:solidFill>
              <w14:schemeClr w14:val="tx1"/>
            </w14:solidFill>
          </w14:textFill>
        </w:rPr>
        <w:t xml:space="preserve">Czd represents an effective salvage strategy for Lzd intolerance and </w:t>
      </w:r>
    </w:p>
    <w:p w14:paraId="47F37AC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may prevent severe AEs while maintaining efficacy comparable to Lzd. These </w:t>
      </w:r>
    </w:p>
    <w:p w14:paraId="2CC8B5E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findings support Czd as a valuable alternative for TBM treatment.</w:t>
      </w:r>
    </w:p>
    <w:p w14:paraId="26A522D4">
      <w:pPr>
        <w:rPr>
          <w:rFonts w:hint="eastAsia" w:ascii="宋体" w:hAnsi="宋体" w:eastAsia="宋体" w:cs="宋体"/>
          <w:color w:val="000000" w:themeColor="text1"/>
          <w:szCs w:val="24"/>
          <w14:textFill>
            <w14:solidFill>
              <w14:schemeClr w14:val="tx1"/>
            </w14:solidFill>
          </w14:textFill>
        </w:rPr>
      </w:pPr>
    </w:p>
    <w:p w14:paraId="6AD7560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Copyright © 2026 Liao, Lv, Quan, Zheng and Wu.</w:t>
      </w:r>
    </w:p>
    <w:p w14:paraId="48594EB3">
      <w:pPr>
        <w:rPr>
          <w:rFonts w:hint="eastAsia" w:ascii="宋体" w:hAnsi="宋体" w:eastAsia="宋体" w:cs="宋体"/>
          <w:color w:val="000000" w:themeColor="text1"/>
          <w:szCs w:val="24"/>
          <w14:textFill>
            <w14:solidFill>
              <w14:schemeClr w14:val="tx1"/>
            </w14:solidFill>
          </w14:textFill>
        </w:rPr>
      </w:pPr>
    </w:p>
    <w:p w14:paraId="31520C9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10.3389/fcimb.2026.1955690</w:t>
      </w:r>
    </w:p>
    <w:p w14:paraId="30A9D6C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PMC13593499</w:t>
      </w:r>
    </w:p>
    <w:p w14:paraId="0754AAF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42774160 [Indexed for MEDLINE]</w:t>
      </w:r>
    </w:p>
    <w:p w14:paraId="07374C3F">
      <w:pPr>
        <w:rPr>
          <w:rFonts w:hint="eastAsia" w:ascii="宋体" w:hAnsi="宋体" w:eastAsia="宋体" w:cs="宋体"/>
          <w:color w:val="000000" w:themeColor="text1"/>
          <w:szCs w:val="24"/>
          <w14:textFill>
            <w14:solidFill>
              <w14:schemeClr w14:val="tx1"/>
            </w14:solidFill>
          </w14:textFill>
        </w:rPr>
      </w:pPr>
    </w:p>
    <w:p w14:paraId="52E3BFBD">
      <w:pPr>
        <w:rPr>
          <w:rFonts w:hint="eastAsia" w:ascii="宋体" w:hAnsi="宋体" w:eastAsia="宋体" w:cs="宋体"/>
          <w:b/>
          <w:bCs/>
          <w:color w:val="FF0000"/>
          <w:szCs w:val="24"/>
        </w:rPr>
      </w:pPr>
      <w:r>
        <w:rPr>
          <w:rFonts w:hint="eastAsia" w:ascii="宋体" w:hAnsi="宋体" w:eastAsia="宋体" w:cs="宋体"/>
          <w:b/>
          <w:bCs/>
          <w:color w:val="FF0000"/>
          <w:szCs w:val="24"/>
        </w:rPr>
        <w:t>2</w:t>
      </w:r>
      <w:r>
        <w:rPr>
          <w:rFonts w:hint="eastAsia" w:ascii="宋体" w:hAnsi="宋体" w:eastAsia="宋体" w:cs="宋体"/>
          <w:b/>
          <w:bCs/>
          <w:color w:val="FF0000"/>
          <w:szCs w:val="24"/>
          <w:lang w:val="en-US" w:eastAsia="zh-CN"/>
        </w:rPr>
        <w:t>4</w:t>
      </w:r>
      <w:r>
        <w:rPr>
          <w:rFonts w:hint="eastAsia" w:ascii="宋体" w:hAnsi="宋体" w:eastAsia="宋体" w:cs="宋体"/>
          <w:b/>
          <w:bCs/>
          <w:color w:val="FF0000"/>
          <w:szCs w:val="24"/>
        </w:rPr>
        <w:t xml:space="preserve">. Front Med (Lausanne). 2026 Sep 7;13:1819718. doi: 10.3389/fmed.2026.1819718. </w:t>
      </w:r>
    </w:p>
    <w:p w14:paraId="17B62EE8">
      <w:pPr>
        <w:rPr>
          <w:rFonts w:hint="eastAsia" w:ascii="宋体" w:hAnsi="宋体" w:eastAsia="宋体" w:cs="宋体"/>
          <w:b/>
          <w:bCs/>
          <w:color w:val="FF0000"/>
          <w:szCs w:val="24"/>
        </w:rPr>
      </w:pPr>
      <w:r>
        <w:rPr>
          <w:rFonts w:hint="eastAsia" w:ascii="宋体" w:hAnsi="宋体" w:eastAsia="宋体" w:cs="宋体"/>
          <w:b/>
          <w:bCs/>
          <w:color w:val="FF0000"/>
          <w:szCs w:val="24"/>
        </w:rPr>
        <w:t>eCollection 2026.</w:t>
      </w:r>
    </w:p>
    <w:p w14:paraId="59693D7C">
      <w:pPr>
        <w:rPr>
          <w:rFonts w:hint="eastAsia" w:ascii="宋体" w:hAnsi="宋体" w:eastAsia="宋体" w:cs="宋体"/>
          <w:color w:val="000000" w:themeColor="text1"/>
          <w:szCs w:val="24"/>
          <w14:textFill>
            <w14:solidFill>
              <w14:schemeClr w14:val="tx1"/>
            </w14:solidFill>
          </w14:textFill>
        </w:rPr>
      </w:pPr>
    </w:p>
    <w:p w14:paraId="0C27CA8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Triple-modality diagnosis of paucibacillary pulmonary tuberculosis: comparative </w:t>
      </w:r>
    </w:p>
    <w:p w14:paraId="3D6696D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accuracy of GeneXpert MTB/RIF, TB-DNA PCR, and T-SPOT.TB.</w:t>
      </w:r>
    </w:p>
    <w:p w14:paraId="1BF879FF">
      <w:pPr>
        <w:rPr>
          <w:rFonts w:hint="eastAsia" w:ascii="宋体" w:hAnsi="宋体" w:eastAsia="宋体" w:cs="宋体"/>
          <w:color w:val="000000" w:themeColor="text1"/>
          <w:szCs w:val="24"/>
          <w14:textFill>
            <w14:solidFill>
              <w14:schemeClr w14:val="tx1"/>
            </w14:solidFill>
          </w14:textFill>
        </w:rPr>
      </w:pPr>
    </w:p>
    <w:p w14:paraId="2A90355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Ji X(1), Yi Y(2), Zhou H(1), Chen X(3), Zhong H(1), Ji Z(4), Guo T(5).</w:t>
      </w:r>
    </w:p>
    <w:p w14:paraId="32BF5899">
      <w:pPr>
        <w:rPr>
          <w:rFonts w:hint="eastAsia" w:ascii="宋体" w:hAnsi="宋体" w:eastAsia="宋体" w:cs="宋体"/>
          <w:color w:val="000000" w:themeColor="text1"/>
          <w:szCs w:val="24"/>
          <w14:textFill>
            <w14:solidFill>
              <w14:schemeClr w14:val="tx1"/>
            </w14:solidFill>
          </w14:textFill>
        </w:rPr>
      </w:pPr>
    </w:p>
    <w:p w14:paraId="48B082A8">
      <w:pPr>
        <w:rPr>
          <w:rFonts w:hint="eastAsia" w:ascii="宋体" w:hAnsi="宋体" w:eastAsia="宋体" w:cs="宋体"/>
          <w:b/>
          <w:bCs/>
          <w:color w:val="4472C4" w:themeColor="accent5"/>
          <w:szCs w:val="24"/>
          <w:lang w:val="en-US" w:eastAsia="zh-CN"/>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Xiaohong Ji,</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Yu Yi,</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Hongyan Zhou,</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Xiao Chen,</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Huilin Zhong,</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Zijun Ji,</w:t>
      </w:r>
      <w:r>
        <w:rPr>
          <w:rFonts w:hint="eastAsia" w:ascii="宋体" w:hAnsi="宋体" w:eastAsia="宋体" w:cs="宋体"/>
          <w:b/>
          <w:bCs/>
          <w:color w:val="4472C4" w:themeColor="accent5"/>
          <w:szCs w:val="24"/>
          <w:lang w:val="en-US" w:eastAsia="zh-CN"/>
          <w14:textFill>
            <w14:solidFill>
              <w14:schemeClr w14:val="accent5"/>
            </w14:solidFill>
          </w14:textFill>
        </w:rPr>
        <w:t xml:space="preserve"> </w:t>
      </w:r>
      <w:r>
        <w:rPr>
          <w:rFonts w:hint="eastAsia" w:ascii="宋体" w:hAnsi="宋体" w:eastAsia="宋体" w:cs="宋体"/>
          <w:b/>
          <w:bCs/>
          <w:color w:val="4472C4" w:themeColor="accent5"/>
          <w:szCs w:val="24"/>
          <w14:textFill>
            <w14:solidFill>
              <w14:schemeClr w14:val="accent5"/>
            </w14:solidFill>
          </w14:textFill>
        </w:rPr>
        <w:t>Ting Guo</w:t>
      </w:r>
      <w:r>
        <w:rPr>
          <w:rFonts w:hint="eastAsia" w:ascii="宋体" w:hAnsi="宋体" w:eastAsia="宋体" w:cs="宋体"/>
          <w:b/>
          <w:bCs/>
          <w:color w:val="4472C4" w:themeColor="accent5"/>
          <w:szCs w:val="24"/>
          <w:lang w:val="en-US" w:eastAsia="zh-CN"/>
          <w14:textFill>
            <w14:solidFill>
              <w14:schemeClr w14:val="accent5"/>
            </w14:solidFill>
          </w14:textFill>
        </w:rPr>
        <w:t>*</w:t>
      </w:r>
    </w:p>
    <w:p w14:paraId="3AB7C902">
      <w:pPr>
        <w:rPr>
          <w:rFonts w:hint="eastAsia" w:ascii="宋体" w:hAnsi="宋体" w:eastAsia="宋体" w:cs="宋体"/>
          <w:b/>
          <w:bCs/>
          <w:color w:val="4472C4" w:themeColor="accent5"/>
          <w:szCs w:val="24"/>
          <w14:textFill>
            <w14:solidFill>
              <w14:schemeClr w14:val="accent5"/>
            </w14:solidFill>
          </w14:textFill>
        </w:rPr>
      </w:pPr>
      <w:r>
        <w:rPr>
          <w:rFonts w:hint="eastAsia" w:ascii="宋体" w:hAnsi="宋体" w:eastAsia="宋体" w:cs="宋体"/>
          <w:b/>
          <w:bCs/>
          <w:color w:val="4472C4" w:themeColor="accent5"/>
          <w:szCs w:val="24"/>
          <w14:textFill>
            <w14:solidFill>
              <w14:schemeClr w14:val="accent5"/>
            </w14:solidFill>
          </w14:textFill>
        </w:rPr>
        <w:t>*CORRESPONDENCE Ting Guo</w:t>
      </w:r>
      <w:r>
        <w:rPr>
          <w:rFonts w:hint="eastAsia" w:ascii="宋体" w:hAnsi="宋体" w:eastAsia="宋体" w:cs="宋体"/>
          <w:b/>
          <w:bCs/>
          <w:color w:val="4472C4" w:themeColor="accent5"/>
          <w:szCs w:val="24"/>
          <w:lang w:eastAsia="zh-CN"/>
          <w14:textFill>
            <w14:solidFill>
              <w14:schemeClr w14:val="accent5"/>
            </w14:solidFill>
          </w14:textFill>
        </w:rPr>
        <w:t>，</w:t>
      </w:r>
      <w:r>
        <w:rPr>
          <w:rFonts w:hint="eastAsia" w:ascii="宋体" w:hAnsi="宋体" w:eastAsia="宋体" w:cs="宋体"/>
          <w:b/>
          <w:bCs/>
          <w:color w:val="4472C4" w:themeColor="accent5"/>
          <w:szCs w:val="24"/>
          <w14:textFill>
            <w14:solidFill>
              <w14:schemeClr w14:val="accent5"/>
            </w14:solidFill>
          </w14:textFill>
        </w:rPr>
        <w:t xml:space="preserve"> Weizhen202602wz@163.com</w:t>
      </w:r>
    </w:p>
    <w:p w14:paraId="765854D7">
      <w:pPr>
        <w:rPr>
          <w:rFonts w:hint="eastAsia" w:ascii="宋体" w:hAnsi="宋体" w:eastAsia="宋体" w:cs="宋体"/>
          <w:color w:val="000000" w:themeColor="text1"/>
          <w:szCs w:val="24"/>
          <w14:textFill>
            <w14:solidFill>
              <w14:schemeClr w14:val="tx1"/>
            </w14:solidFill>
          </w14:textFill>
        </w:rPr>
      </w:pPr>
    </w:p>
    <w:p w14:paraId="0DBC081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67F1BD0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Infectious Diseases, The Second Affiliated Hospital of Yichun </w:t>
      </w:r>
    </w:p>
    <w:p w14:paraId="259602D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University, Yichun, Jiangxi, China.</w:t>
      </w:r>
    </w:p>
    <w:p w14:paraId="06DF02B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(2)Department of Laboratory Medicine, The Second Affiliated Hospital of Yichun </w:t>
      </w:r>
    </w:p>
    <w:p w14:paraId="4FDD6A2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University, Yichun, Jiangxi, China.</w:t>
      </w:r>
    </w:p>
    <w:p w14:paraId="04BCB3A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(3)Yichun Vocational Technical College, Yichun, Jiangxi, China.</w:t>
      </w:r>
    </w:p>
    <w:p w14:paraId="1B02D86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(4)Jiangxi Vocational College of Technology, Ganzhou, Jiangxi, China.</w:t>
      </w:r>
    </w:p>
    <w:p w14:paraId="249617B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(5)The Second Affiliated Hospital of Yichun University, Yichun, Jiangxi, China.</w:t>
      </w:r>
    </w:p>
    <w:p w14:paraId="19E870D1">
      <w:pPr>
        <w:rPr>
          <w:rFonts w:hint="eastAsia" w:ascii="宋体" w:hAnsi="宋体" w:eastAsia="宋体" w:cs="宋体"/>
          <w:color w:val="000000" w:themeColor="text1"/>
          <w:szCs w:val="24"/>
          <w14:textFill>
            <w14:solidFill>
              <w14:schemeClr w14:val="tx1"/>
            </w14:solidFill>
          </w14:textFill>
        </w:rPr>
      </w:pPr>
    </w:p>
    <w:p w14:paraId="2240988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BACKGROUND: </w:t>
      </w:r>
      <w:r>
        <w:rPr>
          <w:rFonts w:hint="eastAsia" w:ascii="宋体" w:hAnsi="宋体" w:eastAsia="宋体" w:cs="宋体"/>
          <w:color w:val="000000" w:themeColor="text1"/>
          <w:szCs w:val="24"/>
          <w14:textFill>
            <w14:solidFill>
              <w14:schemeClr w14:val="tx1"/>
            </w14:solidFill>
          </w14:textFill>
        </w:rPr>
        <w:t xml:space="preserve">Paucibacillary pulmonary tuberculosis (PTB) is diagnostically </w:t>
      </w:r>
    </w:p>
    <w:p w14:paraId="4025956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challenging because molecular assays are inherently insensitive at sub-threshold </w:t>
      </w:r>
    </w:p>
    <w:p w14:paraId="41A10CD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bacillary loads. The incremental value of T-SPOT.TB-a host immune-response assay </w:t>
      </w:r>
    </w:p>
    <w:p w14:paraId="51AA766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 ELISPOT-based interferon-γ release assay, IGRA)-combined with molecular </w:t>
      </w:r>
    </w:p>
    <w:p w14:paraId="1D90C5A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testing in this setting is not well established.</w:t>
      </w:r>
    </w:p>
    <w:p w14:paraId="131CAF7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METHODS: </w:t>
      </w:r>
      <w:r>
        <w:rPr>
          <w:rFonts w:hint="eastAsia" w:ascii="宋体" w:hAnsi="宋体" w:eastAsia="宋体" w:cs="宋体"/>
          <w:color w:val="000000" w:themeColor="text1"/>
          <w:szCs w:val="24"/>
          <w14:textFill>
            <w14:solidFill>
              <w14:schemeClr w14:val="tx1"/>
            </w14:solidFill>
          </w14:textFill>
        </w:rPr>
        <w:t xml:space="preserve">In this single-center, STARD 2015-compliant prospective </w:t>
      </w:r>
    </w:p>
    <w:p w14:paraId="79AECAC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diagnostic-accuracy study at a regional general hospital (January 2021-December </w:t>
      </w:r>
    </w:p>
    <w:p w14:paraId="0127451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2023), adults with suspected smear-negative PTB underwent simultaneous GeneXpert </w:t>
      </w:r>
    </w:p>
    <w:p w14:paraId="66285B2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MTB/RIF, in-house IS6110 TB-DNA real-time PCR, and T-SPOT.TB. Each participant </w:t>
      </w:r>
    </w:p>
    <w:p w14:paraId="2E04072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was classified as PTB or non-PTB by a blinded three-member panel using a </w:t>
      </w:r>
    </w:p>
    <w:p w14:paraId="43DDA03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reference standard with two PTB-confirmation routes-microbiological (positive </w:t>
      </w:r>
    </w:p>
    <w:p w14:paraId="2BA5C9F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mycobacterial culture) or clinical (compatible clinicoradiological presentation </w:t>
      </w:r>
    </w:p>
    <w:p w14:paraId="4992F85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plus documented response to standard anti-TB therapy at 6 months); participants </w:t>
      </w:r>
    </w:p>
    <w:p w14:paraId="6643776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meeting neither route were non-PTB. Performance was quantified by sensitivity, </w:t>
      </w:r>
    </w:p>
    <w:p w14:paraId="61788CD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specificity, predictive values, likelihood ratios, and balanced accuracy </w:t>
      </w:r>
    </w:p>
    <w:p w14:paraId="4A74692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([sensitivity + specificity]/2). Paired comparisons used the McNemar exact test </w:t>
      </w:r>
    </w:p>
    <w:p w14:paraId="70B51BD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with Bonferroni correction. No a priori sample-size calculation was performed; </w:t>
      </w:r>
    </w:p>
    <w:p w14:paraId="0A4AEC3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analyses are exploratory.</w:t>
      </w:r>
    </w:p>
    <w:p w14:paraId="5C9E289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RESULTS:</w:t>
      </w:r>
      <w:r>
        <w:rPr>
          <w:rFonts w:hint="eastAsia" w:ascii="宋体" w:hAnsi="宋体" w:eastAsia="宋体" w:cs="宋体"/>
          <w:color w:val="000000" w:themeColor="text1"/>
          <w:szCs w:val="24"/>
          <w14:textFill>
            <w14:solidFill>
              <w14:schemeClr w14:val="tx1"/>
            </w14:solidFill>
          </w14:textFill>
        </w:rPr>
        <w:t xml:space="preserve"> Among 78 participants [PTB n = 44 (microbiological n = 33, clinical n = </w:t>
      </w:r>
    </w:p>
    <w:p w14:paraId="0C67416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11); non-PTB n = 34], T-SPOT.TB had the highest individual sensitivity (79.5%; </w:t>
      </w:r>
    </w:p>
    <w:p w14:paraId="03D98F5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95% CI 65.5-88.8%) and balanced accuracy (0.780; 0.681-0.872), versus GeneXpert </w:t>
      </w:r>
    </w:p>
    <w:p w14:paraId="3D73A81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(29.5%; 0.618) and TB-DNA PCR (31.8%; specificity 100%; 0.659). Under a parallel </w:t>
      </w:r>
    </w:p>
    <w:p w14:paraId="09C6119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(any-positive) rule, TB-DNA PCR + T-SPOT.TB showed the highest balanced accuracy </w:t>
      </w:r>
    </w:p>
    <w:p w14:paraId="1EE754C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observed in this cohort (0.826; 0.734-0.907; sensitivity 88.6%, specificity </w:t>
      </w:r>
    </w:p>
    <w:p w14:paraId="6D79A23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76.5%; the sensitivity gain over T-SPOT.TB alone did not reach statistical </w:t>
      </w:r>
    </w:p>
    <w:p w14:paraId="261E376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significance, exact McNemar p = 0.125). The triple combination did not improve </w:t>
      </w:r>
    </w:p>
    <w:p w14:paraId="3C28625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discrimination (0.796). T-SPOT.TB was the sole positive assay in 21/44 (47.7%) </w:t>
      </w:r>
    </w:p>
    <w:p w14:paraId="644C7A4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confirmed PTB cases.</w:t>
      </w:r>
    </w:p>
    <w:p w14:paraId="38A3DB5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CONCLUSION: </w:t>
      </w:r>
      <w:r>
        <w:rPr>
          <w:rFonts w:hint="eastAsia" w:ascii="宋体" w:hAnsi="宋体" w:eastAsia="宋体" w:cs="宋体"/>
          <w:color w:val="000000" w:themeColor="text1"/>
          <w:szCs w:val="24"/>
          <w14:textFill>
            <w14:solidFill>
              <w14:schemeClr w14:val="tx1"/>
            </w14:solidFill>
          </w14:textFill>
        </w:rPr>
        <w:t xml:space="preserve">In this exploratory single-center cohort, T-SPOT.TB contributed </w:t>
      </w:r>
    </w:p>
    <w:p w14:paraId="220C099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unique diagnostic information (47.7% exclusive detection) not captured by </w:t>
      </w:r>
    </w:p>
    <w:p w14:paraId="63E5055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molecular assays. TB-DNA PCR + T-SPOT.TB showed the highest observed balanced </w:t>
      </w:r>
    </w:p>
    <w:p w14:paraId="2997DB4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accuracy, but, given the single-center design and absence of a priori powering, </w:t>
      </w:r>
    </w:p>
    <w:p w14:paraId="311C53E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this is hypothesis-generating and requires confirmation in adequately powered, </w:t>
      </w:r>
    </w:p>
    <w:p w14:paraId="56ECEA4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multicenter studies before any clinical recommendation. Where available, Xpert </w:t>
      </w:r>
    </w:p>
    <w:p w14:paraId="3422321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MTB/RIF Ultra is the preferred first-line molecular assay and should be </w:t>
      </w:r>
    </w:p>
    <w:p w14:paraId="674BDDB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prioritized, in combination with T-SPOT.TB, in future prospective evaluation.</w:t>
      </w:r>
    </w:p>
    <w:p w14:paraId="5F86661B">
      <w:pPr>
        <w:rPr>
          <w:rFonts w:hint="eastAsia" w:ascii="宋体" w:hAnsi="宋体" w:eastAsia="宋体" w:cs="宋体"/>
          <w:color w:val="000000" w:themeColor="text1"/>
          <w:szCs w:val="24"/>
          <w14:textFill>
            <w14:solidFill>
              <w14:schemeClr w14:val="tx1"/>
            </w14:solidFill>
          </w14:textFill>
        </w:rPr>
      </w:pPr>
    </w:p>
    <w:p w14:paraId="01D22FF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Copyright © 2026 Ji, Yi, Zhou, Chen, Zhong, Ji and Guo.</w:t>
      </w:r>
    </w:p>
    <w:p w14:paraId="4CED468F">
      <w:pPr>
        <w:rPr>
          <w:rFonts w:hint="eastAsia" w:ascii="宋体" w:hAnsi="宋体" w:eastAsia="宋体" w:cs="宋体"/>
          <w:color w:val="000000" w:themeColor="text1"/>
          <w:szCs w:val="24"/>
          <w14:textFill>
            <w14:solidFill>
              <w14:schemeClr w14:val="tx1"/>
            </w14:solidFill>
          </w14:textFill>
        </w:rPr>
      </w:pPr>
    </w:p>
    <w:p w14:paraId="4A776FC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10.3389/fmed.2026.1819718</w:t>
      </w:r>
    </w:p>
    <w:p w14:paraId="5D75C5F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PMC13590741</w:t>
      </w:r>
      <w:bookmarkStart w:id="0" w:name="_GoBack"/>
      <w:bookmarkEnd w:id="0"/>
    </w:p>
    <w:p w14:paraId="44F0CE0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42769177</w:t>
      </w:r>
    </w:p>
    <w:p w14:paraId="74F9D399">
      <w:pPr>
        <w:rPr>
          <w:rFonts w:hint="eastAsia" w:ascii="宋体" w:hAnsi="宋体" w:eastAsia="宋体" w:cs="宋体"/>
          <w:color w:val="000000" w:themeColor="text1"/>
          <w:szCs w:val="24"/>
          <w14:textFill>
            <w14:solidFill>
              <w14:schemeClr w14:val="tx1"/>
            </w14:solidFill>
          </w14:textFill>
        </w:rPr>
      </w:pPr>
    </w:p>
    <w:p w14:paraId="6829D11B">
      <w:pPr>
        <w:rPr>
          <w:rFonts w:hint="eastAsia" w:ascii="宋体" w:hAnsi="宋体" w:eastAsia="宋体" w:cs="宋体"/>
          <w:b/>
          <w:bCs/>
          <w:color w:val="FF0000"/>
          <w:szCs w:val="24"/>
        </w:rPr>
      </w:pPr>
      <w:r>
        <w:rPr>
          <w:rFonts w:hint="eastAsia" w:ascii="宋体" w:hAnsi="宋体" w:eastAsia="宋体" w:cs="宋体"/>
          <w:b/>
          <w:bCs/>
          <w:color w:val="FF0000"/>
          <w:szCs w:val="24"/>
        </w:rPr>
        <w:t>2</w:t>
      </w:r>
      <w:r>
        <w:rPr>
          <w:rFonts w:hint="eastAsia" w:ascii="宋体" w:hAnsi="宋体" w:eastAsia="宋体" w:cs="宋体"/>
          <w:b/>
          <w:bCs/>
          <w:color w:val="FF0000"/>
          <w:szCs w:val="24"/>
          <w:lang w:val="en-US" w:eastAsia="zh-CN"/>
        </w:rPr>
        <w:t>5</w:t>
      </w:r>
      <w:r>
        <w:rPr>
          <w:rFonts w:hint="eastAsia" w:ascii="宋体" w:hAnsi="宋体" w:eastAsia="宋体" w:cs="宋体"/>
          <w:b/>
          <w:bCs/>
          <w:color w:val="FF0000"/>
          <w:szCs w:val="24"/>
        </w:rPr>
        <w:t>. Infect Drug Resist. 2026 Sep 16;19:633640. doi: 10.2147/IDR.S633640. eCollection 2026.</w:t>
      </w:r>
    </w:p>
    <w:p w14:paraId="7E32526D">
      <w:pPr>
        <w:rPr>
          <w:rFonts w:hint="eastAsia" w:ascii="宋体" w:hAnsi="宋体" w:eastAsia="宋体" w:cs="宋体"/>
          <w:color w:val="000000" w:themeColor="text1"/>
          <w:szCs w:val="24"/>
          <w14:textFill>
            <w14:solidFill>
              <w14:schemeClr w14:val="tx1"/>
            </w14:solidFill>
          </w14:textFill>
        </w:rPr>
      </w:pPr>
    </w:p>
    <w:p w14:paraId="0311615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Cross-Reactivity of GeneXpert MTB/RIF Probe C with Nocardia Species as a </w:t>
      </w:r>
    </w:p>
    <w:p w14:paraId="608E288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Suggestive Ancillary Indicator.</w:t>
      </w:r>
    </w:p>
    <w:p w14:paraId="359180FF">
      <w:pPr>
        <w:rPr>
          <w:rFonts w:hint="eastAsia" w:ascii="宋体" w:hAnsi="宋体" w:eastAsia="宋体" w:cs="宋体"/>
          <w:color w:val="000000" w:themeColor="text1"/>
          <w:szCs w:val="24"/>
          <w14:textFill>
            <w14:solidFill>
              <w14:schemeClr w14:val="tx1"/>
            </w14:solidFill>
          </w14:textFill>
        </w:rPr>
      </w:pPr>
    </w:p>
    <w:p w14:paraId="1D5F776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Fan Y(1), Song R(1), Feng J(2), Zhao J(1).</w:t>
      </w:r>
    </w:p>
    <w:p w14:paraId="65BF7073">
      <w:pPr>
        <w:rPr>
          <w:rFonts w:hint="eastAsia" w:ascii="宋体" w:hAnsi="宋体" w:eastAsia="宋体" w:cs="宋体"/>
          <w:color w:val="000000" w:themeColor="text1"/>
          <w:szCs w:val="24"/>
          <w14:textFill>
            <w14:solidFill>
              <w14:schemeClr w14:val="tx1"/>
            </w14:solidFill>
          </w14:textFill>
        </w:rPr>
      </w:pPr>
    </w:p>
    <w:p w14:paraId="41AB1BEA">
      <w:pPr>
        <w:rPr>
          <w:rFonts w:hint="eastAsia" w:ascii="宋体" w:hAnsi="宋体" w:eastAsia="宋体" w:cs="宋体"/>
          <w:b/>
          <w:bCs/>
          <w:color w:val="000000" w:themeColor="text1"/>
          <w:szCs w:val="24"/>
          <w:lang w:val="en-US" w:eastAsia="zh-CN"/>
          <w14:textFill>
            <w14:gradFill>
              <w14:gsLst>
                <w14:gs w14:pos="50000">
                  <w14:schemeClr w14:val="accent5"/>
                </w14:gs>
                <w14:gs w14:pos="0">
                  <w14:schemeClr w14:val="accent5">
                    <w14:lumMod w14:val="25000"/>
                    <w14:lumOff w14:val="75000"/>
                  </w14:schemeClr>
                </w14:gs>
                <w14:gs w14:pos="100000">
                  <w14:schemeClr w14:val="accent5">
                    <w14:lumMod w14:val="85000"/>
                  </w14:schemeClr>
                </w14:gs>
              </w14:gsLst>
              <w14:lin w14:ang="5400000" w14:scaled="1"/>
            </w14:gradFill>
          </w14:textFill>
        </w:rPr>
      </w:pPr>
      <w:r>
        <w:rPr>
          <w:rFonts w:hint="eastAsia" w:ascii="宋体" w:hAnsi="宋体" w:eastAsia="宋体" w:cs="宋体"/>
          <w:b/>
          <w:bCs/>
          <w:color w:val="000000" w:themeColor="text1"/>
          <w:szCs w:val="24"/>
          <w14:textFill>
            <w14:gradFill>
              <w14:gsLst>
                <w14:gs w14:pos="50000">
                  <w14:schemeClr w14:val="accent5"/>
                </w14:gs>
                <w14:gs w14:pos="0">
                  <w14:schemeClr w14:val="accent5">
                    <w14:lumMod w14:val="25000"/>
                    <w14:lumOff w14:val="75000"/>
                  </w14:schemeClr>
                </w14:gs>
                <w14:gs w14:pos="100000">
                  <w14:schemeClr w14:val="accent5">
                    <w14:lumMod w14:val="85000"/>
                  </w14:schemeClr>
                </w14:gs>
              </w14:gsLst>
              <w14:lin w14:ang="5400000" w14:scaled="1"/>
            </w14:gradFill>
          </w14:textFill>
        </w:rPr>
        <w:t>Yanyan Fan,</w:t>
      </w:r>
      <w:r>
        <w:rPr>
          <w:rFonts w:hint="eastAsia" w:ascii="宋体" w:hAnsi="宋体" w:eastAsia="宋体" w:cs="宋体"/>
          <w:b/>
          <w:bCs/>
          <w:color w:val="000000" w:themeColor="text1"/>
          <w:szCs w:val="24"/>
          <w:lang w:val="en-US" w:eastAsia="zh-CN"/>
          <w14:textFill>
            <w14:gradFill>
              <w14:gsLst>
                <w14:gs w14:pos="50000">
                  <w14:schemeClr w14:val="accent5"/>
                </w14:gs>
                <w14:gs w14:pos="0">
                  <w14:schemeClr w14:val="accent5">
                    <w14:lumMod w14:val="25000"/>
                    <w14:lumOff w14:val="75000"/>
                  </w14:schemeClr>
                </w14:gs>
                <w14:gs w14:pos="100000">
                  <w14:schemeClr w14:val="accent5">
                    <w14:lumMod w14:val="85000"/>
                  </w14:schemeClr>
                </w14:gs>
              </w14:gsLst>
              <w14:lin w14:ang="5400000" w14:scaled="1"/>
            </w14:gradFill>
          </w14:textFill>
        </w:rPr>
        <w:t xml:space="preserve"> </w:t>
      </w:r>
      <w:r>
        <w:rPr>
          <w:rFonts w:hint="eastAsia" w:ascii="宋体" w:hAnsi="宋体" w:eastAsia="宋体" w:cs="宋体"/>
          <w:b/>
          <w:bCs/>
          <w:color w:val="000000" w:themeColor="text1"/>
          <w:szCs w:val="24"/>
          <w14:textFill>
            <w14:gradFill>
              <w14:gsLst>
                <w14:gs w14:pos="50000">
                  <w14:schemeClr w14:val="accent5"/>
                </w14:gs>
                <w14:gs w14:pos="0">
                  <w14:schemeClr w14:val="accent5">
                    <w14:lumMod w14:val="25000"/>
                    <w14:lumOff w14:val="75000"/>
                  </w14:schemeClr>
                </w14:gs>
                <w14:gs w14:pos="100000">
                  <w14:schemeClr w14:val="accent5">
                    <w14:lumMod w14:val="85000"/>
                  </w14:schemeClr>
                </w14:gs>
              </w14:gsLst>
              <w14:lin w14:ang="5400000" w14:scaled="1"/>
            </w14:gradFill>
          </w14:textFill>
        </w:rPr>
        <w:t>Rongrong Song,</w:t>
      </w:r>
      <w:r>
        <w:rPr>
          <w:rFonts w:hint="eastAsia" w:ascii="宋体" w:hAnsi="宋体" w:eastAsia="宋体" w:cs="宋体"/>
          <w:b/>
          <w:bCs/>
          <w:color w:val="000000" w:themeColor="text1"/>
          <w:szCs w:val="24"/>
          <w:lang w:val="en-US" w:eastAsia="zh-CN"/>
          <w14:textFill>
            <w14:gradFill>
              <w14:gsLst>
                <w14:gs w14:pos="50000">
                  <w14:schemeClr w14:val="accent5"/>
                </w14:gs>
                <w14:gs w14:pos="0">
                  <w14:schemeClr w14:val="accent5">
                    <w14:lumMod w14:val="25000"/>
                    <w14:lumOff w14:val="75000"/>
                  </w14:schemeClr>
                </w14:gs>
                <w14:gs w14:pos="100000">
                  <w14:schemeClr w14:val="accent5">
                    <w14:lumMod w14:val="85000"/>
                  </w14:schemeClr>
                </w14:gs>
              </w14:gsLst>
              <w14:lin w14:ang="5400000" w14:scaled="1"/>
            </w14:gradFill>
          </w14:textFill>
        </w:rPr>
        <w:t xml:space="preserve"> </w:t>
      </w:r>
      <w:r>
        <w:rPr>
          <w:rFonts w:hint="eastAsia" w:ascii="宋体" w:hAnsi="宋体" w:eastAsia="宋体" w:cs="宋体"/>
          <w:b/>
          <w:bCs/>
          <w:color w:val="000000" w:themeColor="text1"/>
          <w:szCs w:val="24"/>
          <w14:textFill>
            <w14:gradFill>
              <w14:gsLst>
                <w14:gs w14:pos="50000">
                  <w14:schemeClr w14:val="accent5"/>
                </w14:gs>
                <w14:gs w14:pos="0">
                  <w14:schemeClr w14:val="accent5">
                    <w14:lumMod w14:val="25000"/>
                    <w14:lumOff w14:val="75000"/>
                  </w14:schemeClr>
                </w14:gs>
                <w14:gs w14:pos="100000">
                  <w14:schemeClr w14:val="accent5">
                    <w14:lumMod w14:val="85000"/>
                  </w14:schemeClr>
                </w14:gs>
              </w14:gsLst>
              <w14:lin w14:ang="5400000" w14:scaled="1"/>
            </w14:gradFill>
          </w14:textFill>
        </w:rPr>
        <w:t>Jingyi Feng,</w:t>
      </w:r>
      <w:r>
        <w:rPr>
          <w:rFonts w:hint="eastAsia" w:ascii="宋体" w:hAnsi="宋体" w:eastAsia="宋体" w:cs="宋体"/>
          <w:b/>
          <w:bCs/>
          <w:color w:val="000000" w:themeColor="text1"/>
          <w:szCs w:val="24"/>
          <w:lang w:val="en-US" w:eastAsia="zh-CN"/>
          <w14:textFill>
            <w14:gradFill>
              <w14:gsLst>
                <w14:gs w14:pos="50000">
                  <w14:schemeClr w14:val="accent5"/>
                </w14:gs>
                <w14:gs w14:pos="0">
                  <w14:schemeClr w14:val="accent5">
                    <w14:lumMod w14:val="25000"/>
                    <w14:lumOff w14:val="75000"/>
                  </w14:schemeClr>
                </w14:gs>
                <w14:gs w14:pos="100000">
                  <w14:schemeClr w14:val="accent5">
                    <w14:lumMod w14:val="85000"/>
                  </w14:schemeClr>
                </w14:gs>
              </w14:gsLst>
              <w14:lin w14:ang="5400000" w14:scaled="1"/>
            </w14:gradFill>
          </w14:textFill>
        </w:rPr>
        <w:t xml:space="preserve"> </w:t>
      </w:r>
      <w:r>
        <w:rPr>
          <w:rFonts w:hint="eastAsia" w:ascii="宋体" w:hAnsi="宋体" w:eastAsia="宋体" w:cs="宋体"/>
          <w:b/>
          <w:bCs/>
          <w:color w:val="000000" w:themeColor="text1"/>
          <w:szCs w:val="24"/>
          <w14:textFill>
            <w14:gradFill>
              <w14:gsLst>
                <w14:gs w14:pos="50000">
                  <w14:schemeClr w14:val="accent5"/>
                </w14:gs>
                <w14:gs w14:pos="0">
                  <w14:schemeClr w14:val="accent5">
                    <w14:lumMod w14:val="25000"/>
                    <w14:lumOff w14:val="75000"/>
                  </w14:schemeClr>
                </w14:gs>
                <w14:gs w14:pos="100000">
                  <w14:schemeClr w14:val="accent5">
                    <w14:lumMod w14:val="85000"/>
                  </w14:schemeClr>
                </w14:gs>
              </w14:gsLst>
              <w14:lin w14:ang="5400000" w14:scaled="1"/>
            </w14:gradFill>
          </w14:textFill>
        </w:rPr>
        <w:t>Jiankang Zhao</w:t>
      </w:r>
      <w:r>
        <w:rPr>
          <w:rFonts w:hint="eastAsia" w:ascii="宋体" w:hAnsi="宋体" w:eastAsia="宋体" w:cs="宋体"/>
          <w:b/>
          <w:bCs/>
          <w:color w:val="000000" w:themeColor="text1"/>
          <w:szCs w:val="24"/>
          <w:lang w:val="en-US" w:eastAsia="zh-CN"/>
          <w14:textFill>
            <w14:gradFill>
              <w14:gsLst>
                <w14:gs w14:pos="50000">
                  <w14:schemeClr w14:val="accent5"/>
                </w14:gs>
                <w14:gs w14:pos="0">
                  <w14:schemeClr w14:val="accent5">
                    <w14:lumMod w14:val="25000"/>
                    <w14:lumOff w14:val="75000"/>
                  </w14:schemeClr>
                </w14:gs>
                <w14:gs w14:pos="100000">
                  <w14:schemeClr w14:val="accent5">
                    <w14:lumMod w14:val="85000"/>
                  </w14:schemeClr>
                </w14:gs>
              </w14:gsLst>
              <w14:lin w14:ang="5400000" w14:scaled="1"/>
            </w14:gradFill>
          </w14:textFill>
        </w:rPr>
        <w:t>*</w:t>
      </w:r>
    </w:p>
    <w:p w14:paraId="52562500">
      <w:pPr>
        <w:rPr>
          <w:rFonts w:hint="eastAsia" w:ascii="宋体" w:hAnsi="宋体" w:eastAsia="宋体" w:cs="宋体"/>
          <w:b/>
          <w:bCs/>
          <w:color w:val="000000" w:themeColor="text1"/>
          <w:szCs w:val="24"/>
          <w14:textFill>
            <w14:gradFill>
              <w14:gsLst>
                <w14:gs w14:pos="50000">
                  <w14:schemeClr w14:val="accent5"/>
                </w14:gs>
                <w14:gs w14:pos="0">
                  <w14:schemeClr w14:val="accent5">
                    <w14:lumMod w14:val="25000"/>
                    <w14:lumOff w14:val="75000"/>
                  </w14:schemeClr>
                </w14:gs>
                <w14:gs w14:pos="100000">
                  <w14:schemeClr w14:val="accent5">
                    <w14:lumMod w14:val="85000"/>
                  </w14:schemeClr>
                </w14:gs>
              </w14:gsLst>
              <w14:lin w14:ang="5400000" w14:scaled="1"/>
            </w14:gradFill>
          </w14:textFill>
        </w:rPr>
      </w:pPr>
      <w:r>
        <w:rPr>
          <w:rFonts w:hint="eastAsia" w:ascii="宋体" w:hAnsi="宋体" w:eastAsia="宋体" w:cs="宋体"/>
          <w:b/>
          <w:bCs/>
          <w:color w:val="000000" w:themeColor="text1"/>
          <w:szCs w:val="24"/>
          <w:lang w:val="en-US" w:eastAsia="zh-CN"/>
          <w14:textFill>
            <w14:gradFill>
              <w14:gsLst>
                <w14:gs w14:pos="50000">
                  <w14:schemeClr w14:val="accent5"/>
                </w14:gs>
                <w14:gs w14:pos="0">
                  <w14:schemeClr w14:val="accent5">
                    <w14:lumMod w14:val="25000"/>
                    <w14:lumOff w14:val="75000"/>
                  </w14:schemeClr>
                </w14:gs>
                <w14:gs w14:pos="100000">
                  <w14:schemeClr w14:val="accent5">
                    <w14:lumMod w14:val="85000"/>
                  </w14:schemeClr>
                </w14:gs>
              </w14:gsLst>
              <w14:lin w14:ang="5400000" w14:scaled="1"/>
            </w14:gradFill>
          </w14:textFill>
        </w:rPr>
        <w:t>*</w:t>
      </w:r>
      <w:r>
        <w:rPr>
          <w:rFonts w:hint="eastAsia" w:ascii="宋体" w:hAnsi="宋体" w:eastAsia="宋体" w:cs="宋体"/>
          <w:b/>
          <w:bCs/>
          <w:color w:val="000000" w:themeColor="text1"/>
          <w:szCs w:val="24"/>
          <w14:textFill>
            <w14:gradFill>
              <w14:gsLst>
                <w14:gs w14:pos="50000">
                  <w14:schemeClr w14:val="accent5"/>
                </w14:gs>
                <w14:gs w14:pos="0">
                  <w14:schemeClr w14:val="accent5">
                    <w14:lumMod w14:val="25000"/>
                    <w14:lumOff w14:val="75000"/>
                  </w14:schemeClr>
                </w14:gs>
                <w14:gs w14:pos="100000">
                  <w14:schemeClr w14:val="accent5">
                    <w14:lumMod w14:val="85000"/>
                  </w14:schemeClr>
                </w14:gs>
              </w14:gsLst>
              <w14:lin w14:ang="5400000" w14:scaled="1"/>
            </w14:gradFill>
          </w14:textFill>
        </w:rPr>
        <w:t xml:space="preserve">Correspondence: Jiankang Zhao, Email </w:t>
      </w:r>
      <w:r>
        <w:rPr>
          <w:rFonts w:hint="default" w:ascii="宋体" w:hAnsi="宋体" w:eastAsia="宋体" w:cs="宋体"/>
          <w:b/>
          <w:bCs/>
          <w:color w:val="000000" w:themeColor="text1"/>
          <w:szCs w:val="24"/>
          <w14:textFill>
            <w14:gradFill>
              <w14:gsLst>
                <w14:gs w14:pos="50000">
                  <w14:schemeClr w14:val="accent5"/>
                </w14:gs>
                <w14:gs w14:pos="0">
                  <w14:schemeClr w14:val="accent5">
                    <w14:lumMod w14:val="25000"/>
                    <w14:lumOff w14:val="75000"/>
                  </w14:schemeClr>
                </w14:gs>
                <w14:gs w14:pos="100000">
                  <w14:schemeClr w14:val="accent5">
                    <w14:lumMod w14:val="85000"/>
                  </w14:schemeClr>
                </w14:gs>
              </w14:gsLst>
              <w14:lin w14:ang="5400000" w14:scaled="1"/>
            </w14:gradFill>
          </w14:textFill>
        </w:rPr>
        <w:t>zjk4265296@163.com</w:t>
      </w:r>
    </w:p>
    <w:p w14:paraId="222ED195">
      <w:pPr>
        <w:rPr>
          <w:rFonts w:hint="eastAsia" w:ascii="宋体" w:hAnsi="宋体" w:eastAsia="宋体" w:cs="宋体"/>
          <w:color w:val="000000" w:themeColor="text1"/>
          <w:szCs w:val="24"/>
          <w14:textFill>
            <w14:solidFill>
              <w14:schemeClr w14:val="tx1"/>
            </w14:solidFill>
          </w14:textFill>
        </w:rPr>
      </w:pPr>
    </w:p>
    <w:p w14:paraId="68F40F3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58D4926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(1)National Center for Respiratory Medicine; State Key Laboratory of Respiratory </w:t>
      </w:r>
    </w:p>
    <w:p w14:paraId="2AEA4A3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Health and Multimorbidity; New Cornerstone Science Laboratory; National Clinical </w:t>
      </w:r>
    </w:p>
    <w:p w14:paraId="5F45F42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Research Center for Respiratory Diseases; Institute of Respiratory Medicine, </w:t>
      </w:r>
    </w:p>
    <w:p w14:paraId="2A9F773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Chinese Academy of Medical Sciences; Department of Pulmonary and Critical Care </w:t>
      </w:r>
    </w:p>
    <w:p w14:paraId="6546685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Medicine, Center of Respiratory Medicine, China-Japan Friendship Hospital, </w:t>
      </w:r>
    </w:p>
    <w:p w14:paraId="0F2A1B9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Beijing, People's Republic of China.</w:t>
      </w:r>
    </w:p>
    <w:p w14:paraId="3E0DFD0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(2)School of Basic Medical Sciences, Capital Medical University, Beijing, </w:t>
      </w:r>
    </w:p>
    <w:p w14:paraId="719DFE3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People's Republic of China.</w:t>
      </w:r>
    </w:p>
    <w:p w14:paraId="79B4514A">
      <w:pPr>
        <w:rPr>
          <w:rFonts w:hint="eastAsia" w:ascii="宋体" w:hAnsi="宋体" w:eastAsia="宋体" w:cs="宋体"/>
          <w:color w:val="000000" w:themeColor="text1"/>
          <w:szCs w:val="24"/>
          <w14:textFill>
            <w14:solidFill>
              <w14:schemeClr w14:val="tx1"/>
            </w14:solidFill>
          </w14:textFill>
        </w:rPr>
      </w:pPr>
    </w:p>
    <w:p w14:paraId="5956F3D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BACKGROUND:</w:t>
      </w:r>
      <w:r>
        <w:rPr>
          <w:rFonts w:hint="eastAsia" w:ascii="宋体" w:hAnsi="宋体" w:eastAsia="宋体" w:cs="宋体"/>
          <w:color w:val="000000" w:themeColor="text1"/>
          <w:szCs w:val="24"/>
          <w14:textFill>
            <w14:solidFill>
              <w14:schemeClr w14:val="tx1"/>
            </w14:solidFill>
          </w14:textFill>
        </w:rPr>
        <w:t xml:space="preserve"> The slow-growing, fastidious nature of Nocardia species makes rapid </w:t>
      </w:r>
    </w:p>
    <w:p w14:paraId="388E250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molecular tools essential for diagnosis. Although the GeneXpert MTB/RIF assay </w:t>
      </w:r>
    </w:p>
    <w:p w14:paraId="7346F42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targets Mycobacterium tuberculosis (MTB), the cross-reactivity of its Probe C </w:t>
      </w:r>
    </w:p>
    <w:p w14:paraId="7518F3B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with Nocardia has not previously been characterized.</w:t>
      </w:r>
    </w:p>
    <w:p w14:paraId="77F3D40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METHODS:</w:t>
      </w:r>
      <w:r>
        <w:rPr>
          <w:rFonts w:hint="eastAsia" w:ascii="宋体" w:hAnsi="宋体" w:eastAsia="宋体" w:cs="宋体"/>
          <w:color w:val="000000" w:themeColor="text1"/>
          <w:szCs w:val="24"/>
          <w14:textFill>
            <w14:solidFill>
              <w14:schemeClr w14:val="tx1"/>
            </w14:solidFill>
          </w14:textFill>
        </w:rPr>
        <w:t xml:space="preserve"> We retrospectively analyzed 14,141 non-duplicate clinical samples from </w:t>
      </w:r>
    </w:p>
    <w:p w14:paraId="6B96790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February 2020 to June 2023. Probe C reactivity was first assessed against </w:t>
      </w:r>
    </w:p>
    <w:p w14:paraId="5DBF6BA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Nocardia culture results. To investigate the molecular basis, we subsequently </w:t>
      </w:r>
    </w:p>
    <w:p w14:paraId="5657F20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compared the rpoB target region of Probe C with the genomes of 1082 Nocardia </w:t>
      </w:r>
    </w:p>
    <w:p w14:paraId="3462B55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strains from the NCBI database.</w:t>
      </w:r>
    </w:p>
    <w:p w14:paraId="13EA1EF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RESULTS:</w:t>
      </w:r>
      <w:r>
        <w:rPr>
          <w:rFonts w:hint="eastAsia" w:ascii="宋体" w:hAnsi="宋体" w:eastAsia="宋体" w:cs="宋体"/>
          <w:color w:val="000000" w:themeColor="text1"/>
          <w:szCs w:val="24"/>
          <w14:textFill>
            <w14:solidFill>
              <w14:schemeClr w14:val="tx1"/>
            </w14:solidFill>
          </w14:textFill>
        </w:rPr>
        <w:t xml:space="preserve"> Probe C showed species-specific reactivity, failing to detect many </w:t>
      </w:r>
    </w:p>
    <w:p w14:paraId="22F4C88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clinically prevalent species. Among culture-positive Nocardia isolates, Probe C </w:t>
      </w:r>
    </w:p>
    <w:p w14:paraId="40A02FE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detected 10 of 17 N. cyriacigeorgica (Ct range: 32.8-39.2), 1 of 2 N. asiatica </w:t>
      </w:r>
    </w:p>
    <w:p w14:paraId="48F50D4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(Ct: 39), and 2 of 8 N. abscessus (Ct range: 30.5-38.7). Notably, the most </w:t>
      </w:r>
    </w:p>
    <w:p w14:paraId="0806BDF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frequently isolated species, N. farcinica (59 isolates), showed no Probe C </w:t>
      </w:r>
    </w:p>
    <w:p w14:paraId="06F93BD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reactivity. The overall sensitivity of Probe C among all culture-confirmed </w:t>
      </w:r>
    </w:p>
    <w:p w14:paraId="76B4A8E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nocardiosis cases was only 13.4% (13/97); even among the subset of </w:t>
      </w:r>
    </w:p>
    <w:p w14:paraId="0065B79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cross-reacting species, it reached only 48.1% (13/27), highlighting its </w:t>
      </w:r>
    </w:p>
    <w:p w14:paraId="40D4BE5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inadequacy as a standalone diagnostic test. In the full MTB-negative cohort, the </w:t>
      </w:r>
    </w:p>
    <w:p w14:paraId="78ADC02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Probe C-positive rate was just 0.27% (38/14,141), with 25 of those 38 signals </w:t>
      </w:r>
    </w:p>
    <w:p w14:paraId="1C4F0AD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lacking culture confirmation. Genome alignment confirmed 100% identity between </w:t>
      </w:r>
    </w:p>
    <w:p w14:paraId="4801B22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the rpoB sequences of reactive Nocardia strains and the Probe C target region.</w:t>
      </w:r>
    </w:p>
    <w:p w14:paraId="12C225F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CONCLUSION: </w:t>
      </w:r>
      <w:r>
        <w:rPr>
          <w:rFonts w:hint="eastAsia" w:ascii="宋体" w:hAnsi="宋体" w:eastAsia="宋体" w:cs="宋体"/>
          <w:color w:val="000000" w:themeColor="text1"/>
          <w:szCs w:val="24"/>
          <w14:textFill>
            <w14:solidFill>
              <w14:schemeClr w14:val="tx1"/>
            </w14:solidFill>
          </w14:textFill>
        </w:rPr>
        <w:t xml:space="preserve">Probe C is the first MTB-targeted tool demonstrated to cross-react </w:t>
      </w:r>
    </w:p>
    <w:p w14:paraId="0A2851E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with Nocardia via rpoB homology, with genomic evidence ruling out other genetic </w:t>
      </w:r>
    </w:p>
    <w:p w14:paraId="6B6B1B9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sources. However, given the low overall sensitivity of Probe C among all </w:t>
      </w:r>
    </w:p>
    <w:p w14:paraId="07A92FB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culture-confirmed nocardiosis cases, the restricted species spectrum, and the </w:t>
      </w:r>
    </w:p>
    <w:p w14:paraId="745173C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lack of molecular confirmation for most positive signals at high Ct values, an </w:t>
      </w:r>
    </w:p>
    <w:p w14:paraId="09EB16F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isolated Probe C-positive result in an MTB-negative sample should be regarded as </w:t>
      </w:r>
    </w:p>
    <w:p w14:paraId="7EA8799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 suggestive, non-diagnostic ancillary hint that warrants Nocardia-specific </w:t>
      </w:r>
    </w:p>
    <w:p w14:paraId="1D59B28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confirmatory testing rather than as a diagnostic finding.</w:t>
      </w:r>
    </w:p>
    <w:p w14:paraId="15B52382">
      <w:pPr>
        <w:rPr>
          <w:rFonts w:hint="eastAsia" w:ascii="宋体" w:hAnsi="宋体" w:eastAsia="宋体" w:cs="宋体"/>
          <w:color w:val="000000" w:themeColor="text1"/>
          <w:szCs w:val="24"/>
          <w14:textFill>
            <w14:solidFill>
              <w14:schemeClr w14:val="tx1"/>
            </w14:solidFill>
          </w14:textFill>
        </w:rPr>
      </w:pPr>
    </w:p>
    <w:p w14:paraId="1CB4B86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2026 Fan et al.</w:t>
      </w:r>
    </w:p>
    <w:p w14:paraId="7A33C097">
      <w:pPr>
        <w:rPr>
          <w:rFonts w:hint="eastAsia" w:ascii="宋体" w:hAnsi="宋体" w:eastAsia="宋体" w:cs="宋体"/>
          <w:color w:val="000000" w:themeColor="text1"/>
          <w:szCs w:val="24"/>
          <w14:textFill>
            <w14:solidFill>
              <w14:schemeClr w14:val="tx1"/>
            </w14:solidFill>
          </w14:textFill>
        </w:rPr>
      </w:pPr>
    </w:p>
    <w:p w14:paraId="2B5ED44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10.2147/IDR.S633640</w:t>
      </w:r>
    </w:p>
    <w:p w14:paraId="29CA7ED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PMC13590008</w:t>
      </w:r>
    </w:p>
    <w:p w14:paraId="641D1AD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42765097</w:t>
      </w:r>
    </w:p>
    <w:p w14:paraId="425A87C4">
      <w:pPr>
        <w:rPr>
          <w:rFonts w:hint="eastAsia" w:ascii="宋体" w:hAnsi="宋体" w:eastAsia="宋体" w:cs="宋体"/>
          <w:color w:val="000000" w:themeColor="text1"/>
          <w:szCs w:val="24"/>
          <w14:textFill>
            <w14:solidFill>
              <w14:schemeClr w14:val="tx1"/>
            </w14:solidFill>
          </w14:textFill>
        </w:rPr>
      </w:pPr>
    </w:p>
    <w:sectPr>
      <w:pgSz w:w="11906" w:h="16838"/>
      <w:pgMar w:top="1440" w:right="1753" w:bottom="1440" w:left="175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099"/>
    <w:rsid w:val="00000DB9"/>
    <w:rsid w:val="000014AB"/>
    <w:rsid w:val="00001D3A"/>
    <w:rsid w:val="00002158"/>
    <w:rsid w:val="0000344F"/>
    <w:rsid w:val="00003B7D"/>
    <w:rsid w:val="00004B8B"/>
    <w:rsid w:val="00004DDC"/>
    <w:rsid w:val="00004E0D"/>
    <w:rsid w:val="000053D4"/>
    <w:rsid w:val="00005626"/>
    <w:rsid w:val="00005C57"/>
    <w:rsid w:val="00005DF6"/>
    <w:rsid w:val="00006365"/>
    <w:rsid w:val="00006B5E"/>
    <w:rsid w:val="00006BCA"/>
    <w:rsid w:val="00006DF9"/>
    <w:rsid w:val="00007617"/>
    <w:rsid w:val="00007812"/>
    <w:rsid w:val="00007A28"/>
    <w:rsid w:val="00011C35"/>
    <w:rsid w:val="00012109"/>
    <w:rsid w:val="00012461"/>
    <w:rsid w:val="0001360E"/>
    <w:rsid w:val="0001363A"/>
    <w:rsid w:val="00013BEE"/>
    <w:rsid w:val="00014403"/>
    <w:rsid w:val="00015A87"/>
    <w:rsid w:val="00016B45"/>
    <w:rsid w:val="00016B5F"/>
    <w:rsid w:val="0001711E"/>
    <w:rsid w:val="0001736B"/>
    <w:rsid w:val="0001780F"/>
    <w:rsid w:val="00017F5F"/>
    <w:rsid w:val="0002050B"/>
    <w:rsid w:val="000212B5"/>
    <w:rsid w:val="00021B2B"/>
    <w:rsid w:val="00022216"/>
    <w:rsid w:val="00022C1A"/>
    <w:rsid w:val="00024C92"/>
    <w:rsid w:val="0002517A"/>
    <w:rsid w:val="0002533D"/>
    <w:rsid w:val="0002556C"/>
    <w:rsid w:val="00025EF3"/>
    <w:rsid w:val="00026721"/>
    <w:rsid w:val="00026903"/>
    <w:rsid w:val="00026B44"/>
    <w:rsid w:val="00030C8F"/>
    <w:rsid w:val="00031017"/>
    <w:rsid w:val="00032443"/>
    <w:rsid w:val="0003251D"/>
    <w:rsid w:val="000336F2"/>
    <w:rsid w:val="000341A3"/>
    <w:rsid w:val="000349DB"/>
    <w:rsid w:val="00034C47"/>
    <w:rsid w:val="00035160"/>
    <w:rsid w:val="000369F1"/>
    <w:rsid w:val="000377E0"/>
    <w:rsid w:val="00040D2C"/>
    <w:rsid w:val="000411E9"/>
    <w:rsid w:val="000419D1"/>
    <w:rsid w:val="00041F05"/>
    <w:rsid w:val="00042044"/>
    <w:rsid w:val="00042257"/>
    <w:rsid w:val="00042426"/>
    <w:rsid w:val="00042646"/>
    <w:rsid w:val="000426FD"/>
    <w:rsid w:val="00042BCC"/>
    <w:rsid w:val="00042F87"/>
    <w:rsid w:val="000430FF"/>
    <w:rsid w:val="000439C5"/>
    <w:rsid w:val="00043AA7"/>
    <w:rsid w:val="00043EC1"/>
    <w:rsid w:val="00043F59"/>
    <w:rsid w:val="0004433C"/>
    <w:rsid w:val="0004482E"/>
    <w:rsid w:val="00044BF9"/>
    <w:rsid w:val="00044C1D"/>
    <w:rsid w:val="000467F6"/>
    <w:rsid w:val="00046D3D"/>
    <w:rsid w:val="0004738B"/>
    <w:rsid w:val="0004796A"/>
    <w:rsid w:val="00047D8A"/>
    <w:rsid w:val="00050F4A"/>
    <w:rsid w:val="000512A8"/>
    <w:rsid w:val="000518ED"/>
    <w:rsid w:val="0005269D"/>
    <w:rsid w:val="00052F5C"/>
    <w:rsid w:val="00053092"/>
    <w:rsid w:val="00054174"/>
    <w:rsid w:val="000542D4"/>
    <w:rsid w:val="0005483D"/>
    <w:rsid w:val="00055647"/>
    <w:rsid w:val="000557AE"/>
    <w:rsid w:val="00055A35"/>
    <w:rsid w:val="00055DAE"/>
    <w:rsid w:val="00055E67"/>
    <w:rsid w:val="0005622B"/>
    <w:rsid w:val="00056868"/>
    <w:rsid w:val="00056925"/>
    <w:rsid w:val="00056A0E"/>
    <w:rsid w:val="00056B72"/>
    <w:rsid w:val="0005708E"/>
    <w:rsid w:val="000570CD"/>
    <w:rsid w:val="00057CFD"/>
    <w:rsid w:val="000608E2"/>
    <w:rsid w:val="00061893"/>
    <w:rsid w:val="00061C4A"/>
    <w:rsid w:val="00062457"/>
    <w:rsid w:val="00063178"/>
    <w:rsid w:val="0006337A"/>
    <w:rsid w:val="000637F3"/>
    <w:rsid w:val="00063930"/>
    <w:rsid w:val="00063E49"/>
    <w:rsid w:val="000650D3"/>
    <w:rsid w:val="00065A57"/>
    <w:rsid w:val="00065B56"/>
    <w:rsid w:val="000660CB"/>
    <w:rsid w:val="00066C6B"/>
    <w:rsid w:val="0006702C"/>
    <w:rsid w:val="000672B8"/>
    <w:rsid w:val="00070260"/>
    <w:rsid w:val="0007069D"/>
    <w:rsid w:val="00070FE6"/>
    <w:rsid w:val="000716E0"/>
    <w:rsid w:val="00071D85"/>
    <w:rsid w:val="00071F83"/>
    <w:rsid w:val="00073164"/>
    <w:rsid w:val="0007482C"/>
    <w:rsid w:val="00074A4F"/>
    <w:rsid w:val="00075067"/>
    <w:rsid w:val="000750A2"/>
    <w:rsid w:val="000751FE"/>
    <w:rsid w:val="00075D82"/>
    <w:rsid w:val="00075F42"/>
    <w:rsid w:val="0007684E"/>
    <w:rsid w:val="00076855"/>
    <w:rsid w:val="00076884"/>
    <w:rsid w:val="00076A1E"/>
    <w:rsid w:val="00076E62"/>
    <w:rsid w:val="00076F4D"/>
    <w:rsid w:val="0007729A"/>
    <w:rsid w:val="0007790C"/>
    <w:rsid w:val="0008093D"/>
    <w:rsid w:val="00080EB3"/>
    <w:rsid w:val="00081087"/>
    <w:rsid w:val="000811D4"/>
    <w:rsid w:val="000815C7"/>
    <w:rsid w:val="00082408"/>
    <w:rsid w:val="00082565"/>
    <w:rsid w:val="00082B2E"/>
    <w:rsid w:val="00082B6A"/>
    <w:rsid w:val="00082EB9"/>
    <w:rsid w:val="00083766"/>
    <w:rsid w:val="00083B28"/>
    <w:rsid w:val="00083C1E"/>
    <w:rsid w:val="00083CDE"/>
    <w:rsid w:val="00083F4F"/>
    <w:rsid w:val="00084611"/>
    <w:rsid w:val="00085CBB"/>
    <w:rsid w:val="00086220"/>
    <w:rsid w:val="000866EC"/>
    <w:rsid w:val="000871EA"/>
    <w:rsid w:val="000878F0"/>
    <w:rsid w:val="000879A2"/>
    <w:rsid w:val="000900A1"/>
    <w:rsid w:val="000904A7"/>
    <w:rsid w:val="00090B79"/>
    <w:rsid w:val="00092343"/>
    <w:rsid w:val="00092419"/>
    <w:rsid w:val="0009252C"/>
    <w:rsid w:val="00092C39"/>
    <w:rsid w:val="00092C59"/>
    <w:rsid w:val="00092F3A"/>
    <w:rsid w:val="00093655"/>
    <w:rsid w:val="00093A63"/>
    <w:rsid w:val="00094139"/>
    <w:rsid w:val="00094FD8"/>
    <w:rsid w:val="00094FDF"/>
    <w:rsid w:val="00095EEB"/>
    <w:rsid w:val="00096767"/>
    <w:rsid w:val="00096770"/>
    <w:rsid w:val="00096805"/>
    <w:rsid w:val="00097075"/>
    <w:rsid w:val="000979C8"/>
    <w:rsid w:val="00097C56"/>
    <w:rsid w:val="00097DBB"/>
    <w:rsid w:val="000A0936"/>
    <w:rsid w:val="000A0C4E"/>
    <w:rsid w:val="000A12C3"/>
    <w:rsid w:val="000A1FB5"/>
    <w:rsid w:val="000A2006"/>
    <w:rsid w:val="000A2735"/>
    <w:rsid w:val="000A2DEE"/>
    <w:rsid w:val="000A361C"/>
    <w:rsid w:val="000A3785"/>
    <w:rsid w:val="000A37B4"/>
    <w:rsid w:val="000A3C36"/>
    <w:rsid w:val="000A3DED"/>
    <w:rsid w:val="000A4B87"/>
    <w:rsid w:val="000A4CEA"/>
    <w:rsid w:val="000A50DC"/>
    <w:rsid w:val="000A5E88"/>
    <w:rsid w:val="000A6D28"/>
    <w:rsid w:val="000A6DBA"/>
    <w:rsid w:val="000A73A3"/>
    <w:rsid w:val="000A7D87"/>
    <w:rsid w:val="000B086A"/>
    <w:rsid w:val="000B1292"/>
    <w:rsid w:val="000B15A4"/>
    <w:rsid w:val="000B1B8A"/>
    <w:rsid w:val="000B1EF2"/>
    <w:rsid w:val="000B2066"/>
    <w:rsid w:val="000B207D"/>
    <w:rsid w:val="000B2A58"/>
    <w:rsid w:val="000B37C0"/>
    <w:rsid w:val="000B4814"/>
    <w:rsid w:val="000B53D7"/>
    <w:rsid w:val="000B644B"/>
    <w:rsid w:val="000B64CA"/>
    <w:rsid w:val="000B73F6"/>
    <w:rsid w:val="000B7415"/>
    <w:rsid w:val="000B74EB"/>
    <w:rsid w:val="000B7C3B"/>
    <w:rsid w:val="000C07C5"/>
    <w:rsid w:val="000C09F8"/>
    <w:rsid w:val="000C0A24"/>
    <w:rsid w:val="000C0F9A"/>
    <w:rsid w:val="000C1141"/>
    <w:rsid w:val="000C11D8"/>
    <w:rsid w:val="000C1C1D"/>
    <w:rsid w:val="000C2025"/>
    <w:rsid w:val="000C2538"/>
    <w:rsid w:val="000C31CF"/>
    <w:rsid w:val="000C3599"/>
    <w:rsid w:val="000C3C2C"/>
    <w:rsid w:val="000C4172"/>
    <w:rsid w:val="000C4425"/>
    <w:rsid w:val="000C48BE"/>
    <w:rsid w:val="000C4AA0"/>
    <w:rsid w:val="000C54B5"/>
    <w:rsid w:val="000C5BD0"/>
    <w:rsid w:val="000C5D65"/>
    <w:rsid w:val="000C64E2"/>
    <w:rsid w:val="000C6757"/>
    <w:rsid w:val="000C6BE6"/>
    <w:rsid w:val="000D04AB"/>
    <w:rsid w:val="000D072C"/>
    <w:rsid w:val="000D088A"/>
    <w:rsid w:val="000D0A87"/>
    <w:rsid w:val="000D111E"/>
    <w:rsid w:val="000D1748"/>
    <w:rsid w:val="000D2140"/>
    <w:rsid w:val="000D229A"/>
    <w:rsid w:val="000D2954"/>
    <w:rsid w:val="000D29AC"/>
    <w:rsid w:val="000D29FE"/>
    <w:rsid w:val="000D2A7B"/>
    <w:rsid w:val="000D2D26"/>
    <w:rsid w:val="000D2E2E"/>
    <w:rsid w:val="000D3106"/>
    <w:rsid w:val="000D3334"/>
    <w:rsid w:val="000D38BB"/>
    <w:rsid w:val="000D3E73"/>
    <w:rsid w:val="000D401D"/>
    <w:rsid w:val="000D48F9"/>
    <w:rsid w:val="000D4DA6"/>
    <w:rsid w:val="000D6767"/>
    <w:rsid w:val="000D6B28"/>
    <w:rsid w:val="000D7130"/>
    <w:rsid w:val="000D7225"/>
    <w:rsid w:val="000E0BA3"/>
    <w:rsid w:val="000E0FAD"/>
    <w:rsid w:val="000E160C"/>
    <w:rsid w:val="000E1ED0"/>
    <w:rsid w:val="000E2070"/>
    <w:rsid w:val="000E321F"/>
    <w:rsid w:val="000E350F"/>
    <w:rsid w:val="000E3685"/>
    <w:rsid w:val="000E3861"/>
    <w:rsid w:val="000E3922"/>
    <w:rsid w:val="000E3998"/>
    <w:rsid w:val="000E3CB5"/>
    <w:rsid w:val="000E3E6F"/>
    <w:rsid w:val="000E3FAA"/>
    <w:rsid w:val="000E3FC3"/>
    <w:rsid w:val="000E515E"/>
    <w:rsid w:val="000E5936"/>
    <w:rsid w:val="000E6910"/>
    <w:rsid w:val="000E6B0B"/>
    <w:rsid w:val="000E7095"/>
    <w:rsid w:val="000E7324"/>
    <w:rsid w:val="000E7332"/>
    <w:rsid w:val="000E782C"/>
    <w:rsid w:val="000F02D4"/>
    <w:rsid w:val="000F031F"/>
    <w:rsid w:val="000F0847"/>
    <w:rsid w:val="000F1325"/>
    <w:rsid w:val="000F1799"/>
    <w:rsid w:val="000F1C71"/>
    <w:rsid w:val="000F27EF"/>
    <w:rsid w:val="000F2CAB"/>
    <w:rsid w:val="000F31C8"/>
    <w:rsid w:val="000F352E"/>
    <w:rsid w:val="000F38A7"/>
    <w:rsid w:val="000F4278"/>
    <w:rsid w:val="000F5325"/>
    <w:rsid w:val="000F5B62"/>
    <w:rsid w:val="000F5E34"/>
    <w:rsid w:val="000F64D5"/>
    <w:rsid w:val="000F69E7"/>
    <w:rsid w:val="000F6C96"/>
    <w:rsid w:val="000F6F22"/>
    <w:rsid w:val="000F6FA9"/>
    <w:rsid w:val="000F763E"/>
    <w:rsid w:val="001011E5"/>
    <w:rsid w:val="001014FB"/>
    <w:rsid w:val="00101917"/>
    <w:rsid w:val="00101965"/>
    <w:rsid w:val="0010208F"/>
    <w:rsid w:val="0010233B"/>
    <w:rsid w:val="00102C3A"/>
    <w:rsid w:val="00102CB5"/>
    <w:rsid w:val="00102F6D"/>
    <w:rsid w:val="00104454"/>
    <w:rsid w:val="001054FA"/>
    <w:rsid w:val="001058AC"/>
    <w:rsid w:val="0010615D"/>
    <w:rsid w:val="0010782E"/>
    <w:rsid w:val="0010799E"/>
    <w:rsid w:val="00110110"/>
    <w:rsid w:val="00110765"/>
    <w:rsid w:val="00111272"/>
    <w:rsid w:val="00111661"/>
    <w:rsid w:val="00111A11"/>
    <w:rsid w:val="00112598"/>
    <w:rsid w:val="0011287F"/>
    <w:rsid w:val="00112A13"/>
    <w:rsid w:val="00112A56"/>
    <w:rsid w:val="00112F4B"/>
    <w:rsid w:val="0011324E"/>
    <w:rsid w:val="00113349"/>
    <w:rsid w:val="0011339A"/>
    <w:rsid w:val="001136AC"/>
    <w:rsid w:val="00113A4D"/>
    <w:rsid w:val="00113BD6"/>
    <w:rsid w:val="00114048"/>
    <w:rsid w:val="00114747"/>
    <w:rsid w:val="001148A1"/>
    <w:rsid w:val="00115471"/>
    <w:rsid w:val="00115539"/>
    <w:rsid w:val="00115817"/>
    <w:rsid w:val="00116CC5"/>
    <w:rsid w:val="001170F6"/>
    <w:rsid w:val="00117346"/>
    <w:rsid w:val="001174DF"/>
    <w:rsid w:val="00117773"/>
    <w:rsid w:val="001177F1"/>
    <w:rsid w:val="00117E84"/>
    <w:rsid w:val="00120949"/>
    <w:rsid w:val="001209C1"/>
    <w:rsid w:val="001209CA"/>
    <w:rsid w:val="00120A34"/>
    <w:rsid w:val="00120ED7"/>
    <w:rsid w:val="00122327"/>
    <w:rsid w:val="00122F4E"/>
    <w:rsid w:val="00123068"/>
    <w:rsid w:val="0012347D"/>
    <w:rsid w:val="00123DB0"/>
    <w:rsid w:val="00124801"/>
    <w:rsid w:val="0012481A"/>
    <w:rsid w:val="00125C53"/>
    <w:rsid w:val="001266D9"/>
    <w:rsid w:val="0012692E"/>
    <w:rsid w:val="0012702F"/>
    <w:rsid w:val="00127511"/>
    <w:rsid w:val="00127B6E"/>
    <w:rsid w:val="00127CF5"/>
    <w:rsid w:val="00130E3F"/>
    <w:rsid w:val="00131585"/>
    <w:rsid w:val="00132F43"/>
    <w:rsid w:val="001336F7"/>
    <w:rsid w:val="00133A73"/>
    <w:rsid w:val="00133ACC"/>
    <w:rsid w:val="001346A8"/>
    <w:rsid w:val="00134766"/>
    <w:rsid w:val="00134A12"/>
    <w:rsid w:val="00134A7B"/>
    <w:rsid w:val="00134DEE"/>
    <w:rsid w:val="00135067"/>
    <w:rsid w:val="001356E3"/>
    <w:rsid w:val="0013594B"/>
    <w:rsid w:val="001362DC"/>
    <w:rsid w:val="00136B8B"/>
    <w:rsid w:val="00136FAC"/>
    <w:rsid w:val="001370CD"/>
    <w:rsid w:val="001401A3"/>
    <w:rsid w:val="001405D6"/>
    <w:rsid w:val="00140740"/>
    <w:rsid w:val="0014119D"/>
    <w:rsid w:val="001412B3"/>
    <w:rsid w:val="001415DE"/>
    <w:rsid w:val="00141786"/>
    <w:rsid w:val="00141CE3"/>
    <w:rsid w:val="00142416"/>
    <w:rsid w:val="00142DBF"/>
    <w:rsid w:val="0014494D"/>
    <w:rsid w:val="00145B48"/>
    <w:rsid w:val="001502F0"/>
    <w:rsid w:val="00150583"/>
    <w:rsid w:val="00150794"/>
    <w:rsid w:val="0015126B"/>
    <w:rsid w:val="00151455"/>
    <w:rsid w:val="00151E7D"/>
    <w:rsid w:val="00152B66"/>
    <w:rsid w:val="0015367E"/>
    <w:rsid w:val="00153B0D"/>
    <w:rsid w:val="001559A6"/>
    <w:rsid w:val="00155C7B"/>
    <w:rsid w:val="00156286"/>
    <w:rsid w:val="001565EA"/>
    <w:rsid w:val="00156FBA"/>
    <w:rsid w:val="00157277"/>
    <w:rsid w:val="00157490"/>
    <w:rsid w:val="00157628"/>
    <w:rsid w:val="001609A6"/>
    <w:rsid w:val="00160D4F"/>
    <w:rsid w:val="00161378"/>
    <w:rsid w:val="001615D7"/>
    <w:rsid w:val="00161BF1"/>
    <w:rsid w:val="00161F92"/>
    <w:rsid w:val="00162F9A"/>
    <w:rsid w:val="00163152"/>
    <w:rsid w:val="00164CBA"/>
    <w:rsid w:val="00165A37"/>
    <w:rsid w:val="00165A5C"/>
    <w:rsid w:val="00166250"/>
    <w:rsid w:val="00166477"/>
    <w:rsid w:val="0016753E"/>
    <w:rsid w:val="0016764C"/>
    <w:rsid w:val="00167748"/>
    <w:rsid w:val="00167E31"/>
    <w:rsid w:val="00170319"/>
    <w:rsid w:val="0017116D"/>
    <w:rsid w:val="00171541"/>
    <w:rsid w:val="00172F22"/>
    <w:rsid w:val="00173B35"/>
    <w:rsid w:val="00174065"/>
    <w:rsid w:val="001743F5"/>
    <w:rsid w:val="00175ACE"/>
    <w:rsid w:val="00175B5A"/>
    <w:rsid w:val="00175C0E"/>
    <w:rsid w:val="00175D6E"/>
    <w:rsid w:val="0017715C"/>
    <w:rsid w:val="0017719B"/>
    <w:rsid w:val="00177548"/>
    <w:rsid w:val="00177C94"/>
    <w:rsid w:val="0018099B"/>
    <w:rsid w:val="0018108C"/>
    <w:rsid w:val="001812F4"/>
    <w:rsid w:val="001816CC"/>
    <w:rsid w:val="0018181D"/>
    <w:rsid w:val="001830BE"/>
    <w:rsid w:val="00183788"/>
    <w:rsid w:val="001837F3"/>
    <w:rsid w:val="00183F32"/>
    <w:rsid w:val="001849FC"/>
    <w:rsid w:val="0018564F"/>
    <w:rsid w:val="0018682D"/>
    <w:rsid w:val="00186BCA"/>
    <w:rsid w:val="00187878"/>
    <w:rsid w:val="001878CF"/>
    <w:rsid w:val="00187A92"/>
    <w:rsid w:val="00187DA7"/>
    <w:rsid w:val="00190484"/>
    <w:rsid w:val="001908EB"/>
    <w:rsid w:val="0019192C"/>
    <w:rsid w:val="00191A50"/>
    <w:rsid w:val="001929C1"/>
    <w:rsid w:val="00192D5E"/>
    <w:rsid w:val="001930F1"/>
    <w:rsid w:val="00193AD7"/>
    <w:rsid w:val="00193ADE"/>
    <w:rsid w:val="00194114"/>
    <w:rsid w:val="00194939"/>
    <w:rsid w:val="00194994"/>
    <w:rsid w:val="00195007"/>
    <w:rsid w:val="00195670"/>
    <w:rsid w:val="00196093"/>
    <w:rsid w:val="001960D3"/>
    <w:rsid w:val="0019652D"/>
    <w:rsid w:val="001967CA"/>
    <w:rsid w:val="00196C1E"/>
    <w:rsid w:val="0019757F"/>
    <w:rsid w:val="001A040E"/>
    <w:rsid w:val="001A06AF"/>
    <w:rsid w:val="001A127F"/>
    <w:rsid w:val="001A18AE"/>
    <w:rsid w:val="001A1B60"/>
    <w:rsid w:val="001A1F66"/>
    <w:rsid w:val="001A220A"/>
    <w:rsid w:val="001A3082"/>
    <w:rsid w:val="001A30F9"/>
    <w:rsid w:val="001A3C89"/>
    <w:rsid w:val="001A3ED6"/>
    <w:rsid w:val="001A4B38"/>
    <w:rsid w:val="001A5EB8"/>
    <w:rsid w:val="001A6CD6"/>
    <w:rsid w:val="001A71D4"/>
    <w:rsid w:val="001A7525"/>
    <w:rsid w:val="001A75BC"/>
    <w:rsid w:val="001A75E8"/>
    <w:rsid w:val="001A77F9"/>
    <w:rsid w:val="001A7832"/>
    <w:rsid w:val="001A79CD"/>
    <w:rsid w:val="001A7ADC"/>
    <w:rsid w:val="001B1480"/>
    <w:rsid w:val="001B14E7"/>
    <w:rsid w:val="001B1623"/>
    <w:rsid w:val="001B183C"/>
    <w:rsid w:val="001B1D7B"/>
    <w:rsid w:val="001B2009"/>
    <w:rsid w:val="001B2688"/>
    <w:rsid w:val="001B26E2"/>
    <w:rsid w:val="001B28A8"/>
    <w:rsid w:val="001B2961"/>
    <w:rsid w:val="001B2D3B"/>
    <w:rsid w:val="001B2EE4"/>
    <w:rsid w:val="001B382E"/>
    <w:rsid w:val="001B468D"/>
    <w:rsid w:val="001B4C3C"/>
    <w:rsid w:val="001B4CE6"/>
    <w:rsid w:val="001B4DC6"/>
    <w:rsid w:val="001B51A9"/>
    <w:rsid w:val="001B578C"/>
    <w:rsid w:val="001B59BF"/>
    <w:rsid w:val="001B5DFD"/>
    <w:rsid w:val="001B6637"/>
    <w:rsid w:val="001B6AA0"/>
    <w:rsid w:val="001B6B80"/>
    <w:rsid w:val="001C0858"/>
    <w:rsid w:val="001C0BA3"/>
    <w:rsid w:val="001C0D59"/>
    <w:rsid w:val="001C0DC6"/>
    <w:rsid w:val="001C1546"/>
    <w:rsid w:val="001C1578"/>
    <w:rsid w:val="001C1881"/>
    <w:rsid w:val="001C20B6"/>
    <w:rsid w:val="001C20EB"/>
    <w:rsid w:val="001C2C76"/>
    <w:rsid w:val="001C2D56"/>
    <w:rsid w:val="001C2D8C"/>
    <w:rsid w:val="001C2F64"/>
    <w:rsid w:val="001C3115"/>
    <w:rsid w:val="001C3C4B"/>
    <w:rsid w:val="001C3EF8"/>
    <w:rsid w:val="001C5120"/>
    <w:rsid w:val="001C524A"/>
    <w:rsid w:val="001C5712"/>
    <w:rsid w:val="001C57FB"/>
    <w:rsid w:val="001C58F8"/>
    <w:rsid w:val="001C59F0"/>
    <w:rsid w:val="001C62D4"/>
    <w:rsid w:val="001C694D"/>
    <w:rsid w:val="001C69AE"/>
    <w:rsid w:val="001C6E99"/>
    <w:rsid w:val="001D0089"/>
    <w:rsid w:val="001D0B07"/>
    <w:rsid w:val="001D0DD3"/>
    <w:rsid w:val="001D1737"/>
    <w:rsid w:val="001D1D47"/>
    <w:rsid w:val="001D2534"/>
    <w:rsid w:val="001D2C2F"/>
    <w:rsid w:val="001D4E51"/>
    <w:rsid w:val="001D52DD"/>
    <w:rsid w:val="001D5A05"/>
    <w:rsid w:val="001D5FC7"/>
    <w:rsid w:val="001D6262"/>
    <w:rsid w:val="001D69BF"/>
    <w:rsid w:val="001D6D6C"/>
    <w:rsid w:val="001D74AD"/>
    <w:rsid w:val="001D75E5"/>
    <w:rsid w:val="001D76AC"/>
    <w:rsid w:val="001D7F12"/>
    <w:rsid w:val="001E0201"/>
    <w:rsid w:val="001E02EA"/>
    <w:rsid w:val="001E092D"/>
    <w:rsid w:val="001E0F00"/>
    <w:rsid w:val="001E14F6"/>
    <w:rsid w:val="001E16A8"/>
    <w:rsid w:val="001E179C"/>
    <w:rsid w:val="001E2637"/>
    <w:rsid w:val="001E2B6C"/>
    <w:rsid w:val="001E2D41"/>
    <w:rsid w:val="001E37E1"/>
    <w:rsid w:val="001E4C91"/>
    <w:rsid w:val="001E4D01"/>
    <w:rsid w:val="001E568E"/>
    <w:rsid w:val="001E5B2C"/>
    <w:rsid w:val="001E6528"/>
    <w:rsid w:val="001E697E"/>
    <w:rsid w:val="001E735A"/>
    <w:rsid w:val="001E7838"/>
    <w:rsid w:val="001E7B37"/>
    <w:rsid w:val="001E7CB2"/>
    <w:rsid w:val="001E7CD8"/>
    <w:rsid w:val="001F098B"/>
    <w:rsid w:val="001F0E0C"/>
    <w:rsid w:val="001F1791"/>
    <w:rsid w:val="001F182F"/>
    <w:rsid w:val="001F20FA"/>
    <w:rsid w:val="001F248C"/>
    <w:rsid w:val="001F2638"/>
    <w:rsid w:val="001F2E8E"/>
    <w:rsid w:val="001F3DB3"/>
    <w:rsid w:val="001F4101"/>
    <w:rsid w:val="001F4C90"/>
    <w:rsid w:val="001F55C0"/>
    <w:rsid w:val="001F5BE0"/>
    <w:rsid w:val="001F6243"/>
    <w:rsid w:val="001F6401"/>
    <w:rsid w:val="001F6444"/>
    <w:rsid w:val="001F6920"/>
    <w:rsid w:val="001F6BB5"/>
    <w:rsid w:val="001F7747"/>
    <w:rsid w:val="00200448"/>
    <w:rsid w:val="0020060C"/>
    <w:rsid w:val="00200BFB"/>
    <w:rsid w:val="00201467"/>
    <w:rsid w:val="00201665"/>
    <w:rsid w:val="0020169B"/>
    <w:rsid w:val="00202162"/>
    <w:rsid w:val="00202614"/>
    <w:rsid w:val="0020283E"/>
    <w:rsid w:val="00203136"/>
    <w:rsid w:val="00203B67"/>
    <w:rsid w:val="00203FDE"/>
    <w:rsid w:val="00204B2F"/>
    <w:rsid w:val="00204F38"/>
    <w:rsid w:val="0020515F"/>
    <w:rsid w:val="0020559A"/>
    <w:rsid w:val="00206265"/>
    <w:rsid w:val="00207513"/>
    <w:rsid w:val="00207993"/>
    <w:rsid w:val="0021097D"/>
    <w:rsid w:val="0021160B"/>
    <w:rsid w:val="00211AE3"/>
    <w:rsid w:val="00212521"/>
    <w:rsid w:val="0021256D"/>
    <w:rsid w:val="00212CBB"/>
    <w:rsid w:val="00212D63"/>
    <w:rsid w:val="0021356B"/>
    <w:rsid w:val="00213DC4"/>
    <w:rsid w:val="00213E9D"/>
    <w:rsid w:val="00214099"/>
    <w:rsid w:val="0021415D"/>
    <w:rsid w:val="002143BF"/>
    <w:rsid w:val="00215009"/>
    <w:rsid w:val="00215036"/>
    <w:rsid w:val="00215D68"/>
    <w:rsid w:val="00215E87"/>
    <w:rsid w:val="00216865"/>
    <w:rsid w:val="00216B2D"/>
    <w:rsid w:val="00216B69"/>
    <w:rsid w:val="00216FE3"/>
    <w:rsid w:val="0021718E"/>
    <w:rsid w:val="002172B8"/>
    <w:rsid w:val="00220849"/>
    <w:rsid w:val="0022112B"/>
    <w:rsid w:val="0022177F"/>
    <w:rsid w:val="00222BF8"/>
    <w:rsid w:val="00222C1F"/>
    <w:rsid w:val="002237B6"/>
    <w:rsid w:val="00223EC7"/>
    <w:rsid w:val="00223F13"/>
    <w:rsid w:val="002246F4"/>
    <w:rsid w:val="002250FB"/>
    <w:rsid w:val="0022537C"/>
    <w:rsid w:val="002260D7"/>
    <w:rsid w:val="00226151"/>
    <w:rsid w:val="002261D7"/>
    <w:rsid w:val="0022635E"/>
    <w:rsid w:val="00226417"/>
    <w:rsid w:val="002264F6"/>
    <w:rsid w:val="002269CE"/>
    <w:rsid w:val="00226A07"/>
    <w:rsid w:val="0023030B"/>
    <w:rsid w:val="0023054B"/>
    <w:rsid w:val="002307BF"/>
    <w:rsid w:val="00231B75"/>
    <w:rsid w:val="00232D98"/>
    <w:rsid w:val="0023387B"/>
    <w:rsid w:val="00233B2D"/>
    <w:rsid w:val="00234A90"/>
    <w:rsid w:val="00234AC9"/>
    <w:rsid w:val="00235153"/>
    <w:rsid w:val="0023622E"/>
    <w:rsid w:val="00236497"/>
    <w:rsid w:val="002366B9"/>
    <w:rsid w:val="002368A3"/>
    <w:rsid w:val="0023793E"/>
    <w:rsid w:val="0024004F"/>
    <w:rsid w:val="0024013D"/>
    <w:rsid w:val="002404BC"/>
    <w:rsid w:val="0024079D"/>
    <w:rsid w:val="00240F93"/>
    <w:rsid w:val="0024111C"/>
    <w:rsid w:val="0024123B"/>
    <w:rsid w:val="002414C7"/>
    <w:rsid w:val="002426DE"/>
    <w:rsid w:val="00242B2B"/>
    <w:rsid w:val="002434F4"/>
    <w:rsid w:val="00244832"/>
    <w:rsid w:val="002449AD"/>
    <w:rsid w:val="002465F0"/>
    <w:rsid w:val="00246901"/>
    <w:rsid w:val="0024704A"/>
    <w:rsid w:val="00247E12"/>
    <w:rsid w:val="00250A8B"/>
    <w:rsid w:val="00251271"/>
    <w:rsid w:val="00251922"/>
    <w:rsid w:val="00252068"/>
    <w:rsid w:val="002520B2"/>
    <w:rsid w:val="00252307"/>
    <w:rsid w:val="00252DE3"/>
    <w:rsid w:val="0025362F"/>
    <w:rsid w:val="0025415A"/>
    <w:rsid w:val="00254609"/>
    <w:rsid w:val="00254919"/>
    <w:rsid w:val="00254E56"/>
    <w:rsid w:val="00254F1F"/>
    <w:rsid w:val="00255583"/>
    <w:rsid w:val="002557EB"/>
    <w:rsid w:val="002558A0"/>
    <w:rsid w:val="0025593F"/>
    <w:rsid w:val="0025671A"/>
    <w:rsid w:val="00256A02"/>
    <w:rsid w:val="00256D18"/>
    <w:rsid w:val="0025701C"/>
    <w:rsid w:val="0025720C"/>
    <w:rsid w:val="002573CF"/>
    <w:rsid w:val="002577B2"/>
    <w:rsid w:val="00257A79"/>
    <w:rsid w:val="00257C61"/>
    <w:rsid w:val="0026071D"/>
    <w:rsid w:val="00260828"/>
    <w:rsid w:val="002609CD"/>
    <w:rsid w:val="0026193B"/>
    <w:rsid w:val="002619A4"/>
    <w:rsid w:val="00261A00"/>
    <w:rsid w:val="0026216B"/>
    <w:rsid w:val="002622F1"/>
    <w:rsid w:val="002629E1"/>
    <w:rsid w:val="00262EA3"/>
    <w:rsid w:val="002640D3"/>
    <w:rsid w:val="00264730"/>
    <w:rsid w:val="00264E66"/>
    <w:rsid w:val="00264E82"/>
    <w:rsid w:val="002658B8"/>
    <w:rsid w:val="00265E5B"/>
    <w:rsid w:val="0026605C"/>
    <w:rsid w:val="002662B8"/>
    <w:rsid w:val="0026666D"/>
    <w:rsid w:val="002667A0"/>
    <w:rsid w:val="002667F6"/>
    <w:rsid w:val="00266D93"/>
    <w:rsid w:val="00266F9B"/>
    <w:rsid w:val="0026754E"/>
    <w:rsid w:val="0026793F"/>
    <w:rsid w:val="00270098"/>
    <w:rsid w:val="00270835"/>
    <w:rsid w:val="002708B4"/>
    <w:rsid w:val="00270CE5"/>
    <w:rsid w:val="00271C0B"/>
    <w:rsid w:val="002723F8"/>
    <w:rsid w:val="002734FB"/>
    <w:rsid w:val="00273BB6"/>
    <w:rsid w:val="00275609"/>
    <w:rsid w:val="00275C21"/>
    <w:rsid w:val="00276213"/>
    <w:rsid w:val="00277640"/>
    <w:rsid w:val="00277768"/>
    <w:rsid w:val="00281323"/>
    <w:rsid w:val="00281B09"/>
    <w:rsid w:val="0028258F"/>
    <w:rsid w:val="002839D1"/>
    <w:rsid w:val="00283F3A"/>
    <w:rsid w:val="002849DB"/>
    <w:rsid w:val="00284ADA"/>
    <w:rsid w:val="00284E2C"/>
    <w:rsid w:val="002850C9"/>
    <w:rsid w:val="00285178"/>
    <w:rsid w:val="00285233"/>
    <w:rsid w:val="00285261"/>
    <w:rsid w:val="002856EB"/>
    <w:rsid w:val="00285E2D"/>
    <w:rsid w:val="00286A3C"/>
    <w:rsid w:val="00286C77"/>
    <w:rsid w:val="00287DB6"/>
    <w:rsid w:val="00290166"/>
    <w:rsid w:val="002904A3"/>
    <w:rsid w:val="00290ED2"/>
    <w:rsid w:val="00290F48"/>
    <w:rsid w:val="0029167E"/>
    <w:rsid w:val="00291877"/>
    <w:rsid w:val="00291C13"/>
    <w:rsid w:val="00291F64"/>
    <w:rsid w:val="00292D3A"/>
    <w:rsid w:val="00294399"/>
    <w:rsid w:val="00294A7A"/>
    <w:rsid w:val="00294FFF"/>
    <w:rsid w:val="0029557A"/>
    <w:rsid w:val="002968AF"/>
    <w:rsid w:val="0029720F"/>
    <w:rsid w:val="002975D6"/>
    <w:rsid w:val="002A0CFE"/>
    <w:rsid w:val="002A1B89"/>
    <w:rsid w:val="002A1DB0"/>
    <w:rsid w:val="002A22D6"/>
    <w:rsid w:val="002A2B49"/>
    <w:rsid w:val="002A3C2A"/>
    <w:rsid w:val="002A3C75"/>
    <w:rsid w:val="002A4094"/>
    <w:rsid w:val="002A46B4"/>
    <w:rsid w:val="002A48D6"/>
    <w:rsid w:val="002A52D6"/>
    <w:rsid w:val="002A5755"/>
    <w:rsid w:val="002A59B9"/>
    <w:rsid w:val="002A5A6B"/>
    <w:rsid w:val="002A5EB6"/>
    <w:rsid w:val="002A5EE6"/>
    <w:rsid w:val="002A65C4"/>
    <w:rsid w:val="002A6BE3"/>
    <w:rsid w:val="002A71C7"/>
    <w:rsid w:val="002A730A"/>
    <w:rsid w:val="002A76E3"/>
    <w:rsid w:val="002A7785"/>
    <w:rsid w:val="002A779F"/>
    <w:rsid w:val="002B0853"/>
    <w:rsid w:val="002B0E05"/>
    <w:rsid w:val="002B1029"/>
    <w:rsid w:val="002B164A"/>
    <w:rsid w:val="002B1915"/>
    <w:rsid w:val="002B26DA"/>
    <w:rsid w:val="002B2853"/>
    <w:rsid w:val="002B2AF0"/>
    <w:rsid w:val="002B2F94"/>
    <w:rsid w:val="002B39FD"/>
    <w:rsid w:val="002B3B3E"/>
    <w:rsid w:val="002B3C03"/>
    <w:rsid w:val="002B3E8B"/>
    <w:rsid w:val="002B4525"/>
    <w:rsid w:val="002B4A2B"/>
    <w:rsid w:val="002B6176"/>
    <w:rsid w:val="002B6D55"/>
    <w:rsid w:val="002B6E03"/>
    <w:rsid w:val="002B75F8"/>
    <w:rsid w:val="002B7C6A"/>
    <w:rsid w:val="002B7C9B"/>
    <w:rsid w:val="002C0178"/>
    <w:rsid w:val="002C0AB2"/>
    <w:rsid w:val="002C0C00"/>
    <w:rsid w:val="002C0D87"/>
    <w:rsid w:val="002C0F7F"/>
    <w:rsid w:val="002C1311"/>
    <w:rsid w:val="002C1B3D"/>
    <w:rsid w:val="002C1EE8"/>
    <w:rsid w:val="002C2D59"/>
    <w:rsid w:val="002C4737"/>
    <w:rsid w:val="002C4820"/>
    <w:rsid w:val="002C56DB"/>
    <w:rsid w:val="002C5B8B"/>
    <w:rsid w:val="002C5C4A"/>
    <w:rsid w:val="002C6CB6"/>
    <w:rsid w:val="002C6DF3"/>
    <w:rsid w:val="002C756E"/>
    <w:rsid w:val="002D0691"/>
    <w:rsid w:val="002D08DE"/>
    <w:rsid w:val="002D097F"/>
    <w:rsid w:val="002D0F60"/>
    <w:rsid w:val="002D1036"/>
    <w:rsid w:val="002D1E5D"/>
    <w:rsid w:val="002D1F08"/>
    <w:rsid w:val="002D1F45"/>
    <w:rsid w:val="002D227E"/>
    <w:rsid w:val="002D2B2D"/>
    <w:rsid w:val="002D2C9F"/>
    <w:rsid w:val="002D2D13"/>
    <w:rsid w:val="002D3321"/>
    <w:rsid w:val="002D4623"/>
    <w:rsid w:val="002D4762"/>
    <w:rsid w:val="002D486C"/>
    <w:rsid w:val="002D4B0D"/>
    <w:rsid w:val="002D5297"/>
    <w:rsid w:val="002D56E1"/>
    <w:rsid w:val="002D5D18"/>
    <w:rsid w:val="002D6980"/>
    <w:rsid w:val="002D7004"/>
    <w:rsid w:val="002D70BC"/>
    <w:rsid w:val="002D7167"/>
    <w:rsid w:val="002E07C7"/>
    <w:rsid w:val="002E141B"/>
    <w:rsid w:val="002E1B94"/>
    <w:rsid w:val="002E2195"/>
    <w:rsid w:val="002E271A"/>
    <w:rsid w:val="002E29E7"/>
    <w:rsid w:val="002E3D81"/>
    <w:rsid w:val="002E4F32"/>
    <w:rsid w:val="002E5FCF"/>
    <w:rsid w:val="002E69D6"/>
    <w:rsid w:val="002E6B73"/>
    <w:rsid w:val="002E731D"/>
    <w:rsid w:val="002E7808"/>
    <w:rsid w:val="002E7ACD"/>
    <w:rsid w:val="002E7E95"/>
    <w:rsid w:val="002F01F9"/>
    <w:rsid w:val="002F0230"/>
    <w:rsid w:val="002F0755"/>
    <w:rsid w:val="002F0D59"/>
    <w:rsid w:val="002F0DE0"/>
    <w:rsid w:val="002F1B7B"/>
    <w:rsid w:val="002F25BC"/>
    <w:rsid w:val="002F2E38"/>
    <w:rsid w:val="002F2E7B"/>
    <w:rsid w:val="002F3C7F"/>
    <w:rsid w:val="002F3DAB"/>
    <w:rsid w:val="002F3FA9"/>
    <w:rsid w:val="002F4386"/>
    <w:rsid w:val="002F453E"/>
    <w:rsid w:val="002F4946"/>
    <w:rsid w:val="002F4B1A"/>
    <w:rsid w:val="002F5970"/>
    <w:rsid w:val="002F5B09"/>
    <w:rsid w:val="002F61DE"/>
    <w:rsid w:val="002F6822"/>
    <w:rsid w:val="002F6EBD"/>
    <w:rsid w:val="002F7159"/>
    <w:rsid w:val="002F723D"/>
    <w:rsid w:val="002F7C4D"/>
    <w:rsid w:val="002F7C5D"/>
    <w:rsid w:val="002F7C8C"/>
    <w:rsid w:val="002F7F3B"/>
    <w:rsid w:val="002F7FC3"/>
    <w:rsid w:val="00300459"/>
    <w:rsid w:val="003004F8"/>
    <w:rsid w:val="00300880"/>
    <w:rsid w:val="00300933"/>
    <w:rsid w:val="00300B17"/>
    <w:rsid w:val="00300B25"/>
    <w:rsid w:val="00300BE1"/>
    <w:rsid w:val="00301A69"/>
    <w:rsid w:val="00301AFE"/>
    <w:rsid w:val="00301C1E"/>
    <w:rsid w:val="00302429"/>
    <w:rsid w:val="003036B5"/>
    <w:rsid w:val="00303AD4"/>
    <w:rsid w:val="003047CA"/>
    <w:rsid w:val="003047D4"/>
    <w:rsid w:val="00304D6E"/>
    <w:rsid w:val="003059EA"/>
    <w:rsid w:val="00305BF3"/>
    <w:rsid w:val="003076BD"/>
    <w:rsid w:val="0030788B"/>
    <w:rsid w:val="00307B4D"/>
    <w:rsid w:val="00310C6D"/>
    <w:rsid w:val="003112ED"/>
    <w:rsid w:val="003115CE"/>
    <w:rsid w:val="00311803"/>
    <w:rsid w:val="00311A4A"/>
    <w:rsid w:val="00311AE8"/>
    <w:rsid w:val="00311EB9"/>
    <w:rsid w:val="00312830"/>
    <w:rsid w:val="00313453"/>
    <w:rsid w:val="0031499F"/>
    <w:rsid w:val="00314BD8"/>
    <w:rsid w:val="00314DA8"/>
    <w:rsid w:val="00315619"/>
    <w:rsid w:val="00315723"/>
    <w:rsid w:val="00316469"/>
    <w:rsid w:val="003164FD"/>
    <w:rsid w:val="00316661"/>
    <w:rsid w:val="003168D6"/>
    <w:rsid w:val="00316EAA"/>
    <w:rsid w:val="00316EFC"/>
    <w:rsid w:val="0031733D"/>
    <w:rsid w:val="00317342"/>
    <w:rsid w:val="00317F7F"/>
    <w:rsid w:val="00321B3B"/>
    <w:rsid w:val="00321BA1"/>
    <w:rsid w:val="00322183"/>
    <w:rsid w:val="00322A9A"/>
    <w:rsid w:val="00322C7B"/>
    <w:rsid w:val="003236C4"/>
    <w:rsid w:val="00324282"/>
    <w:rsid w:val="00324324"/>
    <w:rsid w:val="003250B7"/>
    <w:rsid w:val="00325B57"/>
    <w:rsid w:val="00325C09"/>
    <w:rsid w:val="00325FC1"/>
    <w:rsid w:val="003264B8"/>
    <w:rsid w:val="003264DA"/>
    <w:rsid w:val="00326B51"/>
    <w:rsid w:val="00326C40"/>
    <w:rsid w:val="00327286"/>
    <w:rsid w:val="00327769"/>
    <w:rsid w:val="00327DC3"/>
    <w:rsid w:val="00330EEE"/>
    <w:rsid w:val="00330F68"/>
    <w:rsid w:val="003312A7"/>
    <w:rsid w:val="00331C94"/>
    <w:rsid w:val="00331CA9"/>
    <w:rsid w:val="0033244E"/>
    <w:rsid w:val="00332B82"/>
    <w:rsid w:val="00332ED6"/>
    <w:rsid w:val="003337B2"/>
    <w:rsid w:val="00333C97"/>
    <w:rsid w:val="0033405E"/>
    <w:rsid w:val="0033488D"/>
    <w:rsid w:val="00334CFC"/>
    <w:rsid w:val="003351B7"/>
    <w:rsid w:val="00335356"/>
    <w:rsid w:val="00336B6F"/>
    <w:rsid w:val="00336E81"/>
    <w:rsid w:val="00337DD8"/>
    <w:rsid w:val="00340239"/>
    <w:rsid w:val="00340543"/>
    <w:rsid w:val="0034073E"/>
    <w:rsid w:val="00340832"/>
    <w:rsid w:val="003408F2"/>
    <w:rsid w:val="00341464"/>
    <w:rsid w:val="003431E8"/>
    <w:rsid w:val="003432F0"/>
    <w:rsid w:val="003434A1"/>
    <w:rsid w:val="0034379D"/>
    <w:rsid w:val="0034470F"/>
    <w:rsid w:val="0034535A"/>
    <w:rsid w:val="0034613D"/>
    <w:rsid w:val="00346C3C"/>
    <w:rsid w:val="0034753F"/>
    <w:rsid w:val="00347C38"/>
    <w:rsid w:val="00347F11"/>
    <w:rsid w:val="00350006"/>
    <w:rsid w:val="00350BAF"/>
    <w:rsid w:val="0035124C"/>
    <w:rsid w:val="0035196D"/>
    <w:rsid w:val="00351EE7"/>
    <w:rsid w:val="00353FA5"/>
    <w:rsid w:val="0035436A"/>
    <w:rsid w:val="00354448"/>
    <w:rsid w:val="00354BF4"/>
    <w:rsid w:val="00354D01"/>
    <w:rsid w:val="00354D93"/>
    <w:rsid w:val="0035505B"/>
    <w:rsid w:val="003554CD"/>
    <w:rsid w:val="0035606C"/>
    <w:rsid w:val="00356D07"/>
    <w:rsid w:val="0035704B"/>
    <w:rsid w:val="003578D4"/>
    <w:rsid w:val="00360B6D"/>
    <w:rsid w:val="00360E97"/>
    <w:rsid w:val="00361061"/>
    <w:rsid w:val="0036188C"/>
    <w:rsid w:val="00361922"/>
    <w:rsid w:val="00361AC8"/>
    <w:rsid w:val="00361F88"/>
    <w:rsid w:val="003628DE"/>
    <w:rsid w:val="00362BCA"/>
    <w:rsid w:val="00363137"/>
    <w:rsid w:val="003634E2"/>
    <w:rsid w:val="0036354F"/>
    <w:rsid w:val="00364128"/>
    <w:rsid w:val="00364147"/>
    <w:rsid w:val="003651AB"/>
    <w:rsid w:val="003658FE"/>
    <w:rsid w:val="00365C42"/>
    <w:rsid w:val="003666D3"/>
    <w:rsid w:val="00366949"/>
    <w:rsid w:val="00366985"/>
    <w:rsid w:val="0036725E"/>
    <w:rsid w:val="00367A20"/>
    <w:rsid w:val="00367EDE"/>
    <w:rsid w:val="00367FED"/>
    <w:rsid w:val="003715AF"/>
    <w:rsid w:val="00373035"/>
    <w:rsid w:val="00373E6F"/>
    <w:rsid w:val="00373F21"/>
    <w:rsid w:val="003742AF"/>
    <w:rsid w:val="00374410"/>
    <w:rsid w:val="003746C3"/>
    <w:rsid w:val="00374F06"/>
    <w:rsid w:val="00376182"/>
    <w:rsid w:val="003761D4"/>
    <w:rsid w:val="00376FAF"/>
    <w:rsid w:val="00377921"/>
    <w:rsid w:val="00380554"/>
    <w:rsid w:val="003806FA"/>
    <w:rsid w:val="0038099B"/>
    <w:rsid w:val="00380AAE"/>
    <w:rsid w:val="0038110D"/>
    <w:rsid w:val="0038116D"/>
    <w:rsid w:val="0038141E"/>
    <w:rsid w:val="00381542"/>
    <w:rsid w:val="00381B50"/>
    <w:rsid w:val="00381D42"/>
    <w:rsid w:val="00381E27"/>
    <w:rsid w:val="003821C8"/>
    <w:rsid w:val="003829B9"/>
    <w:rsid w:val="0038322B"/>
    <w:rsid w:val="00383BA7"/>
    <w:rsid w:val="00383D99"/>
    <w:rsid w:val="00384775"/>
    <w:rsid w:val="0038484E"/>
    <w:rsid w:val="00385022"/>
    <w:rsid w:val="0038563A"/>
    <w:rsid w:val="00385E22"/>
    <w:rsid w:val="0039039E"/>
    <w:rsid w:val="0039054F"/>
    <w:rsid w:val="00390BA2"/>
    <w:rsid w:val="00390F4D"/>
    <w:rsid w:val="00391675"/>
    <w:rsid w:val="00391751"/>
    <w:rsid w:val="003918EE"/>
    <w:rsid w:val="00392717"/>
    <w:rsid w:val="003928C1"/>
    <w:rsid w:val="003933E4"/>
    <w:rsid w:val="003936C4"/>
    <w:rsid w:val="0039406E"/>
    <w:rsid w:val="00395A4B"/>
    <w:rsid w:val="00395FEA"/>
    <w:rsid w:val="00396B06"/>
    <w:rsid w:val="003978AB"/>
    <w:rsid w:val="003A01DF"/>
    <w:rsid w:val="003A21DE"/>
    <w:rsid w:val="003A2335"/>
    <w:rsid w:val="003A3232"/>
    <w:rsid w:val="003A396B"/>
    <w:rsid w:val="003A3A4E"/>
    <w:rsid w:val="003A3E49"/>
    <w:rsid w:val="003A5979"/>
    <w:rsid w:val="003A6D57"/>
    <w:rsid w:val="003A73D5"/>
    <w:rsid w:val="003B0472"/>
    <w:rsid w:val="003B06D6"/>
    <w:rsid w:val="003B07D2"/>
    <w:rsid w:val="003B1211"/>
    <w:rsid w:val="003B1E9F"/>
    <w:rsid w:val="003B3657"/>
    <w:rsid w:val="003B37D5"/>
    <w:rsid w:val="003B37F0"/>
    <w:rsid w:val="003B4748"/>
    <w:rsid w:val="003B4BC5"/>
    <w:rsid w:val="003B5A29"/>
    <w:rsid w:val="003B61C0"/>
    <w:rsid w:val="003B74B5"/>
    <w:rsid w:val="003B77B1"/>
    <w:rsid w:val="003B797B"/>
    <w:rsid w:val="003C12BF"/>
    <w:rsid w:val="003C12E4"/>
    <w:rsid w:val="003C17B3"/>
    <w:rsid w:val="003C261C"/>
    <w:rsid w:val="003C2964"/>
    <w:rsid w:val="003C2980"/>
    <w:rsid w:val="003C2D78"/>
    <w:rsid w:val="003C2F2F"/>
    <w:rsid w:val="003C2FD6"/>
    <w:rsid w:val="003C3777"/>
    <w:rsid w:val="003C3899"/>
    <w:rsid w:val="003C3B18"/>
    <w:rsid w:val="003C447A"/>
    <w:rsid w:val="003C4B12"/>
    <w:rsid w:val="003C4E94"/>
    <w:rsid w:val="003C5949"/>
    <w:rsid w:val="003C6658"/>
    <w:rsid w:val="003C66AF"/>
    <w:rsid w:val="003C68FA"/>
    <w:rsid w:val="003C6DA0"/>
    <w:rsid w:val="003C798C"/>
    <w:rsid w:val="003C79E8"/>
    <w:rsid w:val="003D042F"/>
    <w:rsid w:val="003D0464"/>
    <w:rsid w:val="003D0890"/>
    <w:rsid w:val="003D1376"/>
    <w:rsid w:val="003D165F"/>
    <w:rsid w:val="003D2B60"/>
    <w:rsid w:val="003D36E0"/>
    <w:rsid w:val="003D4141"/>
    <w:rsid w:val="003D48D8"/>
    <w:rsid w:val="003D4B4E"/>
    <w:rsid w:val="003D4ECD"/>
    <w:rsid w:val="003D54C1"/>
    <w:rsid w:val="003D630D"/>
    <w:rsid w:val="003D65F4"/>
    <w:rsid w:val="003D7524"/>
    <w:rsid w:val="003D7D26"/>
    <w:rsid w:val="003E0336"/>
    <w:rsid w:val="003E09E3"/>
    <w:rsid w:val="003E0B3D"/>
    <w:rsid w:val="003E0E67"/>
    <w:rsid w:val="003E1A75"/>
    <w:rsid w:val="003E2B2B"/>
    <w:rsid w:val="003E2C2D"/>
    <w:rsid w:val="003E2C86"/>
    <w:rsid w:val="003E3935"/>
    <w:rsid w:val="003E3A21"/>
    <w:rsid w:val="003E3CBC"/>
    <w:rsid w:val="003E45FC"/>
    <w:rsid w:val="003E48AC"/>
    <w:rsid w:val="003E48EE"/>
    <w:rsid w:val="003E4E48"/>
    <w:rsid w:val="003E505F"/>
    <w:rsid w:val="003E51FE"/>
    <w:rsid w:val="003E5DD0"/>
    <w:rsid w:val="003E6A35"/>
    <w:rsid w:val="003E726A"/>
    <w:rsid w:val="003E7403"/>
    <w:rsid w:val="003E7CE5"/>
    <w:rsid w:val="003F0284"/>
    <w:rsid w:val="003F03F5"/>
    <w:rsid w:val="003F0687"/>
    <w:rsid w:val="003F0AA6"/>
    <w:rsid w:val="003F0E95"/>
    <w:rsid w:val="003F113C"/>
    <w:rsid w:val="003F24B9"/>
    <w:rsid w:val="003F283A"/>
    <w:rsid w:val="003F3631"/>
    <w:rsid w:val="003F3EFD"/>
    <w:rsid w:val="003F4068"/>
    <w:rsid w:val="003F4C2D"/>
    <w:rsid w:val="003F52AD"/>
    <w:rsid w:val="003F562F"/>
    <w:rsid w:val="003F7583"/>
    <w:rsid w:val="003F76D8"/>
    <w:rsid w:val="003F7775"/>
    <w:rsid w:val="003F7C2C"/>
    <w:rsid w:val="003F7D93"/>
    <w:rsid w:val="003F7EAC"/>
    <w:rsid w:val="004013A4"/>
    <w:rsid w:val="004017ED"/>
    <w:rsid w:val="00401F72"/>
    <w:rsid w:val="00402280"/>
    <w:rsid w:val="004024C7"/>
    <w:rsid w:val="00402545"/>
    <w:rsid w:val="004026D8"/>
    <w:rsid w:val="00403146"/>
    <w:rsid w:val="004035AF"/>
    <w:rsid w:val="00403E00"/>
    <w:rsid w:val="0040422E"/>
    <w:rsid w:val="004048F2"/>
    <w:rsid w:val="00404999"/>
    <w:rsid w:val="00404B86"/>
    <w:rsid w:val="00405665"/>
    <w:rsid w:val="00405FE9"/>
    <w:rsid w:val="00406328"/>
    <w:rsid w:val="004078DF"/>
    <w:rsid w:val="004110AD"/>
    <w:rsid w:val="004114DD"/>
    <w:rsid w:val="00412BC7"/>
    <w:rsid w:val="00414112"/>
    <w:rsid w:val="0041429B"/>
    <w:rsid w:val="00414361"/>
    <w:rsid w:val="00415306"/>
    <w:rsid w:val="004155D7"/>
    <w:rsid w:val="00415BE5"/>
    <w:rsid w:val="00416636"/>
    <w:rsid w:val="00417C19"/>
    <w:rsid w:val="00417DFE"/>
    <w:rsid w:val="00420607"/>
    <w:rsid w:val="004206FE"/>
    <w:rsid w:val="0042083B"/>
    <w:rsid w:val="00420C63"/>
    <w:rsid w:val="00421469"/>
    <w:rsid w:val="00422191"/>
    <w:rsid w:val="00422E5C"/>
    <w:rsid w:val="004238F2"/>
    <w:rsid w:val="00424BB5"/>
    <w:rsid w:val="00425780"/>
    <w:rsid w:val="00425A90"/>
    <w:rsid w:val="00425E7A"/>
    <w:rsid w:val="0042603D"/>
    <w:rsid w:val="00426138"/>
    <w:rsid w:val="004262E6"/>
    <w:rsid w:val="00426E0C"/>
    <w:rsid w:val="00427861"/>
    <w:rsid w:val="00427DA6"/>
    <w:rsid w:val="00427E77"/>
    <w:rsid w:val="0043103A"/>
    <w:rsid w:val="0043115B"/>
    <w:rsid w:val="0043130F"/>
    <w:rsid w:val="00431A04"/>
    <w:rsid w:val="00431F1C"/>
    <w:rsid w:val="00432041"/>
    <w:rsid w:val="004321C5"/>
    <w:rsid w:val="004324DF"/>
    <w:rsid w:val="004324F1"/>
    <w:rsid w:val="004327EB"/>
    <w:rsid w:val="004333ED"/>
    <w:rsid w:val="00433991"/>
    <w:rsid w:val="00433FD7"/>
    <w:rsid w:val="00434AAA"/>
    <w:rsid w:val="00434D40"/>
    <w:rsid w:val="0043516A"/>
    <w:rsid w:val="004357A5"/>
    <w:rsid w:val="004402E7"/>
    <w:rsid w:val="004407E8"/>
    <w:rsid w:val="00440802"/>
    <w:rsid w:val="004408A5"/>
    <w:rsid w:val="00441188"/>
    <w:rsid w:val="0044128E"/>
    <w:rsid w:val="004414FD"/>
    <w:rsid w:val="0044254E"/>
    <w:rsid w:val="004425FA"/>
    <w:rsid w:val="00442724"/>
    <w:rsid w:val="00443412"/>
    <w:rsid w:val="00443446"/>
    <w:rsid w:val="004437CB"/>
    <w:rsid w:val="00444133"/>
    <w:rsid w:val="00444369"/>
    <w:rsid w:val="00444DB4"/>
    <w:rsid w:val="00445DE8"/>
    <w:rsid w:val="00446216"/>
    <w:rsid w:val="004464BD"/>
    <w:rsid w:val="004477C3"/>
    <w:rsid w:val="0045029C"/>
    <w:rsid w:val="004503C7"/>
    <w:rsid w:val="00450784"/>
    <w:rsid w:val="004507E5"/>
    <w:rsid w:val="00450CBC"/>
    <w:rsid w:val="00451367"/>
    <w:rsid w:val="00451F5A"/>
    <w:rsid w:val="00453E62"/>
    <w:rsid w:val="00453E92"/>
    <w:rsid w:val="00453ED1"/>
    <w:rsid w:val="004541FD"/>
    <w:rsid w:val="00454971"/>
    <w:rsid w:val="00454B6E"/>
    <w:rsid w:val="00454D1E"/>
    <w:rsid w:val="004555C8"/>
    <w:rsid w:val="00455DA7"/>
    <w:rsid w:val="0045657F"/>
    <w:rsid w:val="00456B60"/>
    <w:rsid w:val="00456DB3"/>
    <w:rsid w:val="00460119"/>
    <w:rsid w:val="004603A0"/>
    <w:rsid w:val="00461010"/>
    <w:rsid w:val="004620E3"/>
    <w:rsid w:val="004624E1"/>
    <w:rsid w:val="00462950"/>
    <w:rsid w:val="00462D96"/>
    <w:rsid w:val="0046350F"/>
    <w:rsid w:val="0046363E"/>
    <w:rsid w:val="00463C5F"/>
    <w:rsid w:val="0046490E"/>
    <w:rsid w:val="00464FE8"/>
    <w:rsid w:val="00466C06"/>
    <w:rsid w:val="004674FC"/>
    <w:rsid w:val="00470389"/>
    <w:rsid w:val="00471B3F"/>
    <w:rsid w:val="00471C5A"/>
    <w:rsid w:val="004723C7"/>
    <w:rsid w:val="0047320C"/>
    <w:rsid w:val="004732A1"/>
    <w:rsid w:val="00473331"/>
    <w:rsid w:val="004735B6"/>
    <w:rsid w:val="00473A91"/>
    <w:rsid w:val="004742E0"/>
    <w:rsid w:val="004745C0"/>
    <w:rsid w:val="00474746"/>
    <w:rsid w:val="00474ADA"/>
    <w:rsid w:val="0047521A"/>
    <w:rsid w:val="0047579F"/>
    <w:rsid w:val="00475F81"/>
    <w:rsid w:val="004761CD"/>
    <w:rsid w:val="00476675"/>
    <w:rsid w:val="00476B9C"/>
    <w:rsid w:val="00477D7E"/>
    <w:rsid w:val="0048024B"/>
    <w:rsid w:val="00480CC2"/>
    <w:rsid w:val="00480F47"/>
    <w:rsid w:val="00481210"/>
    <w:rsid w:val="00481406"/>
    <w:rsid w:val="0048155D"/>
    <w:rsid w:val="00481DA4"/>
    <w:rsid w:val="0048297D"/>
    <w:rsid w:val="00482BC8"/>
    <w:rsid w:val="00483113"/>
    <w:rsid w:val="004838E2"/>
    <w:rsid w:val="00483E90"/>
    <w:rsid w:val="00484051"/>
    <w:rsid w:val="004844D0"/>
    <w:rsid w:val="00484BD3"/>
    <w:rsid w:val="00484E8E"/>
    <w:rsid w:val="00485132"/>
    <w:rsid w:val="00485492"/>
    <w:rsid w:val="004859E6"/>
    <w:rsid w:val="00485A26"/>
    <w:rsid w:val="004868D8"/>
    <w:rsid w:val="00486AED"/>
    <w:rsid w:val="0048706C"/>
    <w:rsid w:val="00487272"/>
    <w:rsid w:val="004879CD"/>
    <w:rsid w:val="00487B2E"/>
    <w:rsid w:val="00490132"/>
    <w:rsid w:val="00490C54"/>
    <w:rsid w:val="00490D13"/>
    <w:rsid w:val="00492480"/>
    <w:rsid w:val="004926B5"/>
    <w:rsid w:val="00492A94"/>
    <w:rsid w:val="00492C89"/>
    <w:rsid w:val="004933DC"/>
    <w:rsid w:val="004935C4"/>
    <w:rsid w:val="00495080"/>
    <w:rsid w:val="0049619D"/>
    <w:rsid w:val="0049645C"/>
    <w:rsid w:val="00496878"/>
    <w:rsid w:val="00496C86"/>
    <w:rsid w:val="00497113"/>
    <w:rsid w:val="004A0388"/>
    <w:rsid w:val="004A03A0"/>
    <w:rsid w:val="004A0414"/>
    <w:rsid w:val="004A0998"/>
    <w:rsid w:val="004A09E4"/>
    <w:rsid w:val="004A0E6D"/>
    <w:rsid w:val="004A10E1"/>
    <w:rsid w:val="004A14FE"/>
    <w:rsid w:val="004A1710"/>
    <w:rsid w:val="004A17A9"/>
    <w:rsid w:val="004A20AB"/>
    <w:rsid w:val="004A20B1"/>
    <w:rsid w:val="004A221A"/>
    <w:rsid w:val="004A24B3"/>
    <w:rsid w:val="004A2703"/>
    <w:rsid w:val="004A32E6"/>
    <w:rsid w:val="004A3E99"/>
    <w:rsid w:val="004A3F28"/>
    <w:rsid w:val="004A405A"/>
    <w:rsid w:val="004A589F"/>
    <w:rsid w:val="004A5D9A"/>
    <w:rsid w:val="004A5F86"/>
    <w:rsid w:val="004A63AC"/>
    <w:rsid w:val="004A70E6"/>
    <w:rsid w:val="004B0063"/>
    <w:rsid w:val="004B131F"/>
    <w:rsid w:val="004B21EC"/>
    <w:rsid w:val="004B2741"/>
    <w:rsid w:val="004B27AC"/>
    <w:rsid w:val="004B2A6F"/>
    <w:rsid w:val="004B2B7F"/>
    <w:rsid w:val="004B2FFD"/>
    <w:rsid w:val="004B460A"/>
    <w:rsid w:val="004B4A8B"/>
    <w:rsid w:val="004B4BC3"/>
    <w:rsid w:val="004B5C90"/>
    <w:rsid w:val="004B5EAA"/>
    <w:rsid w:val="004B652B"/>
    <w:rsid w:val="004B6958"/>
    <w:rsid w:val="004B706D"/>
    <w:rsid w:val="004B7473"/>
    <w:rsid w:val="004B7C58"/>
    <w:rsid w:val="004C0BEF"/>
    <w:rsid w:val="004C163C"/>
    <w:rsid w:val="004C1FE4"/>
    <w:rsid w:val="004C237B"/>
    <w:rsid w:val="004C33DB"/>
    <w:rsid w:val="004C37A0"/>
    <w:rsid w:val="004C39AF"/>
    <w:rsid w:val="004C40BE"/>
    <w:rsid w:val="004C421E"/>
    <w:rsid w:val="004C44DA"/>
    <w:rsid w:val="004C470B"/>
    <w:rsid w:val="004C575A"/>
    <w:rsid w:val="004C5C1E"/>
    <w:rsid w:val="004C655A"/>
    <w:rsid w:val="004C7259"/>
    <w:rsid w:val="004C7734"/>
    <w:rsid w:val="004C7A21"/>
    <w:rsid w:val="004C7A4E"/>
    <w:rsid w:val="004C7F23"/>
    <w:rsid w:val="004D0791"/>
    <w:rsid w:val="004D1099"/>
    <w:rsid w:val="004D1D8C"/>
    <w:rsid w:val="004D1E11"/>
    <w:rsid w:val="004D20D6"/>
    <w:rsid w:val="004D235D"/>
    <w:rsid w:val="004D2500"/>
    <w:rsid w:val="004D2C65"/>
    <w:rsid w:val="004D3BE2"/>
    <w:rsid w:val="004D3CD1"/>
    <w:rsid w:val="004D4BB9"/>
    <w:rsid w:val="004D560C"/>
    <w:rsid w:val="004D5676"/>
    <w:rsid w:val="004D5796"/>
    <w:rsid w:val="004D5835"/>
    <w:rsid w:val="004D5B35"/>
    <w:rsid w:val="004D5C18"/>
    <w:rsid w:val="004D6D9D"/>
    <w:rsid w:val="004D7C08"/>
    <w:rsid w:val="004D7C7C"/>
    <w:rsid w:val="004E01BC"/>
    <w:rsid w:val="004E0983"/>
    <w:rsid w:val="004E14B8"/>
    <w:rsid w:val="004E1E0B"/>
    <w:rsid w:val="004E1F87"/>
    <w:rsid w:val="004E21D3"/>
    <w:rsid w:val="004E2841"/>
    <w:rsid w:val="004E2E92"/>
    <w:rsid w:val="004E2EF5"/>
    <w:rsid w:val="004E3C7D"/>
    <w:rsid w:val="004E3CC2"/>
    <w:rsid w:val="004E456A"/>
    <w:rsid w:val="004E4747"/>
    <w:rsid w:val="004E477B"/>
    <w:rsid w:val="004E4A7D"/>
    <w:rsid w:val="004E4CB6"/>
    <w:rsid w:val="004E52E1"/>
    <w:rsid w:val="004E56A1"/>
    <w:rsid w:val="004E6996"/>
    <w:rsid w:val="004E7581"/>
    <w:rsid w:val="004E7687"/>
    <w:rsid w:val="004E775D"/>
    <w:rsid w:val="004F0850"/>
    <w:rsid w:val="004F0C58"/>
    <w:rsid w:val="004F1049"/>
    <w:rsid w:val="004F20CB"/>
    <w:rsid w:val="004F2487"/>
    <w:rsid w:val="004F3762"/>
    <w:rsid w:val="004F484F"/>
    <w:rsid w:val="004F52AA"/>
    <w:rsid w:val="004F531A"/>
    <w:rsid w:val="004F5A0E"/>
    <w:rsid w:val="004F64F4"/>
    <w:rsid w:val="004F76E0"/>
    <w:rsid w:val="0050001C"/>
    <w:rsid w:val="005008A3"/>
    <w:rsid w:val="00500D65"/>
    <w:rsid w:val="00500FB2"/>
    <w:rsid w:val="0050107D"/>
    <w:rsid w:val="005013B8"/>
    <w:rsid w:val="005014D7"/>
    <w:rsid w:val="00501DA9"/>
    <w:rsid w:val="0050212E"/>
    <w:rsid w:val="00502AEF"/>
    <w:rsid w:val="00502B3B"/>
    <w:rsid w:val="00502EE4"/>
    <w:rsid w:val="0050362C"/>
    <w:rsid w:val="00504516"/>
    <w:rsid w:val="00504C5C"/>
    <w:rsid w:val="0050541F"/>
    <w:rsid w:val="00505997"/>
    <w:rsid w:val="00505F8E"/>
    <w:rsid w:val="00506493"/>
    <w:rsid w:val="00506F90"/>
    <w:rsid w:val="005073CF"/>
    <w:rsid w:val="00507DC9"/>
    <w:rsid w:val="005106CD"/>
    <w:rsid w:val="00510B8F"/>
    <w:rsid w:val="005117AC"/>
    <w:rsid w:val="00511E33"/>
    <w:rsid w:val="0051229D"/>
    <w:rsid w:val="00512610"/>
    <w:rsid w:val="00512AED"/>
    <w:rsid w:val="00513169"/>
    <w:rsid w:val="00513327"/>
    <w:rsid w:val="00513D1A"/>
    <w:rsid w:val="00514B81"/>
    <w:rsid w:val="0051563E"/>
    <w:rsid w:val="00515F90"/>
    <w:rsid w:val="00515FAC"/>
    <w:rsid w:val="00516223"/>
    <w:rsid w:val="00516566"/>
    <w:rsid w:val="005166E2"/>
    <w:rsid w:val="00516718"/>
    <w:rsid w:val="00516D23"/>
    <w:rsid w:val="00517C63"/>
    <w:rsid w:val="00520EF5"/>
    <w:rsid w:val="00520F44"/>
    <w:rsid w:val="005210D9"/>
    <w:rsid w:val="00521280"/>
    <w:rsid w:val="00521601"/>
    <w:rsid w:val="00521AEE"/>
    <w:rsid w:val="005228C0"/>
    <w:rsid w:val="00522A4E"/>
    <w:rsid w:val="00522D67"/>
    <w:rsid w:val="00524C51"/>
    <w:rsid w:val="00524D3F"/>
    <w:rsid w:val="00525431"/>
    <w:rsid w:val="005256F7"/>
    <w:rsid w:val="00525CB4"/>
    <w:rsid w:val="00526038"/>
    <w:rsid w:val="00526157"/>
    <w:rsid w:val="00526233"/>
    <w:rsid w:val="00526479"/>
    <w:rsid w:val="00526CCB"/>
    <w:rsid w:val="005271DF"/>
    <w:rsid w:val="0052759B"/>
    <w:rsid w:val="00530493"/>
    <w:rsid w:val="00530E25"/>
    <w:rsid w:val="0053112F"/>
    <w:rsid w:val="00531289"/>
    <w:rsid w:val="00531421"/>
    <w:rsid w:val="00532246"/>
    <w:rsid w:val="005328FF"/>
    <w:rsid w:val="00532BEB"/>
    <w:rsid w:val="00533759"/>
    <w:rsid w:val="00534130"/>
    <w:rsid w:val="005347F2"/>
    <w:rsid w:val="00535A76"/>
    <w:rsid w:val="00535C55"/>
    <w:rsid w:val="0053619F"/>
    <w:rsid w:val="005363A7"/>
    <w:rsid w:val="005364EE"/>
    <w:rsid w:val="00536637"/>
    <w:rsid w:val="00536994"/>
    <w:rsid w:val="005369C7"/>
    <w:rsid w:val="00537678"/>
    <w:rsid w:val="00540FD2"/>
    <w:rsid w:val="00541D1C"/>
    <w:rsid w:val="00541E77"/>
    <w:rsid w:val="005425E6"/>
    <w:rsid w:val="00542924"/>
    <w:rsid w:val="00542A65"/>
    <w:rsid w:val="00542A66"/>
    <w:rsid w:val="00542BC0"/>
    <w:rsid w:val="00542DC6"/>
    <w:rsid w:val="0054357B"/>
    <w:rsid w:val="00544A39"/>
    <w:rsid w:val="00544C92"/>
    <w:rsid w:val="00544D1E"/>
    <w:rsid w:val="00544E11"/>
    <w:rsid w:val="00544E84"/>
    <w:rsid w:val="00544F05"/>
    <w:rsid w:val="005452DD"/>
    <w:rsid w:val="00545A46"/>
    <w:rsid w:val="00545D04"/>
    <w:rsid w:val="00545EA8"/>
    <w:rsid w:val="0054613C"/>
    <w:rsid w:val="005463C2"/>
    <w:rsid w:val="00546550"/>
    <w:rsid w:val="005468FB"/>
    <w:rsid w:val="00546D92"/>
    <w:rsid w:val="00546DF0"/>
    <w:rsid w:val="00546EAF"/>
    <w:rsid w:val="0054714C"/>
    <w:rsid w:val="00550993"/>
    <w:rsid w:val="005510A1"/>
    <w:rsid w:val="00551148"/>
    <w:rsid w:val="0055142B"/>
    <w:rsid w:val="00551A02"/>
    <w:rsid w:val="00551B20"/>
    <w:rsid w:val="00553692"/>
    <w:rsid w:val="005539F7"/>
    <w:rsid w:val="00553DB0"/>
    <w:rsid w:val="00553FB0"/>
    <w:rsid w:val="00555606"/>
    <w:rsid w:val="005561D4"/>
    <w:rsid w:val="00557B06"/>
    <w:rsid w:val="005605D2"/>
    <w:rsid w:val="00560709"/>
    <w:rsid w:val="0056090E"/>
    <w:rsid w:val="005613F7"/>
    <w:rsid w:val="00561854"/>
    <w:rsid w:val="00561AC4"/>
    <w:rsid w:val="00561DF9"/>
    <w:rsid w:val="00563250"/>
    <w:rsid w:val="005639AA"/>
    <w:rsid w:val="00563B6E"/>
    <w:rsid w:val="00563BE1"/>
    <w:rsid w:val="00563EFD"/>
    <w:rsid w:val="005641AE"/>
    <w:rsid w:val="00564F2D"/>
    <w:rsid w:val="0056547A"/>
    <w:rsid w:val="00565638"/>
    <w:rsid w:val="00565CDB"/>
    <w:rsid w:val="00565D91"/>
    <w:rsid w:val="0056627D"/>
    <w:rsid w:val="005667B7"/>
    <w:rsid w:val="00567A9C"/>
    <w:rsid w:val="0057123A"/>
    <w:rsid w:val="005717DE"/>
    <w:rsid w:val="00572B13"/>
    <w:rsid w:val="00572D95"/>
    <w:rsid w:val="00573DBC"/>
    <w:rsid w:val="00574256"/>
    <w:rsid w:val="005744AE"/>
    <w:rsid w:val="00574706"/>
    <w:rsid w:val="00574CF6"/>
    <w:rsid w:val="00574EDE"/>
    <w:rsid w:val="005752EC"/>
    <w:rsid w:val="0057566A"/>
    <w:rsid w:val="005757C0"/>
    <w:rsid w:val="0057596A"/>
    <w:rsid w:val="00575A86"/>
    <w:rsid w:val="00575D85"/>
    <w:rsid w:val="00575F35"/>
    <w:rsid w:val="005764F8"/>
    <w:rsid w:val="0057656A"/>
    <w:rsid w:val="0057656C"/>
    <w:rsid w:val="00576C39"/>
    <w:rsid w:val="005771CB"/>
    <w:rsid w:val="005773EC"/>
    <w:rsid w:val="00577446"/>
    <w:rsid w:val="00577753"/>
    <w:rsid w:val="00577F06"/>
    <w:rsid w:val="00577FB7"/>
    <w:rsid w:val="00580229"/>
    <w:rsid w:val="00580629"/>
    <w:rsid w:val="0058087E"/>
    <w:rsid w:val="00581199"/>
    <w:rsid w:val="00581715"/>
    <w:rsid w:val="00581A9B"/>
    <w:rsid w:val="00581C4E"/>
    <w:rsid w:val="00582356"/>
    <w:rsid w:val="00582A9A"/>
    <w:rsid w:val="00582B3C"/>
    <w:rsid w:val="00582F42"/>
    <w:rsid w:val="00583AE4"/>
    <w:rsid w:val="005847E0"/>
    <w:rsid w:val="00584820"/>
    <w:rsid w:val="00584E3C"/>
    <w:rsid w:val="005854E1"/>
    <w:rsid w:val="005854EF"/>
    <w:rsid w:val="00585B55"/>
    <w:rsid w:val="00585C01"/>
    <w:rsid w:val="00586107"/>
    <w:rsid w:val="00586304"/>
    <w:rsid w:val="0058681F"/>
    <w:rsid w:val="005870C3"/>
    <w:rsid w:val="00587360"/>
    <w:rsid w:val="00587769"/>
    <w:rsid w:val="00587C48"/>
    <w:rsid w:val="00590120"/>
    <w:rsid w:val="005906AE"/>
    <w:rsid w:val="00590D40"/>
    <w:rsid w:val="0059135B"/>
    <w:rsid w:val="005919ED"/>
    <w:rsid w:val="00591C5E"/>
    <w:rsid w:val="00592011"/>
    <w:rsid w:val="00592666"/>
    <w:rsid w:val="00592E0A"/>
    <w:rsid w:val="005954AC"/>
    <w:rsid w:val="005954E1"/>
    <w:rsid w:val="00595E76"/>
    <w:rsid w:val="0059632A"/>
    <w:rsid w:val="00597960"/>
    <w:rsid w:val="005A07B1"/>
    <w:rsid w:val="005A0F8A"/>
    <w:rsid w:val="005A1148"/>
    <w:rsid w:val="005A12C9"/>
    <w:rsid w:val="005A1371"/>
    <w:rsid w:val="005A1910"/>
    <w:rsid w:val="005A1A34"/>
    <w:rsid w:val="005A2514"/>
    <w:rsid w:val="005A32BA"/>
    <w:rsid w:val="005A376D"/>
    <w:rsid w:val="005A3D50"/>
    <w:rsid w:val="005A46D1"/>
    <w:rsid w:val="005A4AC6"/>
    <w:rsid w:val="005A4E75"/>
    <w:rsid w:val="005A4F50"/>
    <w:rsid w:val="005A507A"/>
    <w:rsid w:val="005A53EB"/>
    <w:rsid w:val="005A6971"/>
    <w:rsid w:val="005B0A39"/>
    <w:rsid w:val="005B14FD"/>
    <w:rsid w:val="005B1C1C"/>
    <w:rsid w:val="005B1CFB"/>
    <w:rsid w:val="005B2212"/>
    <w:rsid w:val="005B24F5"/>
    <w:rsid w:val="005B29C0"/>
    <w:rsid w:val="005B2D3A"/>
    <w:rsid w:val="005B3C5A"/>
    <w:rsid w:val="005B484B"/>
    <w:rsid w:val="005B5963"/>
    <w:rsid w:val="005B6734"/>
    <w:rsid w:val="005B6828"/>
    <w:rsid w:val="005B6A8D"/>
    <w:rsid w:val="005B6B3D"/>
    <w:rsid w:val="005B6F08"/>
    <w:rsid w:val="005B6FB7"/>
    <w:rsid w:val="005B727D"/>
    <w:rsid w:val="005C09A6"/>
    <w:rsid w:val="005C09FD"/>
    <w:rsid w:val="005C1D5B"/>
    <w:rsid w:val="005C2903"/>
    <w:rsid w:val="005C296D"/>
    <w:rsid w:val="005C339C"/>
    <w:rsid w:val="005C341C"/>
    <w:rsid w:val="005C3616"/>
    <w:rsid w:val="005C36CB"/>
    <w:rsid w:val="005C3744"/>
    <w:rsid w:val="005C3C9A"/>
    <w:rsid w:val="005C4AAA"/>
    <w:rsid w:val="005C5489"/>
    <w:rsid w:val="005C57F9"/>
    <w:rsid w:val="005C5E3B"/>
    <w:rsid w:val="005C60B5"/>
    <w:rsid w:val="005C654F"/>
    <w:rsid w:val="005C74B2"/>
    <w:rsid w:val="005C7630"/>
    <w:rsid w:val="005C768B"/>
    <w:rsid w:val="005C773A"/>
    <w:rsid w:val="005D0735"/>
    <w:rsid w:val="005D0C52"/>
    <w:rsid w:val="005D113E"/>
    <w:rsid w:val="005D1DE4"/>
    <w:rsid w:val="005D27E2"/>
    <w:rsid w:val="005D655F"/>
    <w:rsid w:val="005D6CAB"/>
    <w:rsid w:val="005D7495"/>
    <w:rsid w:val="005D763A"/>
    <w:rsid w:val="005D78B7"/>
    <w:rsid w:val="005D791F"/>
    <w:rsid w:val="005D7AD8"/>
    <w:rsid w:val="005E0397"/>
    <w:rsid w:val="005E0676"/>
    <w:rsid w:val="005E08A7"/>
    <w:rsid w:val="005E1D31"/>
    <w:rsid w:val="005E3E9D"/>
    <w:rsid w:val="005E5330"/>
    <w:rsid w:val="005E53FA"/>
    <w:rsid w:val="005E5461"/>
    <w:rsid w:val="005E56C0"/>
    <w:rsid w:val="005E6037"/>
    <w:rsid w:val="005E6523"/>
    <w:rsid w:val="005E7A49"/>
    <w:rsid w:val="005F16BD"/>
    <w:rsid w:val="005F1710"/>
    <w:rsid w:val="005F17C5"/>
    <w:rsid w:val="005F29A3"/>
    <w:rsid w:val="005F325B"/>
    <w:rsid w:val="005F35FE"/>
    <w:rsid w:val="005F4617"/>
    <w:rsid w:val="005F5780"/>
    <w:rsid w:val="005F6618"/>
    <w:rsid w:val="005F67F3"/>
    <w:rsid w:val="005F69FA"/>
    <w:rsid w:val="005F6BCD"/>
    <w:rsid w:val="005F71B3"/>
    <w:rsid w:val="00600E34"/>
    <w:rsid w:val="006012B3"/>
    <w:rsid w:val="00602033"/>
    <w:rsid w:val="00604136"/>
    <w:rsid w:val="006046D8"/>
    <w:rsid w:val="006046E1"/>
    <w:rsid w:val="00604994"/>
    <w:rsid w:val="00604B10"/>
    <w:rsid w:val="00604C3C"/>
    <w:rsid w:val="00604CA8"/>
    <w:rsid w:val="00605A62"/>
    <w:rsid w:val="00605E3D"/>
    <w:rsid w:val="00606339"/>
    <w:rsid w:val="00606E01"/>
    <w:rsid w:val="00606ECC"/>
    <w:rsid w:val="00606F91"/>
    <w:rsid w:val="0060721B"/>
    <w:rsid w:val="006076D5"/>
    <w:rsid w:val="00610403"/>
    <w:rsid w:val="006109CC"/>
    <w:rsid w:val="00610CD3"/>
    <w:rsid w:val="00611BA8"/>
    <w:rsid w:val="0061248D"/>
    <w:rsid w:val="00612BA1"/>
    <w:rsid w:val="00612E69"/>
    <w:rsid w:val="0061356E"/>
    <w:rsid w:val="0061369A"/>
    <w:rsid w:val="00613953"/>
    <w:rsid w:val="00613A12"/>
    <w:rsid w:val="00613A84"/>
    <w:rsid w:val="00613C22"/>
    <w:rsid w:val="00613C37"/>
    <w:rsid w:val="006147C5"/>
    <w:rsid w:val="0061517C"/>
    <w:rsid w:val="00615A71"/>
    <w:rsid w:val="00615C74"/>
    <w:rsid w:val="006160C7"/>
    <w:rsid w:val="006164FF"/>
    <w:rsid w:val="00616B33"/>
    <w:rsid w:val="00617566"/>
    <w:rsid w:val="00617CAF"/>
    <w:rsid w:val="00617F75"/>
    <w:rsid w:val="0062009C"/>
    <w:rsid w:val="0062034C"/>
    <w:rsid w:val="00620766"/>
    <w:rsid w:val="00620A34"/>
    <w:rsid w:val="006210A8"/>
    <w:rsid w:val="0062176C"/>
    <w:rsid w:val="00621A24"/>
    <w:rsid w:val="006221E3"/>
    <w:rsid w:val="00622365"/>
    <w:rsid w:val="006227EF"/>
    <w:rsid w:val="0062292E"/>
    <w:rsid w:val="00622948"/>
    <w:rsid w:val="00622E3A"/>
    <w:rsid w:val="00623F5A"/>
    <w:rsid w:val="00623FBD"/>
    <w:rsid w:val="00624871"/>
    <w:rsid w:val="00624DFC"/>
    <w:rsid w:val="0062514F"/>
    <w:rsid w:val="006253AF"/>
    <w:rsid w:val="0062593B"/>
    <w:rsid w:val="00625BE3"/>
    <w:rsid w:val="00625C8E"/>
    <w:rsid w:val="00626126"/>
    <w:rsid w:val="00626678"/>
    <w:rsid w:val="00626868"/>
    <w:rsid w:val="00626C50"/>
    <w:rsid w:val="006274E9"/>
    <w:rsid w:val="006278B1"/>
    <w:rsid w:val="00627D5A"/>
    <w:rsid w:val="00627DB7"/>
    <w:rsid w:val="00627F44"/>
    <w:rsid w:val="0063016C"/>
    <w:rsid w:val="006310BC"/>
    <w:rsid w:val="006313DB"/>
    <w:rsid w:val="006321EE"/>
    <w:rsid w:val="0063254D"/>
    <w:rsid w:val="0063273A"/>
    <w:rsid w:val="00633521"/>
    <w:rsid w:val="006344C0"/>
    <w:rsid w:val="00634963"/>
    <w:rsid w:val="006351B3"/>
    <w:rsid w:val="0063530A"/>
    <w:rsid w:val="0063579D"/>
    <w:rsid w:val="0063580A"/>
    <w:rsid w:val="006358D6"/>
    <w:rsid w:val="00635B56"/>
    <w:rsid w:val="0063602E"/>
    <w:rsid w:val="006368FD"/>
    <w:rsid w:val="00637137"/>
    <w:rsid w:val="00637349"/>
    <w:rsid w:val="006374EA"/>
    <w:rsid w:val="006375B6"/>
    <w:rsid w:val="00637824"/>
    <w:rsid w:val="006378C9"/>
    <w:rsid w:val="006401CB"/>
    <w:rsid w:val="00640BF2"/>
    <w:rsid w:val="00640E0F"/>
    <w:rsid w:val="00641284"/>
    <w:rsid w:val="00643189"/>
    <w:rsid w:val="006433C2"/>
    <w:rsid w:val="006436AF"/>
    <w:rsid w:val="006438C4"/>
    <w:rsid w:val="00643BD7"/>
    <w:rsid w:val="006448D7"/>
    <w:rsid w:val="006449C1"/>
    <w:rsid w:val="00646CB9"/>
    <w:rsid w:val="006471F4"/>
    <w:rsid w:val="00647474"/>
    <w:rsid w:val="00647D56"/>
    <w:rsid w:val="00647D78"/>
    <w:rsid w:val="006507F4"/>
    <w:rsid w:val="006512B1"/>
    <w:rsid w:val="00651921"/>
    <w:rsid w:val="006520C8"/>
    <w:rsid w:val="00652177"/>
    <w:rsid w:val="0065257E"/>
    <w:rsid w:val="00652780"/>
    <w:rsid w:val="00652B69"/>
    <w:rsid w:val="00652EA4"/>
    <w:rsid w:val="00653FE4"/>
    <w:rsid w:val="006540B2"/>
    <w:rsid w:val="0065417B"/>
    <w:rsid w:val="0065510B"/>
    <w:rsid w:val="006552EE"/>
    <w:rsid w:val="00655605"/>
    <w:rsid w:val="00655A39"/>
    <w:rsid w:val="00655B89"/>
    <w:rsid w:val="006562B2"/>
    <w:rsid w:val="006565EC"/>
    <w:rsid w:val="00657006"/>
    <w:rsid w:val="006601F0"/>
    <w:rsid w:val="0066234C"/>
    <w:rsid w:val="006628F1"/>
    <w:rsid w:val="0066295F"/>
    <w:rsid w:val="0066352E"/>
    <w:rsid w:val="0066463A"/>
    <w:rsid w:val="00665476"/>
    <w:rsid w:val="0066565F"/>
    <w:rsid w:val="006657D3"/>
    <w:rsid w:val="00665B79"/>
    <w:rsid w:val="00667089"/>
    <w:rsid w:val="0066796D"/>
    <w:rsid w:val="00667BA3"/>
    <w:rsid w:val="00670BA4"/>
    <w:rsid w:val="00671092"/>
    <w:rsid w:val="006725FF"/>
    <w:rsid w:val="00672780"/>
    <w:rsid w:val="0067287E"/>
    <w:rsid w:val="00673AF7"/>
    <w:rsid w:val="00673FF7"/>
    <w:rsid w:val="00674D62"/>
    <w:rsid w:val="00674DD3"/>
    <w:rsid w:val="0067748A"/>
    <w:rsid w:val="006816F2"/>
    <w:rsid w:val="006827B4"/>
    <w:rsid w:val="006828B9"/>
    <w:rsid w:val="006828C3"/>
    <w:rsid w:val="00682943"/>
    <w:rsid w:val="00682DBF"/>
    <w:rsid w:val="0068311E"/>
    <w:rsid w:val="00683C75"/>
    <w:rsid w:val="006844D1"/>
    <w:rsid w:val="00684A8B"/>
    <w:rsid w:val="00684AE5"/>
    <w:rsid w:val="00685FAC"/>
    <w:rsid w:val="00686628"/>
    <w:rsid w:val="006869D9"/>
    <w:rsid w:val="00686F90"/>
    <w:rsid w:val="00687164"/>
    <w:rsid w:val="0068748F"/>
    <w:rsid w:val="006902D6"/>
    <w:rsid w:val="006903D9"/>
    <w:rsid w:val="00690B19"/>
    <w:rsid w:val="0069120C"/>
    <w:rsid w:val="00691D36"/>
    <w:rsid w:val="00693332"/>
    <w:rsid w:val="00693BA9"/>
    <w:rsid w:val="00693D4A"/>
    <w:rsid w:val="00694631"/>
    <w:rsid w:val="00694712"/>
    <w:rsid w:val="00695436"/>
    <w:rsid w:val="00695817"/>
    <w:rsid w:val="00695B36"/>
    <w:rsid w:val="00695EC3"/>
    <w:rsid w:val="0069663F"/>
    <w:rsid w:val="006971BB"/>
    <w:rsid w:val="006A0194"/>
    <w:rsid w:val="006A01C9"/>
    <w:rsid w:val="006A0FBB"/>
    <w:rsid w:val="006A1066"/>
    <w:rsid w:val="006A1466"/>
    <w:rsid w:val="006A1684"/>
    <w:rsid w:val="006A2B25"/>
    <w:rsid w:val="006A344E"/>
    <w:rsid w:val="006A3450"/>
    <w:rsid w:val="006A358D"/>
    <w:rsid w:val="006A398A"/>
    <w:rsid w:val="006A39F7"/>
    <w:rsid w:val="006A3AE7"/>
    <w:rsid w:val="006A4766"/>
    <w:rsid w:val="006A5A9E"/>
    <w:rsid w:val="006A5AA2"/>
    <w:rsid w:val="006A5C07"/>
    <w:rsid w:val="006A6A10"/>
    <w:rsid w:val="006A6CC7"/>
    <w:rsid w:val="006B0960"/>
    <w:rsid w:val="006B1E2E"/>
    <w:rsid w:val="006B30F6"/>
    <w:rsid w:val="006B3169"/>
    <w:rsid w:val="006B3571"/>
    <w:rsid w:val="006B3D54"/>
    <w:rsid w:val="006B4698"/>
    <w:rsid w:val="006B52A7"/>
    <w:rsid w:val="006B57E2"/>
    <w:rsid w:val="006B580F"/>
    <w:rsid w:val="006B5C94"/>
    <w:rsid w:val="006B6C2A"/>
    <w:rsid w:val="006B6D06"/>
    <w:rsid w:val="006B6D37"/>
    <w:rsid w:val="006B71D6"/>
    <w:rsid w:val="006B76B3"/>
    <w:rsid w:val="006C04FA"/>
    <w:rsid w:val="006C0837"/>
    <w:rsid w:val="006C127B"/>
    <w:rsid w:val="006C1ADD"/>
    <w:rsid w:val="006C1B41"/>
    <w:rsid w:val="006C3262"/>
    <w:rsid w:val="006C336D"/>
    <w:rsid w:val="006C3CE3"/>
    <w:rsid w:val="006C43D2"/>
    <w:rsid w:val="006C45C8"/>
    <w:rsid w:val="006C6318"/>
    <w:rsid w:val="006C65D5"/>
    <w:rsid w:val="006C6C80"/>
    <w:rsid w:val="006C7733"/>
    <w:rsid w:val="006D0BD3"/>
    <w:rsid w:val="006D0D5A"/>
    <w:rsid w:val="006D271B"/>
    <w:rsid w:val="006D2CEB"/>
    <w:rsid w:val="006D3077"/>
    <w:rsid w:val="006D3871"/>
    <w:rsid w:val="006D3B09"/>
    <w:rsid w:val="006D42AA"/>
    <w:rsid w:val="006D4387"/>
    <w:rsid w:val="006D4F8F"/>
    <w:rsid w:val="006D598D"/>
    <w:rsid w:val="006D5A91"/>
    <w:rsid w:val="006D63FA"/>
    <w:rsid w:val="006D657F"/>
    <w:rsid w:val="006D6B3C"/>
    <w:rsid w:val="006D77A6"/>
    <w:rsid w:val="006D7860"/>
    <w:rsid w:val="006D7ADD"/>
    <w:rsid w:val="006D7F99"/>
    <w:rsid w:val="006E05E7"/>
    <w:rsid w:val="006E067D"/>
    <w:rsid w:val="006E0C7E"/>
    <w:rsid w:val="006E1287"/>
    <w:rsid w:val="006E139D"/>
    <w:rsid w:val="006E2B3C"/>
    <w:rsid w:val="006E41BB"/>
    <w:rsid w:val="006E4F9B"/>
    <w:rsid w:val="006E5225"/>
    <w:rsid w:val="006E5F90"/>
    <w:rsid w:val="006E61FA"/>
    <w:rsid w:val="006E6466"/>
    <w:rsid w:val="006E6AAA"/>
    <w:rsid w:val="006E74CE"/>
    <w:rsid w:val="006F038C"/>
    <w:rsid w:val="006F0464"/>
    <w:rsid w:val="006F14F6"/>
    <w:rsid w:val="006F2099"/>
    <w:rsid w:val="006F2408"/>
    <w:rsid w:val="006F3806"/>
    <w:rsid w:val="006F4189"/>
    <w:rsid w:val="006F4704"/>
    <w:rsid w:val="006F4B57"/>
    <w:rsid w:val="006F57FE"/>
    <w:rsid w:val="006F5A02"/>
    <w:rsid w:val="006F5D99"/>
    <w:rsid w:val="006F6B99"/>
    <w:rsid w:val="006F722C"/>
    <w:rsid w:val="006F7D97"/>
    <w:rsid w:val="00700617"/>
    <w:rsid w:val="00701618"/>
    <w:rsid w:val="007022C0"/>
    <w:rsid w:val="00702454"/>
    <w:rsid w:val="0070247A"/>
    <w:rsid w:val="00702F1A"/>
    <w:rsid w:val="0070328C"/>
    <w:rsid w:val="007037B6"/>
    <w:rsid w:val="00703A1F"/>
    <w:rsid w:val="00703B41"/>
    <w:rsid w:val="00703E18"/>
    <w:rsid w:val="00704113"/>
    <w:rsid w:val="00705125"/>
    <w:rsid w:val="00705B95"/>
    <w:rsid w:val="00705C90"/>
    <w:rsid w:val="007063EB"/>
    <w:rsid w:val="00706602"/>
    <w:rsid w:val="007069A1"/>
    <w:rsid w:val="00706E0B"/>
    <w:rsid w:val="007071E3"/>
    <w:rsid w:val="00707300"/>
    <w:rsid w:val="00707458"/>
    <w:rsid w:val="00707935"/>
    <w:rsid w:val="00711B45"/>
    <w:rsid w:val="007120D6"/>
    <w:rsid w:val="00712616"/>
    <w:rsid w:val="0071390F"/>
    <w:rsid w:val="00714374"/>
    <w:rsid w:val="0071491F"/>
    <w:rsid w:val="0071599D"/>
    <w:rsid w:val="00715ADB"/>
    <w:rsid w:val="00716291"/>
    <w:rsid w:val="007172D2"/>
    <w:rsid w:val="007173E7"/>
    <w:rsid w:val="007204CF"/>
    <w:rsid w:val="00720707"/>
    <w:rsid w:val="00720951"/>
    <w:rsid w:val="00720A47"/>
    <w:rsid w:val="0072136A"/>
    <w:rsid w:val="007218C1"/>
    <w:rsid w:val="00721C7E"/>
    <w:rsid w:val="00722281"/>
    <w:rsid w:val="007227A3"/>
    <w:rsid w:val="00722CAC"/>
    <w:rsid w:val="00722E16"/>
    <w:rsid w:val="0072330E"/>
    <w:rsid w:val="007244E5"/>
    <w:rsid w:val="0072491D"/>
    <w:rsid w:val="00724D65"/>
    <w:rsid w:val="00725154"/>
    <w:rsid w:val="007251FF"/>
    <w:rsid w:val="0072524B"/>
    <w:rsid w:val="00725A44"/>
    <w:rsid w:val="00725D45"/>
    <w:rsid w:val="00727DD7"/>
    <w:rsid w:val="00727F20"/>
    <w:rsid w:val="007300C3"/>
    <w:rsid w:val="00730B4A"/>
    <w:rsid w:val="00731036"/>
    <w:rsid w:val="00731756"/>
    <w:rsid w:val="007317ED"/>
    <w:rsid w:val="00731F1F"/>
    <w:rsid w:val="00732650"/>
    <w:rsid w:val="0073298A"/>
    <w:rsid w:val="00732C78"/>
    <w:rsid w:val="007338C1"/>
    <w:rsid w:val="00733988"/>
    <w:rsid w:val="0073449C"/>
    <w:rsid w:val="00734B72"/>
    <w:rsid w:val="00734BF8"/>
    <w:rsid w:val="00735370"/>
    <w:rsid w:val="00735A6E"/>
    <w:rsid w:val="0073607D"/>
    <w:rsid w:val="007364ED"/>
    <w:rsid w:val="00736915"/>
    <w:rsid w:val="00736ECC"/>
    <w:rsid w:val="007409E0"/>
    <w:rsid w:val="00740B25"/>
    <w:rsid w:val="007414C8"/>
    <w:rsid w:val="00741877"/>
    <w:rsid w:val="00741A39"/>
    <w:rsid w:val="0074266D"/>
    <w:rsid w:val="00742CCE"/>
    <w:rsid w:val="00742E34"/>
    <w:rsid w:val="00742E77"/>
    <w:rsid w:val="00742FDB"/>
    <w:rsid w:val="0074352B"/>
    <w:rsid w:val="00743C01"/>
    <w:rsid w:val="00744274"/>
    <w:rsid w:val="00744723"/>
    <w:rsid w:val="0074481A"/>
    <w:rsid w:val="00744EF4"/>
    <w:rsid w:val="007452A5"/>
    <w:rsid w:val="00745745"/>
    <w:rsid w:val="00745874"/>
    <w:rsid w:val="00745BB2"/>
    <w:rsid w:val="007465DC"/>
    <w:rsid w:val="00746E28"/>
    <w:rsid w:val="00747710"/>
    <w:rsid w:val="0074794D"/>
    <w:rsid w:val="00747A1B"/>
    <w:rsid w:val="00747A2C"/>
    <w:rsid w:val="00750002"/>
    <w:rsid w:val="007502A7"/>
    <w:rsid w:val="00750816"/>
    <w:rsid w:val="00750819"/>
    <w:rsid w:val="00750826"/>
    <w:rsid w:val="00750883"/>
    <w:rsid w:val="00751203"/>
    <w:rsid w:val="00751218"/>
    <w:rsid w:val="0075188B"/>
    <w:rsid w:val="00752D27"/>
    <w:rsid w:val="00752E94"/>
    <w:rsid w:val="0075306C"/>
    <w:rsid w:val="00753214"/>
    <w:rsid w:val="00753B0E"/>
    <w:rsid w:val="00753F11"/>
    <w:rsid w:val="00754F96"/>
    <w:rsid w:val="0075586B"/>
    <w:rsid w:val="007559C9"/>
    <w:rsid w:val="00755E2C"/>
    <w:rsid w:val="00756563"/>
    <w:rsid w:val="007565F5"/>
    <w:rsid w:val="00757186"/>
    <w:rsid w:val="00757B7B"/>
    <w:rsid w:val="00757CC6"/>
    <w:rsid w:val="00757CF9"/>
    <w:rsid w:val="00760B7E"/>
    <w:rsid w:val="00760D38"/>
    <w:rsid w:val="007616CA"/>
    <w:rsid w:val="00761E6D"/>
    <w:rsid w:val="00762957"/>
    <w:rsid w:val="007629B0"/>
    <w:rsid w:val="00763667"/>
    <w:rsid w:val="00763E0C"/>
    <w:rsid w:val="007640F6"/>
    <w:rsid w:val="00765370"/>
    <w:rsid w:val="00765739"/>
    <w:rsid w:val="00766BFB"/>
    <w:rsid w:val="00766DEC"/>
    <w:rsid w:val="00767B63"/>
    <w:rsid w:val="00767FA3"/>
    <w:rsid w:val="00770878"/>
    <w:rsid w:val="00770B16"/>
    <w:rsid w:val="00770E22"/>
    <w:rsid w:val="00771988"/>
    <w:rsid w:val="007720AA"/>
    <w:rsid w:val="0077263B"/>
    <w:rsid w:val="007729F2"/>
    <w:rsid w:val="00772B2A"/>
    <w:rsid w:val="00773480"/>
    <w:rsid w:val="0077401E"/>
    <w:rsid w:val="00774BFA"/>
    <w:rsid w:val="0077537B"/>
    <w:rsid w:val="007756B4"/>
    <w:rsid w:val="00775A9D"/>
    <w:rsid w:val="00775E06"/>
    <w:rsid w:val="0077618A"/>
    <w:rsid w:val="00776350"/>
    <w:rsid w:val="00776970"/>
    <w:rsid w:val="00777321"/>
    <w:rsid w:val="00777371"/>
    <w:rsid w:val="00780249"/>
    <w:rsid w:val="007804AF"/>
    <w:rsid w:val="007808EB"/>
    <w:rsid w:val="00780E89"/>
    <w:rsid w:val="00781810"/>
    <w:rsid w:val="00781CAB"/>
    <w:rsid w:val="00782951"/>
    <w:rsid w:val="00782D2F"/>
    <w:rsid w:val="007831CD"/>
    <w:rsid w:val="0078327D"/>
    <w:rsid w:val="0078407E"/>
    <w:rsid w:val="0078409E"/>
    <w:rsid w:val="007846C1"/>
    <w:rsid w:val="007849AE"/>
    <w:rsid w:val="00784A08"/>
    <w:rsid w:val="00784E2E"/>
    <w:rsid w:val="00787B4B"/>
    <w:rsid w:val="0079009C"/>
    <w:rsid w:val="00790495"/>
    <w:rsid w:val="00790AA2"/>
    <w:rsid w:val="007923CD"/>
    <w:rsid w:val="00792F5C"/>
    <w:rsid w:val="00793120"/>
    <w:rsid w:val="00793CC3"/>
    <w:rsid w:val="00793E4B"/>
    <w:rsid w:val="00794365"/>
    <w:rsid w:val="007947BB"/>
    <w:rsid w:val="0079510A"/>
    <w:rsid w:val="00795863"/>
    <w:rsid w:val="007974B6"/>
    <w:rsid w:val="007A0071"/>
    <w:rsid w:val="007A0AD3"/>
    <w:rsid w:val="007A182C"/>
    <w:rsid w:val="007A201C"/>
    <w:rsid w:val="007A2A43"/>
    <w:rsid w:val="007A2E23"/>
    <w:rsid w:val="007A32DC"/>
    <w:rsid w:val="007A3A3A"/>
    <w:rsid w:val="007A3E59"/>
    <w:rsid w:val="007A46E8"/>
    <w:rsid w:val="007A497C"/>
    <w:rsid w:val="007A5343"/>
    <w:rsid w:val="007A5E30"/>
    <w:rsid w:val="007A73EF"/>
    <w:rsid w:val="007B1938"/>
    <w:rsid w:val="007B1C9B"/>
    <w:rsid w:val="007B3E9A"/>
    <w:rsid w:val="007B499C"/>
    <w:rsid w:val="007B4BFB"/>
    <w:rsid w:val="007B56EA"/>
    <w:rsid w:val="007B57C5"/>
    <w:rsid w:val="007B5963"/>
    <w:rsid w:val="007B6E12"/>
    <w:rsid w:val="007B7F69"/>
    <w:rsid w:val="007C057D"/>
    <w:rsid w:val="007C1D3C"/>
    <w:rsid w:val="007C37A3"/>
    <w:rsid w:val="007C3803"/>
    <w:rsid w:val="007C3BB1"/>
    <w:rsid w:val="007C4351"/>
    <w:rsid w:val="007C476A"/>
    <w:rsid w:val="007C521B"/>
    <w:rsid w:val="007C5251"/>
    <w:rsid w:val="007C58E0"/>
    <w:rsid w:val="007C5D2F"/>
    <w:rsid w:val="007C5F8D"/>
    <w:rsid w:val="007C68BC"/>
    <w:rsid w:val="007C6EFE"/>
    <w:rsid w:val="007C71E8"/>
    <w:rsid w:val="007C77A1"/>
    <w:rsid w:val="007C7BE1"/>
    <w:rsid w:val="007D0957"/>
    <w:rsid w:val="007D09B0"/>
    <w:rsid w:val="007D0E9F"/>
    <w:rsid w:val="007D0F1E"/>
    <w:rsid w:val="007D1F16"/>
    <w:rsid w:val="007D254A"/>
    <w:rsid w:val="007D2CCF"/>
    <w:rsid w:val="007D333F"/>
    <w:rsid w:val="007D38B8"/>
    <w:rsid w:val="007D3AF4"/>
    <w:rsid w:val="007D3F73"/>
    <w:rsid w:val="007D443B"/>
    <w:rsid w:val="007D492A"/>
    <w:rsid w:val="007D4B77"/>
    <w:rsid w:val="007D516D"/>
    <w:rsid w:val="007D541E"/>
    <w:rsid w:val="007D6012"/>
    <w:rsid w:val="007D611B"/>
    <w:rsid w:val="007D66A8"/>
    <w:rsid w:val="007D6BD0"/>
    <w:rsid w:val="007D767C"/>
    <w:rsid w:val="007D77CB"/>
    <w:rsid w:val="007D7944"/>
    <w:rsid w:val="007D7A0E"/>
    <w:rsid w:val="007D7BE7"/>
    <w:rsid w:val="007E0C31"/>
    <w:rsid w:val="007E205F"/>
    <w:rsid w:val="007E283C"/>
    <w:rsid w:val="007E3576"/>
    <w:rsid w:val="007E3BD6"/>
    <w:rsid w:val="007E438C"/>
    <w:rsid w:val="007E4455"/>
    <w:rsid w:val="007E570F"/>
    <w:rsid w:val="007E5BD1"/>
    <w:rsid w:val="007E6545"/>
    <w:rsid w:val="007E6781"/>
    <w:rsid w:val="007E6FA0"/>
    <w:rsid w:val="007E7249"/>
    <w:rsid w:val="007E72FB"/>
    <w:rsid w:val="007E76FE"/>
    <w:rsid w:val="007E798A"/>
    <w:rsid w:val="007E7B3F"/>
    <w:rsid w:val="007E7C36"/>
    <w:rsid w:val="007E7E58"/>
    <w:rsid w:val="007F1CA6"/>
    <w:rsid w:val="007F1E8A"/>
    <w:rsid w:val="007F1F8B"/>
    <w:rsid w:val="007F2D35"/>
    <w:rsid w:val="007F31F5"/>
    <w:rsid w:val="007F3252"/>
    <w:rsid w:val="007F4D0E"/>
    <w:rsid w:val="007F4F76"/>
    <w:rsid w:val="007F5540"/>
    <w:rsid w:val="007F55E1"/>
    <w:rsid w:val="007F58C8"/>
    <w:rsid w:val="007F58DA"/>
    <w:rsid w:val="007F7F42"/>
    <w:rsid w:val="00800133"/>
    <w:rsid w:val="008005C8"/>
    <w:rsid w:val="0080080A"/>
    <w:rsid w:val="00800C4F"/>
    <w:rsid w:val="0080111D"/>
    <w:rsid w:val="0080132C"/>
    <w:rsid w:val="008022E1"/>
    <w:rsid w:val="00803553"/>
    <w:rsid w:val="00803BF7"/>
    <w:rsid w:val="00803DD0"/>
    <w:rsid w:val="0080474F"/>
    <w:rsid w:val="008048AB"/>
    <w:rsid w:val="00804E7B"/>
    <w:rsid w:val="008051D7"/>
    <w:rsid w:val="008056A3"/>
    <w:rsid w:val="00806052"/>
    <w:rsid w:val="00807605"/>
    <w:rsid w:val="00807B96"/>
    <w:rsid w:val="0081025B"/>
    <w:rsid w:val="00810B62"/>
    <w:rsid w:val="00810DC9"/>
    <w:rsid w:val="00810E83"/>
    <w:rsid w:val="008110B3"/>
    <w:rsid w:val="0081167A"/>
    <w:rsid w:val="00811AD3"/>
    <w:rsid w:val="00811CAC"/>
    <w:rsid w:val="00813473"/>
    <w:rsid w:val="00813D11"/>
    <w:rsid w:val="00813EA5"/>
    <w:rsid w:val="00814DB4"/>
    <w:rsid w:val="00814E14"/>
    <w:rsid w:val="00814F18"/>
    <w:rsid w:val="00815000"/>
    <w:rsid w:val="00815D35"/>
    <w:rsid w:val="00815E5E"/>
    <w:rsid w:val="008162FC"/>
    <w:rsid w:val="00816ABF"/>
    <w:rsid w:val="00817A46"/>
    <w:rsid w:val="008213F1"/>
    <w:rsid w:val="0082171F"/>
    <w:rsid w:val="008217C5"/>
    <w:rsid w:val="00821E18"/>
    <w:rsid w:val="00822648"/>
    <w:rsid w:val="0082315C"/>
    <w:rsid w:val="008234D8"/>
    <w:rsid w:val="00824344"/>
    <w:rsid w:val="008243A3"/>
    <w:rsid w:val="00824894"/>
    <w:rsid w:val="00824D19"/>
    <w:rsid w:val="008252CC"/>
    <w:rsid w:val="008255FE"/>
    <w:rsid w:val="0082581D"/>
    <w:rsid w:val="0082602E"/>
    <w:rsid w:val="0082615F"/>
    <w:rsid w:val="008267E7"/>
    <w:rsid w:val="00827C1C"/>
    <w:rsid w:val="00830FCC"/>
    <w:rsid w:val="008312D6"/>
    <w:rsid w:val="00831DEA"/>
    <w:rsid w:val="00832163"/>
    <w:rsid w:val="008327EB"/>
    <w:rsid w:val="008331AB"/>
    <w:rsid w:val="0083461D"/>
    <w:rsid w:val="00834835"/>
    <w:rsid w:val="00834938"/>
    <w:rsid w:val="00834C1E"/>
    <w:rsid w:val="00834E68"/>
    <w:rsid w:val="00834F5F"/>
    <w:rsid w:val="008357C6"/>
    <w:rsid w:val="00835E68"/>
    <w:rsid w:val="00835F78"/>
    <w:rsid w:val="0083751C"/>
    <w:rsid w:val="008378FC"/>
    <w:rsid w:val="00837ED8"/>
    <w:rsid w:val="00840D42"/>
    <w:rsid w:val="00840DD7"/>
    <w:rsid w:val="00841191"/>
    <w:rsid w:val="008412EA"/>
    <w:rsid w:val="0084154A"/>
    <w:rsid w:val="00842762"/>
    <w:rsid w:val="00842D92"/>
    <w:rsid w:val="0084332D"/>
    <w:rsid w:val="00843896"/>
    <w:rsid w:val="0084476E"/>
    <w:rsid w:val="00845A61"/>
    <w:rsid w:val="00845E91"/>
    <w:rsid w:val="0084601D"/>
    <w:rsid w:val="008467D3"/>
    <w:rsid w:val="00847049"/>
    <w:rsid w:val="008470D2"/>
    <w:rsid w:val="00850734"/>
    <w:rsid w:val="00850939"/>
    <w:rsid w:val="0085158E"/>
    <w:rsid w:val="00852118"/>
    <w:rsid w:val="00852969"/>
    <w:rsid w:val="00852A4E"/>
    <w:rsid w:val="00853279"/>
    <w:rsid w:val="00853720"/>
    <w:rsid w:val="00853E37"/>
    <w:rsid w:val="008545D7"/>
    <w:rsid w:val="008548A5"/>
    <w:rsid w:val="00854DEB"/>
    <w:rsid w:val="008574D9"/>
    <w:rsid w:val="0085769D"/>
    <w:rsid w:val="00861748"/>
    <w:rsid w:val="00861DD5"/>
    <w:rsid w:val="008620D9"/>
    <w:rsid w:val="00862F54"/>
    <w:rsid w:val="00863919"/>
    <w:rsid w:val="008640E9"/>
    <w:rsid w:val="00864B2A"/>
    <w:rsid w:val="00865F14"/>
    <w:rsid w:val="00865FC1"/>
    <w:rsid w:val="008666F6"/>
    <w:rsid w:val="008675CD"/>
    <w:rsid w:val="008679D8"/>
    <w:rsid w:val="00870312"/>
    <w:rsid w:val="00870492"/>
    <w:rsid w:val="008707AC"/>
    <w:rsid w:val="008721D1"/>
    <w:rsid w:val="00872E28"/>
    <w:rsid w:val="00872FCF"/>
    <w:rsid w:val="00873B5E"/>
    <w:rsid w:val="00873E07"/>
    <w:rsid w:val="00873E74"/>
    <w:rsid w:val="0087627C"/>
    <w:rsid w:val="00876391"/>
    <w:rsid w:val="00876D37"/>
    <w:rsid w:val="008773AF"/>
    <w:rsid w:val="0087758D"/>
    <w:rsid w:val="00877A7E"/>
    <w:rsid w:val="00880AA0"/>
    <w:rsid w:val="00880C94"/>
    <w:rsid w:val="00880E23"/>
    <w:rsid w:val="008810B3"/>
    <w:rsid w:val="0088151C"/>
    <w:rsid w:val="00881543"/>
    <w:rsid w:val="008817D9"/>
    <w:rsid w:val="008819A5"/>
    <w:rsid w:val="00882EDF"/>
    <w:rsid w:val="00883112"/>
    <w:rsid w:val="0088344B"/>
    <w:rsid w:val="00883789"/>
    <w:rsid w:val="008837CA"/>
    <w:rsid w:val="00883A84"/>
    <w:rsid w:val="00883D8A"/>
    <w:rsid w:val="0088433D"/>
    <w:rsid w:val="0088491B"/>
    <w:rsid w:val="008850B3"/>
    <w:rsid w:val="008857EC"/>
    <w:rsid w:val="00885F43"/>
    <w:rsid w:val="00886913"/>
    <w:rsid w:val="00886F39"/>
    <w:rsid w:val="008878C5"/>
    <w:rsid w:val="00887AEB"/>
    <w:rsid w:val="00890E5A"/>
    <w:rsid w:val="008913C1"/>
    <w:rsid w:val="00891566"/>
    <w:rsid w:val="00891B37"/>
    <w:rsid w:val="00891E54"/>
    <w:rsid w:val="0089221B"/>
    <w:rsid w:val="00892EFD"/>
    <w:rsid w:val="00893270"/>
    <w:rsid w:val="00893C50"/>
    <w:rsid w:val="00893D16"/>
    <w:rsid w:val="00893E77"/>
    <w:rsid w:val="00893F70"/>
    <w:rsid w:val="008943C6"/>
    <w:rsid w:val="0089537A"/>
    <w:rsid w:val="00895B68"/>
    <w:rsid w:val="0089653B"/>
    <w:rsid w:val="008968A8"/>
    <w:rsid w:val="0089699F"/>
    <w:rsid w:val="008971FF"/>
    <w:rsid w:val="0089772E"/>
    <w:rsid w:val="0089776F"/>
    <w:rsid w:val="00897DDA"/>
    <w:rsid w:val="00897FE8"/>
    <w:rsid w:val="008A03C4"/>
    <w:rsid w:val="008A0552"/>
    <w:rsid w:val="008A07BB"/>
    <w:rsid w:val="008A1336"/>
    <w:rsid w:val="008A1590"/>
    <w:rsid w:val="008A2631"/>
    <w:rsid w:val="008A26F4"/>
    <w:rsid w:val="008A2D78"/>
    <w:rsid w:val="008A33B8"/>
    <w:rsid w:val="008A376A"/>
    <w:rsid w:val="008A37BE"/>
    <w:rsid w:val="008A39E3"/>
    <w:rsid w:val="008A3A25"/>
    <w:rsid w:val="008A49B6"/>
    <w:rsid w:val="008A502C"/>
    <w:rsid w:val="008A67C7"/>
    <w:rsid w:val="008A7317"/>
    <w:rsid w:val="008B054D"/>
    <w:rsid w:val="008B0785"/>
    <w:rsid w:val="008B10CA"/>
    <w:rsid w:val="008B10D9"/>
    <w:rsid w:val="008B1ED5"/>
    <w:rsid w:val="008B2019"/>
    <w:rsid w:val="008B2B66"/>
    <w:rsid w:val="008B33A6"/>
    <w:rsid w:val="008B3F12"/>
    <w:rsid w:val="008B3F1B"/>
    <w:rsid w:val="008B4B04"/>
    <w:rsid w:val="008B4B63"/>
    <w:rsid w:val="008B4EA0"/>
    <w:rsid w:val="008B63D9"/>
    <w:rsid w:val="008B6B47"/>
    <w:rsid w:val="008B707A"/>
    <w:rsid w:val="008B74C6"/>
    <w:rsid w:val="008B7825"/>
    <w:rsid w:val="008C0B58"/>
    <w:rsid w:val="008C28F9"/>
    <w:rsid w:val="008C2AF7"/>
    <w:rsid w:val="008C3813"/>
    <w:rsid w:val="008C383D"/>
    <w:rsid w:val="008C3C68"/>
    <w:rsid w:val="008C3D49"/>
    <w:rsid w:val="008C5040"/>
    <w:rsid w:val="008C59EE"/>
    <w:rsid w:val="008C5AC6"/>
    <w:rsid w:val="008C6077"/>
    <w:rsid w:val="008C73FF"/>
    <w:rsid w:val="008C75F2"/>
    <w:rsid w:val="008C7978"/>
    <w:rsid w:val="008C7BFF"/>
    <w:rsid w:val="008D0075"/>
    <w:rsid w:val="008D072F"/>
    <w:rsid w:val="008D0BA0"/>
    <w:rsid w:val="008D18F7"/>
    <w:rsid w:val="008D1EAF"/>
    <w:rsid w:val="008D2072"/>
    <w:rsid w:val="008D223E"/>
    <w:rsid w:val="008D25B6"/>
    <w:rsid w:val="008D3198"/>
    <w:rsid w:val="008D4563"/>
    <w:rsid w:val="008D5754"/>
    <w:rsid w:val="008D57B4"/>
    <w:rsid w:val="008D5D64"/>
    <w:rsid w:val="008D6077"/>
    <w:rsid w:val="008D66B9"/>
    <w:rsid w:val="008D6AB7"/>
    <w:rsid w:val="008D6EED"/>
    <w:rsid w:val="008D7649"/>
    <w:rsid w:val="008D7BC9"/>
    <w:rsid w:val="008D7D82"/>
    <w:rsid w:val="008D7DE2"/>
    <w:rsid w:val="008E036A"/>
    <w:rsid w:val="008E0F48"/>
    <w:rsid w:val="008E14EE"/>
    <w:rsid w:val="008E1516"/>
    <w:rsid w:val="008E19AA"/>
    <w:rsid w:val="008E2EB5"/>
    <w:rsid w:val="008E3104"/>
    <w:rsid w:val="008E3C92"/>
    <w:rsid w:val="008E3EB1"/>
    <w:rsid w:val="008E3EF9"/>
    <w:rsid w:val="008E4119"/>
    <w:rsid w:val="008E47B1"/>
    <w:rsid w:val="008E5353"/>
    <w:rsid w:val="008E5AF4"/>
    <w:rsid w:val="008E5C1C"/>
    <w:rsid w:val="008E5FC1"/>
    <w:rsid w:val="008E63EC"/>
    <w:rsid w:val="008E6B66"/>
    <w:rsid w:val="008E6E9B"/>
    <w:rsid w:val="008E7131"/>
    <w:rsid w:val="008E72AE"/>
    <w:rsid w:val="008E75FC"/>
    <w:rsid w:val="008E790D"/>
    <w:rsid w:val="008F042A"/>
    <w:rsid w:val="008F0433"/>
    <w:rsid w:val="008F0C02"/>
    <w:rsid w:val="008F18E5"/>
    <w:rsid w:val="008F1BEC"/>
    <w:rsid w:val="008F2B9A"/>
    <w:rsid w:val="008F2BB6"/>
    <w:rsid w:val="008F2CD7"/>
    <w:rsid w:val="008F2FD2"/>
    <w:rsid w:val="008F37ED"/>
    <w:rsid w:val="008F41B4"/>
    <w:rsid w:val="008F4E28"/>
    <w:rsid w:val="008F50C0"/>
    <w:rsid w:val="008F52A3"/>
    <w:rsid w:val="008F5698"/>
    <w:rsid w:val="008F598A"/>
    <w:rsid w:val="008F5CF9"/>
    <w:rsid w:val="008F5D81"/>
    <w:rsid w:val="008F6358"/>
    <w:rsid w:val="008F7445"/>
    <w:rsid w:val="0090037B"/>
    <w:rsid w:val="00900766"/>
    <w:rsid w:val="009014E6"/>
    <w:rsid w:val="009015BF"/>
    <w:rsid w:val="009022C8"/>
    <w:rsid w:val="009028C7"/>
    <w:rsid w:val="00903017"/>
    <w:rsid w:val="009030A8"/>
    <w:rsid w:val="009045D9"/>
    <w:rsid w:val="00904A96"/>
    <w:rsid w:val="00905731"/>
    <w:rsid w:val="00905CD3"/>
    <w:rsid w:val="00906273"/>
    <w:rsid w:val="00906F57"/>
    <w:rsid w:val="00907287"/>
    <w:rsid w:val="00910DA9"/>
    <w:rsid w:val="009116CD"/>
    <w:rsid w:val="00911859"/>
    <w:rsid w:val="009120A0"/>
    <w:rsid w:val="00912DE4"/>
    <w:rsid w:val="00913049"/>
    <w:rsid w:val="0091328C"/>
    <w:rsid w:val="009134D0"/>
    <w:rsid w:val="009136EB"/>
    <w:rsid w:val="0091410C"/>
    <w:rsid w:val="009141E6"/>
    <w:rsid w:val="00914382"/>
    <w:rsid w:val="009151FF"/>
    <w:rsid w:val="0091559E"/>
    <w:rsid w:val="00915E9C"/>
    <w:rsid w:val="0091615E"/>
    <w:rsid w:val="00916502"/>
    <w:rsid w:val="00916D23"/>
    <w:rsid w:val="00916D98"/>
    <w:rsid w:val="009171E9"/>
    <w:rsid w:val="00917A51"/>
    <w:rsid w:val="00920653"/>
    <w:rsid w:val="00920C10"/>
    <w:rsid w:val="0092148B"/>
    <w:rsid w:val="00921C72"/>
    <w:rsid w:val="0092223A"/>
    <w:rsid w:val="009225AD"/>
    <w:rsid w:val="00922924"/>
    <w:rsid w:val="00922D68"/>
    <w:rsid w:val="00923C53"/>
    <w:rsid w:val="00924183"/>
    <w:rsid w:val="00924691"/>
    <w:rsid w:val="0092510D"/>
    <w:rsid w:val="009254F2"/>
    <w:rsid w:val="0092668B"/>
    <w:rsid w:val="00926B00"/>
    <w:rsid w:val="00926D85"/>
    <w:rsid w:val="0092726E"/>
    <w:rsid w:val="00927419"/>
    <w:rsid w:val="00927523"/>
    <w:rsid w:val="009303B8"/>
    <w:rsid w:val="00930ACB"/>
    <w:rsid w:val="009312EB"/>
    <w:rsid w:val="0093164F"/>
    <w:rsid w:val="009319E6"/>
    <w:rsid w:val="00931C56"/>
    <w:rsid w:val="00932229"/>
    <w:rsid w:val="0093236C"/>
    <w:rsid w:val="00932B18"/>
    <w:rsid w:val="00932E05"/>
    <w:rsid w:val="00932FFB"/>
    <w:rsid w:val="009336D0"/>
    <w:rsid w:val="00933728"/>
    <w:rsid w:val="0093382D"/>
    <w:rsid w:val="00933A2A"/>
    <w:rsid w:val="009344F6"/>
    <w:rsid w:val="00934522"/>
    <w:rsid w:val="00934E9F"/>
    <w:rsid w:val="009359D9"/>
    <w:rsid w:val="0093604D"/>
    <w:rsid w:val="0093710E"/>
    <w:rsid w:val="00937CA2"/>
    <w:rsid w:val="00940190"/>
    <w:rsid w:val="00940EAF"/>
    <w:rsid w:val="0094168E"/>
    <w:rsid w:val="00941A10"/>
    <w:rsid w:val="00941A51"/>
    <w:rsid w:val="00941D86"/>
    <w:rsid w:val="00941E85"/>
    <w:rsid w:val="00942234"/>
    <w:rsid w:val="00942B7B"/>
    <w:rsid w:val="00943786"/>
    <w:rsid w:val="009444A0"/>
    <w:rsid w:val="0094452C"/>
    <w:rsid w:val="009456CD"/>
    <w:rsid w:val="00945C6C"/>
    <w:rsid w:val="00945E00"/>
    <w:rsid w:val="00947A3A"/>
    <w:rsid w:val="00947BD7"/>
    <w:rsid w:val="00950783"/>
    <w:rsid w:val="0095087B"/>
    <w:rsid w:val="009509E1"/>
    <w:rsid w:val="009511AD"/>
    <w:rsid w:val="00951ABF"/>
    <w:rsid w:val="00951EA6"/>
    <w:rsid w:val="009521B7"/>
    <w:rsid w:val="009522D1"/>
    <w:rsid w:val="00952EAC"/>
    <w:rsid w:val="00952F0D"/>
    <w:rsid w:val="00952F1C"/>
    <w:rsid w:val="00953057"/>
    <w:rsid w:val="00953162"/>
    <w:rsid w:val="009531B1"/>
    <w:rsid w:val="00953733"/>
    <w:rsid w:val="00953B33"/>
    <w:rsid w:val="00953E5E"/>
    <w:rsid w:val="00954036"/>
    <w:rsid w:val="0095432E"/>
    <w:rsid w:val="00955A08"/>
    <w:rsid w:val="00955C03"/>
    <w:rsid w:val="00956836"/>
    <w:rsid w:val="0095689A"/>
    <w:rsid w:val="009568AE"/>
    <w:rsid w:val="009569F2"/>
    <w:rsid w:val="00956AA7"/>
    <w:rsid w:val="0095773F"/>
    <w:rsid w:val="00957D20"/>
    <w:rsid w:val="009601E6"/>
    <w:rsid w:val="009603AF"/>
    <w:rsid w:val="009604AC"/>
    <w:rsid w:val="009609A9"/>
    <w:rsid w:val="00960D79"/>
    <w:rsid w:val="00960F45"/>
    <w:rsid w:val="00961094"/>
    <w:rsid w:val="00961630"/>
    <w:rsid w:val="0096213B"/>
    <w:rsid w:val="009629D6"/>
    <w:rsid w:val="00962E0E"/>
    <w:rsid w:val="009635D5"/>
    <w:rsid w:val="009639D7"/>
    <w:rsid w:val="00964692"/>
    <w:rsid w:val="00964831"/>
    <w:rsid w:val="00964CD9"/>
    <w:rsid w:val="0096544B"/>
    <w:rsid w:val="00965896"/>
    <w:rsid w:val="00966A0A"/>
    <w:rsid w:val="00966AA0"/>
    <w:rsid w:val="00966C06"/>
    <w:rsid w:val="00966E65"/>
    <w:rsid w:val="0096729F"/>
    <w:rsid w:val="009672C6"/>
    <w:rsid w:val="00967DB8"/>
    <w:rsid w:val="00967E93"/>
    <w:rsid w:val="00970484"/>
    <w:rsid w:val="0097071C"/>
    <w:rsid w:val="00970C2A"/>
    <w:rsid w:val="009725F3"/>
    <w:rsid w:val="009731CB"/>
    <w:rsid w:val="009736A2"/>
    <w:rsid w:val="00975161"/>
    <w:rsid w:val="009758E0"/>
    <w:rsid w:val="0097632C"/>
    <w:rsid w:val="009764AA"/>
    <w:rsid w:val="00976EDA"/>
    <w:rsid w:val="0097773B"/>
    <w:rsid w:val="009777ED"/>
    <w:rsid w:val="00980AAA"/>
    <w:rsid w:val="00980F37"/>
    <w:rsid w:val="00980FB2"/>
    <w:rsid w:val="00981E33"/>
    <w:rsid w:val="00982417"/>
    <w:rsid w:val="009824D5"/>
    <w:rsid w:val="009827C3"/>
    <w:rsid w:val="00982B01"/>
    <w:rsid w:val="0098342E"/>
    <w:rsid w:val="00983A5D"/>
    <w:rsid w:val="0098444D"/>
    <w:rsid w:val="009851A1"/>
    <w:rsid w:val="0098557C"/>
    <w:rsid w:val="00986354"/>
    <w:rsid w:val="00986837"/>
    <w:rsid w:val="009869AF"/>
    <w:rsid w:val="0098780C"/>
    <w:rsid w:val="00990211"/>
    <w:rsid w:val="0099092A"/>
    <w:rsid w:val="00990E13"/>
    <w:rsid w:val="00991F5D"/>
    <w:rsid w:val="00992979"/>
    <w:rsid w:val="00992EA3"/>
    <w:rsid w:val="00993C31"/>
    <w:rsid w:val="00993E99"/>
    <w:rsid w:val="00994389"/>
    <w:rsid w:val="009948D7"/>
    <w:rsid w:val="009955FD"/>
    <w:rsid w:val="00995DD3"/>
    <w:rsid w:val="00995FEC"/>
    <w:rsid w:val="009979E4"/>
    <w:rsid w:val="009A0EB0"/>
    <w:rsid w:val="009A1E12"/>
    <w:rsid w:val="009A2251"/>
    <w:rsid w:val="009A2D40"/>
    <w:rsid w:val="009A3623"/>
    <w:rsid w:val="009A36F2"/>
    <w:rsid w:val="009A3F53"/>
    <w:rsid w:val="009A4770"/>
    <w:rsid w:val="009A4EE1"/>
    <w:rsid w:val="009A55AE"/>
    <w:rsid w:val="009A5612"/>
    <w:rsid w:val="009A59F4"/>
    <w:rsid w:val="009A617C"/>
    <w:rsid w:val="009A63FC"/>
    <w:rsid w:val="009A6C08"/>
    <w:rsid w:val="009A6C15"/>
    <w:rsid w:val="009A6F1C"/>
    <w:rsid w:val="009A771A"/>
    <w:rsid w:val="009B03AC"/>
    <w:rsid w:val="009B29F5"/>
    <w:rsid w:val="009B2BEB"/>
    <w:rsid w:val="009B2E94"/>
    <w:rsid w:val="009B3167"/>
    <w:rsid w:val="009B3326"/>
    <w:rsid w:val="009B34A8"/>
    <w:rsid w:val="009B4B67"/>
    <w:rsid w:val="009B5096"/>
    <w:rsid w:val="009B52CA"/>
    <w:rsid w:val="009B5575"/>
    <w:rsid w:val="009B5700"/>
    <w:rsid w:val="009B6300"/>
    <w:rsid w:val="009B6A48"/>
    <w:rsid w:val="009B6C9A"/>
    <w:rsid w:val="009B7073"/>
    <w:rsid w:val="009B711E"/>
    <w:rsid w:val="009B7422"/>
    <w:rsid w:val="009B7EA1"/>
    <w:rsid w:val="009B7FAB"/>
    <w:rsid w:val="009C0CAC"/>
    <w:rsid w:val="009C0E67"/>
    <w:rsid w:val="009C0EF6"/>
    <w:rsid w:val="009C14B1"/>
    <w:rsid w:val="009C1F8E"/>
    <w:rsid w:val="009C3114"/>
    <w:rsid w:val="009C31DF"/>
    <w:rsid w:val="009C3773"/>
    <w:rsid w:val="009C3AC8"/>
    <w:rsid w:val="009C3E2D"/>
    <w:rsid w:val="009C51AE"/>
    <w:rsid w:val="009C545E"/>
    <w:rsid w:val="009C59D7"/>
    <w:rsid w:val="009C6171"/>
    <w:rsid w:val="009C62F5"/>
    <w:rsid w:val="009C6C2F"/>
    <w:rsid w:val="009C73FF"/>
    <w:rsid w:val="009C7421"/>
    <w:rsid w:val="009C7953"/>
    <w:rsid w:val="009D05E6"/>
    <w:rsid w:val="009D241F"/>
    <w:rsid w:val="009D2A98"/>
    <w:rsid w:val="009D439A"/>
    <w:rsid w:val="009D4C0F"/>
    <w:rsid w:val="009D526D"/>
    <w:rsid w:val="009D5DBC"/>
    <w:rsid w:val="009D5DD8"/>
    <w:rsid w:val="009D60B6"/>
    <w:rsid w:val="009D61DF"/>
    <w:rsid w:val="009D6635"/>
    <w:rsid w:val="009D67A2"/>
    <w:rsid w:val="009D67E2"/>
    <w:rsid w:val="009D6FD5"/>
    <w:rsid w:val="009D70F6"/>
    <w:rsid w:val="009D71A8"/>
    <w:rsid w:val="009E08C3"/>
    <w:rsid w:val="009E18FC"/>
    <w:rsid w:val="009E2455"/>
    <w:rsid w:val="009E2995"/>
    <w:rsid w:val="009E2D8B"/>
    <w:rsid w:val="009E4FFF"/>
    <w:rsid w:val="009E52C7"/>
    <w:rsid w:val="009E5D21"/>
    <w:rsid w:val="009E661D"/>
    <w:rsid w:val="009E7F03"/>
    <w:rsid w:val="009E7FEB"/>
    <w:rsid w:val="009F0CB7"/>
    <w:rsid w:val="009F0CCE"/>
    <w:rsid w:val="009F2DD4"/>
    <w:rsid w:val="009F2FF4"/>
    <w:rsid w:val="009F32AF"/>
    <w:rsid w:val="009F39EA"/>
    <w:rsid w:val="009F3BAF"/>
    <w:rsid w:val="009F3D8F"/>
    <w:rsid w:val="009F3E12"/>
    <w:rsid w:val="009F4C9F"/>
    <w:rsid w:val="009F5053"/>
    <w:rsid w:val="009F5764"/>
    <w:rsid w:val="009F59A0"/>
    <w:rsid w:val="009F6AF8"/>
    <w:rsid w:val="009F6BD0"/>
    <w:rsid w:val="009F6FAB"/>
    <w:rsid w:val="009F72B6"/>
    <w:rsid w:val="009F7FD9"/>
    <w:rsid w:val="00A00723"/>
    <w:rsid w:val="00A007C6"/>
    <w:rsid w:val="00A014B4"/>
    <w:rsid w:val="00A01960"/>
    <w:rsid w:val="00A01B33"/>
    <w:rsid w:val="00A02ACD"/>
    <w:rsid w:val="00A02C04"/>
    <w:rsid w:val="00A02FA4"/>
    <w:rsid w:val="00A05559"/>
    <w:rsid w:val="00A0565F"/>
    <w:rsid w:val="00A06BDE"/>
    <w:rsid w:val="00A06D7A"/>
    <w:rsid w:val="00A10063"/>
    <w:rsid w:val="00A1017A"/>
    <w:rsid w:val="00A107EE"/>
    <w:rsid w:val="00A11131"/>
    <w:rsid w:val="00A1297E"/>
    <w:rsid w:val="00A13244"/>
    <w:rsid w:val="00A15C9E"/>
    <w:rsid w:val="00A15D02"/>
    <w:rsid w:val="00A1763C"/>
    <w:rsid w:val="00A203C4"/>
    <w:rsid w:val="00A204C9"/>
    <w:rsid w:val="00A20B10"/>
    <w:rsid w:val="00A2102B"/>
    <w:rsid w:val="00A213EB"/>
    <w:rsid w:val="00A21A61"/>
    <w:rsid w:val="00A21DB4"/>
    <w:rsid w:val="00A21F8C"/>
    <w:rsid w:val="00A221DD"/>
    <w:rsid w:val="00A2255B"/>
    <w:rsid w:val="00A22970"/>
    <w:rsid w:val="00A22FCB"/>
    <w:rsid w:val="00A23295"/>
    <w:rsid w:val="00A24349"/>
    <w:rsid w:val="00A254FD"/>
    <w:rsid w:val="00A2765F"/>
    <w:rsid w:val="00A27A48"/>
    <w:rsid w:val="00A30201"/>
    <w:rsid w:val="00A303A0"/>
    <w:rsid w:val="00A308DD"/>
    <w:rsid w:val="00A31127"/>
    <w:rsid w:val="00A31D3D"/>
    <w:rsid w:val="00A329CF"/>
    <w:rsid w:val="00A32F57"/>
    <w:rsid w:val="00A33004"/>
    <w:rsid w:val="00A33487"/>
    <w:rsid w:val="00A334C3"/>
    <w:rsid w:val="00A33755"/>
    <w:rsid w:val="00A33CE7"/>
    <w:rsid w:val="00A33CF6"/>
    <w:rsid w:val="00A33FE5"/>
    <w:rsid w:val="00A34E7F"/>
    <w:rsid w:val="00A35799"/>
    <w:rsid w:val="00A35E98"/>
    <w:rsid w:val="00A4004A"/>
    <w:rsid w:val="00A404DF"/>
    <w:rsid w:val="00A40AFF"/>
    <w:rsid w:val="00A40EFF"/>
    <w:rsid w:val="00A413C4"/>
    <w:rsid w:val="00A41510"/>
    <w:rsid w:val="00A418C6"/>
    <w:rsid w:val="00A41AD4"/>
    <w:rsid w:val="00A41EFC"/>
    <w:rsid w:val="00A42678"/>
    <w:rsid w:val="00A42C23"/>
    <w:rsid w:val="00A42C41"/>
    <w:rsid w:val="00A42CE3"/>
    <w:rsid w:val="00A43399"/>
    <w:rsid w:val="00A43DE1"/>
    <w:rsid w:val="00A440F3"/>
    <w:rsid w:val="00A4540D"/>
    <w:rsid w:val="00A45FE9"/>
    <w:rsid w:val="00A46238"/>
    <w:rsid w:val="00A46F5C"/>
    <w:rsid w:val="00A4723C"/>
    <w:rsid w:val="00A50273"/>
    <w:rsid w:val="00A50D9E"/>
    <w:rsid w:val="00A51A8C"/>
    <w:rsid w:val="00A51CE6"/>
    <w:rsid w:val="00A527A3"/>
    <w:rsid w:val="00A52911"/>
    <w:rsid w:val="00A52988"/>
    <w:rsid w:val="00A53382"/>
    <w:rsid w:val="00A53529"/>
    <w:rsid w:val="00A535B3"/>
    <w:rsid w:val="00A53DCE"/>
    <w:rsid w:val="00A54816"/>
    <w:rsid w:val="00A559E6"/>
    <w:rsid w:val="00A56642"/>
    <w:rsid w:val="00A56CB0"/>
    <w:rsid w:val="00A5792D"/>
    <w:rsid w:val="00A57A1E"/>
    <w:rsid w:val="00A57C22"/>
    <w:rsid w:val="00A60785"/>
    <w:rsid w:val="00A60FFB"/>
    <w:rsid w:val="00A61824"/>
    <w:rsid w:val="00A619F3"/>
    <w:rsid w:val="00A622CF"/>
    <w:rsid w:val="00A62A5E"/>
    <w:rsid w:val="00A62B1B"/>
    <w:rsid w:val="00A648EB"/>
    <w:rsid w:val="00A64C33"/>
    <w:rsid w:val="00A652FD"/>
    <w:rsid w:val="00A65631"/>
    <w:rsid w:val="00A6567E"/>
    <w:rsid w:val="00A65C83"/>
    <w:rsid w:val="00A66AFF"/>
    <w:rsid w:val="00A66E30"/>
    <w:rsid w:val="00A67AF2"/>
    <w:rsid w:val="00A7108E"/>
    <w:rsid w:val="00A71C51"/>
    <w:rsid w:val="00A72F26"/>
    <w:rsid w:val="00A73204"/>
    <w:rsid w:val="00A73C19"/>
    <w:rsid w:val="00A73E93"/>
    <w:rsid w:val="00A74088"/>
    <w:rsid w:val="00A74409"/>
    <w:rsid w:val="00A7466E"/>
    <w:rsid w:val="00A7468A"/>
    <w:rsid w:val="00A75387"/>
    <w:rsid w:val="00A7594A"/>
    <w:rsid w:val="00A7685E"/>
    <w:rsid w:val="00A771D3"/>
    <w:rsid w:val="00A77355"/>
    <w:rsid w:val="00A77750"/>
    <w:rsid w:val="00A77CC1"/>
    <w:rsid w:val="00A77D60"/>
    <w:rsid w:val="00A77E8C"/>
    <w:rsid w:val="00A80B6F"/>
    <w:rsid w:val="00A81DAA"/>
    <w:rsid w:val="00A8201A"/>
    <w:rsid w:val="00A82594"/>
    <w:rsid w:val="00A83DF3"/>
    <w:rsid w:val="00A84924"/>
    <w:rsid w:val="00A84A1B"/>
    <w:rsid w:val="00A84A84"/>
    <w:rsid w:val="00A84AE9"/>
    <w:rsid w:val="00A84E88"/>
    <w:rsid w:val="00A85A03"/>
    <w:rsid w:val="00A86556"/>
    <w:rsid w:val="00A865E5"/>
    <w:rsid w:val="00A86F6D"/>
    <w:rsid w:val="00A870FE"/>
    <w:rsid w:val="00A90E4B"/>
    <w:rsid w:val="00A92173"/>
    <w:rsid w:val="00A92442"/>
    <w:rsid w:val="00A92752"/>
    <w:rsid w:val="00A9280D"/>
    <w:rsid w:val="00A93E3E"/>
    <w:rsid w:val="00A94CC3"/>
    <w:rsid w:val="00A94CFF"/>
    <w:rsid w:val="00A94E5B"/>
    <w:rsid w:val="00A95445"/>
    <w:rsid w:val="00A9551C"/>
    <w:rsid w:val="00A95A0B"/>
    <w:rsid w:val="00A95A71"/>
    <w:rsid w:val="00A95B12"/>
    <w:rsid w:val="00A977C6"/>
    <w:rsid w:val="00A979E9"/>
    <w:rsid w:val="00AA005B"/>
    <w:rsid w:val="00AA08E2"/>
    <w:rsid w:val="00AA09FD"/>
    <w:rsid w:val="00AA0BB4"/>
    <w:rsid w:val="00AA0CD3"/>
    <w:rsid w:val="00AA113F"/>
    <w:rsid w:val="00AA19DC"/>
    <w:rsid w:val="00AA235C"/>
    <w:rsid w:val="00AA2F62"/>
    <w:rsid w:val="00AA3898"/>
    <w:rsid w:val="00AA392F"/>
    <w:rsid w:val="00AA5AA7"/>
    <w:rsid w:val="00AA5F00"/>
    <w:rsid w:val="00AA62E2"/>
    <w:rsid w:val="00AA66E7"/>
    <w:rsid w:val="00AA6FCF"/>
    <w:rsid w:val="00AA7253"/>
    <w:rsid w:val="00AA74A5"/>
    <w:rsid w:val="00AA7CB5"/>
    <w:rsid w:val="00AA7EAE"/>
    <w:rsid w:val="00AB0442"/>
    <w:rsid w:val="00AB158E"/>
    <w:rsid w:val="00AB18F7"/>
    <w:rsid w:val="00AB1A21"/>
    <w:rsid w:val="00AB1ED5"/>
    <w:rsid w:val="00AB208F"/>
    <w:rsid w:val="00AB2580"/>
    <w:rsid w:val="00AB2B72"/>
    <w:rsid w:val="00AB2E81"/>
    <w:rsid w:val="00AB3C55"/>
    <w:rsid w:val="00AB5387"/>
    <w:rsid w:val="00AB5626"/>
    <w:rsid w:val="00AB5F3C"/>
    <w:rsid w:val="00AB5F7C"/>
    <w:rsid w:val="00AB7813"/>
    <w:rsid w:val="00AC0F05"/>
    <w:rsid w:val="00AC1880"/>
    <w:rsid w:val="00AC1E1C"/>
    <w:rsid w:val="00AC3819"/>
    <w:rsid w:val="00AC3B1C"/>
    <w:rsid w:val="00AC4666"/>
    <w:rsid w:val="00AC4952"/>
    <w:rsid w:val="00AC4B2E"/>
    <w:rsid w:val="00AC4E6D"/>
    <w:rsid w:val="00AC608D"/>
    <w:rsid w:val="00AC7399"/>
    <w:rsid w:val="00AC78B6"/>
    <w:rsid w:val="00AD0299"/>
    <w:rsid w:val="00AD0962"/>
    <w:rsid w:val="00AD1169"/>
    <w:rsid w:val="00AD19CE"/>
    <w:rsid w:val="00AD1E9E"/>
    <w:rsid w:val="00AD2AA4"/>
    <w:rsid w:val="00AD2F9B"/>
    <w:rsid w:val="00AD3AC1"/>
    <w:rsid w:val="00AD41E4"/>
    <w:rsid w:val="00AD4284"/>
    <w:rsid w:val="00AD4408"/>
    <w:rsid w:val="00AD440F"/>
    <w:rsid w:val="00AD5779"/>
    <w:rsid w:val="00AD58FE"/>
    <w:rsid w:val="00AD5AF3"/>
    <w:rsid w:val="00AD5C53"/>
    <w:rsid w:val="00AD612D"/>
    <w:rsid w:val="00AD7219"/>
    <w:rsid w:val="00AD7701"/>
    <w:rsid w:val="00AD7CD5"/>
    <w:rsid w:val="00AE07E9"/>
    <w:rsid w:val="00AE08CA"/>
    <w:rsid w:val="00AE0F1E"/>
    <w:rsid w:val="00AE1281"/>
    <w:rsid w:val="00AE1F7A"/>
    <w:rsid w:val="00AE3A66"/>
    <w:rsid w:val="00AE3D8E"/>
    <w:rsid w:val="00AE4469"/>
    <w:rsid w:val="00AE4540"/>
    <w:rsid w:val="00AE5604"/>
    <w:rsid w:val="00AE569F"/>
    <w:rsid w:val="00AE56E5"/>
    <w:rsid w:val="00AE6160"/>
    <w:rsid w:val="00AE673D"/>
    <w:rsid w:val="00AE75CC"/>
    <w:rsid w:val="00AF1B51"/>
    <w:rsid w:val="00AF1B61"/>
    <w:rsid w:val="00AF1E1F"/>
    <w:rsid w:val="00AF2860"/>
    <w:rsid w:val="00AF2A79"/>
    <w:rsid w:val="00AF3166"/>
    <w:rsid w:val="00AF41A6"/>
    <w:rsid w:val="00AF4288"/>
    <w:rsid w:val="00AF42B7"/>
    <w:rsid w:val="00AF46A2"/>
    <w:rsid w:val="00AF4749"/>
    <w:rsid w:val="00AF4DAA"/>
    <w:rsid w:val="00AF6E57"/>
    <w:rsid w:val="00AF7396"/>
    <w:rsid w:val="00AF748C"/>
    <w:rsid w:val="00B000DC"/>
    <w:rsid w:val="00B002BA"/>
    <w:rsid w:val="00B00D9C"/>
    <w:rsid w:val="00B00E1C"/>
    <w:rsid w:val="00B0113D"/>
    <w:rsid w:val="00B01306"/>
    <w:rsid w:val="00B01AC5"/>
    <w:rsid w:val="00B027D1"/>
    <w:rsid w:val="00B0297A"/>
    <w:rsid w:val="00B02C9C"/>
    <w:rsid w:val="00B03757"/>
    <w:rsid w:val="00B03B73"/>
    <w:rsid w:val="00B04B07"/>
    <w:rsid w:val="00B04D1B"/>
    <w:rsid w:val="00B0518C"/>
    <w:rsid w:val="00B05F00"/>
    <w:rsid w:val="00B05F98"/>
    <w:rsid w:val="00B06760"/>
    <w:rsid w:val="00B077C8"/>
    <w:rsid w:val="00B100F8"/>
    <w:rsid w:val="00B102FF"/>
    <w:rsid w:val="00B104DE"/>
    <w:rsid w:val="00B10A2C"/>
    <w:rsid w:val="00B10C87"/>
    <w:rsid w:val="00B10CB4"/>
    <w:rsid w:val="00B110D6"/>
    <w:rsid w:val="00B11211"/>
    <w:rsid w:val="00B124EE"/>
    <w:rsid w:val="00B12596"/>
    <w:rsid w:val="00B13217"/>
    <w:rsid w:val="00B13479"/>
    <w:rsid w:val="00B160F6"/>
    <w:rsid w:val="00B16192"/>
    <w:rsid w:val="00B1705B"/>
    <w:rsid w:val="00B17CCC"/>
    <w:rsid w:val="00B17D7F"/>
    <w:rsid w:val="00B17D8F"/>
    <w:rsid w:val="00B20B69"/>
    <w:rsid w:val="00B217ED"/>
    <w:rsid w:val="00B2189B"/>
    <w:rsid w:val="00B2275B"/>
    <w:rsid w:val="00B23123"/>
    <w:rsid w:val="00B2364B"/>
    <w:rsid w:val="00B23AED"/>
    <w:rsid w:val="00B23B79"/>
    <w:rsid w:val="00B24EC8"/>
    <w:rsid w:val="00B25292"/>
    <w:rsid w:val="00B25FA5"/>
    <w:rsid w:val="00B261B8"/>
    <w:rsid w:val="00B265D4"/>
    <w:rsid w:val="00B26623"/>
    <w:rsid w:val="00B2673A"/>
    <w:rsid w:val="00B2673C"/>
    <w:rsid w:val="00B26BB5"/>
    <w:rsid w:val="00B2718A"/>
    <w:rsid w:val="00B31FCC"/>
    <w:rsid w:val="00B3295E"/>
    <w:rsid w:val="00B33350"/>
    <w:rsid w:val="00B3364B"/>
    <w:rsid w:val="00B343B4"/>
    <w:rsid w:val="00B35C49"/>
    <w:rsid w:val="00B3722F"/>
    <w:rsid w:val="00B37837"/>
    <w:rsid w:val="00B4051A"/>
    <w:rsid w:val="00B40D3B"/>
    <w:rsid w:val="00B40E50"/>
    <w:rsid w:val="00B412A4"/>
    <w:rsid w:val="00B416DF"/>
    <w:rsid w:val="00B41BEB"/>
    <w:rsid w:val="00B41E0F"/>
    <w:rsid w:val="00B41FC1"/>
    <w:rsid w:val="00B42A45"/>
    <w:rsid w:val="00B42A98"/>
    <w:rsid w:val="00B42D28"/>
    <w:rsid w:val="00B4367A"/>
    <w:rsid w:val="00B43CCA"/>
    <w:rsid w:val="00B44E63"/>
    <w:rsid w:val="00B44EB5"/>
    <w:rsid w:val="00B45000"/>
    <w:rsid w:val="00B45A64"/>
    <w:rsid w:val="00B45EF4"/>
    <w:rsid w:val="00B50D1F"/>
    <w:rsid w:val="00B51EF6"/>
    <w:rsid w:val="00B52049"/>
    <w:rsid w:val="00B52979"/>
    <w:rsid w:val="00B52DE6"/>
    <w:rsid w:val="00B52F69"/>
    <w:rsid w:val="00B52F7B"/>
    <w:rsid w:val="00B53D15"/>
    <w:rsid w:val="00B53E71"/>
    <w:rsid w:val="00B53FC8"/>
    <w:rsid w:val="00B55E0A"/>
    <w:rsid w:val="00B561E0"/>
    <w:rsid w:val="00B566EE"/>
    <w:rsid w:val="00B57709"/>
    <w:rsid w:val="00B578F9"/>
    <w:rsid w:val="00B57CB2"/>
    <w:rsid w:val="00B61272"/>
    <w:rsid w:val="00B613B3"/>
    <w:rsid w:val="00B61676"/>
    <w:rsid w:val="00B61E0A"/>
    <w:rsid w:val="00B627A4"/>
    <w:rsid w:val="00B62F91"/>
    <w:rsid w:val="00B631DA"/>
    <w:rsid w:val="00B638F6"/>
    <w:rsid w:val="00B63A6C"/>
    <w:rsid w:val="00B642F8"/>
    <w:rsid w:val="00B65197"/>
    <w:rsid w:val="00B65BB0"/>
    <w:rsid w:val="00B65FA0"/>
    <w:rsid w:val="00B664B1"/>
    <w:rsid w:val="00B66532"/>
    <w:rsid w:val="00B66A0B"/>
    <w:rsid w:val="00B66F8F"/>
    <w:rsid w:val="00B6724E"/>
    <w:rsid w:val="00B67824"/>
    <w:rsid w:val="00B6787C"/>
    <w:rsid w:val="00B67D4E"/>
    <w:rsid w:val="00B709C9"/>
    <w:rsid w:val="00B719F5"/>
    <w:rsid w:val="00B71E05"/>
    <w:rsid w:val="00B729AC"/>
    <w:rsid w:val="00B735D2"/>
    <w:rsid w:val="00B73A9D"/>
    <w:rsid w:val="00B74527"/>
    <w:rsid w:val="00B745AE"/>
    <w:rsid w:val="00B756EF"/>
    <w:rsid w:val="00B75742"/>
    <w:rsid w:val="00B75D2B"/>
    <w:rsid w:val="00B763C9"/>
    <w:rsid w:val="00B77122"/>
    <w:rsid w:val="00B772FF"/>
    <w:rsid w:val="00B77A93"/>
    <w:rsid w:val="00B77E00"/>
    <w:rsid w:val="00B77F87"/>
    <w:rsid w:val="00B81372"/>
    <w:rsid w:val="00B82221"/>
    <w:rsid w:val="00B82298"/>
    <w:rsid w:val="00B8260B"/>
    <w:rsid w:val="00B82AC2"/>
    <w:rsid w:val="00B831C5"/>
    <w:rsid w:val="00B834BB"/>
    <w:rsid w:val="00B8397C"/>
    <w:rsid w:val="00B83C3B"/>
    <w:rsid w:val="00B84873"/>
    <w:rsid w:val="00B84FF1"/>
    <w:rsid w:val="00B8561F"/>
    <w:rsid w:val="00B867B2"/>
    <w:rsid w:val="00B86B3E"/>
    <w:rsid w:val="00B86DD4"/>
    <w:rsid w:val="00B87449"/>
    <w:rsid w:val="00B876E3"/>
    <w:rsid w:val="00B90968"/>
    <w:rsid w:val="00B9144A"/>
    <w:rsid w:val="00B91619"/>
    <w:rsid w:val="00B94BD1"/>
    <w:rsid w:val="00B94E5F"/>
    <w:rsid w:val="00B94F3C"/>
    <w:rsid w:val="00B95533"/>
    <w:rsid w:val="00B95926"/>
    <w:rsid w:val="00B95D99"/>
    <w:rsid w:val="00B96155"/>
    <w:rsid w:val="00B96382"/>
    <w:rsid w:val="00B963CB"/>
    <w:rsid w:val="00B96DB1"/>
    <w:rsid w:val="00B97495"/>
    <w:rsid w:val="00B97D42"/>
    <w:rsid w:val="00B97D57"/>
    <w:rsid w:val="00BA0A24"/>
    <w:rsid w:val="00BA0D74"/>
    <w:rsid w:val="00BA0DB7"/>
    <w:rsid w:val="00BA1155"/>
    <w:rsid w:val="00BA14D8"/>
    <w:rsid w:val="00BA194E"/>
    <w:rsid w:val="00BA2440"/>
    <w:rsid w:val="00BA2933"/>
    <w:rsid w:val="00BA2BB8"/>
    <w:rsid w:val="00BA2D7A"/>
    <w:rsid w:val="00BA31E7"/>
    <w:rsid w:val="00BA3C6C"/>
    <w:rsid w:val="00BA3E58"/>
    <w:rsid w:val="00BA3F59"/>
    <w:rsid w:val="00BA4164"/>
    <w:rsid w:val="00BA4421"/>
    <w:rsid w:val="00BA44F6"/>
    <w:rsid w:val="00BA55AC"/>
    <w:rsid w:val="00BA5DF0"/>
    <w:rsid w:val="00BA5E1C"/>
    <w:rsid w:val="00BA67DF"/>
    <w:rsid w:val="00BA68DB"/>
    <w:rsid w:val="00BA6E90"/>
    <w:rsid w:val="00BA6FB9"/>
    <w:rsid w:val="00BA70E2"/>
    <w:rsid w:val="00BA711B"/>
    <w:rsid w:val="00BA7990"/>
    <w:rsid w:val="00BB0D2C"/>
    <w:rsid w:val="00BB1D4E"/>
    <w:rsid w:val="00BB3057"/>
    <w:rsid w:val="00BB35E2"/>
    <w:rsid w:val="00BB3B5B"/>
    <w:rsid w:val="00BB427C"/>
    <w:rsid w:val="00BB45AB"/>
    <w:rsid w:val="00BB4D08"/>
    <w:rsid w:val="00BB6F9A"/>
    <w:rsid w:val="00BB757F"/>
    <w:rsid w:val="00BC118F"/>
    <w:rsid w:val="00BC17E6"/>
    <w:rsid w:val="00BC1995"/>
    <w:rsid w:val="00BC2000"/>
    <w:rsid w:val="00BC235A"/>
    <w:rsid w:val="00BC4E7B"/>
    <w:rsid w:val="00BC52E7"/>
    <w:rsid w:val="00BC6A89"/>
    <w:rsid w:val="00BC6BDC"/>
    <w:rsid w:val="00BC6C68"/>
    <w:rsid w:val="00BC79FB"/>
    <w:rsid w:val="00BC7ACC"/>
    <w:rsid w:val="00BD1B32"/>
    <w:rsid w:val="00BD1DFF"/>
    <w:rsid w:val="00BD25BC"/>
    <w:rsid w:val="00BD3497"/>
    <w:rsid w:val="00BD4533"/>
    <w:rsid w:val="00BD566B"/>
    <w:rsid w:val="00BD5A34"/>
    <w:rsid w:val="00BD5AEB"/>
    <w:rsid w:val="00BD5B54"/>
    <w:rsid w:val="00BD740A"/>
    <w:rsid w:val="00BD7853"/>
    <w:rsid w:val="00BD7E5F"/>
    <w:rsid w:val="00BD7E8E"/>
    <w:rsid w:val="00BE0FF1"/>
    <w:rsid w:val="00BE1AF8"/>
    <w:rsid w:val="00BE1B0E"/>
    <w:rsid w:val="00BE1CC3"/>
    <w:rsid w:val="00BE1F12"/>
    <w:rsid w:val="00BE2944"/>
    <w:rsid w:val="00BE2DB4"/>
    <w:rsid w:val="00BE32D6"/>
    <w:rsid w:val="00BE367F"/>
    <w:rsid w:val="00BE5222"/>
    <w:rsid w:val="00BE5488"/>
    <w:rsid w:val="00BE5552"/>
    <w:rsid w:val="00BE63AE"/>
    <w:rsid w:val="00BE699E"/>
    <w:rsid w:val="00BE6EA6"/>
    <w:rsid w:val="00BE7237"/>
    <w:rsid w:val="00BE7245"/>
    <w:rsid w:val="00BE7319"/>
    <w:rsid w:val="00BE79F3"/>
    <w:rsid w:val="00BE7D2B"/>
    <w:rsid w:val="00BF0138"/>
    <w:rsid w:val="00BF03DF"/>
    <w:rsid w:val="00BF0966"/>
    <w:rsid w:val="00BF104A"/>
    <w:rsid w:val="00BF16D9"/>
    <w:rsid w:val="00BF1894"/>
    <w:rsid w:val="00BF1C70"/>
    <w:rsid w:val="00BF22D7"/>
    <w:rsid w:val="00BF2E23"/>
    <w:rsid w:val="00BF54C7"/>
    <w:rsid w:val="00BF5610"/>
    <w:rsid w:val="00BF5745"/>
    <w:rsid w:val="00BF5CC8"/>
    <w:rsid w:val="00BF5E8D"/>
    <w:rsid w:val="00BF641A"/>
    <w:rsid w:val="00BF6D80"/>
    <w:rsid w:val="00BF6DBE"/>
    <w:rsid w:val="00BF7887"/>
    <w:rsid w:val="00BF7D01"/>
    <w:rsid w:val="00C00B8D"/>
    <w:rsid w:val="00C010FA"/>
    <w:rsid w:val="00C0111C"/>
    <w:rsid w:val="00C01183"/>
    <w:rsid w:val="00C01375"/>
    <w:rsid w:val="00C01394"/>
    <w:rsid w:val="00C013DF"/>
    <w:rsid w:val="00C0145E"/>
    <w:rsid w:val="00C026CC"/>
    <w:rsid w:val="00C02DF7"/>
    <w:rsid w:val="00C03953"/>
    <w:rsid w:val="00C041F7"/>
    <w:rsid w:val="00C04427"/>
    <w:rsid w:val="00C0447D"/>
    <w:rsid w:val="00C04C2A"/>
    <w:rsid w:val="00C0593D"/>
    <w:rsid w:val="00C05B17"/>
    <w:rsid w:val="00C05BB8"/>
    <w:rsid w:val="00C05FF4"/>
    <w:rsid w:val="00C065C0"/>
    <w:rsid w:val="00C06F64"/>
    <w:rsid w:val="00C078F9"/>
    <w:rsid w:val="00C07B17"/>
    <w:rsid w:val="00C1030B"/>
    <w:rsid w:val="00C10B95"/>
    <w:rsid w:val="00C10E59"/>
    <w:rsid w:val="00C111A6"/>
    <w:rsid w:val="00C11296"/>
    <w:rsid w:val="00C114E7"/>
    <w:rsid w:val="00C11512"/>
    <w:rsid w:val="00C119CD"/>
    <w:rsid w:val="00C11BBF"/>
    <w:rsid w:val="00C11D4C"/>
    <w:rsid w:val="00C1235D"/>
    <w:rsid w:val="00C12BFB"/>
    <w:rsid w:val="00C12CED"/>
    <w:rsid w:val="00C12CFD"/>
    <w:rsid w:val="00C12E22"/>
    <w:rsid w:val="00C13049"/>
    <w:rsid w:val="00C13648"/>
    <w:rsid w:val="00C138EC"/>
    <w:rsid w:val="00C139CE"/>
    <w:rsid w:val="00C14572"/>
    <w:rsid w:val="00C14BD5"/>
    <w:rsid w:val="00C15135"/>
    <w:rsid w:val="00C1557A"/>
    <w:rsid w:val="00C1589C"/>
    <w:rsid w:val="00C15D89"/>
    <w:rsid w:val="00C168D7"/>
    <w:rsid w:val="00C2009F"/>
    <w:rsid w:val="00C21F68"/>
    <w:rsid w:val="00C221C3"/>
    <w:rsid w:val="00C2225B"/>
    <w:rsid w:val="00C22934"/>
    <w:rsid w:val="00C23306"/>
    <w:rsid w:val="00C2346B"/>
    <w:rsid w:val="00C238A2"/>
    <w:rsid w:val="00C23CB7"/>
    <w:rsid w:val="00C25209"/>
    <w:rsid w:val="00C252BE"/>
    <w:rsid w:val="00C254DA"/>
    <w:rsid w:val="00C265D2"/>
    <w:rsid w:val="00C26B0A"/>
    <w:rsid w:val="00C279A5"/>
    <w:rsid w:val="00C27E0E"/>
    <w:rsid w:val="00C3010C"/>
    <w:rsid w:val="00C309C5"/>
    <w:rsid w:val="00C30AC5"/>
    <w:rsid w:val="00C310C6"/>
    <w:rsid w:val="00C3130F"/>
    <w:rsid w:val="00C315E8"/>
    <w:rsid w:val="00C31A8C"/>
    <w:rsid w:val="00C32448"/>
    <w:rsid w:val="00C329B3"/>
    <w:rsid w:val="00C32A7D"/>
    <w:rsid w:val="00C32CB2"/>
    <w:rsid w:val="00C330F5"/>
    <w:rsid w:val="00C3348F"/>
    <w:rsid w:val="00C337AC"/>
    <w:rsid w:val="00C341CF"/>
    <w:rsid w:val="00C341ED"/>
    <w:rsid w:val="00C34279"/>
    <w:rsid w:val="00C34C0A"/>
    <w:rsid w:val="00C34C75"/>
    <w:rsid w:val="00C36FEC"/>
    <w:rsid w:val="00C375D5"/>
    <w:rsid w:val="00C37DFF"/>
    <w:rsid w:val="00C40A8C"/>
    <w:rsid w:val="00C414E3"/>
    <w:rsid w:val="00C41556"/>
    <w:rsid w:val="00C41DC6"/>
    <w:rsid w:val="00C42406"/>
    <w:rsid w:val="00C42AD1"/>
    <w:rsid w:val="00C42CE3"/>
    <w:rsid w:val="00C42D37"/>
    <w:rsid w:val="00C431D9"/>
    <w:rsid w:val="00C437D2"/>
    <w:rsid w:val="00C4393E"/>
    <w:rsid w:val="00C43CE8"/>
    <w:rsid w:val="00C43F4F"/>
    <w:rsid w:val="00C44440"/>
    <w:rsid w:val="00C44D0B"/>
    <w:rsid w:val="00C4520D"/>
    <w:rsid w:val="00C4631C"/>
    <w:rsid w:val="00C50B84"/>
    <w:rsid w:val="00C5108A"/>
    <w:rsid w:val="00C512A4"/>
    <w:rsid w:val="00C522F2"/>
    <w:rsid w:val="00C52411"/>
    <w:rsid w:val="00C5246A"/>
    <w:rsid w:val="00C52E63"/>
    <w:rsid w:val="00C53802"/>
    <w:rsid w:val="00C53D8A"/>
    <w:rsid w:val="00C54840"/>
    <w:rsid w:val="00C5561D"/>
    <w:rsid w:val="00C55AE5"/>
    <w:rsid w:val="00C56496"/>
    <w:rsid w:val="00C56FFE"/>
    <w:rsid w:val="00C5702F"/>
    <w:rsid w:val="00C577B3"/>
    <w:rsid w:val="00C57FAC"/>
    <w:rsid w:val="00C60E87"/>
    <w:rsid w:val="00C6137E"/>
    <w:rsid w:val="00C613D8"/>
    <w:rsid w:val="00C61914"/>
    <w:rsid w:val="00C61C75"/>
    <w:rsid w:val="00C6299F"/>
    <w:rsid w:val="00C62F97"/>
    <w:rsid w:val="00C659AB"/>
    <w:rsid w:val="00C65C37"/>
    <w:rsid w:val="00C65E2C"/>
    <w:rsid w:val="00C6620A"/>
    <w:rsid w:val="00C662D5"/>
    <w:rsid w:val="00C668F4"/>
    <w:rsid w:val="00C6710D"/>
    <w:rsid w:val="00C672B0"/>
    <w:rsid w:val="00C67CDA"/>
    <w:rsid w:val="00C67EEC"/>
    <w:rsid w:val="00C70EBC"/>
    <w:rsid w:val="00C7126E"/>
    <w:rsid w:val="00C712E7"/>
    <w:rsid w:val="00C71B8D"/>
    <w:rsid w:val="00C728AB"/>
    <w:rsid w:val="00C735A0"/>
    <w:rsid w:val="00C743B7"/>
    <w:rsid w:val="00C745F4"/>
    <w:rsid w:val="00C74DAA"/>
    <w:rsid w:val="00C758FF"/>
    <w:rsid w:val="00C759E7"/>
    <w:rsid w:val="00C76B49"/>
    <w:rsid w:val="00C77D09"/>
    <w:rsid w:val="00C77D5F"/>
    <w:rsid w:val="00C803F1"/>
    <w:rsid w:val="00C8098E"/>
    <w:rsid w:val="00C81073"/>
    <w:rsid w:val="00C81CEB"/>
    <w:rsid w:val="00C81ED3"/>
    <w:rsid w:val="00C82437"/>
    <w:rsid w:val="00C83E9D"/>
    <w:rsid w:val="00C83F36"/>
    <w:rsid w:val="00C84176"/>
    <w:rsid w:val="00C84671"/>
    <w:rsid w:val="00C84D60"/>
    <w:rsid w:val="00C85631"/>
    <w:rsid w:val="00C85D10"/>
    <w:rsid w:val="00C86544"/>
    <w:rsid w:val="00C8717C"/>
    <w:rsid w:val="00C8748E"/>
    <w:rsid w:val="00C877E3"/>
    <w:rsid w:val="00C879A0"/>
    <w:rsid w:val="00C90947"/>
    <w:rsid w:val="00C91937"/>
    <w:rsid w:val="00C92267"/>
    <w:rsid w:val="00C926E9"/>
    <w:rsid w:val="00C935EC"/>
    <w:rsid w:val="00C9475D"/>
    <w:rsid w:val="00C948DB"/>
    <w:rsid w:val="00C94D74"/>
    <w:rsid w:val="00C951B4"/>
    <w:rsid w:val="00C9567E"/>
    <w:rsid w:val="00C95E64"/>
    <w:rsid w:val="00C964B2"/>
    <w:rsid w:val="00C96AAD"/>
    <w:rsid w:val="00C974A6"/>
    <w:rsid w:val="00CA0ED8"/>
    <w:rsid w:val="00CA14A7"/>
    <w:rsid w:val="00CA160E"/>
    <w:rsid w:val="00CA1989"/>
    <w:rsid w:val="00CA2848"/>
    <w:rsid w:val="00CA29AB"/>
    <w:rsid w:val="00CA3345"/>
    <w:rsid w:val="00CA3E56"/>
    <w:rsid w:val="00CA3F25"/>
    <w:rsid w:val="00CA4670"/>
    <w:rsid w:val="00CA49EC"/>
    <w:rsid w:val="00CA4D85"/>
    <w:rsid w:val="00CA53C4"/>
    <w:rsid w:val="00CA54B8"/>
    <w:rsid w:val="00CA556C"/>
    <w:rsid w:val="00CA60CC"/>
    <w:rsid w:val="00CB0CEB"/>
    <w:rsid w:val="00CB10E9"/>
    <w:rsid w:val="00CB13BD"/>
    <w:rsid w:val="00CB185E"/>
    <w:rsid w:val="00CB1AEE"/>
    <w:rsid w:val="00CB1BE3"/>
    <w:rsid w:val="00CB4601"/>
    <w:rsid w:val="00CB49EA"/>
    <w:rsid w:val="00CB4B0A"/>
    <w:rsid w:val="00CB4BC2"/>
    <w:rsid w:val="00CB4E5E"/>
    <w:rsid w:val="00CB77B6"/>
    <w:rsid w:val="00CB780E"/>
    <w:rsid w:val="00CB7F33"/>
    <w:rsid w:val="00CC1BC3"/>
    <w:rsid w:val="00CC1D8F"/>
    <w:rsid w:val="00CC25DD"/>
    <w:rsid w:val="00CC2A23"/>
    <w:rsid w:val="00CC2B7E"/>
    <w:rsid w:val="00CC2E40"/>
    <w:rsid w:val="00CC3856"/>
    <w:rsid w:val="00CC3B2E"/>
    <w:rsid w:val="00CC3E3A"/>
    <w:rsid w:val="00CC3F61"/>
    <w:rsid w:val="00CC4682"/>
    <w:rsid w:val="00CC46B7"/>
    <w:rsid w:val="00CC4CD3"/>
    <w:rsid w:val="00CC536B"/>
    <w:rsid w:val="00CC554E"/>
    <w:rsid w:val="00CC5657"/>
    <w:rsid w:val="00CC5B25"/>
    <w:rsid w:val="00CC5F4E"/>
    <w:rsid w:val="00CC65AA"/>
    <w:rsid w:val="00CC6D67"/>
    <w:rsid w:val="00CC7868"/>
    <w:rsid w:val="00CC7BD5"/>
    <w:rsid w:val="00CC7CD8"/>
    <w:rsid w:val="00CD063D"/>
    <w:rsid w:val="00CD09E6"/>
    <w:rsid w:val="00CD17D9"/>
    <w:rsid w:val="00CD1876"/>
    <w:rsid w:val="00CD1A4C"/>
    <w:rsid w:val="00CD2422"/>
    <w:rsid w:val="00CD2994"/>
    <w:rsid w:val="00CD30CF"/>
    <w:rsid w:val="00CD3872"/>
    <w:rsid w:val="00CD41FB"/>
    <w:rsid w:val="00CD4BD5"/>
    <w:rsid w:val="00CD4D5D"/>
    <w:rsid w:val="00CD50AB"/>
    <w:rsid w:val="00CD5501"/>
    <w:rsid w:val="00CD58A5"/>
    <w:rsid w:val="00CD5992"/>
    <w:rsid w:val="00CD62E2"/>
    <w:rsid w:val="00CD647B"/>
    <w:rsid w:val="00CD67BF"/>
    <w:rsid w:val="00CD7290"/>
    <w:rsid w:val="00CD752F"/>
    <w:rsid w:val="00CD75FE"/>
    <w:rsid w:val="00CE080E"/>
    <w:rsid w:val="00CE0A2A"/>
    <w:rsid w:val="00CE2009"/>
    <w:rsid w:val="00CE276A"/>
    <w:rsid w:val="00CE2E7C"/>
    <w:rsid w:val="00CE30EB"/>
    <w:rsid w:val="00CE3903"/>
    <w:rsid w:val="00CE4071"/>
    <w:rsid w:val="00CE4533"/>
    <w:rsid w:val="00CE523C"/>
    <w:rsid w:val="00CE5C76"/>
    <w:rsid w:val="00CE6B00"/>
    <w:rsid w:val="00CE6C4F"/>
    <w:rsid w:val="00CE7409"/>
    <w:rsid w:val="00CE7752"/>
    <w:rsid w:val="00CE7B8A"/>
    <w:rsid w:val="00CE7F29"/>
    <w:rsid w:val="00CF0800"/>
    <w:rsid w:val="00CF0930"/>
    <w:rsid w:val="00CF0D1A"/>
    <w:rsid w:val="00CF21DA"/>
    <w:rsid w:val="00CF27A8"/>
    <w:rsid w:val="00CF2DC4"/>
    <w:rsid w:val="00CF3E2E"/>
    <w:rsid w:val="00CF42B5"/>
    <w:rsid w:val="00CF4A23"/>
    <w:rsid w:val="00CF4B21"/>
    <w:rsid w:val="00CF4E91"/>
    <w:rsid w:val="00CF52CE"/>
    <w:rsid w:val="00CF578F"/>
    <w:rsid w:val="00CF57E1"/>
    <w:rsid w:val="00CF5EEB"/>
    <w:rsid w:val="00CF637D"/>
    <w:rsid w:val="00CF6915"/>
    <w:rsid w:val="00CF6BBF"/>
    <w:rsid w:val="00CF6C3E"/>
    <w:rsid w:val="00CF6DB2"/>
    <w:rsid w:val="00CF6EC5"/>
    <w:rsid w:val="00CF6F45"/>
    <w:rsid w:val="00CF7572"/>
    <w:rsid w:val="00CF7C98"/>
    <w:rsid w:val="00D00903"/>
    <w:rsid w:val="00D00D57"/>
    <w:rsid w:val="00D0124E"/>
    <w:rsid w:val="00D0143F"/>
    <w:rsid w:val="00D030A3"/>
    <w:rsid w:val="00D030E9"/>
    <w:rsid w:val="00D031F2"/>
    <w:rsid w:val="00D033AE"/>
    <w:rsid w:val="00D03B68"/>
    <w:rsid w:val="00D03CA2"/>
    <w:rsid w:val="00D048C7"/>
    <w:rsid w:val="00D05CBE"/>
    <w:rsid w:val="00D06C63"/>
    <w:rsid w:val="00D06ECE"/>
    <w:rsid w:val="00D07168"/>
    <w:rsid w:val="00D077F9"/>
    <w:rsid w:val="00D07898"/>
    <w:rsid w:val="00D106EA"/>
    <w:rsid w:val="00D10B06"/>
    <w:rsid w:val="00D10D04"/>
    <w:rsid w:val="00D10FC5"/>
    <w:rsid w:val="00D111E1"/>
    <w:rsid w:val="00D1139E"/>
    <w:rsid w:val="00D113BA"/>
    <w:rsid w:val="00D11A61"/>
    <w:rsid w:val="00D11BE3"/>
    <w:rsid w:val="00D11FA3"/>
    <w:rsid w:val="00D12945"/>
    <w:rsid w:val="00D1294F"/>
    <w:rsid w:val="00D12AD2"/>
    <w:rsid w:val="00D12DBD"/>
    <w:rsid w:val="00D12FD2"/>
    <w:rsid w:val="00D12FEA"/>
    <w:rsid w:val="00D134CB"/>
    <w:rsid w:val="00D1361A"/>
    <w:rsid w:val="00D13685"/>
    <w:rsid w:val="00D14D0C"/>
    <w:rsid w:val="00D151FD"/>
    <w:rsid w:val="00D15621"/>
    <w:rsid w:val="00D15B29"/>
    <w:rsid w:val="00D163E8"/>
    <w:rsid w:val="00D166A5"/>
    <w:rsid w:val="00D16CD9"/>
    <w:rsid w:val="00D16CF2"/>
    <w:rsid w:val="00D17355"/>
    <w:rsid w:val="00D17E07"/>
    <w:rsid w:val="00D20731"/>
    <w:rsid w:val="00D21059"/>
    <w:rsid w:val="00D2129C"/>
    <w:rsid w:val="00D2155B"/>
    <w:rsid w:val="00D21797"/>
    <w:rsid w:val="00D2196C"/>
    <w:rsid w:val="00D22125"/>
    <w:rsid w:val="00D223A1"/>
    <w:rsid w:val="00D23AD1"/>
    <w:rsid w:val="00D23ADE"/>
    <w:rsid w:val="00D24CE2"/>
    <w:rsid w:val="00D24F4B"/>
    <w:rsid w:val="00D253B8"/>
    <w:rsid w:val="00D25748"/>
    <w:rsid w:val="00D25ABF"/>
    <w:rsid w:val="00D265AC"/>
    <w:rsid w:val="00D26915"/>
    <w:rsid w:val="00D2739F"/>
    <w:rsid w:val="00D27ECE"/>
    <w:rsid w:val="00D301BB"/>
    <w:rsid w:val="00D3118D"/>
    <w:rsid w:val="00D3127C"/>
    <w:rsid w:val="00D31393"/>
    <w:rsid w:val="00D31566"/>
    <w:rsid w:val="00D3172D"/>
    <w:rsid w:val="00D31AD5"/>
    <w:rsid w:val="00D31AD9"/>
    <w:rsid w:val="00D31D4A"/>
    <w:rsid w:val="00D323D8"/>
    <w:rsid w:val="00D327BD"/>
    <w:rsid w:val="00D32AC8"/>
    <w:rsid w:val="00D34601"/>
    <w:rsid w:val="00D3469A"/>
    <w:rsid w:val="00D350F0"/>
    <w:rsid w:val="00D352E6"/>
    <w:rsid w:val="00D363CA"/>
    <w:rsid w:val="00D36FFC"/>
    <w:rsid w:val="00D371F7"/>
    <w:rsid w:val="00D3741D"/>
    <w:rsid w:val="00D37785"/>
    <w:rsid w:val="00D37795"/>
    <w:rsid w:val="00D37AB7"/>
    <w:rsid w:val="00D37FDC"/>
    <w:rsid w:val="00D40309"/>
    <w:rsid w:val="00D4052B"/>
    <w:rsid w:val="00D40808"/>
    <w:rsid w:val="00D40CB6"/>
    <w:rsid w:val="00D40F97"/>
    <w:rsid w:val="00D4151E"/>
    <w:rsid w:val="00D417F8"/>
    <w:rsid w:val="00D418CB"/>
    <w:rsid w:val="00D41EC1"/>
    <w:rsid w:val="00D42014"/>
    <w:rsid w:val="00D4282A"/>
    <w:rsid w:val="00D42EED"/>
    <w:rsid w:val="00D43FA4"/>
    <w:rsid w:val="00D43FFD"/>
    <w:rsid w:val="00D441A7"/>
    <w:rsid w:val="00D44A98"/>
    <w:rsid w:val="00D44BD6"/>
    <w:rsid w:val="00D459CB"/>
    <w:rsid w:val="00D461B4"/>
    <w:rsid w:val="00D4631C"/>
    <w:rsid w:val="00D4635D"/>
    <w:rsid w:val="00D46B77"/>
    <w:rsid w:val="00D47C51"/>
    <w:rsid w:val="00D50A8E"/>
    <w:rsid w:val="00D51BCC"/>
    <w:rsid w:val="00D52BC4"/>
    <w:rsid w:val="00D52BFF"/>
    <w:rsid w:val="00D538C0"/>
    <w:rsid w:val="00D53DE2"/>
    <w:rsid w:val="00D55279"/>
    <w:rsid w:val="00D55786"/>
    <w:rsid w:val="00D56153"/>
    <w:rsid w:val="00D565DA"/>
    <w:rsid w:val="00D56786"/>
    <w:rsid w:val="00D56BA4"/>
    <w:rsid w:val="00D5707A"/>
    <w:rsid w:val="00D600B1"/>
    <w:rsid w:val="00D60334"/>
    <w:rsid w:val="00D60957"/>
    <w:rsid w:val="00D6110C"/>
    <w:rsid w:val="00D61147"/>
    <w:rsid w:val="00D613EE"/>
    <w:rsid w:val="00D61967"/>
    <w:rsid w:val="00D61BD2"/>
    <w:rsid w:val="00D628B3"/>
    <w:rsid w:val="00D62FF3"/>
    <w:rsid w:val="00D62FF5"/>
    <w:rsid w:val="00D63436"/>
    <w:rsid w:val="00D636DE"/>
    <w:rsid w:val="00D63A02"/>
    <w:rsid w:val="00D63EA9"/>
    <w:rsid w:val="00D64B8B"/>
    <w:rsid w:val="00D6501C"/>
    <w:rsid w:val="00D654AE"/>
    <w:rsid w:val="00D65D90"/>
    <w:rsid w:val="00D65EF4"/>
    <w:rsid w:val="00D665E8"/>
    <w:rsid w:val="00D668EA"/>
    <w:rsid w:val="00D66B40"/>
    <w:rsid w:val="00D6778E"/>
    <w:rsid w:val="00D67A05"/>
    <w:rsid w:val="00D71072"/>
    <w:rsid w:val="00D71C72"/>
    <w:rsid w:val="00D737ED"/>
    <w:rsid w:val="00D73BE9"/>
    <w:rsid w:val="00D7484C"/>
    <w:rsid w:val="00D74CE3"/>
    <w:rsid w:val="00D74D5D"/>
    <w:rsid w:val="00D75058"/>
    <w:rsid w:val="00D7520C"/>
    <w:rsid w:val="00D75468"/>
    <w:rsid w:val="00D7585C"/>
    <w:rsid w:val="00D761B5"/>
    <w:rsid w:val="00D77060"/>
    <w:rsid w:val="00D77CA6"/>
    <w:rsid w:val="00D8028B"/>
    <w:rsid w:val="00D80D39"/>
    <w:rsid w:val="00D80FB6"/>
    <w:rsid w:val="00D81782"/>
    <w:rsid w:val="00D818FA"/>
    <w:rsid w:val="00D81B0D"/>
    <w:rsid w:val="00D81E08"/>
    <w:rsid w:val="00D81F51"/>
    <w:rsid w:val="00D835D6"/>
    <w:rsid w:val="00D8390A"/>
    <w:rsid w:val="00D83B33"/>
    <w:rsid w:val="00D83BEB"/>
    <w:rsid w:val="00D83CFC"/>
    <w:rsid w:val="00D845AB"/>
    <w:rsid w:val="00D84791"/>
    <w:rsid w:val="00D85686"/>
    <w:rsid w:val="00D85766"/>
    <w:rsid w:val="00D857D9"/>
    <w:rsid w:val="00D86A3C"/>
    <w:rsid w:val="00D86BC4"/>
    <w:rsid w:val="00D877EE"/>
    <w:rsid w:val="00D90123"/>
    <w:rsid w:val="00D90476"/>
    <w:rsid w:val="00D90D7F"/>
    <w:rsid w:val="00D90ED2"/>
    <w:rsid w:val="00D912E8"/>
    <w:rsid w:val="00D913EB"/>
    <w:rsid w:val="00D9158F"/>
    <w:rsid w:val="00D923EE"/>
    <w:rsid w:val="00D925DC"/>
    <w:rsid w:val="00D92695"/>
    <w:rsid w:val="00D92ACA"/>
    <w:rsid w:val="00D92FEC"/>
    <w:rsid w:val="00D94074"/>
    <w:rsid w:val="00D94B8D"/>
    <w:rsid w:val="00D94C66"/>
    <w:rsid w:val="00D96CD5"/>
    <w:rsid w:val="00D96E2F"/>
    <w:rsid w:val="00DA00D4"/>
    <w:rsid w:val="00DA0CA6"/>
    <w:rsid w:val="00DA2176"/>
    <w:rsid w:val="00DA29D1"/>
    <w:rsid w:val="00DA2A78"/>
    <w:rsid w:val="00DA2BD8"/>
    <w:rsid w:val="00DA2E23"/>
    <w:rsid w:val="00DA30BB"/>
    <w:rsid w:val="00DA352F"/>
    <w:rsid w:val="00DA3550"/>
    <w:rsid w:val="00DA3B0B"/>
    <w:rsid w:val="00DA47E1"/>
    <w:rsid w:val="00DA4946"/>
    <w:rsid w:val="00DA4C4A"/>
    <w:rsid w:val="00DA4D9C"/>
    <w:rsid w:val="00DA56E8"/>
    <w:rsid w:val="00DA59CB"/>
    <w:rsid w:val="00DA5BC4"/>
    <w:rsid w:val="00DA5CBB"/>
    <w:rsid w:val="00DA7278"/>
    <w:rsid w:val="00DA7AAD"/>
    <w:rsid w:val="00DB039C"/>
    <w:rsid w:val="00DB0442"/>
    <w:rsid w:val="00DB0978"/>
    <w:rsid w:val="00DB3275"/>
    <w:rsid w:val="00DB32FD"/>
    <w:rsid w:val="00DB3710"/>
    <w:rsid w:val="00DB4D1C"/>
    <w:rsid w:val="00DB51FF"/>
    <w:rsid w:val="00DB65AA"/>
    <w:rsid w:val="00DB6D19"/>
    <w:rsid w:val="00DB6F79"/>
    <w:rsid w:val="00DB79ED"/>
    <w:rsid w:val="00DC00C6"/>
    <w:rsid w:val="00DC0136"/>
    <w:rsid w:val="00DC136A"/>
    <w:rsid w:val="00DC2307"/>
    <w:rsid w:val="00DC2C2A"/>
    <w:rsid w:val="00DC317E"/>
    <w:rsid w:val="00DC3808"/>
    <w:rsid w:val="00DC4300"/>
    <w:rsid w:val="00DC4898"/>
    <w:rsid w:val="00DC4902"/>
    <w:rsid w:val="00DC4D95"/>
    <w:rsid w:val="00DC5096"/>
    <w:rsid w:val="00DC5343"/>
    <w:rsid w:val="00DC5E73"/>
    <w:rsid w:val="00DC628B"/>
    <w:rsid w:val="00DC6339"/>
    <w:rsid w:val="00DC6A79"/>
    <w:rsid w:val="00DC6CAA"/>
    <w:rsid w:val="00DC74BE"/>
    <w:rsid w:val="00DC7C92"/>
    <w:rsid w:val="00DC7FE8"/>
    <w:rsid w:val="00DD00CE"/>
    <w:rsid w:val="00DD05D0"/>
    <w:rsid w:val="00DD1618"/>
    <w:rsid w:val="00DD18C5"/>
    <w:rsid w:val="00DD1B74"/>
    <w:rsid w:val="00DD1F18"/>
    <w:rsid w:val="00DD2370"/>
    <w:rsid w:val="00DD291F"/>
    <w:rsid w:val="00DD2DB9"/>
    <w:rsid w:val="00DD2E95"/>
    <w:rsid w:val="00DD3C29"/>
    <w:rsid w:val="00DD44DD"/>
    <w:rsid w:val="00DD4557"/>
    <w:rsid w:val="00DD4809"/>
    <w:rsid w:val="00DD5006"/>
    <w:rsid w:val="00DD50F9"/>
    <w:rsid w:val="00DD6259"/>
    <w:rsid w:val="00DD6A9C"/>
    <w:rsid w:val="00DD7C7D"/>
    <w:rsid w:val="00DD7F34"/>
    <w:rsid w:val="00DD7F87"/>
    <w:rsid w:val="00DE04E7"/>
    <w:rsid w:val="00DE0954"/>
    <w:rsid w:val="00DE0C08"/>
    <w:rsid w:val="00DE0C96"/>
    <w:rsid w:val="00DE0C9F"/>
    <w:rsid w:val="00DE1909"/>
    <w:rsid w:val="00DE1D4A"/>
    <w:rsid w:val="00DE1E85"/>
    <w:rsid w:val="00DE2C4E"/>
    <w:rsid w:val="00DE44CE"/>
    <w:rsid w:val="00DE44DE"/>
    <w:rsid w:val="00DE4926"/>
    <w:rsid w:val="00DE4E83"/>
    <w:rsid w:val="00DE5072"/>
    <w:rsid w:val="00DE51DE"/>
    <w:rsid w:val="00DE57CF"/>
    <w:rsid w:val="00DE5C3A"/>
    <w:rsid w:val="00DE5FE1"/>
    <w:rsid w:val="00DE6596"/>
    <w:rsid w:val="00DE6F2A"/>
    <w:rsid w:val="00DE6FB7"/>
    <w:rsid w:val="00DE7EBE"/>
    <w:rsid w:val="00DF055C"/>
    <w:rsid w:val="00DF06F3"/>
    <w:rsid w:val="00DF0D1B"/>
    <w:rsid w:val="00DF0D77"/>
    <w:rsid w:val="00DF1987"/>
    <w:rsid w:val="00DF23D0"/>
    <w:rsid w:val="00DF25F9"/>
    <w:rsid w:val="00DF29F2"/>
    <w:rsid w:val="00DF3556"/>
    <w:rsid w:val="00DF3A22"/>
    <w:rsid w:val="00DF41E1"/>
    <w:rsid w:val="00DF4442"/>
    <w:rsid w:val="00DF48E7"/>
    <w:rsid w:val="00DF49DA"/>
    <w:rsid w:val="00DF4FE9"/>
    <w:rsid w:val="00DF50B7"/>
    <w:rsid w:val="00DF6B60"/>
    <w:rsid w:val="00E008F0"/>
    <w:rsid w:val="00E00C03"/>
    <w:rsid w:val="00E00E18"/>
    <w:rsid w:val="00E013CC"/>
    <w:rsid w:val="00E016FD"/>
    <w:rsid w:val="00E0251F"/>
    <w:rsid w:val="00E045BD"/>
    <w:rsid w:val="00E04850"/>
    <w:rsid w:val="00E04C1D"/>
    <w:rsid w:val="00E04DF6"/>
    <w:rsid w:val="00E05745"/>
    <w:rsid w:val="00E066C8"/>
    <w:rsid w:val="00E06815"/>
    <w:rsid w:val="00E06BD3"/>
    <w:rsid w:val="00E06D0F"/>
    <w:rsid w:val="00E07D70"/>
    <w:rsid w:val="00E1029F"/>
    <w:rsid w:val="00E10E48"/>
    <w:rsid w:val="00E11D49"/>
    <w:rsid w:val="00E12871"/>
    <w:rsid w:val="00E1291C"/>
    <w:rsid w:val="00E1318B"/>
    <w:rsid w:val="00E13510"/>
    <w:rsid w:val="00E13671"/>
    <w:rsid w:val="00E13B0E"/>
    <w:rsid w:val="00E163DF"/>
    <w:rsid w:val="00E16ED0"/>
    <w:rsid w:val="00E170ED"/>
    <w:rsid w:val="00E17DEE"/>
    <w:rsid w:val="00E20CC2"/>
    <w:rsid w:val="00E20D3B"/>
    <w:rsid w:val="00E20DD4"/>
    <w:rsid w:val="00E21330"/>
    <w:rsid w:val="00E2147D"/>
    <w:rsid w:val="00E22471"/>
    <w:rsid w:val="00E23227"/>
    <w:rsid w:val="00E23A9C"/>
    <w:rsid w:val="00E24084"/>
    <w:rsid w:val="00E24292"/>
    <w:rsid w:val="00E245F3"/>
    <w:rsid w:val="00E24C13"/>
    <w:rsid w:val="00E24C8D"/>
    <w:rsid w:val="00E24F23"/>
    <w:rsid w:val="00E27326"/>
    <w:rsid w:val="00E30488"/>
    <w:rsid w:val="00E30B8C"/>
    <w:rsid w:val="00E31417"/>
    <w:rsid w:val="00E332BE"/>
    <w:rsid w:val="00E336C0"/>
    <w:rsid w:val="00E336FF"/>
    <w:rsid w:val="00E3541C"/>
    <w:rsid w:val="00E3716D"/>
    <w:rsid w:val="00E37C87"/>
    <w:rsid w:val="00E40897"/>
    <w:rsid w:val="00E412F0"/>
    <w:rsid w:val="00E417B9"/>
    <w:rsid w:val="00E419E5"/>
    <w:rsid w:val="00E41F70"/>
    <w:rsid w:val="00E42EE8"/>
    <w:rsid w:val="00E43260"/>
    <w:rsid w:val="00E441B6"/>
    <w:rsid w:val="00E443AD"/>
    <w:rsid w:val="00E445EE"/>
    <w:rsid w:val="00E449F9"/>
    <w:rsid w:val="00E45046"/>
    <w:rsid w:val="00E45174"/>
    <w:rsid w:val="00E45FF1"/>
    <w:rsid w:val="00E474B9"/>
    <w:rsid w:val="00E47E99"/>
    <w:rsid w:val="00E50245"/>
    <w:rsid w:val="00E508B7"/>
    <w:rsid w:val="00E508C0"/>
    <w:rsid w:val="00E51A92"/>
    <w:rsid w:val="00E5229C"/>
    <w:rsid w:val="00E52521"/>
    <w:rsid w:val="00E530D5"/>
    <w:rsid w:val="00E53441"/>
    <w:rsid w:val="00E53903"/>
    <w:rsid w:val="00E53EF8"/>
    <w:rsid w:val="00E541A9"/>
    <w:rsid w:val="00E54472"/>
    <w:rsid w:val="00E55520"/>
    <w:rsid w:val="00E555BA"/>
    <w:rsid w:val="00E55D7B"/>
    <w:rsid w:val="00E55F42"/>
    <w:rsid w:val="00E56040"/>
    <w:rsid w:val="00E567D8"/>
    <w:rsid w:val="00E60252"/>
    <w:rsid w:val="00E60958"/>
    <w:rsid w:val="00E61570"/>
    <w:rsid w:val="00E619C5"/>
    <w:rsid w:val="00E6266E"/>
    <w:rsid w:val="00E62834"/>
    <w:rsid w:val="00E62F06"/>
    <w:rsid w:val="00E63C91"/>
    <w:rsid w:val="00E6460C"/>
    <w:rsid w:val="00E65B4D"/>
    <w:rsid w:val="00E65D64"/>
    <w:rsid w:val="00E667DB"/>
    <w:rsid w:val="00E670F9"/>
    <w:rsid w:val="00E672F0"/>
    <w:rsid w:val="00E67A7E"/>
    <w:rsid w:val="00E67F67"/>
    <w:rsid w:val="00E7018D"/>
    <w:rsid w:val="00E709A2"/>
    <w:rsid w:val="00E70FEC"/>
    <w:rsid w:val="00E726DC"/>
    <w:rsid w:val="00E72A0B"/>
    <w:rsid w:val="00E72BB5"/>
    <w:rsid w:val="00E72EB8"/>
    <w:rsid w:val="00E7353C"/>
    <w:rsid w:val="00E73A2E"/>
    <w:rsid w:val="00E742C0"/>
    <w:rsid w:val="00E75050"/>
    <w:rsid w:val="00E750D3"/>
    <w:rsid w:val="00E75DA3"/>
    <w:rsid w:val="00E76756"/>
    <w:rsid w:val="00E76A5C"/>
    <w:rsid w:val="00E77063"/>
    <w:rsid w:val="00E771A3"/>
    <w:rsid w:val="00E77411"/>
    <w:rsid w:val="00E77920"/>
    <w:rsid w:val="00E77D16"/>
    <w:rsid w:val="00E77F75"/>
    <w:rsid w:val="00E800C9"/>
    <w:rsid w:val="00E80C04"/>
    <w:rsid w:val="00E80DEC"/>
    <w:rsid w:val="00E81582"/>
    <w:rsid w:val="00E82FE6"/>
    <w:rsid w:val="00E83351"/>
    <w:rsid w:val="00E838E8"/>
    <w:rsid w:val="00E841C0"/>
    <w:rsid w:val="00E85225"/>
    <w:rsid w:val="00E85266"/>
    <w:rsid w:val="00E85584"/>
    <w:rsid w:val="00E86518"/>
    <w:rsid w:val="00E86B56"/>
    <w:rsid w:val="00E86CE3"/>
    <w:rsid w:val="00E86EB1"/>
    <w:rsid w:val="00E86F22"/>
    <w:rsid w:val="00E87213"/>
    <w:rsid w:val="00E8743E"/>
    <w:rsid w:val="00E87548"/>
    <w:rsid w:val="00E91DFD"/>
    <w:rsid w:val="00E9277B"/>
    <w:rsid w:val="00E92C4B"/>
    <w:rsid w:val="00E92D01"/>
    <w:rsid w:val="00E93277"/>
    <w:rsid w:val="00E9424F"/>
    <w:rsid w:val="00E94566"/>
    <w:rsid w:val="00E949DB"/>
    <w:rsid w:val="00E95144"/>
    <w:rsid w:val="00E954E9"/>
    <w:rsid w:val="00E970C8"/>
    <w:rsid w:val="00E9725D"/>
    <w:rsid w:val="00E979A3"/>
    <w:rsid w:val="00E97A68"/>
    <w:rsid w:val="00EA1898"/>
    <w:rsid w:val="00EA1ADB"/>
    <w:rsid w:val="00EA1DD0"/>
    <w:rsid w:val="00EA2129"/>
    <w:rsid w:val="00EA22C0"/>
    <w:rsid w:val="00EA2494"/>
    <w:rsid w:val="00EA2A5E"/>
    <w:rsid w:val="00EA35DF"/>
    <w:rsid w:val="00EA3966"/>
    <w:rsid w:val="00EA3B11"/>
    <w:rsid w:val="00EA4767"/>
    <w:rsid w:val="00EA4C3B"/>
    <w:rsid w:val="00EA5468"/>
    <w:rsid w:val="00EA5812"/>
    <w:rsid w:val="00EA5927"/>
    <w:rsid w:val="00EA5A3D"/>
    <w:rsid w:val="00EA61D6"/>
    <w:rsid w:val="00EA6788"/>
    <w:rsid w:val="00EB012C"/>
    <w:rsid w:val="00EB1E5E"/>
    <w:rsid w:val="00EB215F"/>
    <w:rsid w:val="00EB2DF3"/>
    <w:rsid w:val="00EB33E5"/>
    <w:rsid w:val="00EB39F5"/>
    <w:rsid w:val="00EB405D"/>
    <w:rsid w:val="00EB428A"/>
    <w:rsid w:val="00EB4331"/>
    <w:rsid w:val="00EB4D6B"/>
    <w:rsid w:val="00EB4FCB"/>
    <w:rsid w:val="00EB61A1"/>
    <w:rsid w:val="00EB7281"/>
    <w:rsid w:val="00EB7536"/>
    <w:rsid w:val="00EB7952"/>
    <w:rsid w:val="00EC0515"/>
    <w:rsid w:val="00EC0964"/>
    <w:rsid w:val="00EC0D05"/>
    <w:rsid w:val="00EC0E96"/>
    <w:rsid w:val="00EC29BC"/>
    <w:rsid w:val="00EC2B52"/>
    <w:rsid w:val="00EC2BA8"/>
    <w:rsid w:val="00EC2EDC"/>
    <w:rsid w:val="00EC36EB"/>
    <w:rsid w:val="00EC3CE4"/>
    <w:rsid w:val="00EC5194"/>
    <w:rsid w:val="00EC5A2A"/>
    <w:rsid w:val="00EC5EC1"/>
    <w:rsid w:val="00EC62FC"/>
    <w:rsid w:val="00EC6D4C"/>
    <w:rsid w:val="00EC737D"/>
    <w:rsid w:val="00EC7590"/>
    <w:rsid w:val="00EC7C09"/>
    <w:rsid w:val="00EC7D3B"/>
    <w:rsid w:val="00ED0BC0"/>
    <w:rsid w:val="00ED0D84"/>
    <w:rsid w:val="00ED0DF8"/>
    <w:rsid w:val="00ED13AD"/>
    <w:rsid w:val="00ED1776"/>
    <w:rsid w:val="00ED1BA6"/>
    <w:rsid w:val="00ED2121"/>
    <w:rsid w:val="00ED2735"/>
    <w:rsid w:val="00ED2975"/>
    <w:rsid w:val="00ED2CE0"/>
    <w:rsid w:val="00ED3016"/>
    <w:rsid w:val="00ED47E1"/>
    <w:rsid w:val="00ED48D9"/>
    <w:rsid w:val="00ED4CD3"/>
    <w:rsid w:val="00ED4D40"/>
    <w:rsid w:val="00ED50CC"/>
    <w:rsid w:val="00ED6865"/>
    <w:rsid w:val="00ED6DD5"/>
    <w:rsid w:val="00EE03EE"/>
    <w:rsid w:val="00EE0608"/>
    <w:rsid w:val="00EE0BF7"/>
    <w:rsid w:val="00EE0E48"/>
    <w:rsid w:val="00EE1533"/>
    <w:rsid w:val="00EE1C3C"/>
    <w:rsid w:val="00EE1D82"/>
    <w:rsid w:val="00EE1E37"/>
    <w:rsid w:val="00EE235E"/>
    <w:rsid w:val="00EE23CD"/>
    <w:rsid w:val="00EE2ACF"/>
    <w:rsid w:val="00EE351C"/>
    <w:rsid w:val="00EE3D5B"/>
    <w:rsid w:val="00EE3F83"/>
    <w:rsid w:val="00EE4151"/>
    <w:rsid w:val="00EE434F"/>
    <w:rsid w:val="00EE45E6"/>
    <w:rsid w:val="00EE48BE"/>
    <w:rsid w:val="00EE502A"/>
    <w:rsid w:val="00EE50A0"/>
    <w:rsid w:val="00EE50CC"/>
    <w:rsid w:val="00EE5D8E"/>
    <w:rsid w:val="00EE5F87"/>
    <w:rsid w:val="00EE63CB"/>
    <w:rsid w:val="00EE684D"/>
    <w:rsid w:val="00EE6D06"/>
    <w:rsid w:val="00EE72BB"/>
    <w:rsid w:val="00EE7556"/>
    <w:rsid w:val="00EE7AAB"/>
    <w:rsid w:val="00EE7DE6"/>
    <w:rsid w:val="00EE7F4F"/>
    <w:rsid w:val="00EF079A"/>
    <w:rsid w:val="00EF0FB8"/>
    <w:rsid w:val="00EF1A28"/>
    <w:rsid w:val="00EF1FD8"/>
    <w:rsid w:val="00EF22E1"/>
    <w:rsid w:val="00EF259B"/>
    <w:rsid w:val="00EF291E"/>
    <w:rsid w:val="00EF2C61"/>
    <w:rsid w:val="00EF336F"/>
    <w:rsid w:val="00EF3687"/>
    <w:rsid w:val="00EF3B9C"/>
    <w:rsid w:val="00EF3C26"/>
    <w:rsid w:val="00EF3CAC"/>
    <w:rsid w:val="00EF3E22"/>
    <w:rsid w:val="00EF408B"/>
    <w:rsid w:val="00EF4107"/>
    <w:rsid w:val="00EF43B6"/>
    <w:rsid w:val="00EF449A"/>
    <w:rsid w:val="00EF5E9A"/>
    <w:rsid w:val="00EF5F34"/>
    <w:rsid w:val="00EF7234"/>
    <w:rsid w:val="00EF7380"/>
    <w:rsid w:val="00F006F3"/>
    <w:rsid w:val="00F00B39"/>
    <w:rsid w:val="00F010C6"/>
    <w:rsid w:val="00F01384"/>
    <w:rsid w:val="00F0165D"/>
    <w:rsid w:val="00F017FC"/>
    <w:rsid w:val="00F028DB"/>
    <w:rsid w:val="00F02BC5"/>
    <w:rsid w:val="00F02C47"/>
    <w:rsid w:val="00F02CE4"/>
    <w:rsid w:val="00F02D08"/>
    <w:rsid w:val="00F0344C"/>
    <w:rsid w:val="00F0496B"/>
    <w:rsid w:val="00F04D7A"/>
    <w:rsid w:val="00F053B5"/>
    <w:rsid w:val="00F05456"/>
    <w:rsid w:val="00F056D9"/>
    <w:rsid w:val="00F05B02"/>
    <w:rsid w:val="00F06F4B"/>
    <w:rsid w:val="00F07842"/>
    <w:rsid w:val="00F07D99"/>
    <w:rsid w:val="00F102FB"/>
    <w:rsid w:val="00F10855"/>
    <w:rsid w:val="00F109FE"/>
    <w:rsid w:val="00F10B7E"/>
    <w:rsid w:val="00F112B2"/>
    <w:rsid w:val="00F121B8"/>
    <w:rsid w:val="00F12C42"/>
    <w:rsid w:val="00F14347"/>
    <w:rsid w:val="00F15F39"/>
    <w:rsid w:val="00F16422"/>
    <w:rsid w:val="00F16610"/>
    <w:rsid w:val="00F16734"/>
    <w:rsid w:val="00F174DE"/>
    <w:rsid w:val="00F179A3"/>
    <w:rsid w:val="00F20005"/>
    <w:rsid w:val="00F20820"/>
    <w:rsid w:val="00F20DE4"/>
    <w:rsid w:val="00F21185"/>
    <w:rsid w:val="00F21C1C"/>
    <w:rsid w:val="00F21CFB"/>
    <w:rsid w:val="00F22764"/>
    <w:rsid w:val="00F22B3E"/>
    <w:rsid w:val="00F234D7"/>
    <w:rsid w:val="00F23A7B"/>
    <w:rsid w:val="00F23C57"/>
    <w:rsid w:val="00F23CBE"/>
    <w:rsid w:val="00F24153"/>
    <w:rsid w:val="00F244D7"/>
    <w:rsid w:val="00F246A9"/>
    <w:rsid w:val="00F2474F"/>
    <w:rsid w:val="00F257B5"/>
    <w:rsid w:val="00F25934"/>
    <w:rsid w:val="00F25AF8"/>
    <w:rsid w:val="00F25BC9"/>
    <w:rsid w:val="00F261E3"/>
    <w:rsid w:val="00F26803"/>
    <w:rsid w:val="00F2697E"/>
    <w:rsid w:val="00F26B48"/>
    <w:rsid w:val="00F279F9"/>
    <w:rsid w:val="00F27B59"/>
    <w:rsid w:val="00F27E03"/>
    <w:rsid w:val="00F27F2E"/>
    <w:rsid w:val="00F30019"/>
    <w:rsid w:val="00F308C0"/>
    <w:rsid w:val="00F30925"/>
    <w:rsid w:val="00F30C44"/>
    <w:rsid w:val="00F31060"/>
    <w:rsid w:val="00F318E1"/>
    <w:rsid w:val="00F31DD2"/>
    <w:rsid w:val="00F3240F"/>
    <w:rsid w:val="00F32907"/>
    <w:rsid w:val="00F33D23"/>
    <w:rsid w:val="00F34072"/>
    <w:rsid w:val="00F34AEA"/>
    <w:rsid w:val="00F34BD7"/>
    <w:rsid w:val="00F34DF4"/>
    <w:rsid w:val="00F350DF"/>
    <w:rsid w:val="00F3667B"/>
    <w:rsid w:val="00F37397"/>
    <w:rsid w:val="00F377AB"/>
    <w:rsid w:val="00F402BF"/>
    <w:rsid w:val="00F4058A"/>
    <w:rsid w:val="00F4122B"/>
    <w:rsid w:val="00F419C6"/>
    <w:rsid w:val="00F41AC6"/>
    <w:rsid w:val="00F42A11"/>
    <w:rsid w:val="00F42A36"/>
    <w:rsid w:val="00F42A49"/>
    <w:rsid w:val="00F42C20"/>
    <w:rsid w:val="00F43419"/>
    <w:rsid w:val="00F44774"/>
    <w:rsid w:val="00F44A9D"/>
    <w:rsid w:val="00F44B2A"/>
    <w:rsid w:val="00F4527C"/>
    <w:rsid w:val="00F458FB"/>
    <w:rsid w:val="00F461A4"/>
    <w:rsid w:val="00F463CF"/>
    <w:rsid w:val="00F46862"/>
    <w:rsid w:val="00F51351"/>
    <w:rsid w:val="00F51475"/>
    <w:rsid w:val="00F51532"/>
    <w:rsid w:val="00F51576"/>
    <w:rsid w:val="00F51DBA"/>
    <w:rsid w:val="00F51E87"/>
    <w:rsid w:val="00F51EC9"/>
    <w:rsid w:val="00F52819"/>
    <w:rsid w:val="00F53098"/>
    <w:rsid w:val="00F54485"/>
    <w:rsid w:val="00F5458F"/>
    <w:rsid w:val="00F5480D"/>
    <w:rsid w:val="00F548A3"/>
    <w:rsid w:val="00F54936"/>
    <w:rsid w:val="00F54C5F"/>
    <w:rsid w:val="00F55169"/>
    <w:rsid w:val="00F55B6F"/>
    <w:rsid w:val="00F56C65"/>
    <w:rsid w:val="00F5756B"/>
    <w:rsid w:val="00F575D3"/>
    <w:rsid w:val="00F57C44"/>
    <w:rsid w:val="00F57D80"/>
    <w:rsid w:val="00F607C3"/>
    <w:rsid w:val="00F60C30"/>
    <w:rsid w:val="00F60F3C"/>
    <w:rsid w:val="00F61352"/>
    <w:rsid w:val="00F61AA6"/>
    <w:rsid w:val="00F622ED"/>
    <w:rsid w:val="00F623E9"/>
    <w:rsid w:val="00F624AA"/>
    <w:rsid w:val="00F624E6"/>
    <w:rsid w:val="00F62A68"/>
    <w:rsid w:val="00F6361A"/>
    <w:rsid w:val="00F639F8"/>
    <w:rsid w:val="00F63B07"/>
    <w:rsid w:val="00F63D51"/>
    <w:rsid w:val="00F64B4D"/>
    <w:rsid w:val="00F6556E"/>
    <w:rsid w:val="00F65884"/>
    <w:rsid w:val="00F6602A"/>
    <w:rsid w:val="00F66892"/>
    <w:rsid w:val="00F66AC4"/>
    <w:rsid w:val="00F66DF2"/>
    <w:rsid w:val="00F6748D"/>
    <w:rsid w:val="00F67C74"/>
    <w:rsid w:val="00F701C2"/>
    <w:rsid w:val="00F702F7"/>
    <w:rsid w:val="00F70529"/>
    <w:rsid w:val="00F71445"/>
    <w:rsid w:val="00F7148D"/>
    <w:rsid w:val="00F71763"/>
    <w:rsid w:val="00F72FF1"/>
    <w:rsid w:val="00F7345A"/>
    <w:rsid w:val="00F74E8D"/>
    <w:rsid w:val="00F7543A"/>
    <w:rsid w:val="00F76347"/>
    <w:rsid w:val="00F76980"/>
    <w:rsid w:val="00F77FD7"/>
    <w:rsid w:val="00F81155"/>
    <w:rsid w:val="00F81EA8"/>
    <w:rsid w:val="00F82356"/>
    <w:rsid w:val="00F827CC"/>
    <w:rsid w:val="00F82B11"/>
    <w:rsid w:val="00F82F38"/>
    <w:rsid w:val="00F83165"/>
    <w:rsid w:val="00F83EF5"/>
    <w:rsid w:val="00F83F0A"/>
    <w:rsid w:val="00F85309"/>
    <w:rsid w:val="00F85CA7"/>
    <w:rsid w:val="00F85D0C"/>
    <w:rsid w:val="00F85EC3"/>
    <w:rsid w:val="00F860F1"/>
    <w:rsid w:val="00F865C2"/>
    <w:rsid w:val="00F86A28"/>
    <w:rsid w:val="00F86A40"/>
    <w:rsid w:val="00F86A5B"/>
    <w:rsid w:val="00F86F0D"/>
    <w:rsid w:val="00F87AB0"/>
    <w:rsid w:val="00F9084B"/>
    <w:rsid w:val="00F90CA7"/>
    <w:rsid w:val="00F91588"/>
    <w:rsid w:val="00F9172A"/>
    <w:rsid w:val="00F9183E"/>
    <w:rsid w:val="00F91BC6"/>
    <w:rsid w:val="00F92B5A"/>
    <w:rsid w:val="00F92D14"/>
    <w:rsid w:val="00F92FE1"/>
    <w:rsid w:val="00F93479"/>
    <w:rsid w:val="00F93A30"/>
    <w:rsid w:val="00F94934"/>
    <w:rsid w:val="00F94BEB"/>
    <w:rsid w:val="00F9545F"/>
    <w:rsid w:val="00F9596C"/>
    <w:rsid w:val="00F95FEE"/>
    <w:rsid w:val="00F96478"/>
    <w:rsid w:val="00F965E5"/>
    <w:rsid w:val="00F967F8"/>
    <w:rsid w:val="00F96C1E"/>
    <w:rsid w:val="00F96D07"/>
    <w:rsid w:val="00F9725D"/>
    <w:rsid w:val="00F974C5"/>
    <w:rsid w:val="00FA0174"/>
    <w:rsid w:val="00FA1802"/>
    <w:rsid w:val="00FA18F1"/>
    <w:rsid w:val="00FA2046"/>
    <w:rsid w:val="00FA2F0D"/>
    <w:rsid w:val="00FA3241"/>
    <w:rsid w:val="00FA3829"/>
    <w:rsid w:val="00FA4C7E"/>
    <w:rsid w:val="00FA4DDE"/>
    <w:rsid w:val="00FA52BA"/>
    <w:rsid w:val="00FA577D"/>
    <w:rsid w:val="00FA58D7"/>
    <w:rsid w:val="00FA5C3B"/>
    <w:rsid w:val="00FA6774"/>
    <w:rsid w:val="00FA6825"/>
    <w:rsid w:val="00FA6B15"/>
    <w:rsid w:val="00FA6D42"/>
    <w:rsid w:val="00FA77D9"/>
    <w:rsid w:val="00FA797E"/>
    <w:rsid w:val="00FA79D6"/>
    <w:rsid w:val="00FB02E2"/>
    <w:rsid w:val="00FB074D"/>
    <w:rsid w:val="00FB11EC"/>
    <w:rsid w:val="00FB13E4"/>
    <w:rsid w:val="00FB1909"/>
    <w:rsid w:val="00FB19BB"/>
    <w:rsid w:val="00FB1D45"/>
    <w:rsid w:val="00FB282C"/>
    <w:rsid w:val="00FB28EE"/>
    <w:rsid w:val="00FB2D28"/>
    <w:rsid w:val="00FB3A6F"/>
    <w:rsid w:val="00FB3ECD"/>
    <w:rsid w:val="00FB42C4"/>
    <w:rsid w:val="00FB54DA"/>
    <w:rsid w:val="00FB5ACA"/>
    <w:rsid w:val="00FB6B5C"/>
    <w:rsid w:val="00FB7E27"/>
    <w:rsid w:val="00FC0AD0"/>
    <w:rsid w:val="00FC0F91"/>
    <w:rsid w:val="00FC118D"/>
    <w:rsid w:val="00FC1950"/>
    <w:rsid w:val="00FC1CA0"/>
    <w:rsid w:val="00FC2DD3"/>
    <w:rsid w:val="00FC37C3"/>
    <w:rsid w:val="00FC3803"/>
    <w:rsid w:val="00FC383E"/>
    <w:rsid w:val="00FC3D2B"/>
    <w:rsid w:val="00FC3E25"/>
    <w:rsid w:val="00FC4BBE"/>
    <w:rsid w:val="00FC4BC8"/>
    <w:rsid w:val="00FC4FD8"/>
    <w:rsid w:val="00FC58E7"/>
    <w:rsid w:val="00FC5C2B"/>
    <w:rsid w:val="00FC5EA2"/>
    <w:rsid w:val="00FC6765"/>
    <w:rsid w:val="00FC749E"/>
    <w:rsid w:val="00FC7AD0"/>
    <w:rsid w:val="00FC7AD8"/>
    <w:rsid w:val="00FC7E8E"/>
    <w:rsid w:val="00FD04A5"/>
    <w:rsid w:val="00FD04C7"/>
    <w:rsid w:val="00FD077F"/>
    <w:rsid w:val="00FD0DF2"/>
    <w:rsid w:val="00FD1130"/>
    <w:rsid w:val="00FD1675"/>
    <w:rsid w:val="00FD1C7B"/>
    <w:rsid w:val="00FD2B51"/>
    <w:rsid w:val="00FD3086"/>
    <w:rsid w:val="00FD40DF"/>
    <w:rsid w:val="00FD4E9F"/>
    <w:rsid w:val="00FD6343"/>
    <w:rsid w:val="00FD6AA1"/>
    <w:rsid w:val="00FD743A"/>
    <w:rsid w:val="00FD7539"/>
    <w:rsid w:val="00FD7902"/>
    <w:rsid w:val="00FD7B68"/>
    <w:rsid w:val="00FD7BEE"/>
    <w:rsid w:val="00FE0760"/>
    <w:rsid w:val="00FE2967"/>
    <w:rsid w:val="00FE2DA0"/>
    <w:rsid w:val="00FE3184"/>
    <w:rsid w:val="00FE5D62"/>
    <w:rsid w:val="00FE6B07"/>
    <w:rsid w:val="00FE6B97"/>
    <w:rsid w:val="00FE7289"/>
    <w:rsid w:val="00FE7B57"/>
    <w:rsid w:val="00FF0924"/>
    <w:rsid w:val="00FF0E46"/>
    <w:rsid w:val="00FF0FCE"/>
    <w:rsid w:val="00FF1628"/>
    <w:rsid w:val="00FF1717"/>
    <w:rsid w:val="00FF1755"/>
    <w:rsid w:val="00FF1CA2"/>
    <w:rsid w:val="00FF2189"/>
    <w:rsid w:val="00FF21BD"/>
    <w:rsid w:val="00FF24F6"/>
    <w:rsid w:val="00FF4D25"/>
    <w:rsid w:val="00FF56BC"/>
    <w:rsid w:val="00FF6A3A"/>
    <w:rsid w:val="00FF6F07"/>
    <w:rsid w:val="00FF7655"/>
    <w:rsid w:val="01195CAD"/>
    <w:rsid w:val="02777BFD"/>
    <w:rsid w:val="02D70BBC"/>
    <w:rsid w:val="02EB05EB"/>
    <w:rsid w:val="033A3447"/>
    <w:rsid w:val="04212517"/>
    <w:rsid w:val="046A2609"/>
    <w:rsid w:val="04C35BB6"/>
    <w:rsid w:val="05812B41"/>
    <w:rsid w:val="05BD626F"/>
    <w:rsid w:val="06394017"/>
    <w:rsid w:val="06A74829"/>
    <w:rsid w:val="07043363"/>
    <w:rsid w:val="077227F5"/>
    <w:rsid w:val="083A7CC8"/>
    <w:rsid w:val="08962DA7"/>
    <w:rsid w:val="09F71624"/>
    <w:rsid w:val="0A4F4DA1"/>
    <w:rsid w:val="0B8A0C16"/>
    <w:rsid w:val="0BDC13D1"/>
    <w:rsid w:val="0C50326D"/>
    <w:rsid w:val="0C554FCB"/>
    <w:rsid w:val="0D014C6A"/>
    <w:rsid w:val="0D03191D"/>
    <w:rsid w:val="0D424F63"/>
    <w:rsid w:val="0D7F3E0A"/>
    <w:rsid w:val="0DC844B2"/>
    <w:rsid w:val="0DEB2079"/>
    <w:rsid w:val="0E2520B0"/>
    <w:rsid w:val="0E5275F4"/>
    <w:rsid w:val="0E664FCA"/>
    <w:rsid w:val="0EF435C5"/>
    <w:rsid w:val="0F0457B1"/>
    <w:rsid w:val="0F0C5B71"/>
    <w:rsid w:val="103C4234"/>
    <w:rsid w:val="11737CC0"/>
    <w:rsid w:val="12B05511"/>
    <w:rsid w:val="133F2C82"/>
    <w:rsid w:val="1356059D"/>
    <w:rsid w:val="141379A2"/>
    <w:rsid w:val="142B0848"/>
    <w:rsid w:val="14702D3A"/>
    <w:rsid w:val="148E0471"/>
    <w:rsid w:val="14C8487A"/>
    <w:rsid w:val="153C0833"/>
    <w:rsid w:val="16923B57"/>
    <w:rsid w:val="17795D6E"/>
    <w:rsid w:val="17BE50D1"/>
    <w:rsid w:val="1AB23A71"/>
    <w:rsid w:val="1AC063DE"/>
    <w:rsid w:val="1AD559B1"/>
    <w:rsid w:val="1B222279"/>
    <w:rsid w:val="1C0C5329"/>
    <w:rsid w:val="1CF06FD5"/>
    <w:rsid w:val="1DA649F7"/>
    <w:rsid w:val="1DB337A5"/>
    <w:rsid w:val="1DFA5B93"/>
    <w:rsid w:val="1E2D0B4E"/>
    <w:rsid w:val="1E35555F"/>
    <w:rsid w:val="1E6C3F37"/>
    <w:rsid w:val="1EBE473D"/>
    <w:rsid w:val="201C373B"/>
    <w:rsid w:val="207506CD"/>
    <w:rsid w:val="20D53C01"/>
    <w:rsid w:val="211D660F"/>
    <w:rsid w:val="21715BAC"/>
    <w:rsid w:val="22433200"/>
    <w:rsid w:val="22541080"/>
    <w:rsid w:val="2254749D"/>
    <w:rsid w:val="232B5651"/>
    <w:rsid w:val="23681054"/>
    <w:rsid w:val="24212E47"/>
    <w:rsid w:val="246758CC"/>
    <w:rsid w:val="25971AB4"/>
    <w:rsid w:val="2598281E"/>
    <w:rsid w:val="26215C0B"/>
    <w:rsid w:val="276E0D2B"/>
    <w:rsid w:val="27A61EA5"/>
    <w:rsid w:val="27BC5F2F"/>
    <w:rsid w:val="27D37F32"/>
    <w:rsid w:val="2976468E"/>
    <w:rsid w:val="29D2002D"/>
    <w:rsid w:val="2A56543D"/>
    <w:rsid w:val="2A7340D0"/>
    <w:rsid w:val="2AD96B2F"/>
    <w:rsid w:val="2C1F4CDE"/>
    <w:rsid w:val="2E232138"/>
    <w:rsid w:val="2E4E3407"/>
    <w:rsid w:val="2E534E95"/>
    <w:rsid w:val="2EF0415C"/>
    <w:rsid w:val="2F1C72B3"/>
    <w:rsid w:val="2FA8162C"/>
    <w:rsid w:val="314925DC"/>
    <w:rsid w:val="31FC33CC"/>
    <w:rsid w:val="32087FC3"/>
    <w:rsid w:val="32265FD5"/>
    <w:rsid w:val="329F26D5"/>
    <w:rsid w:val="32D56359"/>
    <w:rsid w:val="339E5E97"/>
    <w:rsid w:val="345D2A1D"/>
    <w:rsid w:val="345E211C"/>
    <w:rsid w:val="34817CEF"/>
    <w:rsid w:val="348441CE"/>
    <w:rsid w:val="34880F47"/>
    <w:rsid w:val="357455F1"/>
    <w:rsid w:val="357C6CFE"/>
    <w:rsid w:val="36582A9C"/>
    <w:rsid w:val="36993545"/>
    <w:rsid w:val="36F54FB9"/>
    <w:rsid w:val="37ED3EE3"/>
    <w:rsid w:val="38016A62"/>
    <w:rsid w:val="38C761BF"/>
    <w:rsid w:val="39194863"/>
    <w:rsid w:val="391A261B"/>
    <w:rsid w:val="39203E44"/>
    <w:rsid w:val="39730401"/>
    <w:rsid w:val="3A680AF5"/>
    <w:rsid w:val="3B0B75E8"/>
    <w:rsid w:val="3B163750"/>
    <w:rsid w:val="3C5462DE"/>
    <w:rsid w:val="3D605157"/>
    <w:rsid w:val="3DF14E3C"/>
    <w:rsid w:val="3EA177D5"/>
    <w:rsid w:val="3EE945C3"/>
    <w:rsid w:val="3F3C6A4D"/>
    <w:rsid w:val="3F43088C"/>
    <w:rsid w:val="3FAF1333"/>
    <w:rsid w:val="3FD140EA"/>
    <w:rsid w:val="3FE411B1"/>
    <w:rsid w:val="4015635A"/>
    <w:rsid w:val="403326AF"/>
    <w:rsid w:val="40414DCB"/>
    <w:rsid w:val="4089760D"/>
    <w:rsid w:val="40D54E75"/>
    <w:rsid w:val="42D65F34"/>
    <w:rsid w:val="430B7913"/>
    <w:rsid w:val="43856243"/>
    <w:rsid w:val="43CF0940"/>
    <w:rsid w:val="43D0577F"/>
    <w:rsid w:val="44365AE6"/>
    <w:rsid w:val="44446C38"/>
    <w:rsid w:val="45246A6A"/>
    <w:rsid w:val="452A0524"/>
    <w:rsid w:val="45693886"/>
    <w:rsid w:val="460F1C96"/>
    <w:rsid w:val="46472A10"/>
    <w:rsid w:val="473A2575"/>
    <w:rsid w:val="473F5DDD"/>
    <w:rsid w:val="47B15066"/>
    <w:rsid w:val="47CA1B4A"/>
    <w:rsid w:val="48C04CFB"/>
    <w:rsid w:val="48EA3B26"/>
    <w:rsid w:val="49AB59AC"/>
    <w:rsid w:val="4A613290"/>
    <w:rsid w:val="4ACA7841"/>
    <w:rsid w:val="4B991F60"/>
    <w:rsid w:val="4C685FF5"/>
    <w:rsid w:val="4C6C1422"/>
    <w:rsid w:val="4CEB1255"/>
    <w:rsid w:val="4D012A99"/>
    <w:rsid w:val="4D577C4A"/>
    <w:rsid w:val="4DBA3214"/>
    <w:rsid w:val="4DBE5CAD"/>
    <w:rsid w:val="4E0B518B"/>
    <w:rsid w:val="4E0B6A19"/>
    <w:rsid w:val="4E173610"/>
    <w:rsid w:val="4E321D7A"/>
    <w:rsid w:val="4F7E481F"/>
    <w:rsid w:val="4F953D47"/>
    <w:rsid w:val="4FA057AF"/>
    <w:rsid w:val="5026588C"/>
    <w:rsid w:val="504C2DF0"/>
    <w:rsid w:val="50A85454"/>
    <w:rsid w:val="50BE4F60"/>
    <w:rsid w:val="51654C0C"/>
    <w:rsid w:val="51C73868"/>
    <w:rsid w:val="52481F5A"/>
    <w:rsid w:val="52BE04FE"/>
    <w:rsid w:val="53A21BCD"/>
    <w:rsid w:val="541C1504"/>
    <w:rsid w:val="54492049"/>
    <w:rsid w:val="547D0BAA"/>
    <w:rsid w:val="54A67298"/>
    <w:rsid w:val="564407D3"/>
    <w:rsid w:val="56D3300B"/>
    <w:rsid w:val="57662666"/>
    <w:rsid w:val="578E4942"/>
    <w:rsid w:val="58807673"/>
    <w:rsid w:val="58F55A17"/>
    <w:rsid w:val="594554D5"/>
    <w:rsid w:val="597D4C6F"/>
    <w:rsid w:val="59A43A02"/>
    <w:rsid w:val="5A7122F9"/>
    <w:rsid w:val="5A940ED3"/>
    <w:rsid w:val="5A9F0C15"/>
    <w:rsid w:val="5B266C40"/>
    <w:rsid w:val="5BD8454B"/>
    <w:rsid w:val="5D9B1B67"/>
    <w:rsid w:val="5E873E9A"/>
    <w:rsid w:val="5EE940C0"/>
    <w:rsid w:val="5F287C61"/>
    <w:rsid w:val="5FA82844"/>
    <w:rsid w:val="5FCC080D"/>
    <w:rsid w:val="60146F80"/>
    <w:rsid w:val="61BC2938"/>
    <w:rsid w:val="62A40365"/>
    <w:rsid w:val="62BB059B"/>
    <w:rsid w:val="62F15F2B"/>
    <w:rsid w:val="63337752"/>
    <w:rsid w:val="638502FB"/>
    <w:rsid w:val="648D6791"/>
    <w:rsid w:val="66C92742"/>
    <w:rsid w:val="671465AA"/>
    <w:rsid w:val="67352362"/>
    <w:rsid w:val="67B73C13"/>
    <w:rsid w:val="68527826"/>
    <w:rsid w:val="685B7298"/>
    <w:rsid w:val="69485212"/>
    <w:rsid w:val="6AA302AD"/>
    <w:rsid w:val="6BBE4C73"/>
    <w:rsid w:val="6C3A6E98"/>
    <w:rsid w:val="6C9F4AA4"/>
    <w:rsid w:val="6D817B44"/>
    <w:rsid w:val="6DB77BCC"/>
    <w:rsid w:val="6E4C2A0A"/>
    <w:rsid w:val="6E603D3C"/>
    <w:rsid w:val="706B361B"/>
    <w:rsid w:val="70AA28E3"/>
    <w:rsid w:val="725635DD"/>
    <w:rsid w:val="72AE5598"/>
    <w:rsid w:val="72B66F8B"/>
    <w:rsid w:val="72D37256"/>
    <w:rsid w:val="735E614C"/>
    <w:rsid w:val="73816CB2"/>
    <w:rsid w:val="738564EC"/>
    <w:rsid w:val="74192FC4"/>
    <w:rsid w:val="74575C64"/>
    <w:rsid w:val="748E25CA"/>
    <w:rsid w:val="74A70471"/>
    <w:rsid w:val="75081759"/>
    <w:rsid w:val="751F29F5"/>
    <w:rsid w:val="769048FD"/>
    <w:rsid w:val="774B7FC3"/>
    <w:rsid w:val="777547E2"/>
    <w:rsid w:val="787D0AF9"/>
    <w:rsid w:val="7899684C"/>
    <w:rsid w:val="79030169"/>
    <w:rsid w:val="791E14DF"/>
    <w:rsid w:val="797A042B"/>
    <w:rsid w:val="798A0E33"/>
    <w:rsid w:val="79E1494E"/>
    <w:rsid w:val="7A066163"/>
    <w:rsid w:val="7AE63EBE"/>
    <w:rsid w:val="7B3D7C9D"/>
    <w:rsid w:val="7B554BFF"/>
    <w:rsid w:val="7B6E0354"/>
    <w:rsid w:val="7BAA1AC9"/>
    <w:rsid w:val="7C5E4916"/>
    <w:rsid w:val="7CD159DE"/>
    <w:rsid w:val="7E5908C8"/>
    <w:rsid w:val="7E851D4C"/>
    <w:rsid w:val="7EFE38AC"/>
    <w:rsid w:val="7F2A644F"/>
    <w:rsid w:val="7F6E624B"/>
    <w:rsid w:val="7FFB7DEC"/>
    <w:rsid w:val="7FFF37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20"/>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19"/>
    <w:semiHidden/>
    <w:unhideWhenUsed/>
    <w:qFormat/>
    <w:uiPriority w:val="9"/>
    <w:pPr>
      <w:keepNext/>
      <w:keepLines/>
      <w:spacing w:before="260" w:after="260" w:line="416" w:lineRule="auto"/>
      <w:outlineLvl w:val="2"/>
    </w:pPr>
    <w:rPr>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3"/>
    <w:semiHidden/>
    <w:unhideWhenUsed/>
    <w:qFormat/>
    <w:uiPriority w:val="99"/>
    <w:pPr>
      <w:jc w:val="left"/>
    </w:pPr>
  </w:style>
  <w:style w:type="paragraph" w:styleId="5">
    <w:name w:val="Plain Text"/>
    <w:basedOn w:val="1"/>
    <w:link w:val="15"/>
    <w:unhideWhenUsed/>
    <w:qFormat/>
    <w:uiPriority w:val="99"/>
    <w:rPr>
      <w:rFonts w:ascii="宋体" w:hAnsi="Courier New" w:eastAsia="宋体" w:cs="Courier New"/>
      <w:szCs w:val="21"/>
    </w:rPr>
  </w:style>
  <w:style w:type="paragraph" w:styleId="6">
    <w:name w:val="Balloon Text"/>
    <w:basedOn w:val="1"/>
    <w:link w:val="25"/>
    <w:semiHidden/>
    <w:unhideWhenUsed/>
    <w:qFormat/>
    <w:uiPriority w:val="99"/>
    <w:rPr>
      <w:sz w:val="18"/>
      <w:szCs w:val="18"/>
    </w:rPr>
  </w:style>
  <w:style w:type="paragraph" w:styleId="7">
    <w:name w:val="footer"/>
    <w:basedOn w:val="1"/>
    <w:link w:val="17"/>
    <w:unhideWhenUsed/>
    <w:qFormat/>
    <w:uiPriority w:val="99"/>
    <w:pPr>
      <w:tabs>
        <w:tab w:val="center" w:pos="4153"/>
        <w:tab w:val="right" w:pos="8306"/>
      </w:tabs>
      <w:snapToGrid w:val="0"/>
      <w:jc w:val="left"/>
    </w:pPr>
    <w:rPr>
      <w:sz w:val="18"/>
      <w:szCs w:val="18"/>
    </w:rPr>
  </w:style>
  <w:style w:type="paragraph" w:styleId="8">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annotation subject"/>
    <w:basedOn w:val="4"/>
    <w:next w:val="4"/>
    <w:link w:val="24"/>
    <w:semiHidden/>
    <w:unhideWhenUsed/>
    <w:qFormat/>
    <w:uiPriority w:val="99"/>
    <w:rPr>
      <w:b/>
      <w:bCs/>
    </w:rPr>
  </w:style>
  <w:style w:type="character" w:styleId="12">
    <w:name w:val="FollowedHyperlink"/>
    <w:basedOn w:val="11"/>
    <w:semiHidden/>
    <w:unhideWhenUsed/>
    <w:qFormat/>
    <w:uiPriority w:val="99"/>
    <w:rPr>
      <w:color w:val="954F72" w:themeColor="followedHyperlink"/>
      <w:u w:val="single"/>
      <w14:textFill>
        <w14:solidFill>
          <w14:schemeClr w14:val="folHlink"/>
        </w14:solidFill>
      </w14:textFill>
    </w:rPr>
  </w:style>
  <w:style w:type="character" w:styleId="13">
    <w:name w:val="Hyperlink"/>
    <w:basedOn w:val="11"/>
    <w:unhideWhenUsed/>
    <w:qFormat/>
    <w:uiPriority w:val="99"/>
    <w:rPr>
      <w:color w:val="0563C1" w:themeColor="hyperlink"/>
      <w:u w:val="single"/>
      <w14:textFill>
        <w14:solidFill>
          <w14:schemeClr w14:val="hlink"/>
        </w14:solidFill>
      </w14:textFill>
    </w:rPr>
  </w:style>
  <w:style w:type="character" w:styleId="14">
    <w:name w:val="annotation reference"/>
    <w:basedOn w:val="11"/>
    <w:semiHidden/>
    <w:unhideWhenUsed/>
    <w:qFormat/>
    <w:uiPriority w:val="99"/>
    <w:rPr>
      <w:sz w:val="21"/>
      <w:szCs w:val="21"/>
    </w:rPr>
  </w:style>
  <w:style w:type="character" w:customStyle="1" w:styleId="15">
    <w:name w:val="纯文本 Char"/>
    <w:basedOn w:val="11"/>
    <w:link w:val="5"/>
    <w:qFormat/>
    <w:uiPriority w:val="99"/>
    <w:rPr>
      <w:rFonts w:ascii="宋体" w:hAnsi="Courier New" w:eastAsia="宋体" w:cs="Courier New"/>
      <w:szCs w:val="21"/>
    </w:rPr>
  </w:style>
  <w:style w:type="character" w:customStyle="1" w:styleId="16">
    <w:name w:val="页眉 Char"/>
    <w:basedOn w:val="11"/>
    <w:link w:val="8"/>
    <w:qFormat/>
    <w:uiPriority w:val="99"/>
    <w:rPr>
      <w:sz w:val="18"/>
      <w:szCs w:val="18"/>
    </w:rPr>
  </w:style>
  <w:style w:type="character" w:customStyle="1" w:styleId="17">
    <w:name w:val="页脚 Char"/>
    <w:basedOn w:val="11"/>
    <w:link w:val="7"/>
    <w:qFormat/>
    <w:uiPriority w:val="99"/>
    <w:rPr>
      <w:sz w:val="18"/>
      <w:szCs w:val="18"/>
    </w:rPr>
  </w:style>
  <w:style w:type="character" w:customStyle="1" w:styleId="18">
    <w:name w:val="conrtib-corresp"/>
    <w:basedOn w:val="11"/>
    <w:qFormat/>
    <w:uiPriority w:val="0"/>
  </w:style>
  <w:style w:type="character" w:customStyle="1" w:styleId="19">
    <w:name w:val="标题 3 Char"/>
    <w:basedOn w:val="11"/>
    <w:link w:val="3"/>
    <w:semiHidden/>
    <w:qFormat/>
    <w:uiPriority w:val="9"/>
    <w:rPr>
      <w:b/>
      <w:bCs/>
      <w:sz w:val="32"/>
      <w:szCs w:val="32"/>
    </w:rPr>
  </w:style>
  <w:style w:type="character" w:customStyle="1" w:styleId="20">
    <w:name w:val="标题 2 Char"/>
    <w:basedOn w:val="11"/>
    <w:link w:val="2"/>
    <w:semiHidden/>
    <w:qFormat/>
    <w:uiPriority w:val="9"/>
    <w:rPr>
      <w:rFonts w:asciiTheme="majorHAnsi" w:hAnsiTheme="majorHAnsi" w:eastAsiaTheme="majorEastAsia" w:cstheme="majorBidi"/>
      <w:b/>
      <w:bCs/>
      <w:sz w:val="32"/>
      <w:szCs w:val="32"/>
    </w:rPr>
  </w:style>
  <w:style w:type="paragraph" w:customStyle="1" w:styleId="21">
    <w:name w:val="author-typ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2">
    <w:name w:val="author-name"/>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3">
    <w:name w:val="批注文字 Char"/>
    <w:basedOn w:val="11"/>
    <w:link w:val="4"/>
    <w:semiHidden/>
    <w:qFormat/>
    <w:uiPriority w:val="99"/>
  </w:style>
  <w:style w:type="character" w:customStyle="1" w:styleId="24">
    <w:name w:val="批注主题 Char"/>
    <w:basedOn w:val="23"/>
    <w:link w:val="9"/>
    <w:semiHidden/>
    <w:qFormat/>
    <w:uiPriority w:val="99"/>
    <w:rPr>
      <w:b/>
      <w:bCs/>
    </w:rPr>
  </w:style>
  <w:style w:type="character" w:customStyle="1" w:styleId="25">
    <w:name w:val="批注框文本 Char"/>
    <w:basedOn w:val="11"/>
    <w:link w:val="6"/>
    <w:semiHidden/>
    <w:qFormat/>
    <w:uiPriority w:val="99"/>
    <w:rPr>
      <w:sz w:val="18"/>
      <w:szCs w:val="18"/>
    </w:rPr>
  </w:style>
  <w:style w:type="paragraph" w:styleId="2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6B772-4990-47B6-95DB-C25F7D09A9B2}">
  <ds:schemaRefs/>
</ds:datastoreItem>
</file>

<file path=docProps/app.xml><?xml version="1.0" encoding="utf-8"?>
<Properties xmlns="http://schemas.openxmlformats.org/officeDocument/2006/extended-properties" xmlns:vt="http://schemas.openxmlformats.org/officeDocument/2006/docPropsVTypes">
  <Template>Normal.dotm</Template>
  <Pages>32</Pages>
  <Words>631</Words>
  <Characters>4089</Characters>
  <Lines>1</Lines>
  <Paragraphs>1</Paragraphs>
  <TotalTime>30</TotalTime>
  <ScaleCrop>false</ScaleCrop>
  <LinksUpToDate>false</LinksUpToDate>
  <CharactersWithSpaces>4659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2026-04-20T01:10:00Z</dcterms:created>
  <dc:creator>bnds</dc:creator>
  <cp:lastModifiedBy>朱晓丽</cp:lastModifiedBy>
  <dcterms:modified xsi:type="dcterms:W3CDTF">2026-09-29T01:26:55Z</dcterms:modified>
  <cp:revision>347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eyJoZGlkIjoiMzYwOTRkYTgyYmFkYWY1OGIzMTE1N2NiY2ZlNjY2NzMiLCJ1c2VySWQiOiI1NDAxMTY4MjQifQ==</vt:lpwstr>
  </property>
  <property fmtid="{D5CDD505-2E9C-101B-9397-08002B2CF9AE}" pid="3" name="KSOProductBuildVer">
    <vt:lpwstr>2052-12.1.0.29161</vt:lpwstr>
  </property>
  <property fmtid="{D5CDD505-2E9C-101B-9397-08002B2CF9AE}" pid="4" name="ICV">
    <vt:lpwstr>C508DD65B27542B4AB085974D6D2E0DB_12</vt:lpwstr>
  </property>
</Properties>
</file>