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85D74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202</w:t>
      </w:r>
      <w:r>
        <w:rPr>
          <w:rFonts w:ascii="宋体" w:hAnsi="宋体" w:eastAsia="宋体" w:cs="宋体"/>
          <w:b/>
          <w:color w:val="000000"/>
          <w:sz w:val="28"/>
          <w:szCs w:val="28"/>
        </w:rPr>
        <w:t>6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年第</w:t>
      </w:r>
      <w:r>
        <w:rPr>
          <w:rFonts w:ascii="宋体" w:hAnsi="宋体" w:eastAsia="宋体" w:cs="宋体"/>
          <w:b/>
          <w:color w:val="000000"/>
          <w:sz w:val="28"/>
          <w:szCs w:val="28"/>
        </w:rPr>
        <w:t>3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周</w:t>
      </w:r>
    </w:p>
    <w:p w14:paraId="3ED8B6E5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境外学者发表的结核病英文文章摘要</w:t>
      </w:r>
    </w:p>
    <w:p w14:paraId="2D072865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112</w:t>
      </w:r>
      <w:bookmarkStart w:id="0" w:name="_GoBack"/>
      <w:bookmarkEnd w:id="0"/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篇）</w:t>
      </w:r>
    </w:p>
    <w:p w14:paraId="305CA2EB">
      <w:pPr>
        <w:jc w:val="left"/>
        <w:rPr>
          <w:rFonts w:ascii="宋体" w:hAnsi="宋体" w:eastAsia="宋体" w:cs="宋体"/>
          <w:b/>
          <w:color w:val="FF0000"/>
          <w:szCs w:val="24"/>
        </w:rPr>
      </w:pPr>
    </w:p>
    <w:p w14:paraId="190FEF94">
      <w:pPr>
        <w:jc w:val="left"/>
        <w:rPr>
          <w:rFonts w:hint="default" w:ascii="宋体" w:hAnsi="宋体" w:eastAsia="宋体" w:cs="宋体"/>
          <w:b/>
          <w:color w:val="FF000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PubMed  Publication date: 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14</w:t>
      </w:r>
      <w:r>
        <w:rPr>
          <w:rFonts w:ascii="宋体" w:hAnsi="宋体" w:eastAsia="宋体" w:cs="宋体"/>
          <w:b/>
          <w:color w:val="FF0000"/>
          <w:szCs w:val="24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4"/>
        </w:rPr>
        <w:t>---</w:t>
      </w:r>
      <w:r>
        <w:rPr>
          <w:rFonts w:ascii="宋体" w:hAnsi="宋体" w:eastAsia="宋体" w:cs="宋体"/>
          <w:b/>
          <w:color w:val="FF0000"/>
          <w:szCs w:val="24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4"/>
        </w:rPr>
        <w:t>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20</w:t>
      </w:r>
    </w:p>
    <w:p w14:paraId="2F519DAD">
      <w:pPr>
        <w:rPr>
          <w:rFonts w:ascii="宋体" w:hAnsi="宋体" w:eastAsia="宋体" w:cs="宋体"/>
          <w:b/>
          <w:color w:val="FF0000"/>
          <w:szCs w:val="24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(tuberculosis[Title/Abstract]) AND (English[Language])</w:t>
      </w:r>
    </w:p>
    <w:p w14:paraId="1A1A09D3">
      <w:pPr>
        <w:rPr>
          <w:rFonts w:ascii="宋体" w:hAnsi="宋体" w:eastAsia="宋体" w:cs="宋体"/>
          <w:b/>
          <w:color w:val="FF0000"/>
          <w:szCs w:val="24"/>
        </w:rPr>
      </w:pPr>
    </w:p>
    <w:p w14:paraId="599D931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J Struct Biol. 2026 Sep 20:108375. doi: 10.1016/j.jsb.2026.108375. Online ahead of print.</w:t>
      </w:r>
    </w:p>
    <w:p w14:paraId="76288F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1B655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Improved crystallization and diffraction quality of Mycobacterium tuberculosis </w:t>
      </w:r>
    </w:p>
    <w:p w14:paraId="23CCF9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OmamC/Rv1363c upon heat treatment and precipitant salvaging.</w:t>
      </w:r>
    </w:p>
    <w:p w14:paraId="642040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79ACC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Hynönen MJ(1), Venkatesan R(2).</w:t>
      </w:r>
    </w:p>
    <w:p w14:paraId="3094AA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B373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3E848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(1)Faculty of Biochemistry and Molecular Medicine, University of Oulu, 90014, </w:t>
      </w:r>
    </w:p>
    <w:p w14:paraId="6599BE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Finland.</w:t>
      </w:r>
    </w:p>
    <w:p w14:paraId="631BC8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(2)Faculty of Biochemistry and Molecular Medicine, University of Oulu, 90014, </w:t>
      </w:r>
    </w:p>
    <w:p w14:paraId="38E688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Finland; Biocenter Oulu, University of Oulu, 90014, Finland. Electronic address: </w:t>
      </w:r>
    </w:p>
    <w:p w14:paraId="76A401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rajaram.venkatesan@oulu.fi.</w:t>
      </w:r>
    </w:p>
    <w:p w14:paraId="5468AF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5630A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Obtaining reproducible and high-quality crystals is a prerequisite in X-ray </w:t>
      </w:r>
    </w:p>
    <w:p w14:paraId="3F2751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crystallography to determine high resolution protein structures. Often, protein </w:t>
      </w:r>
    </w:p>
    <w:p w14:paraId="0C3D50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crystallization is sensitive to several factors leading to difficulties in their </w:t>
      </w:r>
    </w:p>
    <w:p w14:paraId="7E43C7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reproducibility and diffraction quality. A number of methods have been developed </w:t>
      </w:r>
    </w:p>
    <w:p w14:paraId="2450FF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improve crystallization. Here, we report on the strategies applied to </w:t>
      </w:r>
    </w:p>
    <w:p w14:paraId="366B9D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overcome the challenges encountered during the crystallization and structure </w:t>
      </w:r>
    </w:p>
    <w:p w14:paraId="5CC498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determination of a truncated soluble variant of OmamC (Rv1363c; OmamC129-261). </w:t>
      </w:r>
    </w:p>
    <w:p w14:paraId="022B67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OmamC is a homolog of mammalian cell entry (Mce) associated membrane (Mam) </w:t>
      </w:r>
    </w:p>
    <w:p w14:paraId="236380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proteins of the lipid importing Mce complexes. OmamC is essential for the </w:t>
      </w:r>
    </w:p>
    <w:p w14:paraId="37A38A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storage and utilization of lipids under starvation in mycobacteria. Heat </w:t>
      </w:r>
    </w:p>
    <w:p w14:paraId="619A56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of OmamC129-261 prior to crystallization setup to remove partially </w:t>
      </w:r>
    </w:p>
    <w:p w14:paraId="79F676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unfolded protein and using the reservoir solution from the wells which </w:t>
      </w:r>
    </w:p>
    <w:p w14:paraId="2EF67E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successfully produced crystals as precipitant in subsequent crystallization </w:t>
      </w:r>
    </w:p>
    <w:p w14:paraId="59C3B8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trials (precipitant salvaging) enhanced the reproducibility and diffraction </w:t>
      </w:r>
    </w:p>
    <w:p w14:paraId="457810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quality of OmamC129-261 crystals significantly. Heat treatment combined with </w:t>
      </w:r>
    </w:p>
    <w:p w14:paraId="463A24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precipitant salvaging is easily adaptable to any protein of interest and </w:t>
      </w:r>
    </w:p>
    <w:p w14:paraId="398359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therefore, a valuable addition to the existing toolkit of protein </w:t>
      </w:r>
    </w:p>
    <w:p w14:paraId="34744A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crystallization improvement strategies. Furthermore, despite the AlphaFold2 </w:t>
      </w:r>
    </w:p>
    <w:p w14:paraId="65B755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predicted model providing an initial molecular replacement solution, </w:t>
      </w:r>
    </w:p>
    <w:p w14:paraId="0E0A6D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experimental phasing was necessary highlighting its importance in determining </w:t>
      </w:r>
    </w:p>
    <w:p w14:paraId="43EBD8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 structure of OmamC129-261.</w:t>
      </w:r>
    </w:p>
    <w:p w14:paraId="1FD0B2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01654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2026. Published by Elsevier Inc.</w:t>
      </w:r>
    </w:p>
    <w:p w14:paraId="1CAB81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8CD57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10.1016/j.jsb.2026.108375</w:t>
      </w:r>
    </w:p>
    <w:p w14:paraId="20EE4E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42764045</w:t>
      </w:r>
    </w:p>
    <w:p w14:paraId="18DF6D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3ACBE7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Infect Dis. 2026 Sep 20:109134. doi: 10.1016/j.ijid.2026.109134. Online </w:t>
      </w:r>
    </w:p>
    <w:p w14:paraId="0C44B43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056018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8EDE3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Spatiotemporal Analysis of the Association Between Community Violence and </w:t>
      </w:r>
    </w:p>
    <w:p w14:paraId="582676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and Treatment Outcomes in Fortaleza, Brazil, 2014-2023.</w:t>
      </w:r>
    </w:p>
    <w:p w14:paraId="6B20EA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8B4E6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Wang R(1), Dos Santos de Sousa G(2), Neto ASL(3), Castro MC(4).</w:t>
      </w:r>
    </w:p>
    <w:p w14:paraId="085B8B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8CF8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59E65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Global Health and Population, Harvard T.H. Chan School of </w:t>
      </w:r>
    </w:p>
    <w:p w14:paraId="04511F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Public Health, Boston, Massachusetts, USA.</w:t>
      </w:r>
    </w:p>
    <w:p w14:paraId="55CD8B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(2)Epidemiological Surveillance Unit, Secretaria Municipal de Saúde, Fortaleza, </w:t>
      </w:r>
    </w:p>
    <w:p w14:paraId="53AF0A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Ceará, Brazil.</w:t>
      </w:r>
    </w:p>
    <w:p w14:paraId="4BC52E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(3)Secretaria de Saúde do Ceará, Fortaleza, Ceará, Brazil; Curso de Medicina, </w:t>
      </w:r>
    </w:p>
    <w:p w14:paraId="5D939A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Universidade de Fortaleza, Fortaleza, Ceará, Brazil.</w:t>
      </w:r>
    </w:p>
    <w:p w14:paraId="4C9CAF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Global Health and Population, Harvard T.H. Chan School of </w:t>
      </w:r>
    </w:p>
    <w:p w14:paraId="7A3981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Public Health, Boston, Massachusetts, USA. Electronic address: </w:t>
      </w:r>
    </w:p>
    <w:p w14:paraId="4AEE64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mcastro@hsph.harvard.edu.</w:t>
      </w:r>
    </w:p>
    <w:p w14:paraId="6E8C5A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BF66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Violence may be associated with tuberculosis (TB) burden through </w:t>
      </w:r>
    </w:p>
    <w:p w14:paraId="1342D9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multiple pathways. We examined associations between homicide rates (a proxy for </w:t>
      </w:r>
    </w:p>
    <w:p w14:paraId="2925EC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neighborhood violence) and TB-related outcomes in 114 bairros in Fortaleza, </w:t>
      </w:r>
    </w:p>
    <w:p w14:paraId="1A19D2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Brazil, from 2014 to 2023.</w:t>
      </w:r>
    </w:p>
    <w:p w14:paraId="09D466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We analyzed homicide rates, incidence of newly reported TB, and rates </w:t>
      </w:r>
    </w:p>
    <w:p w14:paraId="0DDB55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TB with unsuccessful treatment outcomes. We assessed spatial autocorrelation </w:t>
      </w:r>
    </w:p>
    <w:p w14:paraId="6963E8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clusters using Moran's I and space-time scan statistics. Geographically </w:t>
      </w:r>
    </w:p>
    <w:p w14:paraId="0DEAB4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weighted regression (GWR) and Bayesian spatial models assessed spatial and </w:t>
      </w:r>
    </w:p>
    <w:p w14:paraId="58C936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spatiotemporal associations.</w:t>
      </w:r>
    </w:p>
    <w:p w14:paraId="4E1B69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Annual homicide rates ranged from 26.8-81.1 per 100,000. Newly reported </w:t>
      </w:r>
    </w:p>
    <w:p w14:paraId="011C5F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incidence was 50-60 per 100,000 during 2015-2021 and 66.8 in 2023, while rate </w:t>
      </w:r>
    </w:p>
    <w:p w14:paraId="1B1D24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TB with unsuccessful outcomes increased from 10.8 to 17.5. GWR models showed </w:t>
      </w:r>
    </w:p>
    <w:p w14:paraId="487155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positive associations between cumulative homicide rates and cumulative incidence </w:t>
      </w:r>
    </w:p>
    <w:p w14:paraId="3598ED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newly reported TB (β&gt;0.5, p&lt;0.05) and rates of TB with unsuccessful outcomes </w:t>
      </w:r>
    </w:p>
    <w:p w14:paraId="0D7D6D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(0&lt;β&lt;0.5, p&lt;0.05) across all bairros. Bayesian models showed associations per </w:t>
      </w:r>
    </w:p>
    <w:p w14:paraId="3196F8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one-SD increase in homicide rate with newly reported TB (RR=1.05, 95% </w:t>
      </w:r>
    </w:p>
    <w:p w14:paraId="50452F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CrI:1.02-1.08) and TB with unsuccessful outcomes (RR=1.11, 95% CrI:1.05-1.18).</w:t>
      </w:r>
    </w:p>
    <w:p w14:paraId="2160C2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 H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igher homicide rates were spatially and spatiotemporally </w:t>
      </w:r>
    </w:p>
    <w:p w14:paraId="3DC8E4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higher TB burden. Violence may serve as an indicator of </w:t>
      </w:r>
    </w:p>
    <w:p w14:paraId="782F6C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neighborhoods with elevated TB burden.</w:t>
      </w:r>
    </w:p>
    <w:p w14:paraId="4A9962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F5D58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2026. Published by Elsevier Ltd.</w:t>
      </w:r>
    </w:p>
    <w:p w14:paraId="46C704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356E7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10.1016/j.ijid.2026.109134</w:t>
      </w:r>
    </w:p>
    <w:p w14:paraId="23C5A7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42764040</w:t>
      </w:r>
    </w:p>
    <w:p w14:paraId="34094E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EECFAC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Clin Case Rep. 2026 Sep 18;14(9):e73521. doi: 10.1002/ccr3.73521. eCollection </w:t>
      </w:r>
    </w:p>
    <w:p w14:paraId="1BCEEFD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2026 Sep.</w:t>
      </w:r>
    </w:p>
    <w:p w14:paraId="6FE683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1ABB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Intestinal Perforation Caused by Intestinal Tuberculosis of a Nepalese Man </w:t>
      </w:r>
    </w:p>
    <w:p w14:paraId="4E3F16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Living in a Low Tuberculosis-Burden Country: A Case Report.</w:t>
      </w:r>
    </w:p>
    <w:p w14:paraId="5E6FB0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9DBA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Matsushita S(1), Kanata K(1), Matsushita S(1), Ito Y(1), Ichijo K(1), Uehara </w:t>
      </w:r>
    </w:p>
    <w:p w14:paraId="52282B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M(1).</w:t>
      </w:r>
    </w:p>
    <w:p w14:paraId="346331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45D32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362CF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Respiratory Medicine Shimada Shiritsu Sogo Iryo Center Shizuoka </w:t>
      </w:r>
    </w:p>
    <w:p w14:paraId="078AB8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Japan.</w:t>
      </w:r>
    </w:p>
    <w:p w14:paraId="793F07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D696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Intestinal tuberculosis generally presents with chronic symptoms. However, in </w:t>
      </w:r>
    </w:p>
    <w:p w14:paraId="3C7749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our case, the patient experienced rapid progression from intestinal obstruction </w:t>
      </w:r>
    </w:p>
    <w:p w14:paraId="58ECED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perforation. Even in low-burden countries, intestinal tuberculosis should be </w:t>
      </w:r>
    </w:p>
    <w:p w14:paraId="07F100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considered when patients from high-burden countries present with abdominal </w:t>
      </w:r>
    </w:p>
    <w:p w14:paraId="66D2DB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symptoms and characteristic computed tomography findings.</w:t>
      </w:r>
    </w:p>
    <w:p w14:paraId="50FB49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0DE1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Author(s). Clinical Case Reports published by John Wiley &amp; Sons Ltd.</w:t>
      </w:r>
    </w:p>
    <w:p w14:paraId="08C98D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5BE93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10.1002/ccr3.73521</w:t>
      </w:r>
    </w:p>
    <w:p w14:paraId="1CC4C0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PMC13589098</w:t>
      </w:r>
    </w:p>
    <w:p w14:paraId="045BCB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42763580</w:t>
      </w:r>
    </w:p>
    <w:p w14:paraId="54912B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1033A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J Microbiol Immunol Infect. 2026 Sep 15:S1684-1182(26)00121-0. doi: </w:t>
      </w:r>
    </w:p>
    <w:p w14:paraId="3A47686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10.1016/j.jmii.2026.09.005. Online ahead of print.</w:t>
      </w:r>
    </w:p>
    <w:p w14:paraId="5DDD32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5FBD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Injectable agents and hearing loss in the treatment of patients with </w:t>
      </w:r>
    </w:p>
    <w:p w14:paraId="6F7FEC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rifampicin-resistant tuberculosis: a nationwide multicenter prospective study.</w:t>
      </w:r>
    </w:p>
    <w:p w14:paraId="6456A4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03FE3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Lin CJ(1), Chiang CJ(2), Chien ST(3), Huang YW(4), Lin CB(5), Lee JJ(6), Lee </w:t>
      </w:r>
    </w:p>
    <w:p w14:paraId="26EF92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CH(7), Yu MC(8), Chiang CY(9).</w:t>
      </w:r>
    </w:p>
    <w:p w14:paraId="5E2E25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5C06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38852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(1)Tao-Yuan General Hospital, Ministry of Health and Welfare, 1492, Zhongshan </w:t>
      </w:r>
    </w:p>
    <w:p w14:paraId="00E578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Road, Taoyuan District, Taoyuan City, 330, Taiwan.</w:t>
      </w:r>
    </w:p>
    <w:p w14:paraId="50F2F9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Internal Medicine, Shuang Ho Hospital, Taipei Medical </w:t>
      </w:r>
    </w:p>
    <w:p w14:paraId="708C99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University, No.291, Zhongzheng Rd., Zhonghe District, New Taipei City, 235, </w:t>
      </w:r>
    </w:p>
    <w:p w14:paraId="316355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Taiwan.</w:t>
      </w:r>
    </w:p>
    <w:p w14:paraId="309927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(3)Chest Hospital, Ministry of Health and Welfare, 864 Zhongshan Road, Rende </w:t>
      </w:r>
    </w:p>
    <w:p w14:paraId="48DA7B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District, Tainan City, 717, Taiwan.</w:t>
      </w:r>
    </w:p>
    <w:p w14:paraId="3BF3AA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(4)Chang-Hua Hospital, Ministry of Health and Welfare, 80 Zhongzheng Road, </w:t>
      </w:r>
    </w:p>
    <w:p w14:paraId="684AAD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Section 2, Puxin Township, Changhua County, 513, Taiwan; Institute of Medicine, </w:t>
      </w:r>
    </w:p>
    <w:p w14:paraId="00821C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Chang Shan Medical University, 110 Jianguo North Road, Section 1, Taichung City, </w:t>
      </w:r>
    </w:p>
    <w:p w14:paraId="743C21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402, Taiwan.</w:t>
      </w:r>
    </w:p>
    <w:p w14:paraId="5196F7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(5)Division of Chest Medicine, Department of Internal Medicine, Tzu Chi General </w:t>
      </w:r>
    </w:p>
    <w:p w14:paraId="7F135D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Hospital, Tzu Chi University, 707 Chung-Yang Road, Section 3, Hualien, 970, </w:t>
      </w:r>
    </w:p>
    <w:p w14:paraId="41371D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Taiwan; School of Medicine, Tzu Chi University, 701 Zhongyang Road, Section 3, </w:t>
      </w:r>
    </w:p>
    <w:p w14:paraId="453619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Hualien, 970, Taiwan.</w:t>
      </w:r>
    </w:p>
    <w:p w14:paraId="19F7A6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(6)Division of Chest Medicine, Department of Internal Medicine, Tzu Chi General </w:t>
      </w:r>
    </w:p>
    <w:p w14:paraId="2C5B6F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Hospital, Tzu Chi University, 707 Chung-Yang Road, Section 3, Hualien, 970, </w:t>
      </w:r>
    </w:p>
    <w:p w14:paraId="33C808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Taiwan.</w:t>
      </w:r>
    </w:p>
    <w:p w14:paraId="5178E2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(7)Division of Pulmonary Medicine, Department of Internal Medicine, Wan Fang </w:t>
      </w:r>
    </w:p>
    <w:p w14:paraId="507750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Hospital, Taipei Medical University, 111 Hsin-Long Road, Section 3, Taipei City, </w:t>
      </w:r>
    </w:p>
    <w:p w14:paraId="40B181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116, Taiwan; Department of Internal Medicine, School of Medicine, College of </w:t>
      </w:r>
    </w:p>
    <w:p w14:paraId="41E9B9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Taipei Medical University, 250 Wuxing Street, Xinyi District, Taipei </w:t>
      </w:r>
    </w:p>
    <w:p w14:paraId="109320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City, 110, Taiwan.</w:t>
      </w:r>
    </w:p>
    <w:p w14:paraId="12E036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(8)Division of Pulmonary Medicine, Department of Internal Medicine, Wan Fang </w:t>
      </w:r>
    </w:p>
    <w:p w14:paraId="4900D6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Hospital, Taipei Medical University, 111 Hsin-Long Road, Section 3, Taipei City, </w:t>
      </w:r>
    </w:p>
    <w:p w14:paraId="454AEB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116, Taiwan; School of Respiratory Therapy, College of Medicine, Taipei Medical </w:t>
      </w:r>
    </w:p>
    <w:p w14:paraId="5A99E9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250 Wuxing Street, Xinyi District, Taipei City, 110, Taiwan.</w:t>
      </w:r>
    </w:p>
    <w:p w14:paraId="5B611F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(9)Division of Pulmonary Medicine, Department of Internal Medicine, Wan Fang </w:t>
      </w:r>
    </w:p>
    <w:p w14:paraId="52BAA3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Hospital, Taipei Medical University, 111 Hsin-Long Road, Section 3, Taipei City, </w:t>
      </w:r>
    </w:p>
    <w:p w14:paraId="31C237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116, Taiwan; Department of Internal Medicine, School of Medicine, College of </w:t>
      </w:r>
    </w:p>
    <w:p w14:paraId="53D243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Taipei Medical University, 250 Wuxing Street, Xinyi District, Taipei </w:t>
      </w:r>
    </w:p>
    <w:p w14:paraId="2B7B7D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City, 110, Taiwan. Electronic address: cychiang@theunion.org.</w:t>
      </w:r>
    </w:p>
    <w:p w14:paraId="0FC787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9BCC2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Monitoring for hearing loss is an integral component of active </w:t>
      </w:r>
    </w:p>
    <w:p w14:paraId="501F7E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drug-safety monitoring and management, enabling the evaluation of </w:t>
      </w:r>
    </w:p>
    <w:p w14:paraId="10ABAF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injectable drug doses and risk factors associated with treatment-emergent </w:t>
      </w:r>
    </w:p>
    <w:p w14:paraId="282C8C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hearing loss.</w:t>
      </w:r>
    </w:p>
    <w:p w14:paraId="404930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Pure-tone audiometry was performed at baseline and monthly. Brock </w:t>
      </w:r>
    </w:p>
    <w:p w14:paraId="7F6F36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classification was used to classify the severity of hearing loss. The cumulative </w:t>
      </w:r>
    </w:p>
    <w:p w14:paraId="243B7E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doses and body weight standardized cumulative doses was quantified. Cox </w:t>
      </w:r>
    </w:p>
    <w:p w14:paraId="646ECF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proportional hazards models were constructed for assessment of factors </w:t>
      </w:r>
    </w:p>
    <w:p w14:paraId="691F47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associated with treatment-emergent hearing loss.</w:t>
      </w:r>
    </w:p>
    <w:p w14:paraId="4C821C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Of the 196 patients without severe hearing loss at baseline, 89 (45.4%) </w:t>
      </w:r>
    </w:p>
    <w:p w14:paraId="7BB1B2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had treatment-emergent hearing loss and 46 (23.5%) had treatment-emergent severe </w:t>
      </w:r>
    </w:p>
    <w:p w14:paraId="476C2B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hearing loss. In multivariable analysis, aged more than 65 years old (adjHR </w:t>
      </w:r>
    </w:p>
    <w:p w14:paraId="384278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13.31, 95% CI 3.78-46.85) and mild hearing loss at baseline (adjHR 2.98, 95% CI </w:t>
      </w:r>
    </w:p>
    <w:p w14:paraId="5525B8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1.12-7.96) were significantly associated with treatment-emergent severe hearing </w:t>
      </w:r>
    </w:p>
    <w:p w14:paraId="34CEB5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loss. The minimum cumulative doses of injectable agents used was 3.2 g in those </w:t>
      </w:r>
    </w:p>
    <w:p w14:paraId="6F9555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without gradable treatment-emergent hearing loss, 11.6 g in those with mild </w:t>
      </w:r>
    </w:p>
    <w:p w14:paraId="1BF440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treatment-emergent hearing loss, 32.4 g in those with moderate hearing loss was, </w:t>
      </w:r>
    </w:p>
    <w:p w14:paraId="25EE14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9.8 g in those with severe hearing loss (Kruskal-Wallis rank sum test, </w:t>
      </w:r>
    </w:p>
    <w:p w14:paraId="29DAA8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p-value = 1.00); and the minimum body weight standardized cumulative doses were </w:t>
      </w:r>
    </w:p>
    <w:p w14:paraId="16A1A0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100, 200, 500, and 100 mg/kg, respectively (Kruskal-Wallis rank sum test: </w:t>
      </w:r>
    </w:p>
    <w:p w14:paraId="5C53EA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p-value = 0.84).</w:t>
      </w:r>
    </w:p>
    <w:p w14:paraId="457D3F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Treatment-emergent hearing loss was common and may occur at </w:t>
      </w:r>
    </w:p>
    <w:p w14:paraId="4151E8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relatively low cumulative doses of injectable agents used. Whenever injectables </w:t>
      </w:r>
    </w:p>
    <w:p w14:paraId="7312A5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are indicated, it is pivotal for TB programmes to establish robust protocols for </w:t>
      </w:r>
    </w:p>
    <w:p w14:paraId="794E23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monitoring ototoxicity.</w:t>
      </w:r>
    </w:p>
    <w:p w14:paraId="1EA273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557C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2026. Published by Elsevier B.V.</w:t>
      </w:r>
    </w:p>
    <w:p w14:paraId="7A9CE3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72E46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10.1016/j.jmii.2026.09.005</w:t>
      </w:r>
    </w:p>
    <w:p w14:paraId="1845B2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42763278</w:t>
      </w:r>
    </w:p>
    <w:p w14:paraId="0B5431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B7677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Respir Investig. 2026 Sep 19;64(6):101516. doi: 10.1016/j.resinv.2026.101516. </w:t>
      </w:r>
    </w:p>
    <w:p w14:paraId="5694347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3CFEA1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0D60B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Progressive fibrotic interstitial lung disease emerging after pulmonary </w:t>
      </w:r>
    </w:p>
    <w:p w14:paraId="0EFC6E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tuberculosis: a retrospective observational study.</w:t>
      </w:r>
    </w:p>
    <w:p w14:paraId="565B61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1DE3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Ito Y(1), Miwa S(2), Oshima T(2), Iwaizumi E(2), Nakamura Y(2), Shirai M(2).</w:t>
      </w:r>
    </w:p>
    <w:p w14:paraId="2A0E2A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72391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23C22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Respiratory Medicine, National Hospital Organization Tenryu </w:t>
      </w:r>
    </w:p>
    <w:p w14:paraId="2D9E3C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Hospital, 4201-2 Oro, Hamana-ku, Hamamatsu, Shizuoka, 434-8511, Japan. </w:t>
      </w:r>
    </w:p>
    <w:p w14:paraId="2C7FAB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Electronic address: yasuhiroito16@gmail.com.</w:t>
      </w:r>
    </w:p>
    <w:p w14:paraId="239C30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Respiratory Medicine, National Hospital Organization Tenryu </w:t>
      </w:r>
    </w:p>
    <w:p w14:paraId="31309F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4201-2 Oro, Hamana-ku, Hamamatsu, Shizuoka, 434-8511, Japan.</w:t>
      </w:r>
    </w:p>
    <w:p w14:paraId="466695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2E36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Post-tuberculosis lung disease (PTLD) is recognized as a localized </w:t>
      </w:r>
    </w:p>
    <w:p w14:paraId="093569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sequela characterized by fibrotic scarring, bronchiectasis, or volume loss. </w:t>
      </w:r>
    </w:p>
    <w:p w14:paraId="2E1C49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However, whether a progressive fibrotic interstitial lung disease (ILD) </w:t>
      </w:r>
    </w:p>
    <w:p w14:paraId="5219CC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phenotype can emerge after pulmonary tuberculosis (TB) remains unclear.</w:t>
      </w:r>
    </w:p>
    <w:p w14:paraId="02D7E4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conducted a retrospective observational study of HIV-negative </w:t>
      </w:r>
    </w:p>
    <w:p w14:paraId="74964F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with pulmonary TB at a single tertiary hospital. Baseline and </w:t>
      </w:r>
    </w:p>
    <w:p w14:paraId="45F414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longitudinal high-resolution computed tomography (HRCT) images were reviewed to </w:t>
      </w:r>
    </w:p>
    <w:p w14:paraId="5B831E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identify ILD, interstitial lung abnormalities (ILA), indeterminate ILA (iILA), </w:t>
      </w:r>
    </w:p>
    <w:p w14:paraId="6379C7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radiologic evidence of progression. Patients were classified into a </w:t>
      </w:r>
    </w:p>
    <w:p w14:paraId="3F6A79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progressive fibrotic phenotype (PF) or non-PF, and their clinical and radiologic </w:t>
      </w:r>
    </w:p>
    <w:p w14:paraId="7FDE9F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features were compared.</w:t>
      </w:r>
    </w:p>
    <w:p w14:paraId="2EDBE5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Among the 255 patients, baseline HRCT identified ILD in 26, ILA in 18, </w:t>
      </w:r>
    </w:p>
    <w:p w14:paraId="7D4744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iILA in 5 patients. Sixteen patients underwent imaging follow-up for &gt; 2 </w:t>
      </w:r>
    </w:p>
    <w:p w14:paraId="3DF7B8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years, of whom 7 (ILD: 2, ILA: 3, iILA: 2; 2.7% of the total cohort) were </w:t>
      </w:r>
    </w:p>
    <w:p w14:paraId="670618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classified into the PF group. Patients in the PF group had a higher </w:t>
      </w:r>
    </w:p>
    <w:p w14:paraId="5A7093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burden and a longer time to sputum smear and culture </w:t>
      </w:r>
    </w:p>
    <w:p w14:paraId="381BB7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conversion. Radiologically, patients with PF developed pleuroparenchymal </w:t>
      </w:r>
    </w:p>
    <w:p w14:paraId="5308AB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fibroelastosis-like lesions. None of the patients without baseline interstitial </w:t>
      </w:r>
    </w:p>
    <w:p w14:paraId="65A6F5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abnormalities developed ILD.</w:t>
      </w:r>
    </w:p>
    <w:p w14:paraId="6B4D7F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progressive fibrotic ILD may emerge as part of PTLD, particularly </w:t>
      </w:r>
    </w:p>
    <w:p w14:paraId="3AFF66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patients with baseline interstitial abnormalities, a high mycobacterial </w:t>
      </w:r>
    </w:p>
    <w:p w14:paraId="3DA379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burden, and delayed sputum conversion.</w:t>
      </w:r>
    </w:p>
    <w:p w14:paraId="7B9DE2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AA3F9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 © 2026 The Japanese Respiratory Society. Published by Elsevier B.V. </w:t>
      </w:r>
    </w:p>
    <w:p w14:paraId="0B4382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All rights reserved.</w:t>
      </w:r>
    </w:p>
    <w:p w14:paraId="3079E9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CB82B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10.1016/j.resinv.2026.101516</w:t>
      </w:r>
    </w:p>
    <w:p w14:paraId="24C357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42762682</w:t>
      </w:r>
    </w:p>
    <w:p w14:paraId="02BD42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88E5C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J Mol Model. 2026 Sep 19;32(10):379. doi: 10.1007/s00894-026-06925-y.</w:t>
      </w:r>
    </w:p>
    <w:p w14:paraId="6AF438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D882F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Computational Modeling and MM-PBSA-Based Molecular Dynamics Investigation of </w:t>
      </w:r>
    </w:p>
    <w:p w14:paraId="6CA92E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Unexplored tRNA Isoleucine Lysidine Synthetase from Mycobacterium tuberculosis </w:t>
      </w:r>
    </w:p>
    <w:p w14:paraId="361AE1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with Hyperbranched Amoxicilloyl-Poly-L-Lysine.</w:t>
      </w:r>
    </w:p>
    <w:p w14:paraId="64BB74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7B61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Nath P(1), Choudhury B(2), Peerzade SAMA(3), Goyal A(4), Bapat S(3).</w:t>
      </w:r>
    </w:p>
    <w:p w14:paraId="3C2051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764CC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C6687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(1)MIT ADT School of Bioengineering Sciences and Research, MIT Art, Design and </w:t>
      </w:r>
    </w:p>
    <w:p w14:paraId="6AA66F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Technology University, Pune, Maharashtra, India. </w:t>
      </w:r>
    </w:p>
    <w:p w14:paraId="58032D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priyanka.nath@mituniversity.edu.in.</w:t>
      </w:r>
    </w:p>
    <w:p w14:paraId="4C9E90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Biotechnology , Assam Down Town University, Guwahati, Assam, </w:t>
      </w:r>
    </w:p>
    <w:p w14:paraId="7508D9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India.</w:t>
      </w:r>
    </w:p>
    <w:p w14:paraId="34EB96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(3)MIT ADT School of Bioengineering Sciences and Research, MIT Art, Design and </w:t>
      </w:r>
    </w:p>
    <w:p w14:paraId="28023E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Technology University, Pune, Maharashtra, India.</w:t>
      </w:r>
    </w:p>
    <w:p w14:paraId="0474FC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Biosciences and Bioengineering, Indian Institute of Technology </w:t>
      </w:r>
    </w:p>
    <w:p w14:paraId="27148A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Guwahati, Carbohydrate Enzyme Biotechnology Laboratory, Guwahati, Assam, India.</w:t>
      </w:r>
    </w:p>
    <w:p w14:paraId="4368AC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B7E8D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CONTEXT: I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ntegrated in-silico approach employed to characterize tRNA isoleucine </w:t>
      </w:r>
    </w:p>
    <w:p w14:paraId="7F0523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lysidine synthetase enzyme (MtTilS; UniProt P9WG52), which is essential for </w:t>
      </w:r>
    </w:p>
    <w:p w14:paraId="0C6571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protein synthesis in Mycobacterium tuberculosis and to design </w:t>
      </w:r>
    </w:p>
    <w:p w14:paraId="4DDD1A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Amoxicilloyl-Poly-L-Lysine (APL) compounds as putative inhibitors. MtTilS (323 </w:t>
      </w:r>
    </w:p>
    <w:p w14:paraId="727FBA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aa) contained TilS (9-230), substrate-binding (249-323) domains and conserved </w:t>
      </w:r>
    </w:p>
    <w:p w14:paraId="0A7FF7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SGGXDS motif. Homology modeling revealed Rossmann-like α/β/α fold, favourable </w:t>
      </w:r>
    </w:p>
    <w:p w14:paraId="437CFB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validation (ERRAT 96%, VERIFY3D 81.8%, ProSA - 9.96) and positively charged </w:t>
      </w:r>
    </w:p>
    <w:p w14:paraId="0B3C95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N-terminal groove (druggability ~ 0.8). APL compounds showed predicted </w:t>
      </w:r>
    </w:p>
    <w:p w14:paraId="193D1E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antibacterial activity, high aqueous solubility and low predicted toxicity. </w:t>
      </w:r>
    </w:p>
    <w:p w14:paraId="432A80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Docking prioritized APL-3 (- 7.0 kcal/mol) as favourable inhibitor. Three </w:t>
      </w:r>
    </w:p>
    <w:p w14:paraId="019608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independent 200 ns molecular dynamics simulations showed preservation of protein </w:t>
      </w:r>
    </w:p>
    <w:p w14:paraId="5D0F80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fold and ligand association. Cluster analysis indicated convergence toward </w:t>
      </w:r>
    </w:p>
    <w:p w14:paraId="5A2169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dominant conformational states. Principal component analysis (PCA) showed </w:t>
      </w:r>
    </w:p>
    <w:p w14:paraId="20C94E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broader but reproducible conformational sampling. Free energy landscape (FEL) </w:t>
      </w:r>
    </w:p>
    <w:p w14:paraId="29043F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analysis identified low-energy conformational basins. Dynamic cross-correlation </w:t>
      </w:r>
    </w:p>
    <w:p w14:paraId="6BCAE0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matrix (DCCM) analysis showed conserved correlated residue motions. MM-PBSA </w:t>
      </w:r>
    </w:p>
    <w:p w14:paraId="15CE0E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indicated favourable binding free energy (-60.0 ± 24.6 kJ/mol) with van der </w:t>
      </w:r>
    </w:p>
    <w:p w14:paraId="4ACE9D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Waals and electrostatic interactions as major contributors while Arg101, Met145, </w:t>
      </w:r>
    </w:p>
    <w:p w14:paraId="270B7B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Tyr105, Arg146, Arg140 and Arg219 as major energetic contributors. Preliminary </w:t>
      </w:r>
    </w:p>
    <w:p w14:paraId="242DB1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computational evidence supporting MtTilS as target and APL-3 as putative </w:t>
      </w:r>
    </w:p>
    <w:p w14:paraId="083D0E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inhibitor candidate necessitating further experimental validation.</w:t>
      </w:r>
    </w:p>
    <w:p w14:paraId="353933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MtTilS sequence analyzed using CDD, BLAST and MEGA-X. Structure modeled </w:t>
      </w:r>
    </w:p>
    <w:p w14:paraId="4849D9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Phyre2 minimized using Swiss-PDB Viewer/GROMOS96, validated with SAVES-6.0 </w:t>
      </w:r>
    </w:p>
    <w:p w14:paraId="0EDD8A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visualized in PyMOL-2.0. Binding pockets and druggability predicted using </w:t>
      </w:r>
    </w:p>
    <w:p w14:paraId="14E6E0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HDOCK and DoGSiteScorer. APL designed in Avogadro (MMFF94) and screened using </w:t>
      </w:r>
    </w:p>
    <w:p w14:paraId="33A2DE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AntiBac-Pred. ADME/toxicity assessed using SwissADME and ProTox-II. Docking </w:t>
      </w:r>
    </w:p>
    <w:p w14:paraId="385DE9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performed with AutoDock Vina-1.2.0 and MD using GROMACS (CHARMM36ff). </w:t>
      </w:r>
    </w:p>
    <w:p w14:paraId="3C1094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Trajectories analyzed by PCA, FEL, DCCM and MM/PBSA.</w:t>
      </w:r>
    </w:p>
    <w:p w14:paraId="1D651F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9BCD6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2026. The Author(s), under exclusive licence to Springer-Verlag GmbH Germany, </w:t>
      </w:r>
    </w:p>
    <w:p w14:paraId="2C98CA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part of Springer Nature.</w:t>
      </w:r>
    </w:p>
    <w:p w14:paraId="0A8074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7279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10.1007/s00894-026-06925-y</w:t>
      </w:r>
    </w:p>
    <w:p w14:paraId="773176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42762338 [Indexed for MEDLINE]</w:t>
      </w:r>
    </w:p>
    <w:p w14:paraId="6721B9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AD599A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J Neurol Surg Rep. 2026 Sep 18;87(3):e167-e170. doi: 10.1055/a-2952-7393. </w:t>
      </w:r>
    </w:p>
    <w:p w14:paraId="022D8D2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Jul.</w:t>
      </w:r>
    </w:p>
    <w:p w14:paraId="14AE9E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A2737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Cervicothoracic Tuberculous Spondylitis in a Toddler: A Case Report.</w:t>
      </w:r>
    </w:p>
    <w:p w14:paraId="61215A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1C9DE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van Schie P(1), Jaeger B(2), van der Kuip M(3), Stadhouder A(4), Feller RE(1).</w:t>
      </w:r>
    </w:p>
    <w:p w14:paraId="02F9D5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747E7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7E24F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NeurosurgeryAmsterdam University Medical CenterAmsterdamThe </w:t>
      </w:r>
    </w:p>
    <w:p w14:paraId="3EEBE2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Netherlands.</w:t>
      </w:r>
    </w:p>
    <w:p w14:paraId="713425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Child NeurologyAmsterdam University Medical CenterAmsterdamThe </w:t>
      </w:r>
    </w:p>
    <w:p w14:paraId="589974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Netherlands.</w:t>
      </w:r>
    </w:p>
    <w:p w14:paraId="7F2E95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Pediatric Infectious Diseases and ImmunologyAmsterdam </w:t>
      </w:r>
    </w:p>
    <w:p w14:paraId="61446A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Medical Center, Emma Children's HospitalAmsterdamThe Netherlands.</w:t>
      </w:r>
    </w:p>
    <w:p w14:paraId="4D8C34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Orthopedic Surgery and Sports MedicineAmsterdam University </w:t>
      </w:r>
    </w:p>
    <w:p w14:paraId="54B365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Medical CenterAmsterdamThe Netherlands.</w:t>
      </w:r>
    </w:p>
    <w:p w14:paraId="7DEF54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82EC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 and Importance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Tuberculous spondylitis (or Pott's disease) is a </w:t>
      </w:r>
    </w:p>
    <w:p w14:paraId="211D85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common form of skeletal tuberculosis. Although primarily treated with </w:t>
      </w:r>
    </w:p>
    <w:p w14:paraId="574F17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tuberculostatic drugs, spinal surgery is necessary in patients with deformities </w:t>
      </w:r>
    </w:p>
    <w:p w14:paraId="04972A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 spinal cord compression. Literature describing surgery strategies in very </w:t>
      </w:r>
    </w:p>
    <w:p w14:paraId="26C6F1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young children remains scarce. </w:t>
      </w: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Clinical Presentation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20-month-old girl </w:t>
      </w:r>
    </w:p>
    <w:p w14:paraId="310EF6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presented with torticollis without neurological deficits. Magnetic resonance </w:t>
      </w:r>
    </w:p>
    <w:p w14:paraId="3753DF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imaging showed a cavitating mass, with destruction of the C7, T1, and T2 </w:t>
      </w:r>
    </w:p>
    <w:p w14:paraId="243DF9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vertebrae. A combined anterior cervical and sternotomy approach was used to rest </w:t>
      </w:r>
    </w:p>
    <w:p w14:paraId="345ADC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tuberculoma, after which an allograft fibula was placed in the gap. An </w:t>
      </w:r>
    </w:p>
    <w:p w14:paraId="28AD11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anterior plate was placed. The posterior elements were opened to induce fusion. </w:t>
      </w:r>
    </w:p>
    <w:p w14:paraId="412F22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Neurological status remained unchanged, but after 6 weeks, the allograft was </w:t>
      </w:r>
    </w:p>
    <w:p w14:paraId="55BB14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displaced, resulting in kyphosis. This kyphosis remained unchanged, and fusion </w:t>
      </w:r>
    </w:p>
    <w:p w14:paraId="271B0E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the posterior elements developed in the following months. </w:t>
      </w: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Combined </w:t>
      </w:r>
    </w:p>
    <w:p w14:paraId="6A82FC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anterior cervical and sternotomy approach and additional posterior fusion </w:t>
      </w:r>
    </w:p>
    <w:p w14:paraId="2219B6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induction is a feasible surgical strategy for tuberculoma resection of the </w:t>
      </w:r>
    </w:p>
    <w:p w14:paraId="6C7CE2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cervicothoracic spine. In the postoperative course, close monitoring should be </w:t>
      </w:r>
    </w:p>
    <w:p w14:paraId="4F5C34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performed to detect progressive kyphosis in an early stage.</w:t>
      </w:r>
    </w:p>
    <w:p w14:paraId="6DCBD1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D824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Author(s). This is an open access article published by Thieme under the </w:t>
      </w:r>
    </w:p>
    <w:p w14:paraId="0A5E1E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terms of the Creative Commons Attribution License, permitting unrestricted use, </w:t>
      </w:r>
    </w:p>
    <w:p w14:paraId="57C2EA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distribution, and reproduction so long as the original work is properly cited. </w:t>
      </w:r>
    </w:p>
    <w:p w14:paraId="46430E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(https://creativecommons.org/licenses/by/4.0/).</w:t>
      </w:r>
    </w:p>
    <w:p w14:paraId="441D8D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B2A5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10.1055/a-2952-7393</w:t>
      </w:r>
    </w:p>
    <w:p w14:paraId="03537D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PMC13588692</w:t>
      </w:r>
    </w:p>
    <w:p w14:paraId="6CE888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42762044</w:t>
      </w:r>
    </w:p>
    <w:p w14:paraId="6CB48C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E2D73B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Case Rep Nephrol. 2026 Sep 18;2026:3992146. doi: 10.1155/crin/3992146. </w:t>
      </w:r>
    </w:p>
    <w:p w14:paraId="0F2D027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5CE923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922CE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Tuberculosis-Associated Renal Amyloidosis Presenting as Nephrotic Syndrome: A </w:t>
      </w:r>
    </w:p>
    <w:p w14:paraId="0A4837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Case Report From Ethiopia.</w:t>
      </w:r>
    </w:p>
    <w:p w14:paraId="16EAAB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E389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Guji AA(1), Bekele DR(2), Amberber Degefu G(2), Geleta BG(1), Shashigo Leilago </w:t>
      </w:r>
    </w:p>
    <w:p w14:paraId="244FB3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D(2), Tukeni KN(1).</w:t>
      </w:r>
    </w:p>
    <w:p w14:paraId="676E7B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16542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1AF6E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(1)Jimma University, Jimma, Ethiopia, ju.edu.et.</w:t>
      </w:r>
    </w:p>
    <w:p w14:paraId="7EA966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(2)Saint Paul Hospital Millennium Medical College, Addis Ababa, Ethiopia.</w:t>
      </w:r>
    </w:p>
    <w:p w14:paraId="7DA187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2397C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is highly prevalent in Ethiopia, and </w:t>
      </w:r>
    </w:p>
    <w:p w14:paraId="1D0E81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extrapulmonary manifestations pose significant diagnostic challenges. Among its </w:t>
      </w:r>
    </w:p>
    <w:p w14:paraId="15DEA9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rare complications, renal amyloidosis (AA type) can present with nephrotic </w:t>
      </w:r>
    </w:p>
    <w:p w14:paraId="28E447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syndrome and progressive renal dysfunction. In resource-limited settings, the </w:t>
      </w:r>
    </w:p>
    <w:p w14:paraId="482BA9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absence of routine TB screening and restricted timely access to renal biopsy </w:t>
      </w:r>
    </w:p>
    <w:p w14:paraId="070703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often lead to empirical immunosuppression, which may worsen outcomes by </w:t>
      </w:r>
    </w:p>
    <w:p w14:paraId="425864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reactivating latent infections.</w:t>
      </w:r>
    </w:p>
    <w:p w14:paraId="05B305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CASE PRESENTATION: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report a case of a 43-year-old Ethiopian male with a </w:t>
      </w:r>
    </w:p>
    <w:p w14:paraId="1E84C3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5-month history of generalized edema, fatigue, flank pain, and nephrotic-range </w:t>
      </w:r>
    </w:p>
    <w:p w14:paraId="64F692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proteinuria (19.7 g/24 h). Initial evaluation suggested high-risk membranous </w:t>
      </w:r>
    </w:p>
    <w:p w14:paraId="086D75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nephropathy, and empirical immunosuppression with prednisone and </w:t>
      </w:r>
    </w:p>
    <w:p w14:paraId="2C5BD1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cyclophosphamide was initiated before biopsy confirmation due to a delay in the </w:t>
      </w:r>
    </w:p>
    <w:p w14:paraId="2E27CB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renal biopsy results. The patient subsequently developed axillary </w:t>
      </w:r>
    </w:p>
    <w:p w14:paraId="44432D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lymphadenopathy and "B" symptoms. Renal biopsy results obtained after initiation </w:t>
      </w:r>
    </w:p>
    <w:p w14:paraId="4E0FE5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chemotherapy revealed Congo red-positive deposits with green birefringence </w:t>
      </w:r>
    </w:p>
    <w:p w14:paraId="13902A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 polarized light, consistent with AA amyloidosis. At the same time, lymph </w:t>
      </w:r>
    </w:p>
    <w:p w14:paraId="4C4896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node histology demonstrated necrotizing granulomatous inflammation, confirming </w:t>
      </w:r>
    </w:p>
    <w:p w14:paraId="29F64E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extrapulmonary TB. Anti-TB therapy (RHZE regimen) led to initial clinical </w:t>
      </w:r>
    </w:p>
    <w:p w14:paraId="1829B7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improvement and stabilization of the renal function. However, 3 weeks later, the </w:t>
      </w:r>
    </w:p>
    <w:p w14:paraId="7BD474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 developed severe pulmonary sepsis and died of septic shock despite </w:t>
      </w:r>
    </w:p>
    <w:p w14:paraId="3C113D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intensive care.</w:t>
      </w:r>
    </w:p>
    <w:p w14:paraId="0822D9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case underscores the importance of excluding infectious </w:t>
      </w:r>
    </w:p>
    <w:p w14:paraId="7C4F3F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etiologies, particularly TB, before initiating immunosuppressive therapy in </w:t>
      </w:r>
    </w:p>
    <w:p w14:paraId="397188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with nephrotic syndrome in endemic regions. Empirical immunosuppression </w:t>
      </w:r>
    </w:p>
    <w:p w14:paraId="05FCCD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without histopathological confirmation risks reactivating latent TB and delaying </w:t>
      </w:r>
    </w:p>
    <w:p w14:paraId="02882C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appropriate treatment. Routine TB screening with IGRA or TST, combined with </w:t>
      </w:r>
    </w:p>
    <w:p w14:paraId="24673F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timely renal biopsy, should be prioritized in resource-limited settings to </w:t>
      </w:r>
    </w:p>
    <w:p w14:paraId="0AF6CD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prevent misdiagnosis and improve patient outcomes.</w:t>
      </w:r>
    </w:p>
    <w:p w14:paraId="00F4B4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3544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 © 2026 Alemayehu Abebe Guji et al. Case Reports in Nephrology </w:t>
      </w:r>
    </w:p>
    <w:p w14:paraId="777B48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published by John Wiley &amp; Sons Ltd.</w:t>
      </w:r>
    </w:p>
    <w:p w14:paraId="6FC587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FF91D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10.1155/crin/3992146</w:t>
      </w:r>
    </w:p>
    <w:p w14:paraId="38ABA5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PMC13588148</w:t>
      </w:r>
    </w:p>
    <w:p w14:paraId="24001F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42761607</w:t>
      </w:r>
    </w:p>
    <w:p w14:paraId="2ACF52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02689F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Clin Case Rep. 2026 Sep 17;14(9):e73555. doi: 10.1002/ccr3.73555. eCollection </w:t>
      </w:r>
    </w:p>
    <w:p w14:paraId="2B19ECB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2026 Sep.</w:t>
      </w:r>
    </w:p>
    <w:p w14:paraId="75F91F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7E0C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Gastrointestinal Histoplasmosis Mimicking Intestinal Tuberculosis and Crohn's </w:t>
      </w:r>
    </w:p>
    <w:p w14:paraId="1C8696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Disease: Ileocecal Involvement in an Immunocompetent Host.</w:t>
      </w:r>
    </w:p>
    <w:p w14:paraId="5C2F68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DB700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Sazal RS(1), Esha SS(1), Faisal AA(1), Azad MAK(1), Murshed KM(1), Aftab KA(1).</w:t>
      </w:r>
    </w:p>
    <w:p w14:paraId="51F819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C960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3F06B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Internal Medicine Bangladesh Medical University Dhaka </w:t>
      </w:r>
    </w:p>
    <w:p w14:paraId="0DA875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Bangladesh.</w:t>
      </w:r>
    </w:p>
    <w:p w14:paraId="744C9C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D502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Gastrointestinal histoplasmosis is an under-recognized manifestation of </w:t>
      </w:r>
    </w:p>
    <w:p w14:paraId="35903B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disseminated Histoplasma capsulatum infection. Its ileocecal predilection </w:t>
      </w:r>
    </w:p>
    <w:p w14:paraId="0453DD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closely mimics intestinal tuberculosis (TB) and Crohn's disease, posing serious </w:t>
      </w:r>
    </w:p>
    <w:p w14:paraId="59C411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challenges, particularly in TB-endemic regions. A 26-year-old </w:t>
      </w:r>
    </w:p>
    <w:p w14:paraId="243181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immunocompetent male presented with a 3-month history of diffuse abdominal pain, </w:t>
      </w:r>
    </w:p>
    <w:p w14:paraId="51049E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hematochezia, and 16 kg weight loss. He had received 60 days of empirical </w:t>
      </w:r>
    </w:p>
    <w:p w14:paraId="0522F2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four-drug anti-tubercular therapy (ATT) without improvement. Examination </w:t>
      </w:r>
    </w:p>
    <w:p w14:paraId="2B3828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revealed cachexia, pallor, digital clubbing, pedal oedema, a hard palate ulcer, </w:t>
      </w:r>
    </w:p>
    <w:p w14:paraId="169758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small cervical lymphadenopathy. Investigations showed microcytic anemia, </w:t>
      </w:r>
    </w:p>
    <w:p w14:paraId="0E90C9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C-reactive protein (CRP) 143.35 mg/L, hypoalbuminemia (2 g/dL), hyponatremia, </w:t>
      </w:r>
    </w:p>
    <w:p w14:paraId="12A2A9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fecal calprotectin of 1849.47 μg/g. Magnetic resonance enterography (MRE) </w:t>
      </w:r>
    </w:p>
    <w:p w14:paraId="14EC4D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suggested multi-segmental small bowel disease consistent with Crohn's disease. </w:t>
      </w:r>
    </w:p>
    <w:p w14:paraId="2944DC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Sequential colonoscopies revealed ulcero-nodular lesions involving the distal </w:t>
      </w:r>
    </w:p>
    <w:p w14:paraId="61FFD0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ileum, ileocecal valve, and caecum. Initial biopsies were inconclusive. Repeat </w:t>
      </w:r>
    </w:p>
    <w:p w14:paraId="1D5FB8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deep tissue biopsy from the caecum and ileocecal valve identified intracellular </w:t>
      </w:r>
    </w:p>
    <w:p w14:paraId="7F3D37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narrow-based budding yeast forms with eccentric nuclei, consistent with H. </w:t>
      </w:r>
    </w:p>
    <w:p w14:paraId="09DB2E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capsulatum. GeneXpert and Quantiferon-TB gold plus were negative. Cervical lymph </w:t>
      </w:r>
    </w:p>
    <w:p w14:paraId="3C238D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node fine-needle aspiration cytology (FNAC) confirmed disseminated disease. HIV </w:t>
      </w:r>
    </w:p>
    <w:p w14:paraId="24A941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testing was negative. Itraconazole was initiated, followed by liposomal </w:t>
      </w:r>
    </w:p>
    <w:p w14:paraId="4CFD76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amphotericin B. On day 15, the patient developed catastrophic lower </w:t>
      </w:r>
    </w:p>
    <w:p w14:paraId="4A6C41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gastrointestinal hemorrhage, resulting in refractory hemodynamic collapse and </w:t>
      </w:r>
    </w:p>
    <w:p w14:paraId="7682E8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death. Disseminated histoplasmosis should be considered in the differential </w:t>
      </w:r>
    </w:p>
    <w:p w14:paraId="673C6A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diagnosis of ileocecal disease even in immunocompetent patients from TB-endemic </w:t>
      </w:r>
    </w:p>
    <w:p w14:paraId="6D644E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regions. Histopathological confirmation through deep tissue biopsy is critical </w:t>
      </w:r>
    </w:p>
    <w:p w14:paraId="00A4BD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prior to immunosuppressive therapy. Delayed diagnosis carries significant </w:t>
      </w:r>
    </w:p>
    <w:p w14:paraId="6BCF11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mortality risk.</w:t>
      </w:r>
    </w:p>
    <w:p w14:paraId="41756C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B3551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Author(s). Clinical Case Reports published by John Wiley &amp; Sons Ltd.</w:t>
      </w:r>
    </w:p>
    <w:p w14:paraId="229285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A2B3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10.1002/ccr3.73555</w:t>
      </w:r>
    </w:p>
    <w:p w14:paraId="2A6F17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PMC13586439</w:t>
      </w:r>
    </w:p>
    <w:p w14:paraId="632F85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42761181</w:t>
      </w:r>
    </w:p>
    <w:p w14:paraId="291A41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9C38FC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Lancet Respir Med. 2026 Sep 18:S2213-2600(26)00278-X. doi: </w:t>
      </w:r>
    </w:p>
    <w:p w14:paraId="0A52293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10.1016/S2213-2600(26)00278-X. Online ahead of print.</w:t>
      </w:r>
    </w:p>
    <w:p w14:paraId="70C4A8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340AD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preventive treatment in high-burden settings: inequality in </w:t>
      </w:r>
    </w:p>
    <w:p w14:paraId="58B5DD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benefit, evidence, and potential harms.</w:t>
      </w:r>
    </w:p>
    <w:p w14:paraId="50CFFE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6F92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Coussens AK(1).</w:t>
      </w:r>
    </w:p>
    <w:p w14:paraId="6A74C8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F02C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3D658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(1)Wellcome Discovery Research Platforms in Infection, Centre for Infectious </w:t>
      </w:r>
    </w:p>
    <w:p w14:paraId="7AB048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Diseases Research in Africa, Institute of Infectious Disease and Molecular </w:t>
      </w:r>
    </w:p>
    <w:p w14:paraId="57E06F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and Department of Pathology, University of Cape Town, Cape Town 7935, </w:t>
      </w:r>
    </w:p>
    <w:p w14:paraId="323C04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South Africa; Department of Medical Biology, University of Melbourne, Parkville, </w:t>
      </w:r>
    </w:p>
    <w:p w14:paraId="738E9F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VIC, Australia. Electronic address: anna.coussens@uct.ac.za.</w:t>
      </w:r>
    </w:p>
    <w:p w14:paraId="55940D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69C0A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10.1016/S2213-2600(26)00278-X</w:t>
      </w:r>
    </w:p>
    <w:p w14:paraId="41FC0D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42759525</w:t>
      </w:r>
    </w:p>
    <w:p w14:paraId="5E4BC4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8C863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Pathog. 2026 Sep 18;22(9):e1014196. doi: 10.1371/journal.ppat.1014196. </w:t>
      </w:r>
    </w:p>
    <w:p w14:paraId="76E70F7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730279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CDA9B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Ubiquitylation by the GID/CTLH complex regulates the metabolic and innate immune </w:t>
      </w:r>
    </w:p>
    <w:p w14:paraId="10C9BA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response of macrophages to infection by Mycobacterium tuberculosis.</w:t>
      </w:r>
    </w:p>
    <w:p w14:paraId="7D514E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AD271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Simwela NV(1), Johnston L(1), Sassetti CM(2), Russell DG(1).</w:t>
      </w:r>
    </w:p>
    <w:p w14:paraId="6C8FE0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65981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A7D5B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Microbiology and Immunology, College of Veterinary Medicine, </w:t>
      </w:r>
    </w:p>
    <w:p w14:paraId="26A144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Cornell University, Ithaca, New York, United States of America.</w:t>
      </w:r>
    </w:p>
    <w:p w14:paraId="655935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Microbiology and Physiological Systems, UMass Chan Medical </w:t>
      </w:r>
    </w:p>
    <w:p w14:paraId="50AAB6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School, Worcester, MassachusettsUnited States of America.</w:t>
      </w:r>
    </w:p>
    <w:p w14:paraId="3B8C60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0F022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GID/CTLH E3 ligase complex is implicated in several biological processes, </w:t>
      </w:r>
    </w:p>
    <w:p w14:paraId="47B415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yet its full substrate repertoire remains poorly defined. We recently identified </w:t>
      </w:r>
    </w:p>
    <w:p w14:paraId="130223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complex as a broad modulator of macrophage responses to Mycobacterium </w:t>
      </w:r>
    </w:p>
    <w:p w14:paraId="147D2F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(Mtb) infection. Here, we use label-free proteomics and diGly </w:t>
      </w:r>
    </w:p>
    <w:p w14:paraId="0721BF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capture analysis of Mtb-infected macrophages to define the GID/CTLH-dependent </w:t>
      </w:r>
    </w:p>
    <w:p w14:paraId="7D51D0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ubiquitylome. We identify thousands of dynamically altered ubiquitylation sites, </w:t>
      </w:r>
    </w:p>
    <w:p w14:paraId="2A16E7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strong enrichment among proteins involved in cellular metabolism and innate </w:t>
      </w:r>
    </w:p>
    <w:p w14:paraId="205835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immune signaling. Concurrent proteome analysis revealed extensive rewiring in </w:t>
      </w:r>
    </w:p>
    <w:p w14:paraId="440C0D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GID/CTLH-deficient macrophages, with &gt;90% of enriched pathways among increased </w:t>
      </w:r>
    </w:p>
    <w:p w14:paraId="46E9CC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proteins consisting of metabolic targets. Notably, inhibitory phosphatases </w:t>
      </w:r>
    </w:p>
    <w:p w14:paraId="7B298B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(PTEN, INPP5D) also emerged as candidate substrates. Functional studies revealed </w:t>
      </w:r>
    </w:p>
    <w:p w14:paraId="17E973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proteasome-dependent stabilization of PTEN and INPP5D in GID/CTLH-deficient </w:t>
      </w:r>
    </w:p>
    <w:p w14:paraId="6DCC6D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macrophages with each phosphatase individually exerting an influence on Mtb </w:t>
      </w:r>
    </w:p>
    <w:p w14:paraId="504CF2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intracellular survival. Together, our study defines a GID/CTLH-dependent </w:t>
      </w:r>
    </w:p>
    <w:p w14:paraId="653B9A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ubiquitylome in macrophages and identifies the complex as a central regulator of </w:t>
      </w:r>
    </w:p>
    <w:p w14:paraId="665A86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metabolism and antimicrobial immunity.</w:t>
      </w:r>
    </w:p>
    <w:p w14:paraId="747855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061B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Simwela et al. This is an open access article distributed </w:t>
      </w:r>
    </w:p>
    <w:p w14:paraId="37E8D1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 the terms of the Creative Commons Attribution License, which permits </w:t>
      </w:r>
    </w:p>
    <w:p w14:paraId="185BC5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08810E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2AC874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24305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10.1371/journal.ppat.1014196</w:t>
      </w:r>
    </w:p>
    <w:p w14:paraId="15B8B4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42758808</w:t>
      </w:r>
    </w:p>
    <w:p w14:paraId="3575EE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C555CB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Glob Public Health. 2026 Sep 18;6(9):e0005628. doi: </w:t>
      </w:r>
    </w:p>
    <w:p w14:paraId="52397AF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10.1371/journal.pgph.0005628. eCollection 2026.</w:t>
      </w:r>
    </w:p>
    <w:p w14:paraId="76B6CA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666BB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Scaling-up tuberculosis preventive therapy to HIV-negative contacts of </w:t>
      </w:r>
    </w:p>
    <w:p w14:paraId="4A050B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bacteriologically confirmed TB cases aged 5 years and above - Lessons from a </w:t>
      </w:r>
    </w:p>
    <w:p w14:paraId="4EA5A2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preventive therapy surge activity in Zambia.</w:t>
      </w:r>
    </w:p>
    <w:p w14:paraId="39BA1F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E2C99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Mwaba PB(1), Mwaba I(1), Maimbolwa MM(1), Chanda C(2), Mputu M(2), Lumbwe C(3), </w:t>
      </w:r>
    </w:p>
    <w:p w14:paraId="65BFF2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Zimba K(4), Chanda NK(2), Chimzizi R(2), Mubanga A(2), Muyoyeta M(1), Kagujje </w:t>
      </w:r>
    </w:p>
    <w:p w14:paraId="62621F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M(1).</w:t>
      </w:r>
    </w:p>
    <w:p w14:paraId="7D410E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D24B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C33B8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Tuberculosis and other Respiratory Diseases, Centre for </w:t>
      </w:r>
    </w:p>
    <w:p w14:paraId="673114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Infectious Disease Research in Zambia, Lusaka, Zambia.</w:t>
      </w:r>
    </w:p>
    <w:p w14:paraId="31D622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Public Health, National Tuberculosis and Leprosy Programme, </w:t>
      </w:r>
    </w:p>
    <w:p w14:paraId="4C803F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Ministry of Health, Lusaka, Zambia.</w:t>
      </w:r>
    </w:p>
    <w:p w14:paraId="6E52F8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Health Management and Health Economics, University of Oslo, </w:t>
      </w:r>
    </w:p>
    <w:p w14:paraId="56FB9F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Oslo, Norway.</w:t>
      </w:r>
    </w:p>
    <w:p w14:paraId="5C215A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(4)The Health Coordination Office, United States Embassy, Lusaka, Zambia.</w:t>
      </w:r>
    </w:p>
    <w:p w14:paraId="4D5F81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3D73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While tuberculosis preventive therapy (TPT) coverage among people living with </w:t>
      </w:r>
    </w:p>
    <w:p w14:paraId="437421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HIV in Zambia has improved, uptake among HIV-negative contacts aged ≥5 years </w:t>
      </w:r>
    </w:p>
    <w:p w14:paraId="205D35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remains low. Despite evidence showing that TPT can reduce TB incidence by up to </w:t>
      </w:r>
    </w:p>
    <w:p w14:paraId="4F967C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60% in HIV-negative individuals, there is a paucity of evidence on programmatic </w:t>
      </w:r>
    </w:p>
    <w:p w14:paraId="64BD9D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rollout to this population in Zambia and the region. We present programme data </w:t>
      </w:r>
    </w:p>
    <w:p w14:paraId="3653A1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a TPT surge aimed at increasing uptake among ≥5 years old HIV-negative </w:t>
      </w:r>
    </w:p>
    <w:p w14:paraId="4831D6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household TB contacts. The National TB Programme, with support from the TB Local </w:t>
      </w:r>
    </w:p>
    <w:p w14:paraId="2B6BD1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Organizations Network, conducted a TPT surge in 89 high TB-burden facilities </w:t>
      </w:r>
    </w:p>
    <w:p w14:paraId="6B0A27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across eight project supported provinces in Zambia from October 2024-15th </w:t>
      </w:r>
    </w:p>
    <w:p w14:paraId="5AAE5B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January 2025. After a thorough planning phase, multidisciplinary teams conducted </w:t>
      </w:r>
    </w:p>
    <w:p w14:paraId="544660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field visits for contact tracing and initiated TPT for eligible household </w:t>
      </w:r>
    </w:p>
    <w:p w14:paraId="50B2A3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contacts of bacteriologically confirmed TB.. Facility-based TPT initiation was </w:t>
      </w:r>
    </w:p>
    <w:p w14:paraId="4C8C84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provided for walk-in clients. We collected and analyzed aggregate data from </w:t>
      </w:r>
    </w:p>
    <w:p w14:paraId="7ED61E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facility registers. A total of 19,371 HIV-negative contacts aged ≥ 5 years were </w:t>
      </w:r>
    </w:p>
    <w:p w14:paraId="5D308F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screened: 99.9% (n = 19,344) were eligible for and offered TPT. Of these, 72.4% </w:t>
      </w:r>
    </w:p>
    <w:p w14:paraId="05A4AC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(n = 14,000) were initiated on TPT, 2.0% (n = 385) refused and 26.2% (n = 4,959) </w:t>
      </w:r>
    </w:p>
    <w:p w14:paraId="481CE5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not initiated on treatment due to unavailability of their preferred </w:t>
      </w:r>
    </w:p>
    <w:p w14:paraId="232AD7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regimen. The start of the surge was associated with an immediate 47.7% points </w:t>
      </w:r>
    </w:p>
    <w:p w14:paraId="066B66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increase in TPT coverage (p = 0.001). Overall, 63.7% (n = 8,917) were initiated </w:t>
      </w:r>
    </w:p>
    <w:p w14:paraId="64CF66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 three-months Isoniazid+Rifapentine, followed by six-months Isoniazid (30.2%, </w:t>
      </w:r>
    </w:p>
    <w:p w14:paraId="49CDC0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 = 4226); one-month Isoniazid+Rifapentine (4.5%, n = 625) and on three-months </w:t>
      </w:r>
    </w:p>
    <w:p w14:paraId="237DE5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Isoniazid+Rifampicin (1.7%, n = 232). The surge demonstrated that TPT can be </w:t>
      </w:r>
    </w:p>
    <w:p w14:paraId="195080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rolled out to ≥5 years old HIV-negative TB contacts with high initiation rates </w:t>
      </w:r>
    </w:p>
    <w:p w14:paraId="697802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achieved. This is achievable through targeted implementation, stakeholder </w:t>
      </w:r>
    </w:p>
    <w:p w14:paraId="46C378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engagement, and community-driven approaches. These findings underscore the </w:t>
      </w:r>
    </w:p>
    <w:p w14:paraId="64BDD9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feasibility of extending TPT to all TB contacts, regardless of HIV status or </w:t>
      </w:r>
    </w:p>
    <w:p w14:paraId="09EB55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age, to accelerate TB prevention efforts in high-burden settings like Zambia.</w:t>
      </w:r>
    </w:p>
    <w:p w14:paraId="23B288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E1E5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This is an open access article, free of all copyright, and may be </w:t>
      </w:r>
    </w:p>
    <w:p w14:paraId="36761C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freely reproduced, distributed, transmitted, modified, built upon, or otherwise </w:t>
      </w:r>
    </w:p>
    <w:p w14:paraId="10B6F8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used by anyone for any lawful purpose. The work is made available under the </w:t>
      </w:r>
    </w:p>
    <w:p w14:paraId="2524F7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Creative Commons CC0 public domain dedication.</w:t>
      </w:r>
    </w:p>
    <w:p w14:paraId="5AD8D3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53122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10.1371/journal.pgph.0005628</w:t>
      </w:r>
    </w:p>
    <w:p w14:paraId="09FED9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42758766</w:t>
      </w:r>
    </w:p>
    <w:p w14:paraId="35C68B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E0D2D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One. 2026 Sep 18;21(9):e0346447. doi: 10.1371/journal.pone.0346447. </w:t>
      </w:r>
    </w:p>
    <w:p w14:paraId="65EDEFC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53545E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15A5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Annual trends in Mycobacterium tuberculosis detection and rifampicin resistance </w:t>
      </w:r>
    </w:p>
    <w:p w14:paraId="20D734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at a regional referral hospital in Northern Ghana, 2019-2024.</w:t>
      </w:r>
    </w:p>
    <w:p w14:paraId="4FBA37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8B41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Wireko S(1), Nyarko J(2), Arthur-Quayson KH(2), Abu O(3), Appiah R(3), Ofosu </w:t>
      </w:r>
    </w:p>
    <w:p w14:paraId="4FD58C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M(1), Kwarteng A(4), Deku JG(5), Senu E(6).</w:t>
      </w:r>
    </w:p>
    <w:p w14:paraId="7BC519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DF25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DFDB3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Laboratory Technology, Faculty of Health Science, Kumasi </w:t>
      </w:r>
    </w:p>
    <w:p w14:paraId="07FF45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Technical University, Kumasi, Ghana.</w:t>
      </w:r>
    </w:p>
    <w:p w14:paraId="6ACC58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(2)Medicare College of Applied Sciences, Kumasi, Ghana.</w:t>
      </w:r>
    </w:p>
    <w:p w14:paraId="7F148B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(3)Upper East Regional Hospital, Bolgatanga, Ghana.</w:t>
      </w:r>
    </w:p>
    <w:p w14:paraId="425C9E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Biochemistry and Biotechnology, College of Science, Kwame </w:t>
      </w:r>
    </w:p>
    <w:p w14:paraId="18D385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Nkrumah University of Science and Technology, Kumasi, Ghana.</w:t>
      </w:r>
    </w:p>
    <w:p w14:paraId="1C19AB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Medical Laboratory Sciences, School of Allied Health Sciences, </w:t>
      </w:r>
    </w:p>
    <w:p w14:paraId="499F71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Health and Allied Sciences, Ho, Ghana.</w:t>
      </w:r>
    </w:p>
    <w:p w14:paraId="57FD69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(6)Elite Research and Data Science Institute, Kumasi, Ghana.</w:t>
      </w:r>
    </w:p>
    <w:p w14:paraId="25CDAB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F7C81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remains an important public health problem in </w:t>
      </w:r>
    </w:p>
    <w:p w14:paraId="0A4AB4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Ghana, while rifampicin-resistant TB (RR-TB) poses an additional challenge to TB </w:t>
      </w:r>
    </w:p>
    <w:p w14:paraId="3D6632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control. Routine molecular diagnostic data can provide useful information on </w:t>
      </w:r>
    </w:p>
    <w:p w14:paraId="5B2F72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temporal patterns of TB detection and drug resistance, particularly in regions </w:t>
      </w:r>
    </w:p>
    <w:p w14:paraId="27E582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where population-based surveillance data are limited. However, findings from </w:t>
      </w:r>
    </w:p>
    <w:p w14:paraId="661791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referral facilities may be influenced by referral patterns and access to </w:t>
      </w:r>
    </w:p>
    <w:p w14:paraId="347ABB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services and should therefore be interpreted within their </w:t>
      </w:r>
    </w:p>
    <w:p w14:paraId="1569A3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health-system context. We conducted a cross-sectional study using historical </w:t>
      </w:r>
    </w:p>
    <w:p w14:paraId="11C400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GeneXpert MTB/RIF data collected from January 2019 to December 2024 at the Upper </w:t>
      </w:r>
    </w:p>
    <w:p w14:paraId="333ED7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East Regional Hospital (UERH), a regional referral facility in Bolgatanga, </w:t>
      </w:r>
    </w:p>
    <w:p w14:paraId="4B5AF0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Ghana. Data were extracted from GeneXpert laboratory and TB programme registers </w:t>
      </w:r>
    </w:p>
    <w:p w14:paraId="060F6F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patients tested for presumptive TB. MTB detection and rifampicin resistance </w:t>
      </w:r>
    </w:p>
    <w:p w14:paraId="7F584D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determined from GeneXpert MTB/RIF results. Temporal differences in </w:t>
      </w:r>
    </w:p>
    <w:p w14:paraId="5FFBE3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categorical outcomes were assessed using Pearson's chi-square test of </w:t>
      </w:r>
    </w:p>
    <w:p w14:paraId="765EE4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independence. Multivariable logistic regression was used to identify factors </w:t>
      </w:r>
    </w:p>
    <w:p w14:paraId="7BD409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independently associated with rifampicin resistance. A total of 6,897 GeneXpert </w:t>
      </w:r>
    </w:p>
    <w:p w14:paraId="37B3C6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MTB/RIF tests were included. The mean age of the tested population was </w:t>
      </w:r>
    </w:p>
    <w:p w14:paraId="278E4F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44.6 ± 20.4 years, and 56.7% were male. MTB was detected in 1,083 tests (15.7%). </w:t>
      </w:r>
    </w:p>
    <w:p w14:paraId="4722D5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MTB detection varied significantly across study years (χ² = 28.46, p &lt; 0.001), </w:t>
      </w:r>
    </w:p>
    <w:p w14:paraId="046DE9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positivity ranging from 9.8% in 2022 to 20.9% in 2021. Among MTB-positive </w:t>
      </w:r>
    </w:p>
    <w:p w14:paraId="212A2C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tests, 192/1,083 (17.7%) showed rifampicin resistance. The annual proportion of </w:t>
      </w:r>
    </w:p>
    <w:p w14:paraId="65C383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rifampicin resistance ranged from 9.5% in 2020 to 23.1% in 2023 and varied </w:t>
      </w:r>
    </w:p>
    <w:p w14:paraId="5AA4BF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significantly across years (χ² = 27.13, p &lt; 0.001). Low MTB bacterial load was </w:t>
      </w:r>
    </w:p>
    <w:p w14:paraId="66D854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significantly more frequent among rifampicin-resistant cases. In multivariable </w:t>
      </w:r>
    </w:p>
    <w:p w14:paraId="36A757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analysis, female sex was associated with higher odds of rifampicin resistance </w:t>
      </w:r>
    </w:p>
    <w:p w14:paraId="4CE9B2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after adjustment for age and MTB bacterial-load category (aOR = 1.44, 95% CI: </w:t>
      </w:r>
    </w:p>
    <w:p w14:paraId="1B59F1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1.02-2.02; p = 0.037), while low MTB bacterial load was independently associated </w:t>
      </w:r>
    </w:p>
    <w:p w14:paraId="36832E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rifampicin resistance after adjustment for age and sex (aOR = 9.62, 95% CI: </w:t>
      </w:r>
    </w:p>
    <w:p w14:paraId="11018A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5.77-16.04; p &lt; 0.001). MTB detection and rifampicin resistance showed </w:t>
      </w:r>
    </w:p>
    <w:p w14:paraId="200214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substantial year-to-year variation among patients tested at UERH during </w:t>
      </w:r>
    </w:p>
    <w:p w14:paraId="639E25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2019-2024. The 17.7% rifampicin-resistance proportion represents a </w:t>
      </w:r>
    </w:p>
    <w:p w14:paraId="2C0386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hospital-based estimate among MTB-positive GeneXpert-tested cases and should not </w:t>
      </w:r>
    </w:p>
    <w:p w14:paraId="2614F4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 interpreted as the population prevalence of RR-TB in the Upper East Region. </w:t>
      </w:r>
    </w:p>
    <w:p w14:paraId="2F9903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observed pattern nevertheless warrants further investigation to determine </w:t>
      </w:r>
    </w:p>
    <w:p w14:paraId="440D0B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contribution of referral patterns, targeted testing, previous treatment, and </w:t>
      </w:r>
    </w:p>
    <w:p w14:paraId="507874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other programme factors to the high proportion of rifampicin resistance observed </w:t>
      </w:r>
    </w:p>
    <w:p w14:paraId="47111F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at this referral facility.</w:t>
      </w:r>
    </w:p>
    <w:p w14:paraId="7479E4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CD736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Wireko et al. This is an open access article distributed under </w:t>
      </w:r>
    </w:p>
    <w:p w14:paraId="4D3734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terms of the Creative Commons Attribution License, which permits </w:t>
      </w:r>
    </w:p>
    <w:p w14:paraId="6A3888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61FBF9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58E227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2D99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10.1371/journal.pone.0346447</w:t>
      </w:r>
    </w:p>
    <w:p w14:paraId="3D3BC8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42758672 [Indexed for MEDLINE]</w:t>
      </w:r>
    </w:p>
    <w:p w14:paraId="747A1C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C7C4CE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Radiat Environ Biophys. 2026 Sep 18. doi: 10.1007/s00411-026-01251-6. Online </w:t>
      </w:r>
    </w:p>
    <w:p w14:paraId="0424809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3CE312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D04F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Comparison of X-ray image quality and scattered radiation among portable, </w:t>
      </w:r>
    </w:p>
    <w:p w14:paraId="453E5E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mobile, and stationary X-ray machines.</w:t>
      </w:r>
    </w:p>
    <w:p w14:paraId="6B4FE7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5A25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Wannawong W(1), Chalermwiriyawat K(2), Kaeoklang S(2), Awikunprasert P(3), </w:t>
      </w:r>
    </w:p>
    <w:p w14:paraId="07D83A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Prasomsap K(4), Tanasoontrarat W(1), Tavornshevin P(5).</w:t>
      </w:r>
    </w:p>
    <w:p w14:paraId="5E29FF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A447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FE07E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(1)Division of Diagnostic Radiology, Faculty of Medicine Vajira Hospital, </w:t>
      </w:r>
    </w:p>
    <w:p w14:paraId="7CEDFE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Navamindradhiraj University, Bangkok, 10300, Thailand.</w:t>
      </w:r>
    </w:p>
    <w:p w14:paraId="521AEE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(2)Bachelor of Science in Radiological Technology, Faculty of Medicine Vajira </w:t>
      </w:r>
    </w:p>
    <w:p w14:paraId="350941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Navamindradhiraj University, Bangkok, 10300, Thailand.</w:t>
      </w:r>
    </w:p>
    <w:p w14:paraId="07D5B6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Radiological Technology, Faculty of Medicine Vajira Hospital, </w:t>
      </w:r>
    </w:p>
    <w:p w14:paraId="44FB20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Navamindradhiraj University, Bangkok, 10300, Thailand. panatsada@nmu.ac.th.</w:t>
      </w:r>
    </w:p>
    <w:p w14:paraId="0A9968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Radiological Technology, Faculty of Medicine Vajira Hospital, </w:t>
      </w:r>
    </w:p>
    <w:p w14:paraId="5BB19A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Navamindradhiraj University, Bangkok, 10300, Thailand.</w:t>
      </w:r>
    </w:p>
    <w:p w14:paraId="166918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Internal Medicine, Faculty of Medicine Vajira Hospital, </w:t>
      </w:r>
    </w:p>
    <w:p w14:paraId="1EAE75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Navamindradhiraj University, Bangkok, 10300, Thailand.</w:t>
      </w:r>
    </w:p>
    <w:p w14:paraId="016656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3709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Chest radiography is a sensitive method for tuberculosis (TB) detection, and </w:t>
      </w:r>
    </w:p>
    <w:p w14:paraId="621794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portable X-ray systems offer a practical solution for community-based screening. </w:t>
      </w:r>
    </w:p>
    <w:p w14:paraId="2B8192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However, whether the image quality of portable systems is diagnostically </w:t>
      </w:r>
    </w:p>
    <w:p w14:paraId="772B73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comparable to that of mobile and stationary systems remains insufficiently </w:t>
      </w:r>
    </w:p>
    <w:p w14:paraId="20BA85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addressed. This study compared image quality and ambient dose equivalent H*(10) </w:t>
      </w:r>
    </w:p>
    <w:p w14:paraId="498E47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 radiographic exposure across one portable, three mobile, and three </w:t>
      </w:r>
    </w:p>
    <w:p w14:paraId="4088A7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stationary X-ray systems. Image quality was evaluated using a test object for </w:t>
      </w:r>
    </w:p>
    <w:p w14:paraId="4463D8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radiography (TOR) contrast-detail phantom at acrylic thicknesses of 13 cm, </w:t>
      </w:r>
    </w:p>
    <w:p w14:paraId="551670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22.5 cm, and 32 cm, and using an anthropomorphic chest phantom assessed by two </w:t>
      </w:r>
    </w:p>
    <w:p w14:paraId="447F8A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radiologists and one pulmonologist according to the European guidelines on </w:t>
      </w:r>
    </w:p>
    <w:p w14:paraId="3BEAF4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quality criteria for diagnostic radiographic images. Spatial resolution, </w:t>
      </w:r>
    </w:p>
    <w:p w14:paraId="3EC63D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low-contrast sensitivity, and high-contrast sensitivity were analysed using </w:t>
      </w:r>
    </w:p>
    <w:p w14:paraId="06F9B0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AutoPIA and, where automated analysis was not possible, visual scoring with </w:t>
      </w:r>
    </w:p>
    <w:p w14:paraId="0372E8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ImageJ (median values from three independent observers). Scattered radiation was </w:t>
      </w:r>
    </w:p>
    <w:p w14:paraId="5AE398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quantified as ambient dose equivalent H*(10) per exposure at 1.0 m from the </w:t>
      </w:r>
    </w:p>
    <w:p w14:paraId="08B9B5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centre of the phantom. Values were measured directly at 1.0 m for the 13 cm and </w:t>
      </w:r>
    </w:p>
    <w:p w14:paraId="41E48D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22.5 cm acrylic thicknesses and the anthropomorphic chest phantom; for the 32 cm </w:t>
      </w:r>
    </w:p>
    <w:p w14:paraId="7477D5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thickness, the 1.0 m value was estimated by inverse square law extrapolation </w:t>
      </w:r>
    </w:p>
    <w:p w14:paraId="188D98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a measurement obtained at 1.5 m. For the TOR phantom, the portable system </w:t>
      </w:r>
    </w:p>
    <w:p w14:paraId="612CC2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produced spatial resolution and contrast sensitivity values generally within the </w:t>
      </w:r>
    </w:p>
    <w:p w14:paraId="237D87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range observed for the mobile and stationary systems across the tested thickness </w:t>
      </w:r>
    </w:p>
    <w:p w14:paraId="49F313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conditions. For the anthropomorphic phantom, the portable system achieved the </w:t>
      </w:r>
    </w:p>
    <w:p w14:paraId="77F0F4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highest median total score (45 out of 45), with all systems meeting the defined </w:t>
      </w:r>
    </w:p>
    <w:p w14:paraId="154304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threshold for acceptable diagnostic quality (median score of 4 or higher per </w:t>
      </w:r>
    </w:p>
    <w:p w14:paraId="2EFBB1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criterion). H*(10) per exposure from the portable system ranged from 0.12 to </w:t>
      </w:r>
    </w:p>
    <w:p w14:paraId="5C072A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0.97 µSv across acrylic thicknesses and were within the ranges observed for the </w:t>
      </w:r>
    </w:p>
    <w:p w14:paraId="1D0868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mobile and stationary systems. These findings support the potential use of the </w:t>
      </w:r>
    </w:p>
    <w:p w14:paraId="21744D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evaluated portable X-ray system for chest imaging and TB screening in </w:t>
      </w:r>
    </w:p>
    <w:p w14:paraId="686488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community-based settings; however, the scattered-radiation measurements should </w:t>
      </w:r>
    </w:p>
    <w:p w14:paraId="0D0AB6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 interpreted as baseline reference data, and further clinical and </w:t>
      </w:r>
    </w:p>
    <w:p w14:paraId="4600D7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workload-based studies are needed to confirm real-world image quality and </w:t>
      </w:r>
    </w:p>
    <w:p w14:paraId="4064E1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occupational radiation exposure.</w:t>
      </w:r>
    </w:p>
    <w:p w14:paraId="1BBC8E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52250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2026. The Author(s), under exclusive licence to Springer-Verlag GmbH Germany, </w:t>
      </w:r>
    </w:p>
    <w:p w14:paraId="24EC6B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part of Springer Nature.</w:t>
      </w:r>
    </w:p>
    <w:p w14:paraId="61E976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6E9D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10.1007/s00411-026-01251-6</w:t>
      </w:r>
    </w:p>
    <w:p w14:paraId="11C642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42758301</w:t>
      </w:r>
    </w:p>
    <w:p w14:paraId="50D3AE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CDA83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Clin Infect Dis. 2026 Sep 18:ciag573. doi: 10.1093/cid/ciag573. Online ahead of print.</w:t>
      </w:r>
    </w:p>
    <w:p w14:paraId="135C5B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E946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Evaluating metagenomic sequencing as a stool-based diagnostic in children with </w:t>
      </w:r>
    </w:p>
    <w:p w14:paraId="7423A4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presumptive TB in Uganda.</w:t>
      </w:r>
    </w:p>
    <w:p w14:paraId="5A4D61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81CD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Agudelo C(1), Nsereko M(2), Ainebyona A(2), Andama A(2), Castro R(3), Leung </w:t>
      </w:r>
    </w:p>
    <w:p w14:paraId="119D4F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SRM(1), Nakafeero J(2), Nannyonga G(2), Nolan K(3), Teran L(1), Wambi P(2), </w:t>
      </w:r>
    </w:p>
    <w:p w14:paraId="52B382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Young MG(1)(4), Kato-Maeda M(3), Cattamanchi A(5), Jaganath D(6), Wobudeya E(2), </w:t>
      </w:r>
    </w:p>
    <w:p w14:paraId="7426E7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Wolf AR(1)(4).</w:t>
      </w:r>
    </w:p>
    <w:p w14:paraId="3C9B83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4F01F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902B3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(1)Division of Infectious Disease and Vaccinology, School of Public Health, </w:t>
      </w:r>
    </w:p>
    <w:p w14:paraId="22E85F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California, Berkeley, Berkeley, CA, USA.</w:t>
      </w:r>
    </w:p>
    <w:p w14:paraId="68E246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(2)World Alliance for Lung and Intensive Care Medicine in Uganda, Kampala, </w:t>
      </w:r>
    </w:p>
    <w:p w14:paraId="4AD3FA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Uganda.</w:t>
      </w:r>
    </w:p>
    <w:p w14:paraId="6E320A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(3)Pulmonary and Critical Care Medicine, University of California, San </w:t>
      </w:r>
    </w:p>
    <w:p w14:paraId="503212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Francisco, San Francisco, CA, USA.</w:t>
      </w:r>
    </w:p>
    <w:p w14:paraId="508F23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(4)Center for Computational Biology, University of California, Berkeley, </w:t>
      </w:r>
    </w:p>
    <w:p w14:paraId="7A37CB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Berkeley, CA, USA.</w:t>
      </w:r>
    </w:p>
    <w:p w14:paraId="0AA67B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(5)Pulmonary Diseases and Critical Care, University of California Irvine, </w:t>
      </w:r>
    </w:p>
    <w:p w14:paraId="6711A1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Orange, CA, USA.</w:t>
      </w:r>
    </w:p>
    <w:p w14:paraId="28E436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(6)Pediatric Infectious Disease, University of California, San Francisco, San </w:t>
      </w:r>
    </w:p>
    <w:p w14:paraId="7928EF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Francisco, CA, USA.</w:t>
      </w:r>
    </w:p>
    <w:p w14:paraId="5D9321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076D5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Stool-based molecular tests provide noninvasive options for </w:t>
      </w:r>
    </w:p>
    <w:p w14:paraId="4565D6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pediatric tuberculosis (TB) diagnosis, but have lower sensitivity compared to </w:t>
      </w:r>
    </w:p>
    <w:p w14:paraId="72FA36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sputum-based tests. Untargeted metagenomic sequencing (mNGS) on stool could </w:t>
      </w:r>
    </w:p>
    <w:p w14:paraId="3AD9E3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improve sensitivity and identify new gene targets for molecular testing.</w:t>
      </w:r>
    </w:p>
    <w:p w14:paraId="21794D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We performed shotgun mNGS on DNA isolated from stool samples of </w:t>
      </w:r>
    </w:p>
    <w:p w14:paraId="543330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children undergoing assessment for pulmonary TB in Uganda. We defined the </w:t>
      </w:r>
    </w:p>
    <w:p w14:paraId="3988F8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performance of mNGS to identify Mycobacterium tuberculosis (Mtb) against a </w:t>
      </w:r>
    </w:p>
    <w:p w14:paraId="514814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microbiological reference standard (MRS, TB if sputum Xpert Ultra or culture </w:t>
      </w:r>
    </w:p>
    <w:p w14:paraId="6C7FBE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positive) and a composite reference standard (TB if confirmed or unconfirmed </w:t>
      </w:r>
    </w:p>
    <w:p w14:paraId="0DF1FC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TB). We also compared accuracy of mNGS against stool-based Xpert Ultra. Finally, </w:t>
      </w:r>
    </w:p>
    <w:p w14:paraId="4D7E60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we identified enriched genomic loci among Mtb classified reads.</w:t>
      </w:r>
    </w:p>
    <w:p w14:paraId="5E8A2B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: We analyzed 176 stool samples of children with a median age of 3.6 </w:t>
      </w:r>
    </w:p>
    <w:p w14:paraId="78092D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years (IQR, 1-6 years). Against the MRS, the sensitivities of mNGS with positive </w:t>
      </w:r>
    </w:p>
    <w:p w14:paraId="4927CA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defined as ≥ 1, 2, or 5 sequence fragments were 35.5% (95% CI 19%-55%), 25.7% </w:t>
      </w:r>
    </w:p>
    <w:p w14:paraId="06D1CF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(12%-45%), and 19.4% (13%-25%) respectively, and specificities 92.64% (87%-96%), </w:t>
      </w:r>
    </w:p>
    <w:p w14:paraId="6931BC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97% (93%-99%), and 99.3% (96%-100%). Stool Xpert Ultra had similar sensitivity </w:t>
      </w:r>
    </w:p>
    <w:p w14:paraId="7106C6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(22.6%) to stool mNGS considering all samples tested. In a head-to-head </w:t>
      </w:r>
    </w:p>
    <w:p w14:paraId="6800A6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comparison, stool mNGS had lower sensitivity than stool Xpert Ultra (38.5% vs. </w:t>
      </w:r>
    </w:p>
    <w:p w14:paraId="20363E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53.8%, difference -15.3%, 95% CI 14-68 to 25-81). mNGS utilized rRNA, virulence </w:t>
      </w:r>
    </w:p>
    <w:p w14:paraId="7CD60C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proteins and membrane proteins not targeted in current PCR-based platforms.</w:t>
      </w:r>
    </w:p>
    <w:p w14:paraId="0B6172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Metagenomic sequencing of stool DNA did not increase sensitivity of </w:t>
      </w:r>
    </w:p>
    <w:p w14:paraId="455823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detection, but identified novel targets for molecular testing that may </w:t>
      </w:r>
    </w:p>
    <w:p w14:paraId="16A123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support development of more sensitive tests.</w:t>
      </w:r>
    </w:p>
    <w:p w14:paraId="10B803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33C1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The Author(s) 2026. Published by Oxford University Press on behalf of </w:t>
      </w:r>
    </w:p>
    <w:p w14:paraId="68EB2C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Infectious Diseases Society of America.</w:t>
      </w:r>
    </w:p>
    <w:p w14:paraId="67E7C4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3C76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10.1093/cid/ciag573</w:t>
      </w:r>
    </w:p>
    <w:p w14:paraId="3B6243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42758039</w:t>
      </w:r>
    </w:p>
    <w:p w14:paraId="68DF98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C2CF2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Clin Infect Dis. 2026 Sep 18:ciag574. doi: 10.1093/cid/ciag574. Online ahead of print.</w:t>
      </w:r>
    </w:p>
    <w:p w14:paraId="749909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DAAE7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Non-invasive options for pediatric tuberculosis diagnosis: the search continues.</w:t>
      </w:r>
    </w:p>
    <w:p w14:paraId="6CDF5F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4734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Rajendran P(1), Pai M(2)(3).</w:t>
      </w:r>
    </w:p>
    <w:p w14:paraId="4F692C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7EEB3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B0C1D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(1)ICMR National Institute for Research in Tuberculosis, Chennai, India.</w:t>
      </w:r>
    </w:p>
    <w:p w14:paraId="76678F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(2)School of Population and Global Health, McGill University, Montreal, Canada.</w:t>
      </w:r>
    </w:p>
    <w:p w14:paraId="73AFC6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(3)Department of Medicine Solna, Karolinska Institutet, Stockholm, Sweden.</w:t>
      </w:r>
    </w:p>
    <w:p w14:paraId="3BCC91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F18D6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10.1093/cid/ciag574</w:t>
      </w:r>
    </w:p>
    <w:p w14:paraId="3E186C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42758037</w:t>
      </w:r>
    </w:p>
    <w:p w14:paraId="670349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AAF1B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mBio. 2026 Sep 18:e0197726. doi: 10.1128/mbio.01977-26. Online ahead of print.</w:t>
      </w:r>
    </w:p>
    <w:p w14:paraId="7B21C6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FCFA9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Experimental versus clinical studies capture distinct types of relapse in </w:t>
      </w:r>
    </w:p>
    <w:p w14:paraId="3F8548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tuberculosis.</w:t>
      </w:r>
    </w:p>
    <w:p w14:paraId="374956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CDF0F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Michael CT(1), Budak M(1), Lin PL(2), Kirschner D(1).</w:t>
      </w:r>
    </w:p>
    <w:p w14:paraId="782D29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A5AE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D354F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(1)Kirschner lab, Department of Microbiology &amp; Immunology, University of </w:t>
      </w:r>
    </w:p>
    <w:p w14:paraId="4F7827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Michigan - Michigan Medicine, Ann Arbor, Michigan, USA.</w:t>
      </w:r>
    </w:p>
    <w:p w14:paraId="37C61B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Pediatrics, UPMC Children's Hospital of Pittsburgh, University </w:t>
      </w:r>
    </w:p>
    <w:p w14:paraId="04E822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Pittsburgh School of Medicine, Pittsburgh, Pennsylvania, USA.</w:t>
      </w:r>
    </w:p>
    <w:p w14:paraId="014743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D6DF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remains a global health concern, as Mycobacterium tuberculosis </w:t>
      </w:r>
    </w:p>
    <w:p w14:paraId="1674AD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(Mtb) currently infects a quarter of the world's population. Though many TB </w:t>
      </w:r>
    </w:p>
    <w:p w14:paraId="1A45C2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cure infection with short-course treatment, regimens shorter than 4 </w:t>
      </w:r>
    </w:p>
    <w:p w14:paraId="0585F5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months risk post-treatment relapse. This is facilitated by the presence of </w:t>
      </w:r>
    </w:p>
    <w:p w14:paraId="0E8B29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granulomas, spatially heterogeneous immune structures that form during infection </w:t>
      </w:r>
    </w:p>
    <w:p w14:paraId="570586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harbor a caseated core that sequesters Mtb in a non-replicating state and </w:t>
      </w:r>
    </w:p>
    <w:p w14:paraId="40F148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pharmacokinetically impedes antibiotics. Typically, clinical relapse is </w:t>
      </w:r>
    </w:p>
    <w:p w14:paraId="445160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described as TB recurrence &lt;2 years after a misdiagnosis of cure upon treatment </w:t>
      </w:r>
    </w:p>
    <w:p w14:paraId="0CAE29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completion (MDxC). Comparatively, many experimental models cannot (or do not) </w:t>
      </w:r>
    </w:p>
    <w:p w14:paraId="1D6E22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screen for cure and examine relapse ~2 months after treatment completion. </w:t>
      </w:r>
    </w:p>
    <w:p w14:paraId="7B8DAD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Understanding how relapse occurs, and whether it is impacted by experimental </w:t>
      </w:r>
    </w:p>
    <w:p w14:paraId="128AD7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versus clinical study designs, may improve treatment. Here, we examine two </w:t>
      </w:r>
    </w:p>
    <w:p w14:paraId="73F869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hypothesized mechanisms of relapse: (i) reservoir, where treatment kills all Mtb </w:t>
      </w:r>
    </w:p>
    <w:p w14:paraId="2A0E57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except those in a non-replicating, diagnostically inaccessible host reservoir; </w:t>
      </w:r>
    </w:p>
    <w:p w14:paraId="1D6EDD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(ii) threshold, where replicating Mtb remain alive below detectable levels </w:t>
      </w:r>
    </w:p>
    <w:p w14:paraId="026574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within a test-accessible reservoir. We use our computational model capturing </w:t>
      </w:r>
    </w:p>
    <w:p w14:paraId="66BD81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whole-host Mtb infection dynamics, HostSim. Our simulations uncover rates of </w:t>
      </w:r>
    </w:p>
    <w:p w14:paraId="6035E6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reported relapse correlating with how studies are performed. Experimentally, </w:t>
      </w:r>
    </w:p>
    <w:p w14:paraId="16D72C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relapse is likely driven by incomplete sterilization of replicating bacteria, </w:t>
      </w:r>
    </w:p>
    <w:p w14:paraId="7758D9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whereas clinical relapse is most likely driven by gradual expansion of </w:t>
      </w:r>
    </w:p>
    <w:p w14:paraId="128CD6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non-replicating Mtb from caseum into granuloma cellular areas. This suggests </w:t>
      </w:r>
    </w:p>
    <w:p w14:paraId="330ECB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TB patients who relapse may best be re-treated with regimens including </w:t>
      </w:r>
    </w:p>
    <w:p w14:paraId="54F089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caseum-penetrating antibiotics, such as rifamycin-class antibiotics, and that </w:t>
      </w:r>
    </w:p>
    <w:p w14:paraId="6EAFF1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experimental animal relapse models better translate to clinical when "cure" is </w:t>
      </w:r>
    </w:p>
    <w:p w14:paraId="20C910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established at treatment completion.</w:t>
      </w: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IMPORTANCE</w:t>
      </w:r>
      <w:r>
        <w:rPr>
          <w:rFonts w:hint="eastAsia" w:ascii="宋体" w:hAnsi="宋体" w:eastAsia="宋体" w:cs="宋体"/>
          <w:b/>
          <w:bCs w:val="0"/>
          <w:color w:val="auto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Incomplete treatment of TB leads </w:t>
      </w:r>
    </w:p>
    <w:p w14:paraId="0AD4EC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risks relapse, which may occur years later. The threat of relapse is the main </w:t>
      </w:r>
    </w:p>
    <w:p w14:paraId="749BCF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reason TB treatment takes 4-9 months. Predictors of relapse are not well-defined </w:t>
      </w:r>
    </w:p>
    <w:p w14:paraId="14C050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given variability in technical definitions of relapse and nuances of study </w:t>
      </w:r>
    </w:p>
    <w:p w14:paraId="61314C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designs. Here, we use biologically based computation to simulate both clinical </w:t>
      </w:r>
    </w:p>
    <w:p w14:paraId="4C6744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experimental TB relapse studies, employing multiple diagnostic tests and </w:t>
      </w:r>
    </w:p>
    <w:p w14:paraId="7DB512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relapse definitions. We find that two hypothesized types of relapse, each </w:t>
      </w:r>
    </w:p>
    <w:p w14:paraId="5B19C8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possibly requiring different re-treatment strategies, are simultaneously at </w:t>
      </w:r>
    </w:p>
    <w:p w14:paraId="00954D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play. Simulations suggest that relapse after a "cure" diagnosis (most often </w:t>
      </w:r>
    </w:p>
    <w:p w14:paraId="288F1C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studies) is caused by reactivation of non-replicating bacteria hidden </w:t>
      </w:r>
    </w:p>
    <w:p w14:paraId="0E93B9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treatment within necrotic granuloma tissue or other sites, whereas </w:t>
      </w:r>
    </w:p>
    <w:p w14:paraId="4E51C4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experimental systems that cannot or do not test for cure post-treatment are </w:t>
      </w:r>
    </w:p>
    <w:p w14:paraId="3A7B0D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likely to report relapse caused by incomplete sterilization of replicating Mtb. </w:t>
      </w:r>
    </w:p>
    <w:p w14:paraId="481A05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Predictions also depend on the currently unclear relationship between bacterial </w:t>
      </w:r>
    </w:p>
    <w:p w14:paraId="1B4E2C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burden and clinical symptoms.</w:t>
      </w:r>
    </w:p>
    <w:p w14:paraId="5663D1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7EBEA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10.1128/mbio.01977-26</w:t>
      </w:r>
    </w:p>
    <w:p w14:paraId="67EB80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42757856</w:t>
      </w:r>
    </w:p>
    <w:p w14:paraId="723FD7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239ADA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Microbiol Spectr. 2026 Sep 18:e0188026. doi: 10.1128/spectrum.01880-26. Online ahead of print.</w:t>
      </w:r>
    </w:p>
    <w:p w14:paraId="277FA4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B027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Real-world evaluation of the FluoroType MTBDR 2.0 assay for detection of </w:t>
      </w:r>
    </w:p>
    <w:p w14:paraId="5A03B6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rifampicin and isoniazid resistance-conferring mutations in Mycobacterium </w:t>
      </w:r>
    </w:p>
    <w:p w14:paraId="64672B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complex clinical isolates.</w:t>
      </w:r>
    </w:p>
    <w:p w14:paraId="346C9E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E6F24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Ferreira FMdA(1), Brandão AP(1)(2), Massanti TB(3), Rego ACdS(3), Ferrazoli </w:t>
      </w:r>
    </w:p>
    <w:p w14:paraId="658060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L(1), Chimara E(1), de Oliveira RS(1), Pinhata JMW(1).</w:t>
      </w:r>
    </w:p>
    <w:p w14:paraId="7EABB1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FC6E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22183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(1)Núcleo de Tuberculose e Micobacterioses, Centro de Bacteriologia, Instituto </w:t>
      </w:r>
    </w:p>
    <w:p w14:paraId="706F45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Adolfo Lutz (IAL), São Paulo, São Paulo, Brazil.</w:t>
      </w:r>
    </w:p>
    <w:p w14:paraId="530A5C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(2)Instituto Oswaldo Cruz, Fundação Oswaldo Cruz (FIOCRUZ), Rio de Janeiro, Rio </w:t>
      </w:r>
    </w:p>
    <w:p w14:paraId="579471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 Janeiro, Brazil.</w:t>
      </w:r>
    </w:p>
    <w:p w14:paraId="0DDEDC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(3)Mobius Lifescience, Pinhais, Paraná, Brazil.</w:t>
      </w:r>
    </w:p>
    <w:p w14:paraId="7AA156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878DC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Drug-resistant tuberculosis (TB) remains a major global health challenge, </w:t>
      </w:r>
    </w:p>
    <w:p w14:paraId="289912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particularly in high-burden settings, where rapid detection of resistance to </w:t>
      </w:r>
    </w:p>
    <w:p w14:paraId="73FBD9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rifampicin (RIF) and isoniazid (INH) is essential for timely treatment. The </w:t>
      </w:r>
    </w:p>
    <w:p w14:paraId="3443DB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FluoroType MTBDR assay is an automated real-time PCR platform for simultaneous </w:t>
      </w:r>
    </w:p>
    <w:p w14:paraId="4A52F6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detection of Mycobacterium tuberculosis complex (MTBC) and resistance to RIF and </w:t>
      </w:r>
    </w:p>
    <w:p w14:paraId="6EE793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INH. This study aimed to evaluate the performance of FluoroType using clinical </w:t>
      </w:r>
    </w:p>
    <w:p w14:paraId="7116FA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MTBC isolates under routine laboratory conditions in a reference setting. The </w:t>
      </w:r>
    </w:p>
    <w:p w14:paraId="00B946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assay was prospectively assessed in comparison with the GenoType MTBDRplus line </w:t>
      </w:r>
    </w:p>
    <w:p w14:paraId="3F72F8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probe assay (LPA) using 1,841 clinical isolates, with discordant results </w:t>
      </w:r>
    </w:p>
    <w:p w14:paraId="6E7E4D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resolved by Sanger sequencing. For MTBC detection, FluoroType achieved 100% </w:t>
      </w:r>
    </w:p>
    <w:p w14:paraId="492A6B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sensitivity (1,807/1,807), 88.2% specificity (30/34), and 99.8% overall </w:t>
      </w:r>
    </w:p>
    <w:p w14:paraId="01BB53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accuracy. FluoroType demonstrated 99.9% (1,683/1,685) sensitivity in detecting </w:t>
      </w:r>
    </w:p>
    <w:p w14:paraId="68AD77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wild-type isolates. For resistance detection, FluoroType showed 95.5% </w:t>
      </w:r>
    </w:p>
    <w:p w14:paraId="5EF154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sensitivity for RIF (42/44) and 94.4% for INH (34/36). Among multidrug-resistant </w:t>
      </w:r>
    </w:p>
    <w:p w14:paraId="71798C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isolates, sensitivity was 85.4% (35/41). Discordances were mainly associated </w:t>
      </w:r>
    </w:p>
    <w:p w14:paraId="6C68B4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heteroresistance, and uncommon or synonymous mutations. Importantly, </w:t>
      </w:r>
    </w:p>
    <w:p w14:paraId="6B86AB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limitations in identifying specific mutations highlight the need for cautious </w:t>
      </w:r>
    </w:p>
    <w:p w14:paraId="69A151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interpretation and, when necessary, confirmatory sequencing. Overall, these </w:t>
      </w:r>
    </w:p>
    <w:p w14:paraId="7ACC34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findings support FluoroType as a rapid, high-throughput, and reliable tool for </w:t>
      </w:r>
    </w:p>
    <w:p w14:paraId="553A3B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MTBC detection and drug resistance profiling in reference laboratories.</w:t>
      </w:r>
    </w:p>
    <w:p w14:paraId="28CFEB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IMPORTANCE: T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 study is the first to prospectively evaluate the FluoroType </w:t>
      </w:r>
    </w:p>
    <w:p w14:paraId="264503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MTBDR assay performance using a large collection of clinical isolates under </w:t>
      </w:r>
    </w:p>
    <w:p w14:paraId="384396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routine conditions in a high-burden tuberculosis (TB) reference laboratory. It </w:t>
      </w:r>
    </w:p>
    <w:p w14:paraId="2E012B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assesses detection of Mycobacterium tuberculosis complex and resistance to </w:t>
      </w:r>
    </w:p>
    <w:p w14:paraId="5192CC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rifampicin and isoniazid. Drug-resistant TB remains a major global health </w:t>
      </w:r>
    </w:p>
    <w:p w14:paraId="75F29F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challenge, requiring rapid and reliable diagnostic tools. FluoroType </w:t>
      </w:r>
    </w:p>
    <w:p w14:paraId="77C3F4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demonstrated high accuracy and operational advantages over the line probe assay </w:t>
      </w:r>
    </w:p>
    <w:p w14:paraId="367D5F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(LPA), including a streamlined workflow and reduced turnaround time for </w:t>
      </w:r>
    </w:p>
    <w:p w14:paraId="7BDC2A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high-throughput settings. Importantly, this study highlights limitations shared </w:t>
      </w:r>
    </w:p>
    <w:p w14:paraId="46C094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by molecular assays, particularly in detecting and interpreting </w:t>
      </w:r>
    </w:p>
    <w:p w14:paraId="238190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heteroresistance, uncommon mutations, and synonymous rpoB variants, which may </w:t>
      </w:r>
    </w:p>
    <w:p w14:paraId="6386A4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lead to discrepant resistance classification across platforms. These findings </w:t>
      </w:r>
    </w:p>
    <w:p w14:paraId="1E8B22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underscore the need for cautious interpretation of molecular results and </w:t>
      </w:r>
    </w:p>
    <w:p w14:paraId="7F96BB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sequencing to resolve clinically relevant discrepancies. Overall, FluoroType is </w:t>
      </w:r>
    </w:p>
    <w:p w14:paraId="75D484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valuable addition to TB diagnostic algorithms, but results should be </w:t>
      </w:r>
    </w:p>
    <w:p w14:paraId="51929E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interpreted in the context of assay-specific limitations.</w:t>
      </w:r>
    </w:p>
    <w:p w14:paraId="1230B3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E31F3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10.1128/spectrum.01880-26</w:t>
      </w:r>
    </w:p>
    <w:p w14:paraId="2A0EAD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42757847</w:t>
      </w:r>
    </w:p>
    <w:p w14:paraId="70EA79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BB630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J Glob Health. 2026 Sep 18;16:04243. doi: 10.7189/jogh.16.04243.</w:t>
      </w:r>
    </w:p>
    <w:p w14:paraId="69D73D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A4B67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Frontline healthcare worker barriers impacting tuberculosis service demand and </w:t>
      </w:r>
    </w:p>
    <w:p w14:paraId="1FC7EB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access in high burden settings: a scoping review.</w:t>
      </w:r>
    </w:p>
    <w:p w14:paraId="4C7D5E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5C57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Cox SR(#)(1)(2), Hanrahan CF(#)(1)(2), Moe AH(2), Shearer K(2), Christian </w:t>
      </w:r>
    </w:p>
    <w:p w14:paraId="359C1E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C(3)(4), Sethi S(1), Hudson M(3), Ueshima M(1), Singh K(3), Dawson J(1), Angami </w:t>
      </w:r>
    </w:p>
    <w:p w14:paraId="75F1C5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K(5), Kubai N(6), Namasivayam M(7), Shete P(3), Golub JE(1)(2), Kerkhoff </w:t>
      </w:r>
    </w:p>
    <w:p w14:paraId="75B61A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AD(3)(8).</w:t>
      </w:r>
    </w:p>
    <w:p w14:paraId="612CE1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D408C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EE1A0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(1)Johns Hopkins Bloomberg School of Public Health, Baltimore, USA.</w:t>
      </w:r>
    </w:p>
    <w:p w14:paraId="0D61AA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(2)Center for Tuberculosis Research, Johns Hopkins University, Baltimore, USA.</w:t>
      </w:r>
    </w:p>
    <w:p w14:paraId="523B01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(3)Center for Tuberculosis, University of California San Francisco, San </w:t>
      </w:r>
    </w:p>
    <w:p w14:paraId="23F9D5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Francisco, USA.</w:t>
      </w:r>
    </w:p>
    <w:p w14:paraId="687806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Epidemiology and Biostatistics, University of California, San </w:t>
      </w:r>
    </w:p>
    <w:p w14:paraId="0431D8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Francisco, USA.</w:t>
      </w:r>
    </w:p>
    <w:p w14:paraId="75C1BE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(5)Access to Rights and Knowledge Foundation, Kohima, Nagaland, India.</w:t>
      </w:r>
    </w:p>
    <w:p w14:paraId="044A41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(6)Afrocab Treatment Access Partnership, Lusaka, Zambia.</w:t>
      </w:r>
    </w:p>
    <w:p w14:paraId="4284A3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(7)APCASO, Bangkok, Thailand.</w:t>
      </w:r>
    </w:p>
    <w:p w14:paraId="7985F2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(8)Division of HIV, ID, Global Medicine, San Francisco General Hospital, </w:t>
      </w:r>
    </w:p>
    <w:p w14:paraId="334C4D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California San Francisco, San Francisco, USA.</w:t>
      </w:r>
    </w:p>
    <w:p w14:paraId="4E3CEB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33B589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205B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Extensive literature exists on health-seeking behaviour and barriers </w:t>
      </w:r>
    </w:p>
    <w:p w14:paraId="6F3799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related to the uptake of tuberculosis (TB)-related services in high TB burden </w:t>
      </w:r>
    </w:p>
    <w:p w14:paraId="65B453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settings. However, prior reviews have focused on patient- and health </w:t>
      </w:r>
    </w:p>
    <w:p w14:paraId="083C97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facility/systems-level barriers to TB-related care. In this scoping review, we </w:t>
      </w:r>
    </w:p>
    <w:p w14:paraId="2BE465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aimed to synthesise frontline healthcare worker (FLHCW)-related barriers that </w:t>
      </w:r>
    </w:p>
    <w:p w14:paraId="35E366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limit individuals' demand for, access to, and retention in TB services.</w:t>
      </w:r>
    </w:p>
    <w:p w14:paraId="1DEAF8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We searched PubMed for studies describing FLHCW-related barriers that </w:t>
      </w:r>
    </w:p>
    <w:p w14:paraId="4394E3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impact demand for and/or access to TB services (preventive treatment, active </w:t>
      </w:r>
    </w:p>
    <w:p w14:paraId="71CC81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 finding, diagnosis and treatment initiation, treatment completion, and </w:t>
      </w:r>
    </w:p>
    <w:p w14:paraId="48FAF3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post-TB care). We included studies that were published between 2010 and 2025 in </w:t>
      </w:r>
    </w:p>
    <w:p w14:paraId="66A663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English, and that reported on original research findings from the World Health </w:t>
      </w:r>
    </w:p>
    <w:p w14:paraId="48D5EE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Organization lists of high TB burden countries. Two reviewers independently </w:t>
      </w:r>
    </w:p>
    <w:p w14:paraId="129C1A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conducted title and abstract screening, and full-text review. We narratively </w:t>
      </w:r>
    </w:p>
    <w:p w14:paraId="029C87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summarised barriers by theme and applied the Capability, Opportunity, </w:t>
      </w:r>
    </w:p>
    <w:p w14:paraId="401212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Motivation-Behavior (COM-B) framework to facilitate interpretation.</w:t>
      </w:r>
    </w:p>
    <w:p w14:paraId="7729C9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screened a total of 5,306 records, and included 189 studies, most of </w:t>
      </w:r>
    </w:p>
    <w:p w14:paraId="6C846F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which were from India, South Africa, and Ethiopia. Among the included studies, </w:t>
      </w:r>
    </w:p>
    <w:p w14:paraId="1AD500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most reported barriers were for doctors (n = 101, 53%) and nurses (n = 82, 43%). </w:t>
      </w:r>
    </w:p>
    <w:p w14:paraId="4A785D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Studies identified FLHCW-related barriers at every step of the care cascade </w:t>
      </w:r>
    </w:p>
    <w:p w14:paraId="1145EE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except for post-TB care. Knowledge and skill gaps leading to missed </w:t>
      </w:r>
    </w:p>
    <w:p w14:paraId="15500B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opportunities to engage or retain individuals in care were the most frequent </w:t>
      </w:r>
    </w:p>
    <w:p w14:paraId="273405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barriers identified (n = 128 studies). Other major themes included </w:t>
      </w:r>
    </w:p>
    <w:p w14:paraId="1FDA84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provider-patient communication, discrimination and stigma from FLHCWs, and </w:t>
      </w:r>
    </w:p>
    <w:p w14:paraId="2D4748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motivation to provide quality TB clinical care. Mapping barriers onto COM-B </w:t>
      </w:r>
    </w:p>
    <w:p w14:paraId="4F16B9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identified actionable targets for strategies to improve TB care.</w:t>
      </w:r>
    </w:p>
    <w:p w14:paraId="4C5C45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FLHCW-related barriers to TB care are pervasive and multifaceted, </w:t>
      </w:r>
    </w:p>
    <w:p w14:paraId="0196A9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affecting the care cascade from prevention to diagnosis to treatment initiation </w:t>
      </w:r>
    </w:p>
    <w:p w14:paraId="490B63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completion. Addressing these barriers will require multi-component </w:t>
      </w:r>
    </w:p>
    <w:p w14:paraId="71BC76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implementation strategies that are context-specific and designed to empower </w:t>
      </w:r>
    </w:p>
    <w:p w14:paraId="47F075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FLHCWs as drivers of care.</w:t>
      </w:r>
    </w:p>
    <w:p w14:paraId="4F2797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9191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</w:t>
      </w:r>
    </w:p>
    <w:p w14:paraId="25931C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D5D7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10.7189/jogh.16.04243</w:t>
      </w:r>
    </w:p>
    <w:p w14:paraId="4C13A8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42757757 [Indexed for MEDLINE]</w:t>
      </w:r>
    </w:p>
    <w:p w14:paraId="51E2A4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76FBE1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Niger Med J. 2026 Sep 14;67(5):1910-1915. doi: 10.71480/nmj.v67i5.1428. </w:t>
      </w:r>
    </w:p>
    <w:p w14:paraId="4C1993E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Sep-Oct.</w:t>
      </w:r>
    </w:p>
    <w:p w14:paraId="4E9227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DB14E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Neuroschistosomiasis Mimicking Spinal Tuberculosis: A Case Report.</w:t>
      </w:r>
    </w:p>
    <w:p w14:paraId="55F279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588A3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Abubakar MS(1), Muazu J(2), Yusuf AE(3), Abubakar NB(4), Aliyu S(5).</w:t>
      </w:r>
    </w:p>
    <w:p w14:paraId="506261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1A93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DE443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(1)Department of Internal Medicine, Federal Teaching Hospital Katsina.</w:t>
      </w:r>
    </w:p>
    <w:p w14:paraId="73098B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(2)Department of Histopathology.</w:t>
      </w:r>
    </w:p>
    <w:p w14:paraId="6716D5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(3)General Amadi Rimi Specialist Hospital, Katsina.</w:t>
      </w:r>
    </w:p>
    <w:p w14:paraId="181E19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(4)Department of Radiology, General Amadi Rimi Specialist Hospital, Katsina.</w:t>
      </w:r>
    </w:p>
    <w:p w14:paraId="2E86FA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(5)Department of Internal Medicine, General Hospital Katsina.</w:t>
      </w:r>
    </w:p>
    <w:p w14:paraId="29A1A8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672C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Schistosomiasis is a chronic parasitic disease acquired through freshwater </w:t>
      </w:r>
    </w:p>
    <w:p w14:paraId="120A89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exposure, in which cercariae penetrate the skin and mature into adult worms. </w:t>
      </w:r>
    </w:p>
    <w:p w14:paraId="76F18A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 manifestations largely result from granulomatous inflammation and </w:t>
      </w:r>
    </w:p>
    <w:p w14:paraId="15AD1F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fibrosis surrounding retained eggs. A 65-year-old widow presented with six </w:t>
      </w:r>
    </w:p>
    <w:p w14:paraId="3AFFF8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months of lower back pain, weight loss, paraplegia (power 1/5), sphincter </w:t>
      </w:r>
    </w:p>
    <w:p w14:paraId="256598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dysfunction, a T12 sensory level, and T9-T10 gibbus. She had received empirical </w:t>
      </w:r>
    </w:p>
    <w:p w14:paraId="614843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antitubercular therapy for two months without improvement. Thoracolumbar MRI </w:t>
      </w:r>
    </w:p>
    <w:p w14:paraId="1964A5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demonstrated vertebral and disc collapse at T10-T11 and L1-L2, with adjacent </w:t>
      </w:r>
    </w:p>
    <w:p w14:paraId="5B2879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paravertebral abscesses and cord compression. Surgical biopsies revealed </w:t>
      </w:r>
    </w:p>
    <w:p w14:paraId="2E0321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numerous calcified Schistosoma haematobium eggs with terminal spines, surrounded </w:t>
      </w:r>
    </w:p>
    <w:p w14:paraId="422580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by granulomas containing epithelioid histiocytes, foreign-body giant cells, </w:t>
      </w:r>
    </w:p>
    <w:p w14:paraId="71150F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lymphocytes, and eosinophils. She received weekly praziquantel (1,200 mg) and </w:t>
      </w:r>
    </w:p>
    <w:p w14:paraId="332C7D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tapered prednisolone. Motor power improved to 2/5, although urinary and faecal </w:t>
      </w:r>
    </w:p>
    <w:p w14:paraId="2B5A5D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incontinence persisted. Neuroschistosomiasis should be considered in endemic </w:t>
      </w:r>
    </w:p>
    <w:p w14:paraId="4D4ABF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regions, particularly when presumed spinal tuberculosis fails to respond to </w:t>
      </w:r>
    </w:p>
    <w:p w14:paraId="72C21F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treatment. Definitive diagnosis requires careful clinicoradiological and </w:t>
      </w:r>
    </w:p>
    <w:p w14:paraId="272F92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histopathological evaluation.</w:t>
      </w:r>
    </w:p>
    <w:p w14:paraId="3DCA3D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BC81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Nigerian Medical Association.</w:t>
      </w:r>
    </w:p>
    <w:p w14:paraId="20AA9A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DAB5C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10.71480/nmj.v67i5.1428</w:t>
      </w:r>
    </w:p>
    <w:p w14:paraId="372E1E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PMC13583641</w:t>
      </w:r>
    </w:p>
    <w:p w14:paraId="4AD8D2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42756785</w:t>
      </w:r>
    </w:p>
    <w:p w14:paraId="7C87D7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CABC8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ACS Omega. 2026 Sep 2;11(36):53769-53783. doi: 10.1021/acsomega.6c01332. </w:t>
      </w:r>
    </w:p>
    <w:p w14:paraId="550F1D6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 15.</w:t>
      </w:r>
    </w:p>
    <w:p w14:paraId="00B912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0EAC4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Antimycobacterial Activity and Nitric Oxide Production Inhibition of Antarctic </w:t>
      </w:r>
    </w:p>
    <w:p w14:paraId="408DE5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Seaweeds.</w:t>
      </w:r>
    </w:p>
    <w:p w14:paraId="0F6C95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EDB0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Rosas Fernández C(1)(2), Simão TLBV(3), Lasunskaia EB(3), Borges RM(4), </w:t>
      </w:r>
    </w:p>
    <w:p w14:paraId="4A7A95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Colepicolo P(5), Muzitano MF(2), Soares AR(1)(6).</w:t>
      </w:r>
    </w:p>
    <w:p w14:paraId="4E4FBE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F3EA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BDEA7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(1)Grupo de Produtos Naturais de Organismos Aquáticos (GPNOA) - NUPEM, </w:t>
      </w:r>
    </w:p>
    <w:p w14:paraId="07BFF6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Universidade Federal do Rio de Janeiro, Campus Macaé, Rio de Janeiro, Rio de </w:t>
      </w:r>
    </w:p>
    <w:p w14:paraId="6920B9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Janeiro 27965-045, Brazil.</w:t>
      </w:r>
    </w:p>
    <w:p w14:paraId="410FD0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(2)Laboratório de Produtos Bioativos, Instituto de Ciências Farmacêuticas, </w:t>
      </w:r>
    </w:p>
    <w:p w14:paraId="26E312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Universidade Federal do Rio de Janeiro, Campus Macaé, Rio de Janeiro, Rio de </w:t>
      </w:r>
    </w:p>
    <w:p w14:paraId="365974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Janeiro 27933-378, Brazil.</w:t>
      </w:r>
    </w:p>
    <w:p w14:paraId="3177A1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(3)Laboratório de Biologia Do Reconhecer, Centro de Biociências e Biotecnologia, </w:t>
      </w:r>
    </w:p>
    <w:p w14:paraId="3D6CF5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Universidade Estadual do Norte Fluminense, Campos dos Goytacazes, Rio de Janeiro </w:t>
      </w:r>
    </w:p>
    <w:p w14:paraId="286419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28013-602, Brazil.</w:t>
      </w:r>
    </w:p>
    <w:p w14:paraId="0F61E8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(4)Instituto de Pesquisas de Produtos Naturais Walter Mors (IPPN), UFRJ, Rio de </w:t>
      </w:r>
    </w:p>
    <w:p w14:paraId="1DABA0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Janeiro, Rio de Janeiro 21941-902, Brazil.</w:t>
      </w:r>
    </w:p>
    <w:p w14:paraId="06E690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(5)Departamento de Bioquímica, Instituto de Química, Universidade de São Paulo, </w:t>
      </w:r>
    </w:p>
    <w:p w14:paraId="4380D5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São Paulo, São Paulo 05508-000, Brazil.</w:t>
      </w:r>
    </w:p>
    <w:p w14:paraId="44F65B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(6)Laboratório de Produtos Naturais E Bioquímica, Instituto de Pesquisas do </w:t>
      </w:r>
    </w:p>
    <w:p w14:paraId="27A3DE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Jardim Botânico do Rio de Janeiro, Rio de Janeiro, Rio de Janeiro 22460-030, </w:t>
      </w:r>
    </w:p>
    <w:p w14:paraId="76425F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Brazil.</w:t>
      </w:r>
    </w:p>
    <w:p w14:paraId="23AE67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DBA6D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emergence of increasingly resistant strains of Mycobacterium tuberculosis </w:t>
      </w:r>
    </w:p>
    <w:p w14:paraId="63625B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(Mtb) makes the search for new antimycobacterial and host-directed therapies </w:t>
      </w:r>
    </w:p>
    <w:p w14:paraId="1DCAB4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essential to help combat this disease. Antarctica extreme environmental </w:t>
      </w:r>
    </w:p>
    <w:p w14:paraId="69C1EA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conditions make seaweeds an important source for the discovery of bioactive </w:t>
      </w:r>
    </w:p>
    <w:p w14:paraId="0DBD91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compounds with the potential to treat various diseases caused by microorganisms. </w:t>
      </w:r>
    </w:p>
    <w:p w14:paraId="14BD9C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this study, 29 lipophilic extracts of Antarctic seaweeds were evaluated for </w:t>
      </w:r>
    </w:p>
    <w:p w14:paraId="6577D7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their potential as antituberculosis drug sources. The antimycobacterial and </w:t>
      </w:r>
    </w:p>
    <w:p w14:paraId="0AD3F0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immunomodulatory activities (based initially on NO inhibition), as well as the </w:t>
      </w:r>
    </w:p>
    <w:p w14:paraId="5795CD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chemical profiles of the algae were studied. Of all the extracts, 21 (72.4%) </w:t>
      </w:r>
    </w:p>
    <w:p w14:paraId="6042F7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showed antimycobacterial activity with MIC50 values lower than 25 μg/mL against </w:t>
      </w:r>
    </w:p>
    <w:p w14:paraId="22A6C1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Mtb H37Rv. And, 9 (31%) showed activity also against the hypervirulent strain </w:t>
      </w:r>
    </w:p>
    <w:p w14:paraId="62AFBD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Mtb M299. Regarding immunomodulation, 27 seaweed extracts (93.1%) inhibited NO </w:t>
      </w:r>
    </w:p>
    <w:p w14:paraId="45F9CB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production by suppressing iNOS expression with IC50 values lower than 25 μg/mL. </w:t>
      </w:r>
    </w:p>
    <w:p w14:paraId="5E8CC4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Six samples of the genera Desmarestia, Sarcopeltis, Iridaea, Pyropia, and </w:t>
      </w:r>
    </w:p>
    <w:p w14:paraId="108BC7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Curdiea with dual activity and a selectivity index higher than ten were selected </w:t>
      </w:r>
    </w:p>
    <w:p w14:paraId="107675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 promising, with Pyropia endiviifolia extract standing out against Mtb H37Rv </w:t>
      </w:r>
    </w:p>
    <w:p w14:paraId="7B2A0E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Mtb M299 (MIC50 2.1 ± 0.2 and 3.2 ± 0.7 μg/mL, respectively). GC-MS-based </w:t>
      </w:r>
    </w:p>
    <w:p w14:paraId="494443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Molecular Networking indicated pentadecanoic acid, hexadecanoic acid, and </w:t>
      </w:r>
    </w:p>
    <w:p w14:paraId="00D669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cholesterol as the major known components of the promising samples. Our study </w:t>
      </w:r>
    </w:p>
    <w:p w14:paraId="4C1720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demonstrates for the first time the potential of the secondary metabolites from </w:t>
      </w:r>
    </w:p>
    <w:p w14:paraId="18FCEF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Antarctic seaweeds against Mtb and encourages further investigation to </w:t>
      </w:r>
    </w:p>
    <w:p w14:paraId="6FBB72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characterize novel antitubercular agents from these extremophilic organisms.</w:t>
      </w:r>
    </w:p>
    <w:p w14:paraId="3ECC95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9CBC3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 Published by American Chemical Society.</w:t>
      </w:r>
    </w:p>
    <w:p w14:paraId="43A9D5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5AC9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10.1021/acsomega.6c01332</w:t>
      </w:r>
    </w:p>
    <w:p w14:paraId="328598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PMC13584166</w:t>
      </w:r>
    </w:p>
    <w:p w14:paraId="5A8A2C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42756718</w:t>
      </w:r>
    </w:p>
    <w:p w14:paraId="6EE9EB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EA2C4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Arch Bronconeumol. 2026 Sep 17:S0300-2896(26)00280-2. doi: </w:t>
      </w:r>
    </w:p>
    <w:p w14:paraId="7D3B1B0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10.1016/j.arbres.2026.07.006. Online ahead of print.</w:t>
      </w:r>
    </w:p>
    <w:p w14:paraId="6C5B08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AD8C8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Incidence and Risk Factors for Tuberculosis Among TBI-Positive Contacts </w:t>
      </w:r>
    </w:p>
    <w:p w14:paraId="6A36F1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Identified Through Contact Tracing in Catalonia.</w:t>
      </w:r>
    </w:p>
    <w:p w14:paraId="20090B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2BD7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[Article in English, Spanish]</w:t>
      </w:r>
    </w:p>
    <w:p w14:paraId="286FD3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5737C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Prieto-García R(1), Millet JP(2), Bravo M(3), Ospina J(4), Parrón I(5), Orcau </w:t>
      </w:r>
    </w:p>
    <w:p w14:paraId="6C7F34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A(6), Clotet L(5), Despuig A(5), García-Basteiro AL(7), Rius C(4), Caylà JA(6), </w:t>
      </w:r>
    </w:p>
    <w:p w14:paraId="055D67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Godoy P(8); Working Group on Tuberculosis Transmission in Catalonia, Spain.</w:t>
      </w:r>
    </w:p>
    <w:p w14:paraId="47CA48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17C18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85DB2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(1)Agència de Salut Pública de Barcelona, 08023 Barcelona, Spain; Departament de </w:t>
      </w:r>
    </w:p>
    <w:p w14:paraId="423FF0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Ciències Experimentals i de la Salut, Universitat Pompeu Fabra, Barcelona, </w:t>
      </w:r>
    </w:p>
    <w:p w14:paraId="1A6594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Spain; Institut de Recerca de l'Hospital de la Santa Creu i Sant Pau (IIB Sant </w:t>
      </w:r>
    </w:p>
    <w:p w14:paraId="29775E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Pau), 08041 Barcelona, Spain; Consorcio de Investigación Biomédica en Red de </w:t>
      </w:r>
    </w:p>
    <w:p w14:paraId="162268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Epidemiología y Salud Pública (CIBERESP), 28029 Madrid, Spain.</w:t>
      </w:r>
    </w:p>
    <w:p w14:paraId="7985CE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(2)Agència de Salut Pública de Barcelona, 08023 Barcelona, Spain; Institut de </w:t>
      </w:r>
    </w:p>
    <w:p w14:paraId="61A971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Recerca de l'Hospital de la Santa Creu i Sant Pau (IIB Sant Pau), 08041 </w:t>
      </w:r>
    </w:p>
    <w:p w14:paraId="52280E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Barcelona, Spain; Consorcio de Investigación Biomédica en Red de Epidemiología y </w:t>
      </w:r>
    </w:p>
    <w:p w14:paraId="4BBEC6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Salud Pública (CIBERESP), 28029 Madrid, Spain; Serveis Clínics, Barcelona, </w:t>
      </w:r>
    </w:p>
    <w:p w14:paraId="08E7D1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Spain. Electronic address: jmillet@aspb.cat.</w:t>
      </w:r>
    </w:p>
    <w:p w14:paraId="476E22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(3)Serveis Clínics, Barcelona, Spain.</w:t>
      </w:r>
    </w:p>
    <w:p w14:paraId="30D5C6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(4)Agència de Salut Pública de Barcelona, 08023 Barcelona, Spain; Institut de </w:t>
      </w:r>
    </w:p>
    <w:p w14:paraId="0277F6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Recerca de l'Hospital de la Santa Creu i Sant Pau (IIB Sant Pau), 08041 </w:t>
      </w:r>
    </w:p>
    <w:p w14:paraId="425B8A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Barcelona, Spain; Consorcio de Investigación Biomédica en Red de Epidemiología y </w:t>
      </w:r>
    </w:p>
    <w:p w14:paraId="1491DD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Salud Pública (CIBERESP), 28029 Madrid, Spain.</w:t>
      </w:r>
    </w:p>
    <w:p w14:paraId="32D321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(5)Agència de Salut Pública de Catalunya, 08005 Barcelona, Spain.</w:t>
      </w:r>
    </w:p>
    <w:p w14:paraId="068427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(6)Fundació de la Unitat d'Investigació en Tuberculosi de Barcelona, Barcelona, </w:t>
      </w:r>
    </w:p>
    <w:p w14:paraId="0B58C4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Spain.</w:t>
      </w:r>
    </w:p>
    <w:p w14:paraId="513884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(7)Barcelona Institute for Global Health (ISGlobal), Barcelona, Spain; Centro de </w:t>
      </w:r>
    </w:p>
    <w:p w14:paraId="75FE70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Investigación Biomédica en Red de Enfermedades Infecciosas (CIBERINFEC), </w:t>
      </w:r>
    </w:p>
    <w:p w14:paraId="3B7C50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Barcelona, Spain.</w:t>
      </w:r>
    </w:p>
    <w:p w14:paraId="1A7786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(8)Consorcio de Investigación Biomédica en Red de Epidemiología y Salud Pública </w:t>
      </w:r>
    </w:p>
    <w:p w14:paraId="117BF3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(CIBERESP), 28029 Madrid, Spain; Institut de Recerca Biomèdica de Lleida </w:t>
      </w:r>
    </w:p>
    <w:p w14:paraId="0A34C9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(IRBLleida), Universitat de Lleida, 25198 Lleida, Spain.</w:t>
      </w:r>
    </w:p>
    <w:p w14:paraId="5DA209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3740B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OBJECTIVES: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estimate the incidence of tuberculosis (TB) among tuberculin skin </w:t>
      </w:r>
    </w:p>
    <w:p w14:paraId="3CF5C2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test/interferon-γ release assay-positive contacts of patients with pulmonary TB </w:t>
      </w:r>
    </w:p>
    <w:p w14:paraId="39B0D7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 Catalonia and identify predictors of progression to TB disease.</w:t>
      </w:r>
    </w:p>
    <w:p w14:paraId="5464FE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We conducted a cohort study of 1616 tuberculin skin test/interferon-γ </w:t>
      </w:r>
    </w:p>
    <w:p w14:paraId="00DC25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release assay-positive contacts of patients with pulmonary TB diagnosed between </w:t>
      </w:r>
    </w:p>
    <w:p w14:paraId="6AAA79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2019 and 2021 in Catalonia, Spain. Participants were followed through 2023. </w:t>
      </w:r>
    </w:p>
    <w:p w14:paraId="5D87EA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Incident TB was defined as disease diagnosed at least 30 days after initiation </w:t>
      </w:r>
    </w:p>
    <w:p w14:paraId="7B952B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treatment in the index case. All cases diagnosed among household contacts </w:t>
      </w:r>
    </w:p>
    <w:p w14:paraId="04E03F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younger than 5 years were also considered incident cases. Cox proportional </w:t>
      </w:r>
    </w:p>
    <w:p w14:paraId="41E89B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hazards models were used to identify risk factors for incident TB.</w:t>
      </w:r>
    </w:p>
    <w:p w14:paraId="3BF341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During a median follow-up of 3.6 years, 69 contacts (4.3%) developed </w:t>
      </w:r>
    </w:p>
    <w:p w14:paraId="52FB05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TB, corresponding to an incidence rate of 1370 cases per 100000 person-years. </w:t>
      </w:r>
    </w:p>
    <w:p w14:paraId="001B39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Children younger than 5 years had the highest risk (adjusted HR [aHR], 25.0; </w:t>
      </w:r>
    </w:p>
    <w:p w14:paraId="32474A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95%CI, 11-59). An increased risk was also observed among household contacts </w:t>
      </w:r>
    </w:p>
    <w:p w14:paraId="3A73F9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(aHR, 3.2; 95%CI, 1.6-6.5), smokers (aHR, 2.8; 95%CI, 1.7-4.6), and contacts who </w:t>
      </w:r>
    </w:p>
    <w:p w14:paraId="1F18EC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did not initiate treatment for TB infection (TBI) (aHR, 7.0; 95%CI, 3.3-14.6). </w:t>
      </w:r>
    </w:p>
    <w:p w14:paraId="46D1BE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etiologic fraction of risk was 81.4%. Completion of TBI treatment was </w:t>
      </w:r>
    </w:p>
    <w:p w14:paraId="142757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strongly protective.</w:t>
      </w:r>
    </w:p>
    <w:p w14:paraId="68E065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Prioritizing TBI treatment and adherence among high-risk contacts, </w:t>
      </w:r>
    </w:p>
    <w:p w14:paraId="1F1B71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especially young children and household contacts, is essential to prevent </w:t>
      </w:r>
    </w:p>
    <w:p w14:paraId="60FC9C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progression to TB disease.</w:t>
      </w:r>
    </w:p>
    <w:p w14:paraId="68BAA9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CE5E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 © 2026 SEPAR. Published by Elsevier España, S.L.U. All rights </w:t>
      </w:r>
    </w:p>
    <w:p w14:paraId="7BDC7D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reserved.</w:t>
      </w:r>
    </w:p>
    <w:p w14:paraId="00DC01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5727C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10.1016/j.arbres.2026.07.006</w:t>
      </w:r>
    </w:p>
    <w:p w14:paraId="66539F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42754502</w:t>
      </w:r>
    </w:p>
    <w:p w14:paraId="3D2450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844B25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Trop Med Int Health. 2026 Sep 17. doi: 10.1111/tmi.70227. Online ahead of print.</w:t>
      </w:r>
    </w:p>
    <w:p w14:paraId="3A73B0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E7A2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Routine TB Surveillance as a Diagnostic Tool: Subnational Care Cascade Gaps in </w:t>
      </w:r>
    </w:p>
    <w:p w14:paraId="19EA52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East Nusa Tenggara, Indonesia.</w:t>
      </w:r>
    </w:p>
    <w:p w14:paraId="602EE5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F4546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Limbong K(1)(2), Nursalam(1), Wardani EM(1)(3), Ninef VI(1), Mau A(2).</w:t>
      </w:r>
    </w:p>
    <w:p w14:paraId="37647D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1C111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B8F01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(1)Faculty of Nursing, Universitas Airlangga, Surabaya, Indonesia.</w:t>
      </w:r>
    </w:p>
    <w:p w14:paraId="1CCE78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Nursing, Health Polytechnic of the Ministry of Health of </w:t>
      </w:r>
    </w:p>
    <w:p w14:paraId="26DF1B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Kupang, Kupang, Indonesia.</w:t>
      </w:r>
    </w:p>
    <w:p w14:paraId="097D99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Nursing, Faculty of Nursing and Midwifery, Universitas </w:t>
      </w:r>
    </w:p>
    <w:p w14:paraId="50B6FE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Nahdlatul Ulama Surabaya, Surabaya, Indonesia.</w:t>
      </w:r>
    </w:p>
    <w:p w14:paraId="1B3DCA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BC053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control remains challenging in decentralised </w:t>
      </w:r>
    </w:p>
    <w:p w14:paraId="10D4DE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 systems, where subnational variation may be obscured by aggregate </w:t>
      </w:r>
    </w:p>
    <w:p w14:paraId="74AF05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programme indicators.</w:t>
      </w:r>
    </w:p>
    <w:p w14:paraId="43E92E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To assess district-level variation in the TB care cascade using </w:t>
      </w:r>
    </w:p>
    <w:p w14:paraId="0CA1EB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routine TB surveillance data in East Nusa Tenggara, Indonesia, and develop a </w:t>
      </w:r>
    </w:p>
    <w:p w14:paraId="3896AA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composite TB Programme Performance Index (TPPI) for subnational benchmarking.</w:t>
      </w:r>
    </w:p>
    <w:p w14:paraId="56306F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conducted a cross-sectional analysis of aggregated 2025 TB </w:t>
      </w:r>
    </w:p>
    <w:p w14:paraId="651CBB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surveillance data (SITB) covering all 22 districts. The cascade comprised </w:t>
      </w:r>
    </w:p>
    <w:p w14:paraId="5E29A0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presumptive TB identification, diagnostic evaluation, notification and treatment </w:t>
      </w:r>
    </w:p>
    <w:p w14:paraId="66C9C6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enrolment. A TPPI was constructed using four equally weighted indicators. </w:t>
      </w:r>
    </w:p>
    <w:p w14:paraId="3F43EE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Sensitivity analyses assessed ranking stability under alternative weighting </w:t>
      </w:r>
    </w:p>
    <w:p w14:paraId="46BBBD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schemes.</w:t>
      </w:r>
    </w:p>
    <w:p w14:paraId="45EFFE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87,547 presumptive TB cases, 82,281 (94.0%) completed diagnostic </w:t>
      </w:r>
    </w:p>
    <w:p w14:paraId="3FAB55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evaluation, yielding 10,318 notified cases. Treatment enrolment among notified </w:t>
      </w:r>
    </w:p>
    <w:p w14:paraId="481118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cases was 93.2% (9622/10,318). Substantial district-level variation was </w:t>
      </w:r>
    </w:p>
    <w:p w14:paraId="02A17E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observed: diagnostic evaluation completion ranged from 76.7% in West Sumba to </w:t>
      </w:r>
    </w:p>
    <w:p w14:paraId="4AB5B2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98.7% in Central Sumba; notification yield ranged from 4.7% in East Flores to </w:t>
      </w:r>
    </w:p>
    <w:p w14:paraId="387038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34.1% in West Sumba; and treatment enrolment ranged from 82.0% in Belu to 98.6% </w:t>
      </w:r>
    </w:p>
    <w:p w14:paraId="5163BF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Malaka. TPPI scores ranged from 42.8 in South Central Timor to 80.6 in </w:t>
      </w:r>
    </w:p>
    <w:p w14:paraId="61CC72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Malaka. Rankings remained stable across weighting schemes (Spearman's </w:t>
      </w:r>
    </w:p>
    <w:p w14:paraId="08362B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ρ = 0.93-0.96).</w:t>
      </w:r>
    </w:p>
    <w:p w14:paraId="6FA2F5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Routine TB surveillance revealed substantial subnational variation, </w:t>
      </w:r>
    </w:p>
    <w:p w14:paraId="5D68A2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particularly in diagnostic and notification indicators, while treatment </w:t>
      </w:r>
    </w:p>
    <w:p w14:paraId="135E4B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enrolment among notified cases was high. Early cascade differences may reflect </w:t>
      </w:r>
    </w:p>
    <w:p w14:paraId="2628D1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both underlying TB burden and health-system performance. District-level cascade </w:t>
      </w:r>
    </w:p>
    <w:p w14:paraId="61A21A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analysis can inform targeted TB programme planning.</w:t>
      </w:r>
    </w:p>
    <w:p w14:paraId="3B1C11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1E896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John Wiley &amp; Sons Ltd.</w:t>
      </w:r>
    </w:p>
    <w:p w14:paraId="3F93A2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C6DE9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10.1111/tmi.70227</w:t>
      </w:r>
    </w:p>
    <w:p w14:paraId="6C2487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42754248</w:t>
      </w:r>
    </w:p>
    <w:p w14:paraId="37798D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B56CF5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J Microbiol Methods. 2026 Sep 17:107715. doi: 10.1016/j.mimet.2026.107715. </w:t>
      </w:r>
    </w:p>
    <w:p w14:paraId="2576E66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363C72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276D1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Auditing bacterial dark-gene screens for superimposed open reading frame </w:t>
      </w:r>
    </w:p>
    <w:p w14:paraId="42025A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artefacts: A multi-layer analysis of Rv2438A in Mycobacterium tuberculosis.</w:t>
      </w:r>
    </w:p>
    <w:p w14:paraId="427CA8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38683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Guyeux C(1).</w:t>
      </w:r>
    </w:p>
    <w:p w14:paraId="524A86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059F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48F22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(1)Université Marie et Louis Pasteur, CNRS, FEMTO-ST Institute, F-90000 Belfort, </w:t>
      </w:r>
    </w:p>
    <w:p w14:paraId="0B983E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France. Electronic address: christophe.guyeux@univ-fcomte.fr.</w:t>
      </w:r>
    </w:p>
    <w:p w14:paraId="40092F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5E6F5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Essentiality and knockdown-vulnerability screens can promote spurious bacterial </w:t>
      </w:r>
    </w:p>
    <w:p w14:paraId="7C1355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open reading frames when those frames overlap essential genes, because such a </w:t>
      </w:r>
    </w:p>
    <w:p w14:paraId="75F5C5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frame inherits its neighbour's signals undiluted and therefore satisfies the </w:t>
      </w:r>
    </w:p>
    <w:p w14:paraId="7491D0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screen's criteria better than a genuine small gene. We present a multi-layer </w:t>
      </w:r>
    </w:p>
    <w:p w14:paraId="7077F9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audit that tests this failure mode across genome annotation, transposon </w:t>
      </w:r>
    </w:p>
    <w:p w14:paraId="44D084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mutagenesis, CRISPR interference, homology, transcript mapping, proteomics, and </w:t>
      </w:r>
    </w:p>
    <w:p w14:paraId="78C5EB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population variation. We apply it to Rv2438A, a 92-codon conserved hypothetical </w:t>
      </w:r>
    </w:p>
    <w:p w14:paraId="07CBFA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open reading frame of Mycobacterium tuberculosis ranked first by our own </w:t>
      </w:r>
    </w:p>
    <w:p w14:paraId="1E3A69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dark-gene target screen. Rv2438A is superimposed on the essential NAD synthetase </w:t>
      </w:r>
    </w:p>
    <w:p w14:paraId="53977C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locus nadE: 44% lies within its coding sequence on the opposite strand, and the </w:t>
      </w:r>
    </w:p>
    <w:p w14:paraId="40F446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remainder covers its promoter and transcription start site. Consequently, three </w:t>
      </w:r>
    </w:p>
    <w:p w14:paraId="1687BE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five Himar1 sites lie within nadE, no CRISPRi guide can target Rv2438A </w:t>
      </w:r>
    </w:p>
    <w:p w14:paraId="3DBB1C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without binding nadE, and the cross-species hit maps to the same nadE start </w:t>
      </w:r>
    </w:p>
    <w:p w14:paraId="1588A1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junction. Rv2438A lacks its own transcription start site and is absent from </w:t>
      </w:r>
    </w:p>
    <w:p w14:paraId="6CDD6D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every proteomic dataset that detects nadE. A genome-wide scan identifies six </w:t>
      </w:r>
    </w:p>
    <w:p w14:paraId="329F8C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short, overlapping, uncharacterised loci among 3907 annotated genes, but only </w:t>
      </w:r>
    </w:p>
    <w:p w14:paraId="2AA627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Rv2438A combines overlap and essentiality with non-detection across all </w:t>
      </w:r>
    </w:p>
    <w:p w14:paraId="4E503F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proteomic datasets; rare genome-wide, it ranked first among screen hits. We </w:t>
      </w:r>
    </w:p>
    <w:p w14:paraId="0A5114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provide an implementable audit workflow and a codon-position control, but </w:t>
      </w:r>
    </w:p>
    <w:p w14:paraId="6FDB2F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measure the control's sensitivity as only two of five genes with attested </w:t>
      </w:r>
    </w:p>
    <w:p w14:paraId="0A3B26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protein, limiting it to confirmatory use. Overlap coordinates and </w:t>
      </w:r>
    </w:p>
    <w:p w14:paraId="6F0042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neighbour-specific experimental resolution should therefore be reported before </w:t>
      </w:r>
    </w:p>
    <w:p w14:paraId="0C2E89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bacterial dark genes are prioritised.</w:t>
      </w:r>
    </w:p>
    <w:p w14:paraId="2AE338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035B2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2026. Published by Elsevier B.V.</w:t>
      </w:r>
    </w:p>
    <w:p w14:paraId="40A3FF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6D6DD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10.1016/j.mimet.2026.107715</w:t>
      </w:r>
    </w:p>
    <w:p w14:paraId="667FFB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42754103</w:t>
      </w:r>
    </w:p>
    <w:p w14:paraId="4043E6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A032AE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Indian J Med Microbiol. 2026 Sep 17:101292. doi: 10.1016/j.ijmmb.2026.101292. </w:t>
      </w:r>
    </w:p>
    <w:p w14:paraId="4DD9E1D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179042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5756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Molecular Signatures of Concurrent Mutations in Drug Resistant Mycobacterium </w:t>
      </w:r>
    </w:p>
    <w:p w14:paraId="6E88EC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Tuberculosis: Association with Treatment Outcomes.</w:t>
      </w:r>
    </w:p>
    <w:p w14:paraId="25675C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CE02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Panwalkar N(1), Khan Z(2), Rangnekar A(3), Punde RP(4), Pauranik A(5), Ranjan </w:t>
      </w:r>
    </w:p>
    <w:p w14:paraId="51BC3B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R(6), Verma M(7), Desikan P(8).</w:t>
      </w:r>
    </w:p>
    <w:p w14:paraId="055154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1A45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27DE8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Microbiology, Bhopal Memorial Hospital and Research Centre, </w:t>
      </w:r>
    </w:p>
    <w:p w14:paraId="42CDA1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Bhopal, M.P. 462038 India. Electronic address: nikitapanwalkarnikita@gmail.com.</w:t>
      </w:r>
    </w:p>
    <w:p w14:paraId="22E98E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Microbiology, Bhopal Memorial Hospital and Research Centre, </w:t>
      </w:r>
    </w:p>
    <w:p w14:paraId="0E3003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Bhopal, M.P. 462038 India. Electronic address: zebakhan_04@yahoo.co.in.</w:t>
      </w:r>
    </w:p>
    <w:p w14:paraId="14C3F7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Microbiology, Bhopal Memorial Hospital and Research Centre, </w:t>
      </w:r>
    </w:p>
    <w:p w14:paraId="0C7A12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Bhopal, M.P. 462038 India. Electronic address: aseem.rangnekar1603@gmail.com.</w:t>
      </w:r>
    </w:p>
    <w:p w14:paraId="184F38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Microbiology, Bhopal Memorial Hospital and Research Centre, </w:t>
      </w:r>
    </w:p>
    <w:p w14:paraId="07D685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Bhopal, M.P. 462038 India. Electronic address: ram_punde07@yahoo.co.in.</w:t>
      </w:r>
    </w:p>
    <w:p w14:paraId="12A7D2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(5)National Reference Lab for tuberculosis, Department of Microbiology, Bhopal </w:t>
      </w:r>
    </w:p>
    <w:p w14:paraId="03B489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Memorial Hospital and Research Centre, Bhopal, M.P. 462038 India. Electronic </w:t>
      </w:r>
    </w:p>
    <w:p w14:paraId="5C2088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address: ankurpauranik1@gmail.com.</w:t>
      </w:r>
    </w:p>
    <w:p w14:paraId="7285DE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(6)National Reference Lab for tuberculosis, Department of Microbiology, Bhopal </w:t>
      </w:r>
    </w:p>
    <w:p w14:paraId="134855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Memorial Hospital and Research Centre, Bhopal, M.P. 462038 India. Electronic </w:t>
      </w:r>
    </w:p>
    <w:p w14:paraId="108240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address: drranjan1985@gmail.com.</w:t>
      </w:r>
    </w:p>
    <w:p w14:paraId="09E220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(7)State TB Demonstration cum Training Centre, Bhopal, Madhya Pradesh, India. </w:t>
      </w:r>
    </w:p>
    <w:p w14:paraId="3A12DB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Electronic address: stdcmp@rntcp.org.</w:t>
      </w:r>
    </w:p>
    <w:p w14:paraId="7E4EF8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(8)National Reference Lab for tuberculosis, Department of Microbiology, Bhopal </w:t>
      </w:r>
    </w:p>
    <w:p w14:paraId="2D5855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Memorial Hospital and Research Centre, Bhopal, M.P. 462038 India. Electronic </w:t>
      </w:r>
    </w:p>
    <w:p w14:paraId="39D4B2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address: prabhadesikan@yahoo.com.</w:t>
      </w:r>
    </w:p>
    <w:p w14:paraId="6C24D3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F6A60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Mutations in genes responsible for resistance to anti tubercular </w:t>
      </w:r>
    </w:p>
    <w:p w14:paraId="7E2828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drugs are pivotal in the emergence of drug resistant tuberculosis. Although </w:t>
      </w:r>
    </w:p>
    <w:p w14:paraId="1F8510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studies have examined individual resistance mutations, the impact of concurrent </w:t>
      </w:r>
    </w:p>
    <w:p w14:paraId="715534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mutations on treatment outcomes remains insufficiently understood. This study </w:t>
      </w:r>
    </w:p>
    <w:p w14:paraId="0F917C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aimed to investigate the concurrent mutations in genes responsible for first and </w:t>
      </w:r>
    </w:p>
    <w:p w14:paraId="37AB59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second line drug resistance in Mycobacterium tuberculosis (MTB) isolates and </w:t>
      </w:r>
    </w:p>
    <w:p w14:paraId="7F597A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their association with treatment outcomes.</w:t>
      </w:r>
    </w:p>
    <w:p w14:paraId="0C3ED4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line probe assay was conducted to identify mutations that confer </w:t>
      </w:r>
    </w:p>
    <w:p w14:paraId="625A2A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resistance to first and second line drugs. Treatment outcomes were extracted </w:t>
      </w:r>
    </w:p>
    <w:p w14:paraId="091296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the Ni-kshay portal (a Government initiated online portal to maintain TB </w:t>
      </w:r>
    </w:p>
    <w:p w14:paraId="35A85E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patient data).</w:t>
      </w:r>
    </w:p>
    <w:p w14:paraId="314CAB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86.1% of patients achieved successful treatment outcomes, while 13.8% </w:t>
      </w:r>
    </w:p>
    <w:p w14:paraId="03CE85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experienced unsuccessful outcomes. The concurrent mutations in genes (gyrA, </w:t>
      </w:r>
    </w:p>
    <w:p w14:paraId="3926ED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rpoB, and katG) were associated with higher odds of unsuccessful treatment </w:t>
      </w:r>
    </w:p>
    <w:p w14:paraId="42336B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outcome (OR = 3.27, 95% CI: 0.89-12.03); however, this association was not </w:t>
      </w:r>
    </w:p>
    <w:p w14:paraId="1B3056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statistically significant. Six concurrent mutation patterns were observed in MTB </w:t>
      </w:r>
    </w:p>
    <w:p w14:paraId="2A95D9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isolates from patients with unsuccessful outcomes only.</w:t>
      </w:r>
    </w:p>
    <w:p w14:paraId="3ED65A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MTB isolates harbouring concurrent mutations were predominantly </w:t>
      </w:r>
    </w:p>
    <w:p w14:paraId="4B21C7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successful treatment outcomes. These findings suggest that the </w:t>
      </w:r>
    </w:p>
    <w:p w14:paraId="41B983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presence of multiple mutations alone may not necessarily predict an increased </w:t>
      </w:r>
    </w:p>
    <w:p w14:paraId="64479F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risk of treatment failure. Although the coexistence of multiple mutations may </w:t>
      </w:r>
    </w:p>
    <w:p w14:paraId="31FFF4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contribute cumulatively to drug resistance, further studies involving larger, </w:t>
      </w:r>
    </w:p>
    <w:p w14:paraId="775C55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multicentric cohorts are required to validate our findings and support </w:t>
      </w:r>
    </w:p>
    <w:p w14:paraId="1C6472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mutation-based risk stratification in drug resistant TB management.</w:t>
      </w:r>
    </w:p>
    <w:p w14:paraId="77DEB9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6A8AA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 © 2026 Indian Association of Medical Microbiologists. Published by </w:t>
      </w:r>
    </w:p>
    <w:p w14:paraId="07E8A4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Elsevier B.V. All rights reserved.</w:t>
      </w:r>
    </w:p>
    <w:p w14:paraId="4528C6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96CEC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10.1016/j.ijmmb.2026.101292</w:t>
      </w:r>
    </w:p>
    <w:p w14:paraId="0DE651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42753918</w:t>
      </w:r>
    </w:p>
    <w:p w14:paraId="52D125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5C5EB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Indian J Med Microbiol. 2026 Sep 17:101288. doi: 10.1016/j.ijmmb.2026.101288. </w:t>
      </w:r>
    </w:p>
    <w:p w14:paraId="49AD99D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74F342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784D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Pilot Study on the Utility of Whole Genome Sequencing for Detecting Drug </w:t>
      </w:r>
    </w:p>
    <w:p w14:paraId="4B1ACC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Resistance in Mycobacterium tuberculosis in the Current Scenario.</w:t>
      </w:r>
    </w:p>
    <w:p w14:paraId="69C57A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9F21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Malhotra B(1), Gautam S(2), Sharma P(3), Sharma G(4), Vijayvergia V(5), Mittal </w:t>
      </w:r>
    </w:p>
    <w:p w14:paraId="101AE5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S(6), Sharma V(7), Garg M(8).</w:t>
      </w:r>
    </w:p>
    <w:p w14:paraId="54B2FC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AF94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F440B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Microbiology, SMS Medical College, Jaipur. Electronic address: </w:t>
      </w:r>
    </w:p>
    <w:p w14:paraId="42E833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drbhartimalhotra@gmail.com.</w:t>
      </w:r>
    </w:p>
    <w:p w14:paraId="6DD311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Microbiology, SMS Medical College, Jaipur. Electronic address: </w:t>
      </w:r>
    </w:p>
    <w:p w14:paraId="0CA155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swatigautam.bio@gmail.com.</w:t>
      </w:r>
    </w:p>
    <w:p w14:paraId="52E170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(3)Viral Research and Diagnostic Laboratory, Department of Microbiology, SMS </w:t>
      </w:r>
    </w:p>
    <w:p w14:paraId="2D9284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Medical College, Jaipur. Electronic address: pratibha21_sharma@yahoo.co.in.</w:t>
      </w:r>
    </w:p>
    <w:p w14:paraId="6C2DC2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Microbiology, SMS Medical College, Jaipur. Electronic address: </w:t>
      </w:r>
    </w:p>
    <w:p w14:paraId="76D399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gauravsharma2987@gmail.com.</w:t>
      </w:r>
    </w:p>
    <w:p w14:paraId="30939A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Microbiology, SMS Medical College, Jaipur. Electronic address: </w:t>
      </w:r>
    </w:p>
    <w:p w14:paraId="3A93E4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drvarunikavijay@gmail.com.</w:t>
      </w:r>
    </w:p>
    <w:p w14:paraId="5F8A24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Microbiology, SMS Medical College, Jaipur. Electronic address: </w:t>
      </w:r>
    </w:p>
    <w:p w14:paraId="25748D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drsurbhimittal@yahoo.com.</w:t>
      </w:r>
    </w:p>
    <w:p w14:paraId="291B15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Microbiology, SMS Medical College, Jaipur. Electronic address: </w:t>
      </w:r>
    </w:p>
    <w:p w14:paraId="71CCE6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drvsharma76@gmail.com.</w:t>
      </w:r>
    </w:p>
    <w:p w14:paraId="0C8C2B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(8)Department of Microbiology, SMS Medical College, Jaipur. Electronic address: </w:t>
      </w:r>
    </w:p>
    <w:p w14:paraId="3E2600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mukesh_garg1@rediffmail.com.</w:t>
      </w:r>
    </w:p>
    <w:p w14:paraId="68ADFC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D76C3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PURPOSE: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Whole Genome Sequencing (WGS) comprehensively detects all </w:t>
      </w:r>
    </w:p>
    <w:p w14:paraId="39CAAA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drug-resistant mutants, which can help in the early initiation of specific </w:t>
      </w:r>
    </w:p>
    <w:p w14:paraId="39F785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for the patient. But there is a need to evaluate the performance of </w:t>
      </w:r>
    </w:p>
    <w:p w14:paraId="438F4D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WGS in comparison with Line Probe Assays (LPA) and Phenotypic Drug </w:t>
      </w:r>
    </w:p>
    <w:p w14:paraId="4D2C8E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Susceptibility Tests (pDST).</w:t>
      </w:r>
    </w:p>
    <w:p w14:paraId="591A51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: Consecutive sputum samples (58) found positive for Mycobacterium </w:t>
      </w:r>
    </w:p>
    <w:p w14:paraId="73CDF9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(MTB) by GeneXpert were tested for first-and second-line LPA, pDST </w:t>
      </w:r>
    </w:p>
    <w:p w14:paraId="406C57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WGS for anti-tubercular drugs.</w:t>
      </w:r>
    </w:p>
    <w:p w14:paraId="2F4AD9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Of 58, 34 (58.6%) culture isolates were resistant to one or more drugs. </w:t>
      </w:r>
    </w:p>
    <w:p w14:paraId="454C93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Resistance detected by WGS was as follows: Isoniazid 23(39.6%), Rifampicin </w:t>
      </w:r>
    </w:p>
    <w:p w14:paraId="6E80C8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21(36.2%), FQs 21(36.2%), Ethambutol 18(31%), Linezolid 12(20.6%), Streptomycin </w:t>
      </w:r>
    </w:p>
    <w:p w14:paraId="6A715D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8(13.8%), Kanamycin 6(10.3%), Amikacin and Capreomycin 5(8.6%), Para-amino </w:t>
      </w:r>
    </w:p>
    <w:p w14:paraId="736061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salicylic acid 1(1.7%) and Ethionamide 1(1.7%). No resistance was detected to </w:t>
      </w:r>
    </w:p>
    <w:p w14:paraId="25A17D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Pyrazinamide, Bedaquiline, Clofazimine, Delamanid and Pretomanid. Lineage 3(EAI) </w:t>
      </w:r>
    </w:p>
    <w:p w14:paraId="751DE5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was the most predominant 23(39.6%) followed by Lineage 2: 13(22.4%). </w:t>
      </w:r>
    </w:p>
    <w:p w14:paraId="4D19B0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Intermediate Resistance (IR) and potential novel mutations were observed in a </w:t>
      </w:r>
    </w:p>
    <w:p w14:paraId="0406BA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few cases,</w:t>
      </w: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 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Overall accuracy for first-line drugs between pDST vs WGS </w:t>
      </w:r>
    </w:p>
    <w:p w14:paraId="57A6B7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was &gt;98% &amp;pDST vs LPA &gt;95%, while for second-line drugs accuracy was &gt;96% and </w:t>
      </w:r>
    </w:p>
    <w:p w14:paraId="432AD9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&gt;90% respectively. IR and potential novel mutations should be followed up </w:t>
      </w:r>
    </w:p>
    <w:p w14:paraId="4526AF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closely to understand their clinical significance.</w:t>
      </w:r>
    </w:p>
    <w:p w14:paraId="594617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C7F00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 © 2026 Indian Association of Medical Microbiologists. Published by </w:t>
      </w:r>
    </w:p>
    <w:p w14:paraId="054F0C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Elsevier B.V. All rights reserved.</w:t>
      </w:r>
    </w:p>
    <w:p w14:paraId="65B9B7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99DA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10.1016/j.ijmmb.2026.101288</w:t>
      </w:r>
    </w:p>
    <w:p w14:paraId="4BCABE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42753917</w:t>
      </w:r>
    </w:p>
    <w:p w14:paraId="790ABF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BC04E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7. J Acquir Immune Defic Syndr. 2026 Sep 17. doi: 10.1097/QAI.0000000000003976. </w:t>
      </w:r>
    </w:p>
    <w:p w14:paraId="62EFB09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70A867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46790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Trends in Tuberculosis Preventive Therapy Prescribing Among People Living with </w:t>
      </w:r>
    </w:p>
    <w:p w14:paraId="4AD47F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HIV in South Africa, 2005-2022.</w:t>
      </w:r>
    </w:p>
    <w:p w14:paraId="1EB4B4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69E1A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Lucas A(1), Steiner L(2), Genade L(3), Pattamukkil A(3), Nonyane BAS(4), </w:t>
      </w:r>
    </w:p>
    <w:p w14:paraId="3313C1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Owczarzak J(5), Variava E(3)(6), Lebina L(3), Golub JE(2), Martinson NA(3), </w:t>
      </w:r>
    </w:p>
    <w:p w14:paraId="508AFA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Hoffmann CJ(2).</w:t>
      </w:r>
    </w:p>
    <w:p w14:paraId="0460EC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2175C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EB1C3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(1)Krieger School of Arts and Sciences, Johns Hopkins University, Baltimore, </w:t>
      </w:r>
    </w:p>
    <w:p w14:paraId="73EE8C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USA.</w:t>
      </w:r>
    </w:p>
    <w:p w14:paraId="5C5ABF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(2)Division of Infectious Diseases, Department of Medicine, Johns Hopkins </w:t>
      </w:r>
    </w:p>
    <w:p w14:paraId="452A67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School of Medicine, Baltimore, MD, USA.</w:t>
      </w:r>
    </w:p>
    <w:p w14:paraId="2A496D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(3)Perinatal HIV Research Unit (PHRU), University of the Witwatersrand, </w:t>
      </w:r>
    </w:p>
    <w:p w14:paraId="515815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Johannesburg, South Africa.</w:t>
      </w:r>
    </w:p>
    <w:p w14:paraId="168C1E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International Health, Bloomberg School of Public Health, Johns </w:t>
      </w:r>
    </w:p>
    <w:p w14:paraId="5B7B01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Hopkins University, Baltimore, MD.</w:t>
      </w:r>
    </w:p>
    <w:p w14:paraId="2B1298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Health, Behavior, and Society, Bloomberg School of Public </w:t>
      </w:r>
    </w:p>
    <w:p w14:paraId="706AB9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Health, Johns Hopkins University, Baltimore, MD.</w:t>
      </w:r>
    </w:p>
    <w:p w14:paraId="75206E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Medicine, Klerksdorp-Tshepong Hospital, Klerksdorp, South </w:t>
      </w:r>
    </w:p>
    <w:p w14:paraId="0986C9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57647E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7E1A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preventive therapy (TPT) reduces tuberculosis incidence </w:t>
      </w:r>
    </w:p>
    <w:p w14:paraId="4C140B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people living with HIV (PLHIV), yet uptake has been sub-optimal. We </w:t>
      </w:r>
    </w:p>
    <w:p w14:paraId="44AFF4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evaluated trends of TPT prescribing among people initiated on antiretroviral </w:t>
      </w:r>
    </w:p>
    <w:p w14:paraId="71D5B7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therapy (ART).</w:t>
      </w:r>
    </w:p>
    <w:p w14:paraId="46F288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SETTING: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Thirty-six public sector clinics in South Africa.</w:t>
      </w:r>
    </w:p>
    <w:p w14:paraId="571E0A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retrospectively analyzed individual-level clinical data abstracted </w:t>
      </w:r>
    </w:p>
    <w:p w14:paraId="4CE584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clinics in the Free State and North West provinces, South Africa. We </w:t>
      </w:r>
    </w:p>
    <w:p w14:paraId="1D8407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included PLHIV who initiated ART 2005-2022 and had ≥1 HIV-related clinic visits </w:t>
      </w:r>
    </w:p>
    <w:p w14:paraId="079422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 or after 15 September 2021. The timing of TPT prescribing was defined by the </w:t>
      </w:r>
    </w:p>
    <w:p w14:paraId="1D8822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earliest recorded TPT prescription date as: (1) TPT prescription within ≤6 </w:t>
      </w:r>
    </w:p>
    <w:p w14:paraId="6A19CA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months, (2) TPT prescription &gt;6 months, or (3) no recorded TPT prescription on </w:t>
      </w:r>
    </w:p>
    <w:p w14:paraId="031A82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 after ART initiation.</w:t>
      </w:r>
    </w:p>
    <w:p w14:paraId="249E26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48,718 ART initiators, 23,168 (47.6%) were prescribed TPT on or </w:t>
      </w:r>
    </w:p>
    <w:p w14:paraId="1F9D7E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after ART initiation; 15,510 (31.8%) were prescribed TPT ≤6 months and 7,658 </w:t>
      </w:r>
    </w:p>
    <w:p w14:paraId="1EC6BF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(15.7%) were prescribed TPT &gt;6 months after ART initiation. Early TPT </w:t>
      </w:r>
    </w:p>
    <w:p w14:paraId="179D15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prescribing increased from 0.7% in the 2005-2010 cohort to 71.3% in 2022 ART </w:t>
      </w:r>
    </w:p>
    <w:p w14:paraId="6ED38D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initiators, while TPT prescribing &gt;6 months after ART initiation declined from </w:t>
      </w:r>
    </w:p>
    <w:p w14:paraId="4B63B8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28.5% in the 2005-2010 cohort to 1.3% among those who initiated ART in 2022. </w:t>
      </w:r>
    </w:p>
    <w:p w14:paraId="65E60C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Cumulative TPT prescribing was 29.2% in the 2005-2010 cohort, 34.2% in the </w:t>
      </w:r>
    </w:p>
    <w:p w14:paraId="589466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2011-2015 cohort, and 72.6% in the 2022 cohort.</w:t>
      </w:r>
    </w:p>
    <w:p w14:paraId="3097C3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Over 2005-2022, TPT prescribing shifted markedly toward initiation </w:t>
      </w:r>
    </w:p>
    <w:p w14:paraId="47F946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near the time of ART initiation, with early prescribing exceeding 70% by 2022. </w:t>
      </w:r>
    </w:p>
    <w:p w14:paraId="0803A9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Cumulative prescribing remained low among people from earlier ART cohorts, </w:t>
      </w:r>
    </w:p>
    <w:p w14:paraId="320C47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underscoring the need for targeted catch-up strategies.</w:t>
      </w:r>
    </w:p>
    <w:p w14:paraId="50A302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783B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Wolters Kluwer Health, LLC. All rights reserved.</w:t>
      </w:r>
    </w:p>
    <w:p w14:paraId="1FB8BA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F7736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10.1097/QAI.0000000000003976</w:t>
      </w:r>
    </w:p>
    <w:p w14:paraId="22E750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42753354</w:t>
      </w:r>
    </w:p>
    <w:p w14:paraId="3781FE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0569B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8. J Pediatric Infect Dis Soc. 2026 Sep 17:piag101. doi: 10.1093/jpids/piag101. </w:t>
      </w:r>
    </w:p>
    <w:p w14:paraId="57DB8E6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41F2BE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072B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 Fc receptor and IgA functional signature identifies TB disease in children </w:t>
      </w:r>
    </w:p>
    <w:p w14:paraId="4CA858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living with HIV.</w:t>
      </w:r>
    </w:p>
    <w:p w14:paraId="69B6A0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D9580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Kang YJ(1), Wang N(2)(3), Malik A(4), Lu P(5), Grossman A(6), Njuguna </w:t>
      </w:r>
    </w:p>
    <w:p w14:paraId="0FA073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I(7)(8)(9), Maleche-Obimbo E(8)(10), LaCourse SM(8)(11)(12), Slyker J(8)(12), </w:t>
      </w:r>
    </w:p>
    <w:p w14:paraId="25347C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Wamalwa D(10), John-Stewart GC(8)(11)(12)(13), Wang C(2), Cranmer LM(6)(14)(15), </w:t>
      </w:r>
    </w:p>
    <w:p w14:paraId="74F5E3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Lu LL(5)(16)(17).</w:t>
      </w:r>
    </w:p>
    <w:p w14:paraId="0A84C8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3B79C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E5A6A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(1)Division of Pediatric Infectious Disease, Department of Pediatrics, UT </w:t>
      </w:r>
    </w:p>
    <w:p w14:paraId="645B8A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Southwestern Medical Center, Dallas, TX, USA.</w:t>
      </w:r>
    </w:p>
    <w:p w14:paraId="789766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Immunology and Microbiology, University of Colorado Anshutz </w:t>
      </w:r>
    </w:p>
    <w:p w14:paraId="743068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School of Medicine, Aurora, CO, USA.</w:t>
      </w:r>
    </w:p>
    <w:p w14:paraId="07C5A4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(3)Biostatistics &amp; Informatics PhD Program, Colorado School of Public Health, </w:t>
      </w:r>
    </w:p>
    <w:p w14:paraId="6C9D40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CO, USA.</w:t>
      </w:r>
    </w:p>
    <w:p w14:paraId="1367C2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(4)Peter O'Donnell Jr. School of Public Health, UT Southwestern Medical Center, </w:t>
      </w:r>
    </w:p>
    <w:p w14:paraId="248394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Dallas, TX, USA.</w:t>
      </w:r>
    </w:p>
    <w:p w14:paraId="070F91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(5)Division of Infectious Diseases and Geographic Medicine, Department of </w:t>
      </w:r>
    </w:p>
    <w:p w14:paraId="5D9CB6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Internal Medicine, UT Southwestern Medical Center, Dallas, TX, USA.</w:t>
      </w:r>
    </w:p>
    <w:p w14:paraId="1338AA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(6)Division of Pediatric Infectious Diseases, Department of Pediatrics, Emory </w:t>
      </w:r>
    </w:p>
    <w:p w14:paraId="7B3C09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Atlanta, GA, USA.</w:t>
      </w:r>
    </w:p>
    <w:p w14:paraId="4A49BC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(7)Medical Research Department, Kenyatta National Hospital, Nairobi, Kenya.</w:t>
      </w:r>
    </w:p>
    <w:p w14:paraId="14E259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(8)Department of Global Health, University of Washington, Seattle, WA, USA.</w:t>
      </w:r>
    </w:p>
    <w:p w14:paraId="105333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(9)Nell Hudgson Woodruff School of Nursing, Emory University, Atlanta, GA, USA.</w:t>
      </w:r>
    </w:p>
    <w:p w14:paraId="192602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(10)Department of Pediatrics and Child Health, University of Nairobi, Nairobi, </w:t>
      </w:r>
    </w:p>
    <w:p w14:paraId="7B87B9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Kenya.</w:t>
      </w:r>
    </w:p>
    <w:p w14:paraId="13556B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(11)Division of Allergy and Infectious Diseases, Department of Medicine, </w:t>
      </w:r>
    </w:p>
    <w:p w14:paraId="230F6A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Washington, Seattle, WA, USA.</w:t>
      </w:r>
    </w:p>
    <w:p w14:paraId="053A4A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(12)Department of Epidemiology, University of Washington, Seattle, WA, USA.</w:t>
      </w:r>
    </w:p>
    <w:p w14:paraId="5A4A20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(13)Department of Pediatrics, University of Washington, Seattle, WA, USA.</w:t>
      </w:r>
    </w:p>
    <w:p w14:paraId="21FEB1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(14)Children's Healthcare of Atlanta, Atlanta, GA, USA.</w:t>
      </w:r>
    </w:p>
    <w:p w14:paraId="0A8786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(15)Department of Epidemiology, Emory Rollins School of Public Health, Atlanta, </w:t>
      </w:r>
    </w:p>
    <w:p w14:paraId="54CE9E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GA, USA.</w:t>
      </w:r>
    </w:p>
    <w:p w14:paraId="7D3A81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(16)Department of Immunology, UT Southwestern Medical Center, Dallas, TX, USA.</w:t>
      </w:r>
    </w:p>
    <w:p w14:paraId="1CC628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(17)Parkland Health, Dallas, TX, USA.</w:t>
      </w:r>
    </w:p>
    <w:p w14:paraId="12B210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A7305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is a leading cause of morbidity and mortality </w:t>
      </w:r>
    </w:p>
    <w:p w14:paraId="520537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children living with HIV (CLHIV). TB disease is difficult to detect with </w:t>
      </w:r>
    </w:p>
    <w:p w14:paraId="3AAF07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current clinical microbiological, immunological, and radiographic tools. </w:t>
      </w:r>
    </w:p>
    <w:p w14:paraId="6840B7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Serological assays that determine levels of Mycobacterium tuberculosis reactive </w:t>
      </w:r>
    </w:p>
    <w:p w14:paraId="1EFB61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antibodies inconsistently identify TB but antibody Fc receptor engagement and </w:t>
      </w:r>
    </w:p>
    <w:p w14:paraId="2747DD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effector functions are promising biomarkers of TB disease. The objectives of </w:t>
      </w:r>
    </w:p>
    <w:p w14:paraId="5474AF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study are to identify antigen specific antibody signatures in CLHIV with TB </w:t>
      </w:r>
    </w:p>
    <w:p w14:paraId="6764B8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 that both 1) respond to treatment and 2) distinguish CLHIV with TB </w:t>
      </w:r>
    </w:p>
    <w:p w14:paraId="664E70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disease from those without TB disease.</w:t>
      </w:r>
    </w:p>
    <w:p w14:paraId="3F312E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study evaluated serum antibody properties from a </w:t>
      </w:r>
    </w:p>
    <w:p w14:paraId="14B9C3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well-characterized cohort of Kenyan CLHIV via two orthogonal approaches: 1) </w:t>
      </w:r>
    </w:p>
    <w:p w14:paraId="0EBA3F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longitudinal assessment following individuals over the course of treatment and </w:t>
      </w:r>
    </w:p>
    <w:p w14:paraId="5AF317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2) cross-sectional examination of individuals with and without clinical TB </w:t>
      </w:r>
    </w:p>
    <w:p w14:paraId="3F3760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disease. For each individual sample, 13 antibody functional properties against 8 </w:t>
      </w:r>
    </w:p>
    <w:p w14:paraId="4A1BFD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Mtb and 4 non-Mtb microbial antigens were measured and analyzed via univariate </w:t>
      </w:r>
    </w:p>
    <w:p w14:paraId="2E8196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multivariate machine-learning approaches.</w:t>
      </w:r>
    </w:p>
    <w:p w14:paraId="15D33E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FcαR/CD89 immune complex formation with antibodies reactive to four Mtb </w:t>
      </w:r>
    </w:p>
    <w:p w14:paraId="53018B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antigens including ESAT-6 &amp; CFP-10, FcγRI/CD64 associated with one Mtb antigen, </w:t>
      </w:r>
    </w:p>
    <w:p w14:paraId="7719E1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HIV gp120 IgA1 distinguished CLHIV with from those without TB disease and </w:t>
      </w:r>
    </w:p>
    <w:p w14:paraId="36679A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decreased over the course of treatment.</w:t>
      </w:r>
    </w:p>
    <w:p w14:paraId="342351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INTERPRETATION: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An Mtb and HIV reactive peripheral blood antibody functional </w:t>
      </w:r>
    </w:p>
    <w:p w14:paraId="22928D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signature of FcαR/CD89, FcγRI/CD64, and IgA1 are potential correlates of TB </w:t>
      </w:r>
    </w:p>
    <w:p w14:paraId="68A4EC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disease in CHLIV.</w:t>
      </w:r>
    </w:p>
    <w:p w14:paraId="071CC2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1F162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The Author(s) 2026. Published by Oxford University Press on behalf of the </w:t>
      </w:r>
    </w:p>
    <w:p w14:paraId="5454C2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Pediatric Infectious Diseases Society.</w:t>
      </w:r>
    </w:p>
    <w:p w14:paraId="6106E6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1C95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10.1093/jpids/piag101</w:t>
      </w:r>
    </w:p>
    <w:p w14:paraId="2E2CD6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42752603</w:t>
      </w:r>
    </w:p>
    <w:p w14:paraId="765082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1FBDD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9. Pulmonology. 2026 Dec;32(1):2733901. doi: 10.1080/25310429.2026.2733901. Epub 2026 Sep 17.</w:t>
      </w:r>
    </w:p>
    <w:p w14:paraId="601829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44CB6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Cost comparison of UniAMP with Truenat for tuberculosis detection in India.</w:t>
      </w:r>
    </w:p>
    <w:p w14:paraId="795C48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B65F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Muniyandi M(1), Abdul Salam S(1), Janagaraj V(1), Rajendran P(2), Varghese </w:t>
      </w:r>
    </w:p>
    <w:p w14:paraId="338961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Thomas S(2), Rajsekar K(3), Nagarajan K(4).</w:t>
      </w:r>
    </w:p>
    <w:p w14:paraId="1C26CC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62218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38FF6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Health Economics, ICMR-National Institute for Research in </w:t>
      </w:r>
    </w:p>
    <w:p w14:paraId="0BB90A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Tuberculosis, Chennai, India.</w:t>
      </w:r>
    </w:p>
    <w:p w14:paraId="366849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Bacteriology, ICMR-National Institute for Research in </w:t>
      </w:r>
    </w:p>
    <w:p w14:paraId="076B63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Tuberculosis, Chennai, India.</w:t>
      </w:r>
    </w:p>
    <w:p w14:paraId="12BAF0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Health Research, Ministry of Health and Family Welfare, </w:t>
      </w:r>
    </w:p>
    <w:p w14:paraId="4DE0A3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Government of India, New Delhi, India.</w:t>
      </w:r>
    </w:p>
    <w:p w14:paraId="667AA5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Socio-Behavioural Research, ICMR-National Institute for </w:t>
      </w:r>
    </w:p>
    <w:p w14:paraId="116C7F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Research in Tuberculosis, Chennai, India.</w:t>
      </w:r>
    </w:p>
    <w:p w14:paraId="0E717D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202D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molecular platforms such as Truenat and GeneXpert have enhanced </w:t>
      </w:r>
    </w:p>
    <w:p w14:paraId="5704D4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diagnostic capacity in India. However, these technologies </w:t>
      </w:r>
    </w:p>
    <w:p w14:paraId="23B954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still face challenges related to cost, infrastructure requirements and </w:t>
      </w:r>
    </w:p>
    <w:p w14:paraId="5FA55B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maintenance. To address these gaps, several newer molecular diagnostic tools are </w:t>
      </w:r>
    </w:p>
    <w:p w14:paraId="03B318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emerging, including UniAMP. However, the cost implications and economic </w:t>
      </w:r>
    </w:p>
    <w:p w14:paraId="439BDB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feasibility remain limited in Indian context. We conducted cost comparison of </w:t>
      </w:r>
    </w:p>
    <w:p w14:paraId="100759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UniAMP with Truenat for TB detection in India.</w:t>
      </w:r>
    </w:p>
    <w:p w14:paraId="73FF40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decision tree model was developed from a health system perspective to </w:t>
      </w:r>
    </w:p>
    <w:p w14:paraId="7ADF9A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compare UniAMP with Truenat for TB detection. Sensitivity and specificity data </w:t>
      </w:r>
    </w:p>
    <w:p w14:paraId="3A2678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collected from published literature and validation reports. Diagnostic </w:t>
      </w:r>
    </w:p>
    <w:p w14:paraId="2EC128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outcomes such as true positives and negatives were estimated for the cohort of </w:t>
      </w:r>
    </w:p>
    <w:p w14:paraId="0A4670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1,000 presumptive TB patients. Costs data were collected from ICMR-NIRT </w:t>
      </w:r>
    </w:p>
    <w:p w14:paraId="400D67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laboratory and average cost per test and per case detection was estimated. The </w:t>
      </w:r>
    </w:p>
    <w:p w14:paraId="6CBD09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comparison was done between UniAMP and Truenat.</w:t>
      </w:r>
    </w:p>
    <w:p w14:paraId="464437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estimated per test cost was ₹483 (US$5.54) for UniAMP and ₹834 </w:t>
      </w:r>
    </w:p>
    <w:p w14:paraId="03402C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(US$9.57) for Truenat. Case detection in a cohort of 1,000 presumptive TB, true </w:t>
      </w:r>
    </w:p>
    <w:p w14:paraId="345F43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positive was 265 and 296; true negatives 647 and 651 in UniAMP and Truenat </w:t>
      </w:r>
    </w:p>
    <w:p w14:paraId="23E3B5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respectively. UniAMP identified fewer true positive TB cases than Truenat (265 </w:t>
      </w:r>
    </w:p>
    <w:p w14:paraId="6552F3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vs 296), resulting in 31 (10.7%) reduction in diagnostic yield.</w:t>
      </w:r>
    </w:p>
    <w:p w14:paraId="1B50AA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UniAMP may support decentralised TB testing in resource limited </w:t>
      </w:r>
    </w:p>
    <w:p w14:paraId="647A0A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settings because of its lower cost and minimal infrastructure requirements. </w:t>
      </w:r>
    </w:p>
    <w:p w14:paraId="33A8E1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UniAMP may therefore be more suitable as a supplementary diagnostic option </w:t>
      </w:r>
    </w:p>
    <w:p w14:paraId="3209C3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rather than a replacement for established molecular tests such as Truenat.</w:t>
      </w:r>
    </w:p>
    <w:p w14:paraId="3D7737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6F22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10.1080/25310429.2026.2733901</w:t>
      </w:r>
    </w:p>
    <w:p w14:paraId="462879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42752319 [Indexed for MEDLINE]</w:t>
      </w:r>
    </w:p>
    <w:p w14:paraId="75D9DF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7BADD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0. Microbiol Resour Announc. 2026 Sep 17:e0076026. doi: 10.1128/mra.00760-26. </w:t>
      </w:r>
    </w:p>
    <w:p w14:paraId="35860B5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65F0E8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A847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Draft genome sequences of non-endemic Mycobacterium tuberculosis Indo-Oceanic </w:t>
      </w:r>
    </w:p>
    <w:p w14:paraId="022712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West African lineages recovered in Panama.</w:t>
      </w:r>
    </w:p>
    <w:p w14:paraId="2BAD3B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78FBC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Domínguez González JC(#)(1), Rivas Ramos JE(#)(2), González P(1), Del Cid P(1), </w:t>
      </w:r>
    </w:p>
    <w:p w14:paraId="4D98F4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Johnston PR(3), Rosas S(1).</w:t>
      </w:r>
    </w:p>
    <w:p w14:paraId="1D0886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B814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04C7E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(1)Mycobacteriology Section, Central Public Health Reference Laboratory, </w:t>
      </w:r>
    </w:p>
    <w:p w14:paraId="5D634F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Conmemorative Gorgas Institute (ICGES), Panama, Panama.</w:t>
      </w:r>
    </w:p>
    <w:p w14:paraId="568BD1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(2)International Center for Life and Health Sciences Research (CIVSAL), Faculty </w:t>
      </w:r>
    </w:p>
    <w:p w14:paraId="69B668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Medicine and Faculty of Engineering, Universidad Latina de Panamá, Panama, </w:t>
      </w:r>
    </w:p>
    <w:p w14:paraId="17CE11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Panama.</w:t>
      </w:r>
    </w:p>
    <w:p w14:paraId="3C163B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(3)School of Medicine, University of St Andrews, St Andrews, Scotland, United </w:t>
      </w:r>
    </w:p>
    <w:p w14:paraId="70AF36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Kingdom.</w:t>
      </w:r>
    </w:p>
    <w:p w14:paraId="7EA299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6B2249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9FB2E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report the draft genome sequences of three Mycobacterium tuberculosis </w:t>
      </w:r>
    </w:p>
    <w:p w14:paraId="4067DC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isolates recovered from Panamanian residents belonging to the Indo-Oceanic </w:t>
      </w:r>
    </w:p>
    <w:p w14:paraId="059B9B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(Lineage 1) and West African (Lineage 5) lineages. These isolates exhibit </w:t>
      </w:r>
    </w:p>
    <w:p w14:paraId="0AD520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various drug-resistance profiles, including rifampicin-resistant and </w:t>
      </w:r>
    </w:p>
    <w:p w14:paraId="3101BA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multidrug-resistant phenotypes. This highlights the changing molecular </w:t>
      </w:r>
    </w:p>
    <w:p w14:paraId="605B5C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epidemiology of tuberculosis in Central America.</w:t>
      </w:r>
    </w:p>
    <w:p w14:paraId="3F3B93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E8383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10.1128/mra.00760-26</w:t>
      </w:r>
    </w:p>
    <w:p w14:paraId="712AF4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42752247</w:t>
      </w:r>
    </w:p>
    <w:p w14:paraId="2C1A70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86FB2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1. J Health Psychol. 2026 Sep 17:13591053261475793. doi: 10.1177/13591053261475793. Online ahead of print.</w:t>
      </w:r>
    </w:p>
    <w:p w14:paraId="083829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A74A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"I mixed the medicine with milk; said it was strawberry flavored": Parental </w:t>
      </w:r>
    </w:p>
    <w:p w14:paraId="18849C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challenges, coping strategies, and hopes in supporting childhood tuberculosis </w:t>
      </w:r>
    </w:p>
    <w:p w14:paraId="794DDA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 adherence in Makassar, Indonesia.</w:t>
      </w:r>
    </w:p>
    <w:p w14:paraId="7D45D6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299F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Arifin B(1)(2), Amin IH(2), Sarifah LM(2)(3), Madolangan J(2)(3), Rusdi Idrus </w:t>
      </w:r>
    </w:p>
    <w:p w14:paraId="19CDCF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L(4), Rante H(2), Sulaiman SAS(5), Munawaroh M(6)(7), Iskandar H(2), Fuady A(8), </w:t>
      </w:r>
    </w:p>
    <w:p w14:paraId="08A80A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Syafriani(9), Rauf S(10), Perwitasari DA(11), Yani FF(12)(13), Alkaff </w:t>
      </w:r>
    </w:p>
    <w:p w14:paraId="5EEBBD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FF(14)(15), Ardiansyah A(15), Purba AKR(14), Wishnuwardhana M(16)(17)(18)(19), </w:t>
      </w:r>
    </w:p>
    <w:p w14:paraId="65611E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Massi MN(2), Postma MJ(1)(14)(20)(21)(22), Syahrir M(23), Alkaff SD(14).</w:t>
      </w:r>
    </w:p>
    <w:p w14:paraId="469A8B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4D53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BEE29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(1)University of Groningen, University Medical Center Groningen (UMCG), </w:t>
      </w:r>
    </w:p>
    <w:p w14:paraId="364859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Groninge, The Netherlands.</w:t>
      </w:r>
    </w:p>
    <w:p w14:paraId="3ECC84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(2)Hasanuddin University, South Sulawesi, Indonesia.</w:t>
      </w:r>
    </w:p>
    <w:p w14:paraId="3106AE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(3)Labuang Baji Regional General Hospital, South Sulawesi, Indonesia.</w:t>
      </w:r>
    </w:p>
    <w:p w14:paraId="741DB4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(4)West Java Local Government, West Java, Indonesia.</w:t>
      </w:r>
    </w:p>
    <w:p w14:paraId="1CE08E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(5)Universiti Sains Malaysia, Penang, Malaysia.</w:t>
      </w:r>
    </w:p>
    <w:p w14:paraId="495BD6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(6)Surakarta Central General Hospital, Central Java, Indonesia.</w:t>
      </w:r>
    </w:p>
    <w:p w14:paraId="4E0D9A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(7)Universitas Muhammadiyah Surakarta, Central Java, Indonesia.</w:t>
      </w:r>
    </w:p>
    <w:p w14:paraId="2A5055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(8)Universitas Indonesia, Jakarta, Indonesia.</w:t>
      </w:r>
    </w:p>
    <w:p w14:paraId="17E5F5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(9)Universitas Negeri Manado, Tondano, North Sulawesi, Indonesia.</w:t>
      </w:r>
    </w:p>
    <w:p w14:paraId="53CF13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(10)Politeknik Kesehatan Kemenkes Maluku, Ambon, Maluku, Indonesia.</w:t>
      </w:r>
    </w:p>
    <w:p w14:paraId="7FF19A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(11)Universitas Ahmad Dahlan, Yogyakarta, Indonesia.</w:t>
      </w:r>
    </w:p>
    <w:p w14:paraId="4AAC05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(12)Universitas Andalas, Padang, West Sumatra, Indonesia.</w:t>
      </w:r>
    </w:p>
    <w:p w14:paraId="72290B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(13)M. Djamil Central General Hospital, Padang, West Sumatra, Indonesia.</w:t>
      </w:r>
    </w:p>
    <w:p w14:paraId="5B19FD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(14)Universitas Airlangga, Surabaya, Indonesia.</w:t>
      </w:r>
    </w:p>
    <w:p w14:paraId="2664EF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(15)Universitas Sembilanbelas November Kolaka, Southeast Sulawesi, Indonesia.</w:t>
      </w:r>
    </w:p>
    <w:p w14:paraId="72C41E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(16)Universitas Kristen Indonesia, East Jakarta, Jakarta, Indonesia.</w:t>
      </w:r>
    </w:p>
    <w:p w14:paraId="4C7E05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(17)Universitas Trisakti, West Jakarta, Jakarta, Indonesia.</w:t>
      </w:r>
    </w:p>
    <w:p w14:paraId="568A5C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(18)Universitas Esa Unggul, Bekasi, West Java, Indonesia.</w:t>
      </w:r>
    </w:p>
    <w:p w14:paraId="018356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(19)Dr. Chasbullah Abdulmadjid Regional General Hospital, Bekasi, West Java, </w:t>
      </w:r>
    </w:p>
    <w:p w14:paraId="1BFF4A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Indonesia.</w:t>
      </w:r>
    </w:p>
    <w:p w14:paraId="189755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(20)University of Groningen, The Netherlands.</w:t>
      </w:r>
    </w:p>
    <w:p w14:paraId="3132B4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(21)University Medical Center Groningen, University of Groningen, Netherlands.</w:t>
      </w:r>
    </w:p>
    <w:p w14:paraId="4D962B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(22)Universitas Padjadjaran, Bandung, West Java, Indonesia.</w:t>
      </w:r>
    </w:p>
    <w:p w14:paraId="46EEF9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(23)Universitas Tompotika Luwuk, Central Sulawesi, Indonesia.</w:t>
      </w:r>
    </w:p>
    <w:p w14:paraId="150DCC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FC33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study explored how parents in Makassar, Indonesia, support childhood </w:t>
      </w:r>
    </w:p>
    <w:p w14:paraId="54CFA8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treatment adherence amid emotional, social, and sensory </w:t>
      </w:r>
    </w:p>
    <w:p w14:paraId="48BF96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challenges. Seventeen caregivers participated in the in-depth interviews. We </w:t>
      </w:r>
    </w:p>
    <w:p w14:paraId="4A8B69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conducted a conceptual framework-informed deductive thematic analysis, </w:t>
      </w:r>
    </w:p>
    <w:p w14:paraId="2EE27A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organizing the findings within seven a priori analytic domains: internal </w:t>
      </w:r>
    </w:p>
    <w:p w14:paraId="16D314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challenges, external challenges, internal coping strategies, external coping </w:t>
      </w:r>
    </w:p>
    <w:p w14:paraId="54D3E1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strategies, religious coping strategies, expectations of health services, and </w:t>
      </w:r>
    </w:p>
    <w:p w14:paraId="3794AF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parental expectations for children and the community. Parents described </w:t>
      </w:r>
    </w:p>
    <w:p w14:paraId="6AEC90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difficulties with medication schedules, fatigue, stigma, and inconsistent </w:t>
      </w:r>
    </w:p>
    <w:p w14:paraId="1C67A9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guidance from healthcare workers. To cope, they employed practical and </w:t>
      </w:r>
    </w:p>
    <w:p w14:paraId="6B9710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relational strategies: alarms, reframing medicines as "superheroes," offering </w:t>
      </w:r>
    </w:p>
    <w:p w14:paraId="797977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treats, and prayer. Practices such as mixing medicines with milk revealed </w:t>
      </w:r>
    </w:p>
    <w:p w14:paraId="65D9EA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counseling gaps and risks for suboptimal adherence. Parents called for clearer </w:t>
      </w:r>
    </w:p>
    <w:p w14:paraId="343657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communication and family-centered support, alongside hopes for recovery and </w:t>
      </w:r>
    </w:p>
    <w:p w14:paraId="695555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freedom from stigma. These findings show that childhood TB caregiving is </w:t>
      </w:r>
    </w:p>
    <w:p w14:paraId="5663DF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embodied and emotional, requiring culturally responsive and family-centered </w:t>
      </w:r>
    </w:p>
    <w:p w14:paraId="2BCEE2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approaches.</w:t>
      </w:r>
    </w:p>
    <w:p w14:paraId="068009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1C8CB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10.1177/13591053261475793</w:t>
      </w:r>
    </w:p>
    <w:p w14:paraId="67F217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42751943</w:t>
      </w:r>
    </w:p>
    <w:p w14:paraId="067245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26F48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2. Open Forum Infect Dis. 2026 Sep 16;13(9):ofag384. doi: 10.1093/ofid/ofag384. </w:t>
      </w:r>
    </w:p>
    <w:p w14:paraId="68F724F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1BE1BB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C23D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Management of Mycobacterium bovis Meningitis: The Case for Adjunctive Empirical </w:t>
      </w:r>
    </w:p>
    <w:p w14:paraId="72A8EE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Therapy.</w:t>
      </w:r>
    </w:p>
    <w:p w14:paraId="04F988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5176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Birabaharan M(1), Cowell AN(1).</w:t>
      </w:r>
    </w:p>
    <w:p w14:paraId="31B56E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A7DA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DAFA9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(1)Division of Infectious Diseases and Global Public Health, Department of </w:t>
      </w:r>
    </w:p>
    <w:p w14:paraId="4BAC34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University of California, San Diego, La Jolla, CA, USA.</w:t>
      </w:r>
    </w:p>
    <w:p w14:paraId="50088D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881F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Tuberculous meningitis is a devastating manifestation of tuberculosis, </w:t>
      </w:r>
    </w:p>
    <w:p w14:paraId="0EC206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disproportionately affecting children and persons with HIV. Despite decades of </w:t>
      </w:r>
    </w:p>
    <w:p w14:paraId="7095CB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experience, diagnosis is often delayed and outcomes remain poor. At the </w:t>
      </w:r>
    </w:p>
    <w:p w14:paraId="5520D0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US-Mexico border, management is further complicated by the high prevalence of </w:t>
      </w:r>
    </w:p>
    <w:p w14:paraId="274450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bovis, a member of the Mycobacterium tuberculosis complex </w:t>
      </w:r>
    </w:p>
    <w:p w14:paraId="099BC5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intrinsically resistant to pyrazinamide, one of the few first-line agents with </w:t>
      </w:r>
    </w:p>
    <w:p w14:paraId="77998C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reliable central nervous system penetration. We present a case of M. bovis </w:t>
      </w:r>
    </w:p>
    <w:p w14:paraId="727A60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meningitis in a patient residing near the US-Mexico border, highlighting the </w:t>
      </w:r>
    </w:p>
    <w:p w14:paraId="36403E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and therapeutic challenges posed by intrinsic pyrazinamide </w:t>
      </w:r>
    </w:p>
    <w:p w14:paraId="44CBE0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resistance. Drawing from this case, we review evidence supporting the early use </w:t>
      </w:r>
    </w:p>
    <w:p w14:paraId="481E96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adjunctive CNS-penetrative antimicrobials during suspected tuberculosis </w:t>
      </w:r>
    </w:p>
    <w:p w14:paraId="6C32AE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meningitis in regions where M. bovis is endemic.</w:t>
      </w:r>
    </w:p>
    <w:p w14:paraId="6DDB1F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3AD18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The Author(s) 2026. Published by Oxford University Press on behalf of </w:t>
      </w:r>
    </w:p>
    <w:p w14:paraId="7A15EA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Infectious Diseases Society of America.</w:t>
      </w:r>
    </w:p>
    <w:p w14:paraId="48E400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8C1F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10.1093/ofid/ofag384</w:t>
      </w:r>
    </w:p>
    <w:p w14:paraId="2F4B26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PMC13579467</w:t>
      </w:r>
    </w:p>
    <w:p w14:paraId="6422DB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42751297</w:t>
      </w:r>
    </w:p>
    <w:p w14:paraId="69DFA8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376EF6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3. Breathe (Sheff). 2026 Sep 15;22(3):260105. doi: 10.1183/20734735.0105-2026. </w:t>
      </w:r>
    </w:p>
    <w:p w14:paraId="23DE50E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Jul.</w:t>
      </w:r>
    </w:p>
    <w:p w14:paraId="4868DA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3E78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Eosinophilic pleural effusion in an individual in a high tuberculosis-burden </w:t>
      </w:r>
    </w:p>
    <w:p w14:paraId="26BD3F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country.</w:t>
      </w:r>
    </w:p>
    <w:p w14:paraId="51FDB9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37C8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Srinivasan AK(1), Kawedia A(1), Malhotra N(1), Mittal S(1), Mohan A(1), Madan </w:t>
      </w:r>
    </w:p>
    <w:p w14:paraId="7401D7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K(1), Hadda V(1), Tiwari P(1), Suri T(1), Shekh I(1).</w:t>
      </w:r>
    </w:p>
    <w:p w14:paraId="64A2B2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A7EB5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09F14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Pulmonary Medicine, Critical Care, and Sleep Medicine, All </w:t>
      </w:r>
    </w:p>
    <w:p w14:paraId="1B89C1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 Institute of Medical Sciences (AIIMS), New Delhi, India.</w:t>
      </w:r>
    </w:p>
    <w:p w14:paraId="3FBCEE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39D50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 interactive case report discussing a case of eosinophilic pleural effusion </w:t>
      </w:r>
    </w:p>
    <w:p w14:paraId="13D22E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https://bit.ly/4eTX8QP.</w:t>
      </w:r>
    </w:p>
    <w:p w14:paraId="7BEB83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2133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©ERS 2026.</w:t>
      </w:r>
    </w:p>
    <w:p w14:paraId="07FD2F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10F7A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10.1183/20734735.0105-2026</w:t>
      </w:r>
    </w:p>
    <w:p w14:paraId="1C932C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PMC13579340</w:t>
      </w:r>
    </w:p>
    <w:p w14:paraId="5562D2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42751167</w:t>
      </w:r>
    </w:p>
    <w:p w14:paraId="48469A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1A3CA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4. Breathe (Sheff). 2026 Sep 15;22(3):260060. doi: 10.1183/20734735.0060-2026. </w:t>
      </w:r>
    </w:p>
    <w:p w14:paraId="1479F4E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Jul.</w:t>
      </w:r>
    </w:p>
    <w:p w14:paraId="0B6A49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57AD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Mechanisms of Mycobacterium tuberculosis disease and the impact of co-infections </w:t>
      </w:r>
    </w:p>
    <w:p w14:paraId="741AD4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post-TB complications.</w:t>
      </w:r>
    </w:p>
    <w:p w14:paraId="0B38A0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E4C53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Phan TP(1), Dinh A(2), Dinh-Xuan AT(3).</w:t>
      </w:r>
    </w:p>
    <w:p w14:paraId="1E9A57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FC81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AAF0F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(1)Respiratory Pulmonary Department, Hué University Hospital, Hué, Vietnam.</w:t>
      </w:r>
    </w:p>
    <w:p w14:paraId="154E73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(2)Infectious Disease Department, R. Poincaré University Hospital, Garches, </w:t>
      </w:r>
    </w:p>
    <w:p w14:paraId="0BA026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Versailles Saint Quentin University, Paris, France.</w:t>
      </w:r>
    </w:p>
    <w:p w14:paraId="31828A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(3)Physiology Department, Cochin University Hospital, Paris Cité Université, </w:t>
      </w:r>
    </w:p>
    <w:p w14:paraId="1953BA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Paris, France.</w:t>
      </w:r>
    </w:p>
    <w:p w14:paraId="31D0E7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19958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(Mtb) remains a leading cause of global </w:t>
      </w:r>
    </w:p>
    <w:p w14:paraId="490FAB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morbidity and mortality. Viral, bacterial, fungal, and parasitic co-infections </w:t>
      </w:r>
    </w:p>
    <w:p w14:paraId="36DF9B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substantially modify tuberculosis (TB) pathogenesis, and an increasingly </w:t>
      </w:r>
    </w:p>
    <w:p w14:paraId="2BF5E7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recognised population of TB survivors develops post-TB lung disease (PTLD), </w:t>
      </w:r>
    </w:p>
    <w:p w14:paraId="4D09C8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which predisposes them to recurrent respiratory infections.</w:t>
      </w:r>
    </w:p>
    <w:p w14:paraId="419959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To summarise current evidence on 1) Mtb pathophysiology and </w:t>
      </w:r>
    </w:p>
    <w:p w14:paraId="4936C4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immunopathogenesis; 2) mechanisms by which major viral, bacterial, fungal, and </w:t>
      </w:r>
    </w:p>
    <w:p w14:paraId="55C098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parasitic co-infections alter TB progress; and 3) infectious complications </w:t>
      </w:r>
    </w:p>
    <w:p w14:paraId="5117B2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associated with PTLD.</w:t>
      </w:r>
    </w:p>
    <w:p w14:paraId="2A6001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CONTENT: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Mtb exploits innate immune evasion, altered macrophage activation, and </w:t>
      </w:r>
    </w:p>
    <w:p w14:paraId="4A9F17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granuloma remodelling in order to persist. Viral co-infections, particularly </w:t>
      </w:r>
    </w:p>
    <w:p w14:paraId="486E74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HIV, influenza, and severe acute respiratory syndrome coronavirus 2, impair </w:t>
      </w:r>
    </w:p>
    <w:p w14:paraId="0849FA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T-helper 1 immunity, disrupt cytokine signalling, increase bacterial load, and </w:t>
      </w:r>
    </w:p>
    <w:p w14:paraId="5F03E2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drive progression to severe or disseminated TB. Bacterial pathogens (e.g. </w:t>
      </w:r>
    </w:p>
    <w:p w14:paraId="42A23C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Streptococcus pneumoniae, Staphylococcus aureus, Klebsiella pneumoniae, </w:t>
      </w:r>
    </w:p>
    <w:p w14:paraId="556DF5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Pseudomonas aeruginosa) complicate diagnosis, increase severity, and contribute </w:t>
      </w:r>
    </w:p>
    <w:p w14:paraId="31E172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antimicrobial resistance. Fungal and parasitic infections skew immunity and </w:t>
      </w:r>
    </w:p>
    <w:p w14:paraId="01C77C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can delay diagnosis or reduce vaccine efficacy. PTLD results from sustained </w:t>
      </w:r>
    </w:p>
    <w:p w14:paraId="1A7372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inflammation, matrix metalloproteinase activation, fibrosis, bronchiectasis, and </w:t>
      </w:r>
    </w:p>
    <w:p w14:paraId="35CC76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cavitation; these structural changes favour chronic colonisation by </w:t>
      </w:r>
    </w:p>
    <w:p w14:paraId="719AD9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opportunistic bacteria and long-term functional impairment.</w:t>
      </w:r>
    </w:p>
    <w:p w14:paraId="37B172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TB pathogenesis is profoundly influenced by co-infections, and PTLD </w:t>
      </w:r>
    </w:p>
    <w:p w14:paraId="47CA0B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 an under-recognised driver of chronic respiratory morbidity. Integrated </w:t>
      </w:r>
    </w:p>
    <w:p w14:paraId="004ADE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diagnostics, coordinated management of multimorbidity, and tailored strategies </w:t>
      </w:r>
    </w:p>
    <w:p w14:paraId="1E9209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for PTLD are essential to reduce TB-related burden.</w:t>
      </w:r>
    </w:p>
    <w:p w14:paraId="6D6704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4785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©ERS 2026.</w:t>
      </w:r>
    </w:p>
    <w:p w14:paraId="33F71C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E40F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10.1183/20734735.0060-2026</w:t>
      </w:r>
    </w:p>
    <w:p w14:paraId="7DB86F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PMC13579343</w:t>
      </w:r>
    </w:p>
    <w:p w14:paraId="34C632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42750993</w:t>
      </w:r>
    </w:p>
    <w:p w14:paraId="0071B5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5A4B90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5. Public Health Chall. 2026 Sep 15;5(3):e70363. doi: 10.1002/puh2.70363. </w:t>
      </w:r>
    </w:p>
    <w:p w14:paraId="4D83D6F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6B7144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E8CF0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Can Multidrug-Resistant and Extensively Drug-Resistant Tuberculosis be Treated </w:t>
      </w:r>
    </w:p>
    <w:p w14:paraId="669B1B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More Successfully?</w:t>
      </w:r>
    </w:p>
    <w:p w14:paraId="303B03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1D61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Holloway-Kew KL(1), Henneberg M(2)(3).</w:t>
      </w:r>
    </w:p>
    <w:p w14:paraId="4238CC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9E15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B7B4F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(1)Deakin Institute for Mental and Physical Health and Clinical Translation </w:t>
      </w:r>
    </w:p>
    <w:p w14:paraId="51C0D1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(Deakin IMPACT) School of Medicine Deakin University and Barwon Health Geelong </w:t>
      </w:r>
    </w:p>
    <w:p w14:paraId="00CE61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Victoria Australia.</w:t>
      </w:r>
    </w:p>
    <w:p w14:paraId="439128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(2)School of Medicine Adelaide University Adelaide South Australia Australia.</w:t>
      </w:r>
    </w:p>
    <w:p w14:paraId="361AEE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(3)Institute of Evolutionary Medicine University of Zurich Zürich Switzerland.</w:t>
      </w:r>
    </w:p>
    <w:p w14:paraId="59B918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BD992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Signs and symptoms of tuberculosis (TB) are a result of a disturbed </w:t>
      </w:r>
    </w:p>
    <w:p w14:paraId="4C10E7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balance between Mycobacterium tuberculosis and the patient's tolerance to its </w:t>
      </w:r>
    </w:p>
    <w:p w14:paraId="393E88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pathogenic properties. Pharmacological treatments elicit the evolution of drug </w:t>
      </w:r>
    </w:p>
    <w:p w14:paraId="7F5665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resistance, and there is a need to consider alternative treatment methods. We </w:t>
      </w:r>
    </w:p>
    <w:p w14:paraId="0EB26A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performed a statistical analysis of World Health Organization (WHO) data, </w:t>
      </w:r>
    </w:p>
    <w:p w14:paraId="70C781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combined with an analysis of old medical records, aimed at suggesting a new </w:t>
      </w:r>
    </w:p>
    <w:p w14:paraId="330917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treatment.</w:t>
      </w:r>
    </w:p>
    <w:p w14:paraId="61D3E7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Data from the WHO for all countries worldwide (N = 215) on the </w:t>
      </w:r>
    </w:p>
    <w:p w14:paraId="499768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epidemiology of all TB cases, human immunodeficiency virus (HIV)-related TB, </w:t>
      </w:r>
    </w:p>
    <w:p w14:paraId="4ABB64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multidrug-resistant TB (MDR) and extensively drug-resistant TB (XDR) in </w:t>
      </w:r>
    </w:p>
    <w:p w14:paraId="46993C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2012-2022 contain prevalence, success rate of treatment, mortality and numbers </w:t>
      </w:r>
    </w:p>
    <w:p w14:paraId="2FBF85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failed treatments and patients lost-to-follow-up. Data on success rates in </w:t>
      </w:r>
    </w:p>
    <w:p w14:paraId="3F5A22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old 'sanatoria treatment', widespread before the 1940s, were used to predict </w:t>
      </w:r>
    </w:p>
    <w:p w14:paraId="4C3B9B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hypothetical success rates of drug-resistant cases if sanatoria treatment were </w:t>
      </w:r>
    </w:p>
    <w:p w14:paraId="029B9F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added to treatment regimes.</w:t>
      </w:r>
    </w:p>
    <w:p w14:paraId="20053E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After 2012, the number of MDR and XDR cases increased faster than the </w:t>
      </w:r>
    </w:p>
    <w:p w14:paraId="19F601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total number of TB cases, as did their proportions among the total. Success </w:t>
      </w:r>
    </w:p>
    <w:p w14:paraId="1150AA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rates of MDR (∼70%) and XDR (around 60%) treatments would hypothetically </w:t>
      </w:r>
    </w:p>
    <w:p w14:paraId="1E2A50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increase to around 90%, when supplemented by sanatoria treatment success.</w:t>
      </w:r>
    </w:p>
    <w:p w14:paraId="1A7D61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Adding treatments for increasing tolerance to TB infection to the </w:t>
      </w:r>
    </w:p>
    <w:p w14:paraId="4FF3BC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current pharmacological treatments may improve outcomes.</w:t>
      </w:r>
    </w:p>
    <w:p w14:paraId="5367AB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75111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 The Author(s). Public Health Challenges published by John Wiley &amp; Sons </w:t>
      </w:r>
    </w:p>
    <w:p w14:paraId="2CCDA8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Ltd.</w:t>
      </w:r>
    </w:p>
    <w:p w14:paraId="38A505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659C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10.1002/puh2.70363</w:t>
      </w:r>
    </w:p>
    <w:p w14:paraId="5FAFE6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PMC13577933</w:t>
      </w:r>
    </w:p>
    <w:p w14:paraId="0F7796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42750755</w:t>
      </w:r>
    </w:p>
    <w:p w14:paraId="582E5A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6E6E50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6. Public Health Chall. 2026 Sep 15;5(3):e70380. doi: 10.1002/puh2.70380. </w:t>
      </w:r>
    </w:p>
    <w:p w14:paraId="6126E9B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3B753D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7B56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Latent Tuberculosis and Associated Factors Among Adults Living With HIV in </w:t>
      </w:r>
    </w:p>
    <w:p w14:paraId="2817F6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Kinshasa, Democratic Republic of the Congo: A Cross-Sectional Study.</w:t>
      </w:r>
    </w:p>
    <w:p w14:paraId="1B9D7E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93198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Kadima JM(1)(2), Nkodila AN(3), Lutumba PT(4), M'buyamba JK(5), Mbala PK(1), </w:t>
      </w:r>
    </w:p>
    <w:p w14:paraId="3DB488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Muwonga JM(1), Muchanga MS(6), Mukadi-Bamuleka D(1)(7)(8), Kabedi MB(1), Matee </w:t>
      </w:r>
    </w:p>
    <w:p w14:paraId="051ABA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MI(2), Kayembe JMN(5).</w:t>
      </w:r>
    </w:p>
    <w:p w14:paraId="77D623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C129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C262F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Medical Biology University of Kinshasa Kinshasa Democratic </w:t>
      </w:r>
    </w:p>
    <w:p w14:paraId="7AE3A5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Republic of the Congo.</w:t>
      </w:r>
    </w:p>
    <w:p w14:paraId="37570A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(2)Immunology and Microbiology Department Institute of Traditional Medicine </w:t>
      </w:r>
    </w:p>
    <w:p w14:paraId="259680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Muhimbili University of Health and Allied Sciences Dar es Salaam United Republic </w:t>
      </w:r>
    </w:p>
    <w:p w14:paraId="18FCBC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Tanzania.</w:t>
      </w:r>
    </w:p>
    <w:p w14:paraId="2A0C60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Family Medicine and Primary Health Care Protestant University </w:t>
      </w:r>
    </w:p>
    <w:p w14:paraId="75BBB9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 Congo Kinshasa Democratic Republic of the Congo.</w:t>
      </w:r>
    </w:p>
    <w:p w14:paraId="6F422F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Tropical Medicine University of Kinshasa Kinshasa Democratic </w:t>
      </w:r>
    </w:p>
    <w:p w14:paraId="29254E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Republic of the Congo.</w:t>
      </w:r>
    </w:p>
    <w:p w14:paraId="05C9ED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Internal Medicine University of Kinshasa Kinshasa Democratic </w:t>
      </w:r>
    </w:p>
    <w:p w14:paraId="27E282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Republic of the Congo.</w:t>
      </w:r>
    </w:p>
    <w:p w14:paraId="41879A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International Trials Kokuritsu Kokusai Iryo Kenkyu Center Byoin </w:t>
      </w:r>
    </w:p>
    <w:p w14:paraId="514741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Kokyuki Naika Shinjuku City Tokyo Japan.</w:t>
      </w:r>
    </w:p>
    <w:p w14:paraId="306F72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(7)Institut National de Recherche Biomédicale, INRB Kinshasa Democratic Republic </w:t>
      </w:r>
    </w:p>
    <w:p w14:paraId="07041A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the Congo.</w:t>
      </w:r>
    </w:p>
    <w:p w14:paraId="1A3CFB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(8)Rodolphe Mérieux INRB-Goma Laboratory Goma Democratic Republic of the Congo.</w:t>
      </w:r>
    </w:p>
    <w:p w14:paraId="62BF3D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ECD9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Latent tuberculosis infection (LTBI) is more frequent among people </w:t>
      </w:r>
    </w:p>
    <w:p w14:paraId="78C2D2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living with human immunodeficiency virus (HIV) (PLHIV), in whom </w:t>
      </w:r>
    </w:p>
    <w:p w14:paraId="7BD79D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immunosuppression favors reactivation. However, data from sub-Saharan Africa </w:t>
      </w:r>
    </w:p>
    <w:p w14:paraId="4B0A92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remain limited. This study aimed to determine the prevalence of LTBI and </w:t>
      </w:r>
    </w:p>
    <w:p w14:paraId="1A18D6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identify its associated factors among adults living with HIV in Kinshasa.</w:t>
      </w:r>
    </w:p>
    <w:p w14:paraId="60262C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 analytical cross-sectional study was conducted between May 2022 and </w:t>
      </w:r>
    </w:p>
    <w:p w14:paraId="793B2C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October 2025 in nine HIV care centers in Kinshasa. Adult HIV-positive patients </w:t>
      </w:r>
    </w:p>
    <w:p w14:paraId="79B694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consecutively recruited. LTBI was screened using the tuberculin skin test </w:t>
      </w:r>
    </w:p>
    <w:p w14:paraId="08D568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(TST) and/or interferon-gamma release assays (IGRAs). Socio-demographic, </w:t>
      </w:r>
    </w:p>
    <w:p w14:paraId="3D1912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clinical, and immunological data, including CD4 cell counts, were collected. </w:t>
      </w:r>
    </w:p>
    <w:p w14:paraId="0597AE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factors were identified using multivariate logistic regression at a </w:t>
      </w:r>
    </w:p>
    <w:p w14:paraId="1B0587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significance level of p &lt; 0.05.</w:t>
      </w:r>
    </w:p>
    <w:p w14:paraId="15E431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248 participants, 74.7% were women. The mean age was 45.5 ± 10.7 </w:t>
      </w:r>
    </w:p>
    <w:p w14:paraId="21EC85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years, and the median CD4 count was 321 cells/µL (IQR: 281-390). Overall, 25.8% </w:t>
      </w:r>
    </w:p>
    <w:p w14:paraId="269432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IGRA-positive and 30.6% TST-positive, with 38.3% indeterminate IGRA </w:t>
      </w:r>
    </w:p>
    <w:p w14:paraId="5299A4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results. The main factors associated with LTBI were CD4 count &lt;200 cells/µL </w:t>
      </w:r>
    </w:p>
    <w:p w14:paraId="13FA5B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(IGRA: adjusted odds ratio [aOR] = 3.34; TST: aOR = 3.64), history of positive </w:t>
      </w:r>
    </w:p>
    <w:p w14:paraId="584D3D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TST (IGRA: aOR = 2.50; TST: aOR = 2.78), and contact with an active TB case </w:t>
      </w:r>
    </w:p>
    <w:p w14:paraId="092FA2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(IGRA: aOR = 2.94).</w:t>
      </w:r>
    </w:p>
    <w:p w14:paraId="750253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prevalence of LTBI among adults living with HIV in Kinshasa is </w:t>
      </w:r>
    </w:p>
    <w:p w14:paraId="66C1E9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high. Severe immunosuppression, prior exposure, and contact with active TB cases </w:t>
      </w:r>
    </w:p>
    <w:p w14:paraId="1EDAC8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are key determinants. These findings highlight the importance of screening and </w:t>
      </w:r>
    </w:p>
    <w:p w14:paraId="42055C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preventive therapy to reduce progression to active tuberculosis.</w:t>
      </w:r>
    </w:p>
    <w:p w14:paraId="063B2A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D18FA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 The Author(s). Public Health Challenges published by John Wiley &amp; Sons </w:t>
      </w:r>
    </w:p>
    <w:p w14:paraId="578F1A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Ltd.</w:t>
      </w:r>
    </w:p>
    <w:p w14:paraId="419151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5BF27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10.1002/puh2.70380</w:t>
      </w:r>
    </w:p>
    <w:p w14:paraId="098E88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PMC13577827</w:t>
      </w:r>
    </w:p>
    <w:p w14:paraId="704908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42750738</w:t>
      </w:r>
    </w:p>
    <w:p w14:paraId="35464D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547826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7. J Dtsch Dermatol Ges. 2026 Sep 16. doi: 10.1111/ddg.70610. Online ahead of </w:t>
      </w:r>
    </w:p>
    <w:p w14:paraId="17C4867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print.</w:t>
      </w:r>
    </w:p>
    <w:p w14:paraId="314EC0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FBD2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Management of severe psoriasis in a renal transplant recipient with latent </w:t>
      </w:r>
    </w:p>
    <w:p w14:paraId="450165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using risankizumab.</w:t>
      </w:r>
    </w:p>
    <w:p w14:paraId="1327F2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4AEBB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Goundry ALR(1), Yaqoob M(2), Shah A(1), Cunningham M(1), Bewley A(1), Gkini </w:t>
      </w:r>
    </w:p>
    <w:p w14:paraId="71CE49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MA(1).</w:t>
      </w:r>
    </w:p>
    <w:p w14:paraId="0FFCDA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E5E1B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3A5BB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(1)Dermatology Department, Royal London Hospital, Barts Health NHS Trust, </w:t>
      </w:r>
    </w:p>
    <w:p w14:paraId="764671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London, UK.</w:t>
      </w:r>
    </w:p>
    <w:p w14:paraId="574E43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(2)Nephrology Department, Royal London Hospital, Barts Health NHS Trust, London, </w:t>
      </w:r>
    </w:p>
    <w:p w14:paraId="2A33D9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UK.</w:t>
      </w:r>
    </w:p>
    <w:p w14:paraId="0BDFEF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CDB6D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10.1111/ddg.70610</w:t>
      </w:r>
    </w:p>
    <w:p w14:paraId="472657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42750393</w:t>
      </w:r>
    </w:p>
    <w:p w14:paraId="784A47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ED79B6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8. Curr Opin Pulm Med. 2026 Sep 17. doi: 10.1097/MCP.0000000000001317. Online ahead of print.</w:t>
      </w:r>
    </w:p>
    <w:p w14:paraId="290B84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EDD8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State of the art: practical evaluation and management of tuberculous pleural </w:t>
      </w:r>
    </w:p>
    <w:p w14:paraId="00172A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effusion.</w:t>
      </w:r>
    </w:p>
    <w:p w14:paraId="16F1E6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7BAE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Chan KKP(1)(2)(3), Chan C(1)(2), Lee P(4).</w:t>
      </w:r>
    </w:p>
    <w:p w14:paraId="76E231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E312E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3CBF7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Medicine &amp; Therapeutics, Faculty of Medicine, Chinese </w:t>
      </w:r>
    </w:p>
    <w:p w14:paraId="7F2E96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Hong Kong.</w:t>
      </w:r>
    </w:p>
    <w:p w14:paraId="39D7D1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(2)Department of Medicine &amp; Therapeutics, Prince of Wales Hospital.</w:t>
      </w:r>
    </w:p>
    <w:p w14:paraId="1A4F74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(3)Li Ka Shing Institute of Health Sciences, Faculty of Medicine, Chinese </w:t>
      </w:r>
    </w:p>
    <w:p w14:paraId="07D3FA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Hong Kong, Hong Kong.</w:t>
      </w:r>
    </w:p>
    <w:p w14:paraId="3629FF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(4)Department of Medicine, National University of Singapore, Singapore.</w:t>
      </w:r>
    </w:p>
    <w:p w14:paraId="1597BD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6357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PURPOSE OF REVIEW: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Tuberculous pleuritis (TBP) is one of the most common causes </w:t>
      </w:r>
    </w:p>
    <w:p w14:paraId="44D214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new-onset pleural effusion, particularly in tuberculosis-endemic regions. </w:t>
      </w:r>
    </w:p>
    <w:p w14:paraId="05C4A2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review discusses recent advances in the diagnosis and practical management </w:t>
      </w:r>
    </w:p>
    <w:p w14:paraId="454A0E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TBP, with an emphasis on integrating biomarkers, molecular tests, imaging and </w:t>
      </w:r>
    </w:p>
    <w:p w14:paraId="5324D9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pleural tissue sampling into context-specific workflows.</w:t>
      </w:r>
    </w:p>
    <w:p w14:paraId="0297B0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RECENT FINDINGS: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clinical and radiological features of TBP are highly </w:t>
      </w:r>
    </w:p>
    <w:p w14:paraId="647ADB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heterogeneous. Certain imaging patterns can help distinguish TBP from other </w:t>
      </w:r>
    </w:p>
    <w:p w14:paraId="6039BE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benign or malignant effusions, but they are not fully diagnostic. The diagnostic </w:t>
      </w:r>
    </w:p>
    <w:p w14:paraId="32A366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accuracy of conventional pleural fluid microbiology is limited by the </w:t>
      </w:r>
    </w:p>
    <w:p w14:paraId="4DDAF5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paucibacillary nature of TBP, prompting greater use of pleural biopsy and </w:t>
      </w:r>
    </w:p>
    <w:p w14:paraId="7BED4C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medical thoracoscopy, which improve microbiological and histological yield. </w:t>
      </w:r>
    </w:p>
    <w:p w14:paraId="173B99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Advanced nucleic acid amplification tests (NAATs), including Xpert MTB/RIF Ultra </w:t>
      </w:r>
    </w:p>
    <w:p w14:paraId="25F077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emerging sequencing-based assays, have progressively increased sensitivity </w:t>
      </w:r>
    </w:p>
    <w:p w14:paraId="0B8050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 pleural fluid, but wider clinical adoption is constrained by incomplete </w:t>
      </w:r>
    </w:p>
    <w:p w14:paraId="5E3136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external validation, cost and limited availability. Adenosine deaminase remains </w:t>
      </w:r>
    </w:p>
    <w:p w14:paraId="16BF66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most commonly used pleural fluid biomarker. However, its optimal diagnostic </w:t>
      </w:r>
    </w:p>
    <w:p w14:paraId="2F6D15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thresholds are highly context-specific and may shift with changing tuberculosis </w:t>
      </w:r>
    </w:p>
    <w:p w14:paraId="1974D9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incidence and age distribution. Practical diagnostic workflows now favour </w:t>
      </w:r>
    </w:p>
    <w:p w14:paraId="0D79A7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flexible use of biomarkers, imaging and pleural tissue sampling to maximize </w:t>
      </w:r>
    </w:p>
    <w:p w14:paraId="7F08EE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confirmation of TB involvement, while recognizing that patients with probable </w:t>
      </w:r>
    </w:p>
    <w:p w14:paraId="467B47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TBP treated empirically require close follow-up to document treatment response </w:t>
      </w:r>
    </w:p>
    <w:p w14:paraId="46D121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exclude alternative diseases. Management remains centred on standard </w:t>
      </w:r>
    </w:p>
    <w:p w14:paraId="01A9B2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anti-tuberculosis regimens, with drainage and other interventions reserved for </w:t>
      </w:r>
    </w:p>
    <w:p w14:paraId="40E858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symptom relief or loculated disease and routine corticosteroid use is not </w:t>
      </w:r>
    </w:p>
    <w:p w14:paraId="3AE644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supported by high-quality evidence.</w:t>
      </w:r>
    </w:p>
    <w:p w14:paraId="4B3462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SUMMARY: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Despite advances in pleural fluid biomarkers, molecular diagnostics and </w:t>
      </w:r>
    </w:p>
    <w:p w14:paraId="0D932A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pleural procedures, TBP remains challenging to diagnose reliably. Clinicians </w:t>
      </w:r>
    </w:p>
    <w:p w14:paraId="5DE009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should maintain a high index of suspicion for TBP in undiagnosed exudative </w:t>
      </w:r>
    </w:p>
    <w:p w14:paraId="23AAC3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effusions, especially in endemic regions and adopt locally adapted workflows </w:t>
      </w:r>
    </w:p>
    <w:p w14:paraId="0F6F4F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combine clinical assessment, biomarkers, NAATs and early pleural tissue </w:t>
      </w:r>
    </w:p>
    <w:p w14:paraId="5D6FE0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sampling when needed.</w:t>
      </w:r>
    </w:p>
    <w:p w14:paraId="61F60D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D012B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The Author(s). Published by Wolters Kluwer Health, LLC.</w:t>
      </w:r>
    </w:p>
    <w:p w14:paraId="0AEF50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A9BA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10.1097/MCP.0000000000001317</w:t>
      </w:r>
    </w:p>
    <w:p w14:paraId="1629EC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42750391</w:t>
      </w:r>
    </w:p>
    <w:p w14:paraId="537064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13E684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9. Intern Med. 2026 Sep 15. doi: 10.2169/internalmedicine.8130-26. Online ahead of print.</w:t>
      </w:r>
    </w:p>
    <w:p w14:paraId="2D4579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28EDE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Chest Wall Tuberculosis Followed by Tuberculous Pleuritis.</w:t>
      </w:r>
    </w:p>
    <w:p w14:paraId="692C28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4050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Kaki T(1)(2)(3), Nishikawa S(4), Kobayashi T(3), Ogawa T(1)(2)(3).</w:t>
      </w:r>
    </w:p>
    <w:p w14:paraId="5190ED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8617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1D3E4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(1)Infection Control Center, Osaka Medical and Pharmaceutical University </w:t>
      </w:r>
    </w:p>
    <w:p w14:paraId="6A8B0C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Japan.</w:t>
      </w:r>
    </w:p>
    <w:p w14:paraId="67111E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Microbiology and Infection Control, Faculty of Medicine, Osaka </w:t>
      </w:r>
    </w:p>
    <w:p w14:paraId="64A1D9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Medical and Pharmaceutical University, Japan.</w:t>
      </w:r>
    </w:p>
    <w:p w14:paraId="0E6DCB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General Medicine, Osaka Medical and Pharmaceutical University </w:t>
      </w:r>
    </w:p>
    <w:p w14:paraId="301801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Japan.</w:t>
      </w:r>
    </w:p>
    <w:p w14:paraId="330522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Orthopaedic Surgery, Osaka Medical and Pharmaceutical </w:t>
      </w:r>
    </w:p>
    <w:p w14:paraId="59E181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Japan.</w:t>
      </w:r>
    </w:p>
    <w:p w14:paraId="415A6B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B180D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10.2169/internalmedicine.8130-26</w:t>
      </w:r>
    </w:p>
    <w:p w14:paraId="28061B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42749654</w:t>
      </w:r>
    </w:p>
    <w:p w14:paraId="153058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A3072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0. Trop Med Int Health. 2026 Sep 16. doi: 10.1111/tmi.70228. Online ahead of print.</w:t>
      </w:r>
    </w:p>
    <w:p w14:paraId="4E74A2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7F501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Patterns of Drug Resistance, Drug Resistance Conferring Mutations and Genomic </w:t>
      </w:r>
    </w:p>
    <w:p w14:paraId="6AED22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DNA Methylation Revealed in Mycobacterium tuberculosis From South Africa.</w:t>
      </w:r>
    </w:p>
    <w:p w14:paraId="64F74E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24949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Matodzi U(1)(2), Mutshembele A(2), Mensah E(3), Muzondiwa D(1)(4)(5), Makhado </w:t>
      </w:r>
    </w:p>
    <w:p w14:paraId="6CDBA8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NA(3)(6)(7), Reva ON(1).</w:t>
      </w:r>
    </w:p>
    <w:p w14:paraId="18D095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F3C58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5CE50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Biochemistry, Genetics and Microbiology, Centre for </w:t>
      </w:r>
    </w:p>
    <w:p w14:paraId="5DEB28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Bioinformatics and Computational Biology, University of Pretoria, Pretoria, </w:t>
      </w:r>
    </w:p>
    <w:p w14:paraId="742463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 Africa.</w:t>
      </w:r>
    </w:p>
    <w:p w14:paraId="34D13E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(2)South African Medical Research Council-Office of AIDS and TB, Pretoria, South </w:t>
      </w:r>
    </w:p>
    <w:p w14:paraId="3B53BF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758CAB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Microbiological Pathology, Tuberculosis Research Unit, Sefako </w:t>
      </w:r>
    </w:p>
    <w:p w14:paraId="586D9F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Makgatho Health Sciences University, Pretoria, South Africa.</w:t>
      </w:r>
    </w:p>
    <w:p w14:paraId="6192F3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Microbiology, Faculty of Science, Stellenbosch University, </w:t>
      </w:r>
    </w:p>
    <w:p w14:paraId="5BD4C7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Stellenbosch, South Africa.</w:t>
      </w:r>
    </w:p>
    <w:p w14:paraId="33E867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(5)The School for Data Science and Computational Thinking, Stellenbosch </w:t>
      </w:r>
    </w:p>
    <w:p w14:paraId="1F585D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Stellenbosch, South Africa.</w:t>
      </w:r>
    </w:p>
    <w:p w14:paraId="2FEE5B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(6)Basic and Translational Sciences, Africa Health Research Institute, Durban, </w:t>
      </w:r>
    </w:p>
    <w:p w14:paraId="3495D9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 Africa.</w:t>
      </w:r>
    </w:p>
    <w:p w14:paraId="1B81D1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Medical Microbiology, National Health Laboratory Service, Dr </w:t>
      </w:r>
    </w:p>
    <w:p w14:paraId="7C8BF2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George Mukhari Tertiary Laboratory, Pretoria, South Africa.</w:t>
      </w:r>
    </w:p>
    <w:p w14:paraId="647E12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A6636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remains a major public health threat globally, with drug-resistant </w:t>
      </w:r>
    </w:p>
    <w:p w14:paraId="0DA4CE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strains undermining treatment efficacy. We analyzed 126 Mycobacterium </w:t>
      </w:r>
    </w:p>
    <w:p w14:paraId="5D94BA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(M. tuberculosis) isolates with diverse drug resistance spectra and </w:t>
      </w:r>
    </w:p>
    <w:p w14:paraId="41CF59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selected 35 for whole genome sequencing (WGS) using Illumina NextSeq, SMRT </w:t>
      </w:r>
    </w:p>
    <w:p w14:paraId="73BCF1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PacBio Onso and SMRT PacBio Revio sequencing platforms. The study aimed to </w:t>
      </w:r>
    </w:p>
    <w:p w14:paraId="37DEFE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characterize drug resistance profiles, compare short- and long-read sequencing </w:t>
      </w:r>
    </w:p>
    <w:p w14:paraId="5D193C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performance, identify lineages among South African isolates, detect known drug </w:t>
      </w:r>
    </w:p>
    <w:p w14:paraId="5F0C03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resistance mutations and their lineage-specific patterns, and utilize long-read </w:t>
      </w:r>
    </w:p>
    <w:p w14:paraId="0BFF5D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SMRT platforms for epigenetic profiling. Multiple drug resistance mutations were </w:t>
      </w:r>
    </w:p>
    <w:p w14:paraId="46CC3E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identified, some lineage-specific, and notably, East-African-Indian (EAI) </w:t>
      </w:r>
    </w:p>
    <w:p w14:paraId="7D763C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Lineage 1 isolates often considered less pathogenic, showed significant </w:t>
      </w:r>
    </w:p>
    <w:p w14:paraId="747B81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potential for multidrug-resistance development, including higher fluoroquinolone </w:t>
      </w:r>
    </w:p>
    <w:p w14:paraId="3AD419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resistance as compared to other lineages. Three DNA motifs with methylated </w:t>
      </w:r>
    </w:p>
    <w:p w14:paraId="7A2E16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adenines, namely CACGCaG, CtCCaG and GaTNNNNRtAC, were detected, with </w:t>
      </w:r>
    </w:p>
    <w:p w14:paraId="1F2F0C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methylation patterns varying by lineage and strain due to mutations in the </w:t>
      </w:r>
    </w:p>
    <w:p w14:paraId="6AB2F3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corresponding methyltransferases (MTases). A particularly notable finding was </w:t>
      </w:r>
    </w:p>
    <w:p w14:paraId="004BCE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stable maintenance of a genetic heterogeneity in the mamB MTase, performing </w:t>
      </w:r>
    </w:p>
    <w:p w14:paraId="6091F6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methylation at CACGCaG motifs. These results highlight the combined role of </w:t>
      </w:r>
    </w:p>
    <w:p w14:paraId="2CED20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genetic and epigenetic variation in M. tuberculosis adaptive evolution and </w:t>
      </w:r>
    </w:p>
    <w:p w14:paraId="59A190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underscore the value of integrating long-read sequencing into TB surveillance </w:t>
      </w:r>
    </w:p>
    <w:p w14:paraId="512E23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research.</w:t>
      </w:r>
    </w:p>
    <w:p w14:paraId="7AAE33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188CD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 The Author(s). Tropical Medicine &amp; International Health published by John </w:t>
      </w:r>
    </w:p>
    <w:p w14:paraId="67ACCB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Wiley &amp; Sons Ltd.</w:t>
      </w:r>
    </w:p>
    <w:p w14:paraId="0AAA2A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1F0F0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10.1111/tmi.70228</w:t>
      </w:r>
    </w:p>
    <w:p w14:paraId="744C3C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42749317</w:t>
      </w:r>
    </w:p>
    <w:p w14:paraId="60FE39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C436C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Infect Dis. 2026 Sep 16:109122. doi: 10.1016/j.ijid.2026.109122. Online </w:t>
      </w:r>
    </w:p>
    <w:p w14:paraId="0F08EE3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1F3149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7BAD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Tuberculosis-associated immune reconstitution inflammatory syndrome in patients </w:t>
      </w:r>
    </w:p>
    <w:p w14:paraId="619D94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living with HIV-1: a 15- years retrospective cohort study.</w:t>
      </w:r>
    </w:p>
    <w:p w14:paraId="6768E7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012D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Zaghdoudi A(1), Zayet S(2), Boutiba I(3), Ammari L(4), Aissa HTB(4).</w:t>
      </w:r>
    </w:p>
    <w:p w14:paraId="3EAAA7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4C98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B7613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(1)Infectious diseases department, University Hospital Clermont-Ferrand, France. </w:t>
      </w:r>
    </w:p>
    <w:p w14:paraId="56C75E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Electronic address: zaghdoudi.aida2@gmail.com.</w:t>
      </w:r>
    </w:p>
    <w:p w14:paraId="42EC5C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(2)Robert Schumann hospitals, Luxembourg.</w:t>
      </w:r>
    </w:p>
    <w:p w14:paraId="298CE2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(3)Charles Nicolle Hospital, Tunis, Tunisia.</w:t>
      </w:r>
    </w:p>
    <w:p w14:paraId="6D591A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(4)Infectious diseases department, University Hospital La Rabta, Tunis, Tunisia.</w:t>
      </w:r>
    </w:p>
    <w:p w14:paraId="70E315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F8E4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initiation of antiretroviral therapy (ART) in people co-infected </w:t>
      </w:r>
    </w:p>
    <w:p w14:paraId="6020FF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HIV and tuberculosis (TB) may trigger tuberculosis-associated immune </w:t>
      </w:r>
    </w:p>
    <w:p w14:paraId="092D56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reconstitution inflammatory syndrome (TB-IRIS), a condition associated with a </w:t>
      </w:r>
    </w:p>
    <w:p w14:paraId="2C007E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 morbidity and mortality METHODS: We conducted a retrospective study </w:t>
      </w:r>
    </w:p>
    <w:p w14:paraId="427642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patients co-infected with HIV and TB over 15 years, with the aim to describe </w:t>
      </w:r>
    </w:p>
    <w:p w14:paraId="27EBB9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clinical characteristics of patients who developed TB-IRIS and to identify </w:t>
      </w:r>
    </w:p>
    <w:p w14:paraId="149F6D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factors predictive of its occurrence.</w:t>
      </w:r>
    </w:p>
    <w:p w14:paraId="571895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Overall, 28 of the 123 patients (22.8%) developed TB-IRIS, including 18 </w:t>
      </w:r>
    </w:p>
    <w:p w14:paraId="6035DE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cases of paradoxical TB-IRIS among 89 patients at risk (20.2%) and 10 cases of </w:t>
      </w:r>
    </w:p>
    <w:p w14:paraId="2FF0A9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unmasking TB-IRIS among 34 patients at risk (29.4%). The most frequent TB sites </w:t>
      </w:r>
    </w:p>
    <w:p w14:paraId="35CB4D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lymph nodes (n=17, 61%), the central nervous system (CNS) (n=5, 18%) and </w:t>
      </w:r>
    </w:p>
    <w:p w14:paraId="129DB1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lungs (n=5, 18%). Corticosteroids were administered to 9 patients (32%). Eight </w:t>
      </w:r>
    </w:p>
    <w:p w14:paraId="67F5DE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deaths (29%) occurred in patients with TB-IRIS. In univariate analysis, factors </w:t>
      </w:r>
    </w:p>
    <w:p w14:paraId="1F3650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paradoxical TB-IRIS included CNS TB (p=0.032), higher white </w:t>
      </w:r>
    </w:p>
    <w:p w14:paraId="5DC391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blood cell count (p=0.045), and negative Toxoplasma serology (p=0.032). Among </w:t>
      </w:r>
    </w:p>
    <w:p w14:paraId="252D51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at risk of unmasking TB-IRIS, factors associated with the occurrence of </w:t>
      </w:r>
    </w:p>
    <w:p w14:paraId="484FB6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unmasking TB-IRIS included the absence of TB chemoprophylaxis (p=0.017), female </w:t>
      </w:r>
    </w:p>
    <w:p w14:paraId="79999D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sex (p=0.048), and hematopoietic-organ involvement of TB (p=0.020).</w:t>
      </w:r>
    </w:p>
    <w:p w14:paraId="77B684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TB-IRIS is a severe complication in people living with HIV and is </w:t>
      </w:r>
    </w:p>
    <w:p w14:paraId="22E6EF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becoming increasingly frequent. Early identification of risk factors is </w:t>
      </w:r>
    </w:p>
    <w:p w14:paraId="4D4120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essential to prevent its occurrence and to reduce associated mortality.</w:t>
      </w:r>
    </w:p>
    <w:p w14:paraId="488E72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12AA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2026. Published by Elsevier Ltd.</w:t>
      </w:r>
    </w:p>
    <w:p w14:paraId="130C89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D6D77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10.1016/j.ijid.2026.109122</w:t>
      </w:r>
    </w:p>
    <w:p w14:paraId="6704C6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42749252</w:t>
      </w:r>
    </w:p>
    <w:p w14:paraId="5B8A06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AD081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Bioorg Med Chem Lett. 2026 Sep 16;142:130781. doi: 10.1016/j.bmcl.2026.130781. </w:t>
      </w:r>
    </w:p>
    <w:p w14:paraId="5529706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69C55D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3936F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Quinolin(on)es and pyridin(on)es as promising scaffolds against mycobacterial </w:t>
      </w:r>
    </w:p>
    <w:p w14:paraId="3F024C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infections.</w:t>
      </w:r>
    </w:p>
    <w:p w14:paraId="00316A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C8FE4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Gréverie M(1), Dassonville-Klimpt A(2), Choquet M(3), Andréjak C(4), Sonnet </w:t>
      </w:r>
    </w:p>
    <w:p w14:paraId="6469A4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P(5).</w:t>
      </w:r>
    </w:p>
    <w:p w14:paraId="2CB2EA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59075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AA1EF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(1)Agents Infectieux, Résistance et Chimiothérapie (AGIR), UR4294, Université de </w:t>
      </w:r>
    </w:p>
    <w:p w14:paraId="22705D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Picardie Jules Verne, Chemin du Thil, 80 000 Amiens, France.</w:t>
      </w:r>
    </w:p>
    <w:p w14:paraId="41BA3C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(2)Agents Infectieux, Résistance et Chimiothérapie (AGIR), UR4294, Université de </w:t>
      </w:r>
    </w:p>
    <w:p w14:paraId="535800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Picardie Jules Verne, Chemin du Thil, 80 000 Amiens, France. Electronic address: </w:t>
      </w:r>
    </w:p>
    <w:p w14:paraId="049EC8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alexandra.dassonville@u-picardie.fr.</w:t>
      </w:r>
    </w:p>
    <w:p w14:paraId="77187D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(3)Agents Infectieux, Résistance et Chimiothérapie (AGIR), UR4294, Université de </w:t>
      </w:r>
    </w:p>
    <w:p w14:paraId="1FE5E0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Picardie Jules Verne, Chemin du Thil, 80 000 Amiens, France; Laboratoire de </w:t>
      </w:r>
    </w:p>
    <w:p w14:paraId="5144E0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Bactériologie, Centre Hospitalier Universitaire Amiens-Picardie, Rond-Point </w:t>
      </w:r>
    </w:p>
    <w:p w14:paraId="19F724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Christian Cabrol, 80025 Amiens, France.</w:t>
      </w:r>
    </w:p>
    <w:p w14:paraId="7EE424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(4)Agents Infectieux, Résistance et Chimiothérapie (AGIR), UR4294, Université de </w:t>
      </w:r>
    </w:p>
    <w:p w14:paraId="068630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Picardie Jules Verne, Chemin du Thil, 80 000 Amiens, France; Service de </w:t>
      </w:r>
    </w:p>
    <w:p w14:paraId="581E00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Pneumologie, Centre Hospitalier Universitaire Amiens-Picardie, Rond-Point </w:t>
      </w:r>
    </w:p>
    <w:p w14:paraId="78657C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Christian Cabrol, 80025 Amiens, France.</w:t>
      </w:r>
    </w:p>
    <w:p w14:paraId="178BE2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(5)Agents Infectieux, Résistance et Chimiothérapie (AGIR), UR4294, Université de </w:t>
      </w:r>
    </w:p>
    <w:p w14:paraId="7B1C09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Picardie Jules Verne, Chemin du Thil, 80 000 Amiens, France. Electronic address: </w:t>
      </w:r>
    </w:p>
    <w:p w14:paraId="209DB8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pascal.sonnet@u-picardie.fr.</w:t>
      </w:r>
    </w:p>
    <w:p w14:paraId="09123E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95390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Mycobacterial infections pose a significant global health challenge. In 2024, </w:t>
      </w:r>
    </w:p>
    <w:p w14:paraId="1A32B2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1.23 million deaths were associated with M. tuberculosis (M.tb). In recent </w:t>
      </w:r>
    </w:p>
    <w:p w14:paraId="79D5F1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years, the number of recorded cases of non-tuberculous mycobacterial infections </w:t>
      </w:r>
    </w:p>
    <w:p w14:paraId="4B4483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has risen, particularly among elderly patients or people with underlying </w:t>
      </w:r>
    </w:p>
    <w:p w14:paraId="4C5946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diseases. Due to the emergence of antibioresistance, the discovery of </w:t>
      </w:r>
    </w:p>
    <w:p w14:paraId="73D82B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new drugs which target essential enzymes in mycobacteria is required to move </w:t>
      </w:r>
    </w:p>
    <w:p w14:paraId="035273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towards new therapeutic options for future years. Some current clinical drugs </w:t>
      </w:r>
    </w:p>
    <w:p w14:paraId="32A72F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contain promising scaffolds, which serve as a basis for other researches in </w:t>
      </w:r>
    </w:p>
    <w:p w14:paraId="554F9A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medicinal chemistry. The increasing interest of quinoline, quinolone, pyridine </w:t>
      </w:r>
    </w:p>
    <w:p w14:paraId="5C1195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pyridone cores is driven by their promising biological effects, initially as </w:t>
      </w:r>
    </w:p>
    <w:p w14:paraId="38B574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antibacterial agents, and more specifically, as antimycobacterial agents. The </w:t>
      </w:r>
    </w:p>
    <w:p w14:paraId="4AB612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 discovery strategy focuses on three main biological targets: the mycolic </w:t>
      </w:r>
    </w:p>
    <w:p w14:paraId="1DE266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acids biosynthesis, the mycobacterial energy metabolism and DNA metabolism. </w:t>
      </w:r>
    </w:p>
    <w:p w14:paraId="2D8DE7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Hence, this review aims to highlight the development of novel antimycobacterial </w:t>
      </w:r>
    </w:p>
    <w:p w14:paraId="0945FB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agents, based on these four promising scaffolds by presenting the design </w:t>
      </w:r>
    </w:p>
    <w:p w14:paraId="0DFAB8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strategy and biological results of recent studies.</w:t>
      </w:r>
    </w:p>
    <w:p w14:paraId="0FE78D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57BB5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The Authors. Published by Elsevier Ltd.. All rights reserved.</w:t>
      </w:r>
    </w:p>
    <w:p w14:paraId="5CDFC2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73A42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10.1016/j.bmcl.2026.130781</w:t>
      </w:r>
    </w:p>
    <w:p w14:paraId="577D66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42749221</w:t>
      </w:r>
    </w:p>
    <w:p w14:paraId="75D44E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C9FCDD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Lancet Infect Dis. 2026 Sep 16:S1473-3099(26)00484-6. doi: </w:t>
      </w:r>
    </w:p>
    <w:p w14:paraId="31B6716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10.1016/S1473-3099(26)00484-6. Online ahead of print.</w:t>
      </w:r>
    </w:p>
    <w:p w14:paraId="538C47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61315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Pragmatic tuberculosis trials must measure what determines implementation.</w:t>
      </w:r>
    </w:p>
    <w:p w14:paraId="550B93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19E7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Mfinanga S(1), Aklillu E(2), Zumla A(3).</w:t>
      </w:r>
    </w:p>
    <w:p w14:paraId="5AF001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53B7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2432D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(1)National Institute of Medical Research, Muhimbili Medical Research Centre, </w:t>
      </w:r>
    </w:p>
    <w:p w14:paraId="261D08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Dar-es-Salaam, Tanzani.</w:t>
      </w:r>
    </w:p>
    <w:p w14:paraId="0442D1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Global Public Health, Karolinska Institutet, Karolinska </w:t>
      </w:r>
    </w:p>
    <w:p w14:paraId="1D2D01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Hospital, Stockholm, Sweden.</w:t>
      </w:r>
    </w:p>
    <w:p w14:paraId="4BD517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(3)Institute of Infection, Immunity and Transplantation, University College </w:t>
      </w:r>
    </w:p>
    <w:p w14:paraId="52C531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London NW3 2PP, London, UK; National Institute for Health and Care Research </w:t>
      </w:r>
    </w:p>
    <w:p w14:paraId="00E808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Biomedical Research Centre, University College London Hospitals NHS Foundation </w:t>
      </w:r>
    </w:p>
    <w:p w14:paraId="3AA804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Trust, London, UK. Electronic address: a.zumla@ucl.ac.uk.</w:t>
      </w:r>
    </w:p>
    <w:p w14:paraId="375CEE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ED6BB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10.1016/S1473-3099(26)00484-6</w:t>
      </w:r>
    </w:p>
    <w:p w14:paraId="0D6CD2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42748943</w:t>
      </w:r>
    </w:p>
    <w:p w14:paraId="6F60B6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CA9E8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Diagn Microbiol Infect Dis. 2026 Sep 14;117(1):117661. doi: </w:t>
      </w:r>
    </w:p>
    <w:p w14:paraId="2273042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10.1016/j.diagmicrobio.2026.117661. Online ahead of print.</w:t>
      </w:r>
    </w:p>
    <w:p w14:paraId="0ABC95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7588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Evaluation of QIAreach QuantiFERON-TB for the diagnosis of Mycobacterium </w:t>
      </w:r>
    </w:p>
    <w:p w14:paraId="6EB983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infection.</w:t>
      </w:r>
    </w:p>
    <w:p w14:paraId="0C519A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970F8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Klayut W(1), Srisungngam S(2), Bunchoo S(2), Bhakdeenuan P(2).</w:t>
      </w:r>
    </w:p>
    <w:p w14:paraId="5EDBEA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EBE68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45892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(1)National Institute of Health, Department of Medical Sciences, Ministry of </w:t>
      </w:r>
    </w:p>
    <w:p w14:paraId="0D9083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Public Health, Nonthaburi, 11000, Thailand. Electronic address: </w:t>
      </w:r>
    </w:p>
    <w:p w14:paraId="043987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wiphat.k@dmsc.mail.go.th.</w:t>
      </w:r>
    </w:p>
    <w:p w14:paraId="5F5631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(2)National Institute of Health, Department of Medical Sciences, Ministry of </w:t>
      </w:r>
    </w:p>
    <w:p w14:paraId="67BA5F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Public Health, Nonthaburi, 11000, Thailand.</w:t>
      </w:r>
    </w:p>
    <w:p w14:paraId="149A9E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B3F79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Reducing the number of tuberculosis (TB) cases and deaths requires effective </w:t>
      </w:r>
    </w:p>
    <w:p w14:paraId="148FD2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diagnosis and treatment of active TB as well as latent TB infection (LTBI) </w:t>
      </w:r>
    </w:p>
    <w:p w14:paraId="15905F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through TB preventive treatment (TPT). Interferon-gamma (IFN-γ) release assays </w:t>
      </w:r>
    </w:p>
    <w:p w14:paraId="71D0A0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(IGRAs) using blood samples offer advantages over tuberculin skin test (TST) for </w:t>
      </w:r>
    </w:p>
    <w:p w14:paraId="15341E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LTBI diagnosis, but current IGRAs are costly and require enzyme-linked </w:t>
      </w:r>
    </w:p>
    <w:p w14:paraId="4C051A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immunosorbent assay (ELISA), making them more complicated and unsuitable for the </w:t>
      </w:r>
    </w:p>
    <w:p w14:paraId="79A015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district or provincial laboratories. QIAreach QuantiFERON-TB (QIAREACH-TB) is a </w:t>
      </w:r>
    </w:p>
    <w:p w14:paraId="299AB2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novel IGRA that uses lateral flow immunoassay (LFA) and digital signal </w:t>
      </w:r>
    </w:p>
    <w:p w14:paraId="367E6B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measurement to detect IFN-γ, providing a less resource-intensive alternative </w:t>
      </w:r>
    </w:p>
    <w:p w14:paraId="0BFF70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eliminates the requirement for automated microplate washers and ELISA </w:t>
      </w:r>
    </w:p>
    <w:p w14:paraId="06B771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readers. We evaluated QIAREACH-TB for LTBI diagnosis using whole-blood samples </w:t>
      </w:r>
    </w:p>
    <w:p w14:paraId="16A631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154 healthcare workers (HCWs) and compared the results with QuantiFERON-TB </w:t>
      </w:r>
    </w:p>
    <w:p w14:paraId="2AF762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Gold Plus (QFT-Plus). QFT-Plus detected M. tuberculosis infection in 26 </w:t>
      </w:r>
    </w:p>
    <w:p w14:paraId="6231EC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(16.99%), while QIAREACH-TB detected infection in 30 (19.61%) samples. Our </w:t>
      </w:r>
    </w:p>
    <w:p w14:paraId="4F0828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results demonstrated an overall percentage agreement (OPA) of 93.46% (95% </w:t>
      </w:r>
    </w:p>
    <w:p w14:paraId="29A2ED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confidence interval [95% CI]: 88.25-96.55%) between QIAREACH-TB and QFT-Plus. </w:t>
      </w:r>
    </w:p>
    <w:p w14:paraId="7E5A4F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positive percent agreement (PPA) was 88.46% (95% CI: 70.20-96.82%) while the </w:t>
      </w:r>
    </w:p>
    <w:p w14:paraId="10CF4C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negative percent agreement (NPA) was 94.49% (95% CI: 88.86-97.50%). The findings </w:t>
      </w:r>
    </w:p>
    <w:p w14:paraId="1D62F4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suggest that QIAREACH-TB is a practical alternative showing high concordance </w:t>
      </w:r>
    </w:p>
    <w:p w14:paraId="747957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QFT-Plus for detecting LTBI, requiring fewer laboratory resources and </w:t>
      </w:r>
    </w:p>
    <w:p w14:paraId="2D2B5D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eliminating the need for ELISA equipment.</w:t>
      </w:r>
    </w:p>
    <w:p w14:paraId="426F04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E00A4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Elsevier Inc. All rights reserved.</w:t>
      </w:r>
    </w:p>
    <w:p w14:paraId="20A9EC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50F09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10.1016/j.diagmicrobio.2026.117661</w:t>
      </w:r>
    </w:p>
    <w:p w14:paraId="08240D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42748648</w:t>
      </w:r>
    </w:p>
    <w:p w14:paraId="709241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C43BA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JMIR Public Health Surveill. 2026 Sep 16;12:e93719. doi: 10.2196/93719.</w:t>
      </w:r>
    </w:p>
    <w:p w14:paraId="072CDF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6E0A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Data Completeness and Acceptability of Annual Feedback Reports and Tuberculosis </w:t>
      </w:r>
    </w:p>
    <w:p w14:paraId="67B2A7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Surveillance in Spain, 2018-2024: Mixed Methods Analysis.</w:t>
      </w:r>
    </w:p>
    <w:p w14:paraId="76F8E1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FD799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Chatterjee A(1)(2), Roy A(2)(3), Amillategui R(2)(3), Sastre M(2)(3), Schwarz </w:t>
      </w:r>
    </w:p>
    <w:p w14:paraId="1ED204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C(4), Cano R(2)(3), Herrera-León L(3)(5), Herrador Z(2)(3); Spanish Working </w:t>
      </w:r>
    </w:p>
    <w:p w14:paraId="746E30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Group on Tuberculosis(6).</w:t>
      </w:r>
    </w:p>
    <w:p w14:paraId="76BF5B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131C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A0F54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(1)European Centre for Disease Prevention and Control, Fellowship </w:t>
      </w:r>
    </w:p>
    <w:p w14:paraId="1D7436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Programme/EPIET, Stockholm, Sweden.</w:t>
      </w:r>
    </w:p>
    <w:p w14:paraId="32C10D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(2)Centro Nacional de Epidemiología, Instituto de Salud Carlos III, calle </w:t>
      </w:r>
    </w:p>
    <w:p w14:paraId="173EBA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Sinesio Delgado nº6, Pabellon 12, Madrid, Madrid, 28029, Spain, 34 91 8222012.</w:t>
      </w:r>
    </w:p>
    <w:p w14:paraId="0F1F4E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(3)Network Biomedical Research Centre in Epidemiology and Public Health </w:t>
      </w:r>
    </w:p>
    <w:p w14:paraId="6B38D1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(CIBERESP), Madrid, Spain.</w:t>
      </w:r>
    </w:p>
    <w:p w14:paraId="41156C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(4)Health Division for HIV, STI, Viral Hepatitis and Tuberculosis Control, </w:t>
      </w:r>
    </w:p>
    <w:p w14:paraId="294DAA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Ministry of Health, Madrid, Madrid, Spain.</w:t>
      </w:r>
    </w:p>
    <w:p w14:paraId="1A70D7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(5)Centro Nacional de Microbiologia, Instituto de Salud Carlos III, Majadahonda, </w:t>
      </w:r>
    </w:p>
    <w:p w14:paraId="774236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Madrid, Spain.</w:t>
      </w:r>
    </w:p>
    <w:p w14:paraId="3D8260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(6)See Acknowledgments.</w:t>
      </w:r>
    </w:p>
    <w:p w14:paraId="785416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C4645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Surveillance of tuberculosis (TB) is challenging given the typically </w:t>
      </w:r>
    </w:p>
    <w:p w14:paraId="06A2A5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long course of the disease and treatment as well as the often complex </w:t>
      </w:r>
    </w:p>
    <w:p w14:paraId="6CC11A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socioeconomic factors that are associated with it. In Spain, surveillance is </w:t>
      </w:r>
    </w:p>
    <w:p w14:paraId="4D98D0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decentralized across autonomous communities (CCAAs), leading to additional </w:t>
      </w:r>
    </w:p>
    <w:p w14:paraId="30424D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challenges in heterogeneity and data quality.</w:t>
      </w:r>
    </w:p>
    <w:p w14:paraId="13B368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OBJECTIVE: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aimed to quantify changes in internal data completeness following </w:t>
      </w:r>
    </w:p>
    <w:p w14:paraId="3BC4CE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introduction of annual regional surveillance quality reports and assess the </w:t>
      </w:r>
    </w:p>
    <w:p w14:paraId="0000AE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acceptability and perceived usefulness among CCAAs.</w:t>
      </w:r>
    </w:p>
    <w:p w14:paraId="410BB6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 T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 mixed methods assessment consisted of 2 stages. First, we </w:t>
      </w:r>
    </w:p>
    <w:p w14:paraId="438FA5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quantitatively assessed the internal completeness of 40 key TB variables for all </w:t>
      </w:r>
    </w:p>
    <w:p w14:paraId="013C26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reported cases from 2018 to 2023, comparing 2 periods: before (2018-2020) and </w:t>
      </w:r>
    </w:p>
    <w:p w14:paraId="02F9DA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after (2021-2023) the implementation of feedback reports. Mean completeness for </w:t>
      </w:r>
    </w:p>
    <w:p w14:paraId="110B6E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each variable was calculated for each period, and the differences were compared </w:t>
      </w:r>
    </w:p>
    <w:p w14:paraId="5EF90F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using either the paired t test or Wilcoxon signed rank test depending on whether </w:t>
      </w:r>
    </w:p>
    <w:p w14:paraId="6B2A4A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differences were normally distributed. Analyses were conducted nationally and by </w:t>
      </w:r>
    </w:p>
    <w:p w14:paraId="5F9DE3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CCAA as well as for different variable groups (patient-, illness-, and </w:t>
      </w:r>
    </w:p>
    <w:p w14:paraId="6FBFA0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laboratory-related groups). For the second stage, we circulated the results to </w:t>
      </w:r>
    </w:p>
    <w:p w14:paraId="39780D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regional TB surveillance focal points, along with a survey to assess </w:t>
      </w:r>
    </w:p>
    <w:p w14:paraId="03A104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acceptability, perceived usefulness of reports, and barriers to data </w:t>
      </w:r>
    </w:p>
    <w:p w14:paraId="2C1329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completeness.</w:t>
      </w:r>
    </w:p>
    <w:p w14:paraId="1E18C7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There were 25,229 reported cases across the study period: 13,328 in </w:t>
      </w:r>
    </w:p>
    <w:p w14:paraId="5514EF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period 1 (2018-2020) and 11,901 in period 2 (2021-2023). Nationally, mean </w:t>
      </w:r>
    </w:p>
    <w:p w14:paraId="0BBC35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completeness increased from 66% in period 1 to 76.2% in period 2 (+10.2%, </w:t>
      </w:r>
    </w:p>
    <w:p w14:paraId="316290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P&lt;.001). Improvements were greatest for laboratory-related (+13.9%, P=.001) and </w:t>
      </w:r>
    </w:p>
    <w:p w14:paraId="23CD91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illness-related variables (+12.8%, P&lt;.001), while patient-related variables </w:t>
      </w:r>
    </w:p>
    <w:p w14:paraId="3376C6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showed minimal change that was not statistically significant (+2.4%, P=.48). </w:t>
      </w:r>
    </w:p>
    <w:p w14:paraId="488DC6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Most CCAAs (16/19, 84%) demonstrated improved completeness in period 2, though </w:t>
      </w:r>
    </w:p>
    <w:p w14:paraId="55FC29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substantial regional variation persisted. Of the 19 CCAAs, 18 responded to the </w:t>
      </w:r>
    </w:p>
    <w:p w14:paraId="4625EE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survey. Respondents reported high acceptability of the surveillance system and </w:t>
      </w:r>
    </w:p>
    <w:p w14:paraId="217A8D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considered feedback reports useful. Challenges included resource constraints, </w:t>
      </w:r>
    </w:p>
    <w:p w14:paraId="1DCB50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system interoperability between laboratory and surveillance, and patient </w:t>
      </w:r>
    </w:p>
    <w:p w14:paraId="6D547F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follow-up.</w:t>
      </w:r>
    </w:p>
    <w:p w14:paraId="458F98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Following the introduction of annual feedback reports, which were </w:t>
      </w:r>
    </w:p>
    <w:p w14:paraId="39849D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well accepted by all regional stakeholders, Spain saw significant improvements </w:t>
      </w:r>
    </w:p>
    <w:p w14:paraId="66EBE3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TB data completeness. Sustained feedback mechanisms, streamlined reporting </w:t>
      </w:r>
    </w:p>
    <w:p w14:paraId="3F36FA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requirements, and improved integration between epidemiological and laboratory </w:t>
      </w:r>
    </w:p>
    <w:p w14:paraId="2D42F6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systems are key to strengthening TB surveillance.</w:t>
      </w:r>
    </w:p>
    <w:p w14:paraId="79F591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293C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Allegra Chatterjee, Alvaro Roy, Rocio Amillategui, María Sastre, Christine </w:t>
      </w:r>
    </w:p>
    <w:p w14:paraId="571718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Schwarz, Rosa Cano, Laura Herrera-León, Zaida Herrador, Spanish Working Group on </w:t>
      </w:r>
    </w:p>
    <w:p w14:paraId="6AC4D7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Tuberculosis. Originally published in JMIR Public Health and Surveillance </w:t>
      </w:r>
    </w:p>
    <w:p w14:paraId="4A2272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(https://publichealth.jmir.org).</w:t>
      </w:r>
    </w:p>
    <w:p w14:paraId="21FC7F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B0FAD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10.2196/93719</w:t>
      </w:r>
    </w:p>
    <w:p w14:paraId="2DC98F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PMC13580891</w:t>
      </w:r>
    </w:p>
    <w:p w14:paraId="616C06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42748338 [Indexed for MEDLINE]</w:t>
      </w:r>
    </w:p>
    <w:p w14:paraId="172E13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B28F6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Glob Public Health. 2026 Sep 16;6(9):e0007214. doi: </w:t>
      </w:r>
    </w:p>
    <w:p w14:paraId="4F1516D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10.1371/journal.pgph.0007214. eCollection 2026.</w:t>
      </w:r>
    </w:p>
    <w:p w14:paraId="15789A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5E7E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Delays in tuberculosis diagnosis and treatment in India: A patient journey </w:t>
      </w:r>
    </w:p>
    <w:p w14:paraId="776D1D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analysis from Mumbai and Patna during the COVID-19 Pandemic.</w:t>
      </w:r>
    </w:p>
    <w:p w14:paraId="70AA1F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AD2BB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Kafi MAH(1), Thapa P(2)(3), Pai M(2)(3)(4), Oga-Omenka C(3)(5).</w:t>
      </w:r>
    </w:p>
    <w:p w14:paraId="775096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DF20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19E60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(1)Cardiac Services BC, Provincial Health Service Authority, British Columbia, </w:t>
      </w:r>
    </w:p>
    <w:p w14:paraId="38FB7D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Canada.</w:t>
      </w:r>
    </w:p>
    <w:p w14:paraId="65D0A2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(2)Research Institute of the McGill University Health Centre, Montréal, Quebec, </w:t>
      </w:r>
    </w:p>
    <w:p w14:paraId="5DB4A0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Canada.</w:t>
      </w:r>
    </w:p>
    <w:p w14:paraId="3ABFAA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(3)McGill International TB Centre, Montreal, Canada.</w:t>
      </w:r>
    </w:p>
    <w:p w14:paraId="1E312D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Epidemiology, Biostatistics and Occupational Health, McGill </w:t>
      </w:r>
    </w:p>
    <w:p w14:paraId="04128B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Montreal, Canada.</w:t>
      </w:r>
    </w:p>
    <w:p w14:paraId="62B03D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(5)School of Public Health Sciences, University of Waterloo, Waterloo, Canada.</w:t>
      </w:r>
    </w:p>
    <w:p w14:paraId="5C9CDD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3C21A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care for people with TB in India are often fragmented, </w:t>
      </w:r>
    </w:p>
    <w:p w14:paraId="1E4014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undermining timely diagnosis and treatment. Understanding patient journeys is </w:t>
      </w:r>
    </w:p>
    <w:p w14:paraId="645609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critical to strengthening TB care delivery and advancing elimination goals. We </w:t>
      </w:r>
    </w:p>
    <w:p w14:paraId="63A392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conducted a cross-sectional study of 400 people with TB diagnosed between </w:t>
      </w:r>
    </w:p>
    <w:p w14:paraId="26F88E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2020-2022 in two Indian cities: Mumbai (n = 200) and Patna (n = 200). Using </w:t>
      </w:r>
    </w:p>
    <w:p w14:paraId="0D25B2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structured interviews, we assessed care-seeking behavior, delays to diagnosis </w:t>
      </w:r>
    </w:p>
    <w:p w14:paraId="45EDB0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treatment, the number and type of healthcare encounters, and out-of-pocket </w:t>
      </w:r>
    </w:p>
    <w:p w14:paraId="6DEA3A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costs. Participants predominantly initiated care in the private sector (Mumbai </w:t>
      </w:r>
    </w:p>
    <w:p w14:paraId="49D0B5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91%; Patna 85%), often at pharmacies or private clinics. Care journeys were </w:t>
      </w:r>
    </w:p>
    <w:p w14:paraId="1D3C19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fragmented, with multiple provider visits before diagnosis. The median total </w:t>
      </w:r>
    </w:p>
    <w:p w14:paraId="02BCF4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delay from symptom onset to treatment initiation was 35 days (IQR 13-81) in </w:t>
      </w:r>
    </w:p>
    <w:p w14:paraId="1EFC54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Patna and 26 days (IQR 12-59) in Mumbai. Provider delays contributed a median of </w:t>
      </w:r>
    </w:p>
    <w:p w14:paraId="10CB78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~19 days in both cities. Participants made a median of 3 pre-diagnosis </w:t>
      </w:r>
    </w:p>
    <w:p w14:paraId="168740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healthcare visits, and 23% had ≥ 6 encounters. The financial burden was </w:t>
      </w:r>
    </w:p>
    <w:p w14:paraId="521906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substantial particularly in Mumbai, where consultation and diagnostic costs were </w:t>
      </w:r>
    </w:p>
    <w:p w14:paraId="09A200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higher than in Patna. Longer delays and more encounters were associated with </w:t>
      </w:r>
    </w:p>
    <w:p w14:paraId="4893BA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male sex, unemployment, larger household size, and care-seeking hesitancy during </w:t>
      </w:r>
    </w:p>
    <w:p w14:paraId="611CC3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study period. Patient journeys in urban India during the COVID-19 pandemic </w:t>
      </w:r>
    </w:p>
    <w:p w14:paraId="1AEE35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prolonged and costly, with delays driven primarily by systemic </w:t>
      </w:r>
    </w:p>
    <w:p w14:paraId="1E6525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fragmentation rather than patient hesitancy. The reliance on an under-regulated </w:t>
      </w:r>
    </w:p>
    <w:p w14:paraId="125805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private sector led to multiple pre-diagnosis encounters (23% requiring more than </w:t>
      </w:r>
    </w:p>
    <w:p w14:paraId="665B7C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6) and significant out-of-pocket costs. Because no individual characteristic </w:t>
      </w:r>
    </w:p>
    <w:p w14:paraId="042200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consistently predicted delay, these findings suggest that structural reforms </w:t>
      </w:r>
    </w:p>
    <w:p w14:paraId="707E18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including standardized diagnostic pathways and enhanced public-private </w:t>
      </w:r>
    </w:p>
    <w:p w14:paraId="5320C6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integration are essential to build health system resilience and accelerate TB </w:t>
      </w:r>
    </w:p>
    <w:p w14:paraId="118CC4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elimination.</w:t>
      </w:r>
    </w:p>
    <w:p w14:paraId="0B1B62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52A5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Kafi et al. This is an open access article distributed under </w:t>
      </w:r>
    </w:p>
    <w:p w14:paraId="0B4C39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terms of the Creative Commons Attribution License, which permits </w:t>
      </w:r>
    </w:p>
    <w:p w14:paraId="72DD45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1D1D41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27D1DA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3C40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10.1371/journal.pgph.0007214</w:t>
      </w:r>
    </w:p>
    <w:p w14:paraId="659F81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PMC13581200</w:t>
      </w:r>
    </w:p>
    <w:p w14:paraId="496FD8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42748166</w:t>
      </w:r>
    </w:p>
    <w:p w14:paraId="015030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B02AE5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Antimicrob Agents Chemother. 2026 Sep 16:e0028026. doi: 10.1128/aac.00280-26. Online ahead of print.</w:t>
      </w:r>
    </w:p>
    <w:p w14:paraId="14320D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DD2E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Efficacy of quabodepistat alone and in combination with delamanid and </w:t>
      </w:r>
    </w:p>
    <w:p w14:paraId="11A960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bedaquiline against Mycobacterium tuberculosis in an NHP model evaluated by </w:t>
      </w:r>
    </w:p>
    <w:p w14:paraId="53DFB8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[(18)F] FDG PET/CT and bacterial burden.</w:t>
      </w:r>
    </w:p>
    <w:p w14:paraId="480D94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95B0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Via LE(1)(2), Sarathy J(3)(4), Weiner DM(1)(2), Greenstein T(5)(6)(7), Zimmerman </w:t>
      </w:r>
    </w:p>
    <w:p w14:paraId="2F9964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M(3), Abdi A(2), Fleegle JD(2), Gomez F(2), Kaya F(3), Piazza MK(2), Vatthauer </w:t>
      </w:r>
    </w:p>
    <w:p w14:paraId="66C595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A(2), Sloan BY(2), Repoli KM(2), Walker AM(2), Woodcock MJ(2), Egbelowo O(8), </w:t>
      </w:r>
    </w:p>
    <w:p w14:paraId="2ED95D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Gausi K(8), Boshoff HIM(1), Liu Y(9), Chadalavada D(10), Aldridge BB(5)(6)(7), </w:t>
      </w:r>
    </w:p>
    <w:p w14:paraId="252B1C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Dartois V(3)(4), Barry CE 3rd(1)(11).</w:t>
      </w:r>
    </w:p>
    <w:p w14:paraId="1E8E82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0B78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3BF32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(1)Tuberculosis Research Section, Laboratory of Clinical Immunology and </w:t>
      </w:r>
    </w:p>
    <w:p w14:paraId="03F57F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Microbiology, National Institute of Allergy, and Infectious Diseases (NIAID), </w:t>
      </w:r>
    </w:p>
    <w:p w14:paraId="6160C7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National Institutes of Health (NIH), Bethesda, Maryland, USA.</w:t>
      </w:r>
    </w:p>
    <w:p w14:paraId="4104EB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(2)Tuberculosis Imaging Program, Division of Intramural Research, NIAID, NIH, </w:t>
      </w:r>
    </w:p>
    <w:p w14:paraId="654F4F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Bethesda, Maryland, USA.</w:t>
      </w:r>
    </w:p>
    <w:p w14:paraId="468C23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(3)Center for Discovery and Innovation, Hackensack Meridian Health, Nutley, New </w:t>
      </w:r>
    </w:p>
    <w:p w14:paraId="242CD5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Jersey, USA.</w:t>
      </w:r>
    </w:p>
    <w:p w14:paraId="4B4B01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Medical Sciences, Hackensack Meridian School of Medicine, </w:t>
      </w:r>
    </w:p>
    <w:p w14:paraId="67B275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Nutley, New Jersey, USA.</w:t>
      </w:r>
    </w:p>
    <w:p w14:paraId="48D3E5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Molecular Biology and Microbiology, Tufts University School of </w:t>
      </w:r>
    </w:p>
    <w:p w14:paraId="118735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Boston, Massachusetts, USA.</w:t>
      </w:r>
    </w:p>
    <w:p w14:paraId="596092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Biomedical Engineering, Tufts University School of Engineering, </w:t>
      </w:r>
    </w:p>
    <w:p w14:paraId="0FE6C4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Medford, Massachusetts, USA.</w:t>
      </w:r>
    </w:p>
    <w:p w14:paraId="212400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(7)Graduate School of Biomedical Sciences, Tufts University School of Medicine, </w:t>
      </w:r>
    </w:p>
    <w:p w14:paraId="40A991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Boston, Massachusetts, USA.</w:t>
      </w:r>
    </w:p>
    <w:p w14:paraId="3517C2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(8)Division of Clinical Pharmacology, Department of Medicine, University of Cape </w:t>
      </w:r>
    </w:p>
    <w:p w14:paraId="03E39B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Town, Cape Town, South Africa.</w:t>
      </w:r>
    </w:p>
    <w:p w14:paraId="1BDB7E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(9)Otsuka Pharmaceutical Development &amp; Commercialization Inc, Rockville, </w:t>
      </w:r>
    </w:p>
    <w:p w14:paraId="71BEA8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Maryland, USA.</w:t>
      </w:r>
    </w:p>
    <w:p w14:paraId="18229B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(10)Comparitive Medicine Branch, Division of Intramural Research, NIAID, NIH, </w:t>
      </w:r>
    </w:p>
    <w:p w14:paraId="1E57BC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Bethesda, Maryland, USA.</w:t>
      </w:r>
    </w:p>
    <w:p w14:paraId="3FF419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(11)Department of Medicine, Centre for Infectious Diseases Research in Africa, </w:t>
      </w:r>
    </w:p>
    <w:p w14:paraId="23C270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Institute of Infectious Disease and Molecular Medicine, University of Cape Town, </w:t>
      </w:r>
    </w:p>
    <w:p w14:paraId="227D75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Observatory, Republic of South Africa.</w:t>
      </w:r>
    </w:p>
    <w:p w14:paraId="51A08C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AE63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Multidrug-resistant tuberculosis (MDR-TB) is challenging. Bedaquiline (B), </w:t>
      </w:r>
    </w:p>
    <w:p w14:paraId="0FEA85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delamanid (D), and pretomanid (P) are used in combination regimens with other </w:t>
      </w:r>
    </w:p>
    <w:p w14:paraId="15720F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anti-TB drugs for MDR-TB; however, agents with novel mechanisms of action are </w:t>
      </w:r>
    </w:p>
    <w:p w14:paraId="217AF5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needed. DprE1 inhibitor quabodepistat (Q) was developed for combination use. In </w:t>
      </w:r>
    </w:p>
    <w:p w14:paraId="6B2A80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study, Q alone or in combination with human-equivalent doses of D and/or B </w:t>
      </w:r>
    </w:p>
    <w:p w14:paraId="005AA6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was evaluated in a marmoset TB model using in vivo imaging, with terminal </w:t>
      </w:r>
    </w:p>
    <w:p w14:paraId="04CD84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bacterial counts from all lung lesions. Marmosets were infected with H37Rv </w:t>
      </w:r>
    </w:p>
    <w:p w14:paraId="450B6A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and allowed to develop the disease for 7 weeks. They </w:t>
      </w:r>
    </w:p>
    <w:p w14:paraId="7214DC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then administered a pre-treatment 18F-fluorodeoxyglucose positron emission </w:t>
      </w:r>
    </w:p>
    <w:p w14:paraId="1F6F22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tomography/computed tomography (18F-FDG PET/CT) scan and randomized into seven </w:t>
      </w:r>
    </w:p>
    <w:p w14:paraId="387DD1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groups (n = 5/group). At 2 weeks, the quabodepistat-treated groups </w:t>
      </w:r>
    </w:p>
    <w:p w14:paraId="59CD64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showed a significant reduction in lesion volume compared to those without the </w:t>
      </w:r>
    </w:p>
    <w:p w14:paraId="74AEF8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agent in a post hoc analysis. After 2 months, the animals were euthanized, and </w:t>
      </w:r>
    </w:p>
    <w:p w14:paraId="2DD60E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bacterial burden and histology were assessed. Marmosets treated with all </w:t>
      </w:r>
    </w:p>
    <w:p w14:paraId="40D287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agents showed reduced lung disease on PET/CT (&gt;70%) compared to their </w:t>
      </w:r>
    </w:p>
    <w:p w14:paraId="62C83B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pre-treatment disease volume. B reduced extrapulmonary bacteria more </w:t>
      </w:r>
    </w:p>
    <w:p w14:paraId="46CEEB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significantly than Q or D. Cavities and necrotic lesions from DBQ-treated </w:t>
      </w:r>
    </w:p>
    <w:p w14:paraId="7B3785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animals had lower bacterial burdens than lesions treated with any of the </w:t>
      </w:r>
    </w:p>
    <w:p w14:paraId="10E4A9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single-agent or two-agent combinations. In a preliminary comparison, DBQ showed </w:t>
      </w:r>
    </w:p>
    <w:p w14:paraId="2FC89B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 statistically detectable difference from the standard-of-care regimen </w:t>
      </w:r>
    </w:p>
    <w:p w14:paraId="7F62C0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isoniazid-rifampicin-pyrazinamide-ethambutol (HRZE). Additionally, the </w:t>
      </w:r>
    </w:p>
    <w:p w14:paraId="35E5E3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activities of D and P monotherapies were similar in this model. The evaluation </w:t>
      </w:r>
    </w:p>
    <w:p w14:paraId="30F261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these agents in the marmoset TB model supports further investigation of Q as </w:t>
      </w:r>
    </w:p>
    <w:p w14:paraId="3D348E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 component of shorter TB regimens.</w:t>
      </w:r>
    </w:p>
    <w:p w14:paraId="357CE8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3BCD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10.1128/aac.00280-26</w:t>
      </w:r>
    </w:p>
    <w:p w14:paraId="118451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42747323</w:t>
      </w:r>
    </w:p>
    <w:p w14:paraId="22EF30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12DB4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IJTLD Open. 2026 Sep 15;3(9):604-606. doi: 10.5588/ijtldopen.26.0272. </w:t>
      </w:r>
    </w:p>
    <w:p w14:paraId="50FFCA0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4AF7BC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37C1B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Performance of swab-based MiniDock MTB test for the diagnosis of pulmonary TB.</w:t>
      </w:r>
    </w:p>
    <w:p w14:paraId="57B0D3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B3B9F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Eman KU(1)(2), Jackson YL(3), Lodhi UR(2), Kirubi B(4), Qureshi S(5), Creswell </w:t>
      </w:r>
    </w:p>
    <w:p w14:paraId="365963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J(4), Tahseen S(2).</w:t>
      </w:r>
    </w:p>
    <w:p w14:paraId="141647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62CA0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2C511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(1)University of Geneva, Geneva, Switzerland.</w:t>
      </w:r>
    </w:p>
    <w:p w14:paraId="3E62B5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(2)Dopasi Foundation, Islamabad, Pakistan.</w:t>
      </w:r>
    </w:p>
    <w:p w14:paraId="4028DE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(3)Geneva University Hospital and University of Geneva, Geneva, Switzerland.</w:t>
      </w:r>
    </w:p>
    <w:p w14:paraId="007B79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(4)Stop TB Partnership, Geneva, Switzerland.</w:t>
      </w:r>
    </w:p>
    <w:p w14:paraId="6D66C2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(5)Communicable Disease Control, Sindh, Pakistan.</w:t>
      </w:r>
    </w:p>
    <w:p w14:paraId="758C8E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465A9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10.5588/ijtldopen.26.0272</w:t>
      </w:r>
    </w:p>
    <w:p w14:paraId="27F068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PMC13577207</w:t>
      </w:r>
    </w:p>
    <w:p w14:paraId="07C14F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42746614</w:t>
      </w:r>
    </w:p>
    <w:p w14:paraId="12F06E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55A71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IJTLD Open. 2026 Sep 15;3(9):598-600. doi: 10.5588/ijtldopen.26.0169. </w:t>
      </w:r>
    </w:p>
    <w:p w14:paraId="4C13CE9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385EF9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056A7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Whole-genome sequencing guides the successful treatment of extensively </w:t>
      </w:r>
    </w:p>
    <w:p w14:paraId="29B04F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drug-resistant TB.</w:t>
      </w:r>
    </w:p>
    <w:p w14:paraId="57A77B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1A115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Makamure B(1)(2), Phelan J(3), Bandason T(1), Chipinduro M(1)(4), Mutsvangwa </w:t>
      </w:r>
    </w:p>
    <w:p w14:paraId="5A41A0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J(1), Metcalfe JZ(5), Fernandez FT(6), Manasa J(2).</w:t>
      </w:r>
    </w:p>
    <w:p w14:paraId="57FE8D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AC8D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82BB8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(1)Biomedical Research and Training Institute (BRTI), Harare, Zimbabwe.</w:t>
      </w:r>
    </w:p>
    <w:p w14:paraId="3B9C0B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(2)Faculty of Medicine, Laboratory Diagnostic and Investigative Sciences </w:t>
      </w:r>
    </w:p>
    <w:p w14:paraId="31781C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(Medical Microbiology Unit), University of Zimbabwe, Harare, Zimbabwe.</w:t>
      </w:r>
    </w:p>
    <w:p w14:paraId="4B420F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(3)London School of Hygiene and Tropical Medicine, London, UK.</w:t>
      </w:r>
    </w:p>
    <w:p w14:paraId="7EA212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(4)Midlands State University, Gweru, Zimbabwe.</w:t>
      </w:r>
    </w:p>
    <w:p w14:paraId="676C69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(5)University of California, San Francisco.</w:t>
      </w:r>
    </w:p>
    <w:p w14:paraId="1A2A00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(6)Bulawayo City Council, Bulawayo, Zimbabwe.</w:t>
      </w:r>
    </w:p>
    <w:p w14:paraId="1AEB2C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8388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10.5588/ijtldopen.26.0169</w:t>
      </w:r>
    </w:p>
    <w:p w14:paraId="479C85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PMC13577212</w:t>
      </w:r>
    </w:p>
    <w:p w14:paraId="2122E2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42746612</w:t>
      </w:r>
    </w:p>
    <w:p w14:paraId="3BD129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339BEE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IJTLD Open. 2026 Sep 15;3(9):574-579. doi: 10.5588/ijtldopen.26.0107. </w:t>
      </w:r>
    </w:p>
    <w:p w14:paraId="505F1ED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422A7A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3D263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Inclusion of pregnant and lactating women in TB treatment and vaccine trials.</w:t>
      </w:r>
    </w:p>
    <w:p w14:paraId="653AF2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F5FA2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Meehan SA(1), Hesseling AC(1), Viljoen L(1), Cranmer LM(2)(3), Verkuijl S(4), </w:t>
      </w:r>
    </w:p>
    <w:p w14:paraId="0DB050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Viney K(4), Maktabi M(5), Isaacs M(5), Hirsch-Moverman Y(5)(6).</w:t>
      </w:r>
    </w:p>
    <w:p w14:paraId="7EB5EB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4FB1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2FE04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(1)Desmond Tutu TB Centre, Department of Paediatrics and Child Health, Faculty </w:t>
      </w:r>
    </w:p>
    <w:p w14:paraId="316483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Medicine and Health Sciences, Stellenbosch University, South Africa.</w:t>
      </w:r>
    </w:p>
    <w:p w14:paraId="3DDD35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(2)Emory University, Atlanta, GA, USA.</w:t>
      </w:r>
    </w:p>
    <w:p w14:paraId="65B755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(3)Children's Healthcare of Atlanta, Atlanta, GA, USA.</w:t>
      </w:r>
    </w:p>
    <w:p w14:paraId="316188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HIV, Tuberculosis, Hepatitis and Sexually Transmitted </w:t>
      </w:r>
    </w:p>
    <w:p w14:paraId="141996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Infections, World Health Organization, Geneva, Switzerland.</w:t>
      </w:r>
    </w:p>
    <w:p w14:paraId="06C15A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Epidemiology at Mailman School of Public Health, Columbia </w:t>
      </w:r>
    </w:p>
    <w:p w14:paraId="2430B2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New York, NY, USA.</w:t>
      </w:r>
    </w:p>
    <w:p w14:paraId="6248B5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(6)ICAP at Columbia University, Mailman School of Public Health, Columbia </w:t>
      </w:r>
    </w:p>
    <w:p w14:paraId="407996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New York, NY, USA.</w:t>
      </w:r>
    </w:p>
    <w:p w14:paraId="3ABBDD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B0DC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Historically, pregnant and lactating women (PLW) have been excluded </w:t>
      </w:r>
    </w:p>
    <w:p w14:paraId="7F0A07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clinical trials for TB, thereby denying them access to novel treatment and </w:t>
      </w:r>
    </w:p>
    <w:p w14:paraId="78F534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prevention regimens. We aimed to develop an inventory of TB therapeutic and </w:t>
      </w:r>
    </w:p>
    <w:p w14:paraId="22DB2C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vaccine trials and determine the barriers and facilitators to the inclusion of </w:t>
      </w:r>
    </w:p>
    <w:p w14:paraId="60B1A8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PLW in TB clinical trials.</w:t>
      </w:r>
    </w:p>
    <w:p w14:paraId="4F4423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Using a mixed-methods approach, we conducted: a review of recent, </w:t>
      </w:r>
    </w:p>
    <w:p w14:paraId="7DFC78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current, and planned trials' inclusion and exclusion practices, and in-depth </w:t>
      </w:r>
    </w:p>
    <w:p w14:paraId="273488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interviews with trialists and sponsors.</w:t>
      </w:r>
    </w:p>
    <w:p w14:paraId="10F9D7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40 TB therapeutic trials, 7/40 (18%) included PLW; 3/40 (8%) </w:t>
      </w:r>
    </w:p>
    <w:p w14:paraId="1186C5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excluded PLW at enrolment but allowed women to remain on study treatment if they </w:t>
      </w:r>
    </w:p>
    <w:p w14:paraId="556BE7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became pregnant. None of 12 vaccine trials included PLW but 6/12 (50%) included </w:t>
      </w:r>
    </w:p>
    <w:p w14:paraId="2DE549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PLW in safety and/or immunogenicity assessments during study follow-up. Eighteen </w:t>
      </w:r>
    </w:p>
    <w:p w14:paraId="190C61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participants completed in-depth interviews. We identified four broad themes: </w:t>
      </w:r>
    </w:p>
    <w:p w14:paraId="06F522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shifting the narrative, differentiated risks, perceived concerns of PLW, and </w:t>
      </w:r>
    </w:p>
    <w:p w14:paraId="44A35F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strategies for inclusion.</w:t>
      </w:r>
    </w:p>
    <w:p w14:paraId="501668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limited inclusion of PLW in TB therapeutic trials and no </w:t>
      </w:r>
    </w:p>
    <w:p w14:paraId="0FF528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inclusion in vaccine trials at the time of enrolment, there was consensus that </w:t>
      </w:r>
    </w:p>
    <w:p w14:paraId="780F81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clear guidance is required for trialists, funders, and sponsors on strategies </w:t>
      </w:r>
    </w:p>
    <w:p w14:paraId="3B9010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inclusion of PLW, thus ensuring equitable access to novel TB prevention and </w:t>
      </w:r>
    </w:p>
    <w:p w14:paraId="4BF9B0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 regimens.</w:t>
      </w:r>
    </w:p>
    <w:p w14:paraId="638D57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38BC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</w:t>
      </w:r>
    </w:p>
    <w:p w14:paraId="24B8A5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BC02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10.5588/ijtldopen.26.0107</w:t>
      </w:r>
    </w:p>
    <w:p w14:paraId="3D9ACD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PMC13577204</w:t>
      </w:r>
    </w:p>
    <w:p w14:paraId="5869C7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42746611</w:t>
      </w:r>
    </w:p>
    <w:p w14:paraId="4A9572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8558C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IJTLD Open. 2026 Sep 15;3(9):580-585. doi: 10.5588/ijtldopen.25.0803. </w:t>
      </w:r>
    </w:p>
    <w:p w14:paraId="1123759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791CD9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815A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impact and cost of using mobile digital X-ray units to detect pulmonary TB </w:t>
      </w:r>
    </w:p>
    <w:p w14:paraId="345A61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 South Africa.</w:t>
      </w:r>
    </w:p>
    <w:p w14:paraId="29AD06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4DA9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Coetzee L(1), Evans D(1), Fononda A(2), Hausler H(2)(3), Booyens L(2), Steingo </w:t>
      </w:r>
    </w:p>
    <w:p w14:paraId="06919F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J(2), Hirasen K(1), Jamieson L(1), Kubjane M(1), Meyer-Rath G(1)(4).</w:t>
      </w:r>
    </w:p>
    <w:p w14:paraId="7FF421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69BD1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3F23B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(1)Health Economics and Epidemiology Research Office, Faculty of Health </w:t>
      </w:r>
    </w:p>
    <w:p w14:paraId="7CBAF2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Sciences, University of the Witwatersrand, Johannesburg, South Africa.</w:t>
      </w:r>
    </w:p>
    <w:p w14:paraId="7DE530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(2)TB HIV Care, Cape Town, South Africa.</w:t>
      </w:r>
    </w:p>
    <w:p w14:paraId="60F9F7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Family Medicine, University of Pretoria, Pretoria, South </w:t>
      </w:r>
    </w:p>
    <w:p w14:paraId="6AD49A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09D48D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Global Health, School of Public Health, Boston University, </w:t>
      </w:r>
    </w:p>
    <w:p w14:paraId="50502C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Boston, MA, USA.</w:t>
      </w:r>
    </w:p>
    <w:p w14:paraId="14AB82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7901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Digital chest X-ray (dCXR) enables early TB detection where symptoms </w:t>
      </w:r>
    </w:p>
    <w:p w14:paraId="4EA67B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screening is inadequate. We evaluated the impact and cost of three dCXR delivery </w:t>
      </w:r>
    </w:p>
    <w:p w14:paraId="294264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models: long-term community-based mobile vans (LT-vans), long-term </w:t>
      </w:r>
    </w:p>
    <w:p w14:paraId="0D5C67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facility-based containers (LT-containers), and short-term community-based mobile </w:t>
      </w:r>
    </w:p>
    <w:p w14:paraId="499A72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vans (ST-vans), implemented by a non-governmental organisation (NGO) across two </w:t>
      </w:r>
    </w:p>
    <w:p w14:paraId="3B2CFD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 African provinces.</w:t>
      </w:r>
    </w:p>
    <w:p w14:paraId="42D4E0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Between 2020 and 2022, nine dCXR units were deployed in four </w:t>
      </w:r>
    </w:p>
    <w:p w14:paraId="4AB69F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high-TB-burden districts for 1-19 months. Screening yield and TB test positivity </w:t>
      </w:r>
    </w:p>
    <w:p w14:paraId="54EC30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collected from electronic databases. Costs were estimated from the provider </w:t>
      </w:r>
    </w:p>
    <w:p w14:paraId="647F12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perspective using micro-costing methods, with both economic and financial costs </w:t>
      </w:r>
    </w:p>
    <w:p w14:paraId="5425B3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reported for NGO-led and routine care implementation.</w:t>
      </w:r>
    </w:p>
    <w:p w14:paraId="374D9C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Overall, 34,110 individuals were screened, 8,605 (25.2%) had abnormal </w:t>
      </w:r>
    </w:p>
    <w:p w14:paraId="58FCB1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dCXR results, and 1,372 TB cases were diagnosed (4.0% positivity). The cost per </w:t>
      </w:r>
    </w:p>
    <w:p w14:paraId="22D0FF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person screened with dCXR ranged from $39 to $240. LT-vans had the highest TB </w:t>
      </w:r>
    </w:p>
    <w:p w14:paraId="0496AD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positivity (10.1%), followed by LT-containers (3.7%) and ST-vans (1.7%). The </w:t>
      </w:r>
    </w:p>
    <w:p w14:paraId="65F586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lowest cost per TB case identified was with LT-vans ($384 economic; $375 </w:t>
      </w:r>
    </w:p>
    <w:p w14:paraId="26A3F2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financial) under routine care implementation, and the highest with ST-vans </w:t>
      </w:r>
    </w:p>
    <w:p w14:paraId="1D5B15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($14,157 economic; $8,741 financial) under NGO-led implementation.</w:t>
      </w:r>
    </w:p>
    <w:p w14:paraId="54D222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Long-term mobile vans were the most cost-effective model, yielding </w:t>
      </w:r>
    </w:p>
    <w:p w14:paraId="5C0DDF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highest TB rates, while short-term vans offered high volumes but at higher </w:t>
      </w:r>
    </w:p>
    <w:p w14:paraId="6CF70D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costs.</w:t>
      </w:r>
    </w:p>
    <w:p w14:paraId="482109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71AA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</w:t>
      </w:r>
    </w:p>
    <w:p w14:paraId="647E3C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D201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10.5588/ijtldopen.25.0803</w:t>
      </w:r>
    </w:p>
    <w:p w14:paraId="43D27F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PMC13577202</w:t>
      </w:r>
    </w:p>
    <w:p w14:paraId="3AD803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42746607</w:t>
      </w:r>
    </w:p>
    <w:p w14:paraId="06E6C1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E014BE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IJTLD Open. 2026 Sep 15;3(9):568-573. doi: 10.5588/ijtldopen.26.0039. </w:t>
      </w:r>
    </w:p>
    <w:p w14:paraId="0EE59ED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677079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7E874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Household structures and exposure networks among people with multidrug-resistant </w:t>
      </w:r>
    </w:p>
    <w:p w14:paraId="17618B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TB in Namibia.</w:t>
      </w:r>
    </w:p>
    <w:p w14:paraId="3723C2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A197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Iipumbu E(1), Hoddinott G(1)(2)(3)(4), Seddon JA(3)(5), Shavuka O(1), Boois </w:t>
      </w:r>
    </w:p>
    <w:p w14:paraId="53DDC2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L(1), Shinedima N(1), Haimbala V(1), Absalom L(1), Shiweva L(1), Ekandjo H(1), </w:t>
      </w:r>
    </w:p>
    <w:p w14:paraId="446CFA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Sibela S(1), Claassens M(1)(3).</w:t>
      </w:r>
    </w:p>
    <w:p w14:paraId="038E6A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D0838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2EEFE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Human, Biological and Translational Medical Sciences, School of </w:t>
      </w:r>
    </w:p>
    <w:p w14:paraId="2045D0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 University of Namibia, Windhoek, Namibia.</w:t>
      </w:r>
    </w:p>
    <w:p w14:paraId="76F5B9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(2)School of Public Health, Faculty of Medicine and Health, The University of </w:t>
      </w:r>
    </w:p>
    <w:p w14:paraId="10F275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Sydney, Sydney, NSW, Australia.</w:t>
      </w:r>
    </w:p>
    <w:p w14:paraId="4F9BB3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(3)Desmond Tutu TB Centre, Department of Pediatrics and Child Health, </w:t>
      </w:r>
    </w:p>
    <w:p w14:paraId="0B359A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Stellenbosch University, Cape Town, South Africa.</w:t>
      </w:r>
    </w:p>
    <w:p w14:paraId="259930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(4)The University of Sydney Infectious Diseases Institute (Sydney ID), Sydney, </w:t>
      </w:r>
    </w:p>
    <w:p w14:paraId="6ECFBB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NSW, Australia.</w:t>
      </w:r>
    </w:p>
    <w:p w14:paraId="667445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(5)Department of Infectious Disease, Imperial College London, London, UK.</w:t>
      </w:r>
    </w:p>
    <w:p w14:paraId="5335AB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5405C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Multidrug-resistant TB (MDR-TB) poses major challenges for TB </w:t>
      </w:r>
    </w:p>
    <w:p w14:paraId="66C650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control in high-TB-burden settings such as Namibia. In southern Africa, family </w:t>
      </w:r>
    </w:p>
    <w:p w14:paraId="6241F6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household structures are fluid, yet little is known about how MDR-TB </w:t>
      </w:r>
    </w:p>
    <w:p w14:paraId="385E65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interacts with these structures. We therefore explored family structures, </w:t>
      </w:r>
    </w:p>
    <w:p w14:paraId="63FC71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household changes, and implications for transmission and care among people </w:t>
      </w:r>
    </w:p>
    <w:p w14:paraId="1EBAD6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living with MDR-TB in Namibia.</w:t>
      </w:r>
    </w:p>
    <w:p w14:paraId="66353A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conducted a qualitative sub-study within the Hotspots, Hospitals and </w:t>
      </w:r>
    </w:p>
    <w:p w14:paraId="1DCC73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Households (H3TB) transmission of TB project. Between June 2021 and August 2023, </w:t>
      </w:r>
    </w:p>
    <w:p w14:paraId="115D5A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119 participants with MDR-TB were recruited from three regions of Namibia. </w:t>
      </w:r>
    </w:p>
    <w:p w14:paraId="5BCBA0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In-depth interviews using participatory kinship, social network, and community </w:t>
      </w:r>
    </w:p>
    <w:p w14:paraId="2FD00E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mapping tools were conducted. Data were thematically analysed, with case studies </w:t>
      </w:r>
    </w:p>
    <w:p w14:paraId="67BC1E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illustrating household reconfigurations.</w:t>
      </w:r>
    </w:p>
    <w:p w14:paraId="127C2F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identified 11 household structure patterns. Fourteen participants </w:t>
      </w:r>
    </w:p>
    <w:p w14:paraId="2636B4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reported changes in household composition following MDR-TB diagnosis, driven by </w:t>
      </w:r>
    </w:p>
    <w:p w14:paraId="758CCC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moving closer to health services, reorganising to optimise family care, reducing </w:t>
      </w:r>
    </w:p>
    <w:p w14:paraId="26C22D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perceived exposure risks, and mitigating financial strain. These </w:t>
      </w:r>
    </w:p>
    <w:p w14:paraId="474058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reconfigurations altered co-residence patterns and potential TB contact </w:t>
      </w:r>
    </w:p>
    <w:p w14:paraId="55A956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networks, with implications for household-based active case finding.</w:t>
      </w:r>
    </w:p>
    <w:p w14:paraId="3A82BB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MDR-TB acts as a stressor prompting household reorganisation, </w:t>
      </w:r>
    </w:p>
    <w:p w14:paraId="6EA021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reshaping networks of exposure, care, and support. Accounting for dynamic </w:t>
      </w:r>
    </w:p>
    <w:p w14:paraId="45D7C3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household contexts may strengthen TB contact tracing and patient support </w:t>
      </w:r>
    </w:p>
    <w:p w14:paraId="3EF3A6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strategies.</w:t>
      </w:r>
    </w:p>
    <w:p w14:paraId="519DFA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482C4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</w:t>
      </w:r>
    </w:p>
    <w:p w14:paraId="06CDE1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5FB16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10.5588/ijtldopen.26.0039</w:t>
      </w:r>
    </w:p>
    <w:p w14:paraId="5762B3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PMC13577213</w:t>
      </w:r>
    </w:p>
    <w:p w14:paraId="7C4C4C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42746590</w:t>
      </w:r>
    </w:p>
    <w:p w14:paraId="69FD28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C20078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Access Microbiol. 2026 Sep 15;8(9):001080.v3. doi: 10.1099/acmi.0.001080.v3. </w:t>
      </w:r>
    </w:p>
    <w:p w14:paraId="44752AB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72A79F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2829A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Primary tuberculous liver abscess in an immunocompromised patient: a case </w:t>
      </w:r>
    </w:p>
    <w:p w14:paraId="113444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report.</w:t>
      </w:r>
    </w:p>
    <w:p w14:paraId="5879DF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F8AD0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Bentaher I(1)(2), Bssaibis F(1)(2), Ben Lahlou Y(1)(2), Benaissa E(1)(2), Chadli </w:t>
      </w:r>
    </w:p>
    <w:p w14:paraId="13DF1D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M(1)(2).</w:t>
      </w:r>
    </w:p>
    <w:p w14:paraId="3970FF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B541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D14C0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(1)Bacteriology Laboratory, Mohammed V Military Teaching Hospital, Rabat, </w:t>
      </w:r>
    </w:p>
    <w:p w14:paraId="19BCAD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Morocco.</w:t>
      </w:r>
    </w:p>
    <w:p w14:paraId="239541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(2)Faculty of Medicine and Pharmacy of Rabat, Rabat, Morocco.</w:t>
      </w:r>
    </w:p>
    <w:p w14:paraId="449957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3642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Isolated tuberculous abscess of the liver is an extremely rare clinical entity </w:t>
      </w:r>
    </w:p>
    <w:p w14:paraId="33FC7C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represents a diagnostic challenge, as it can easily be confused with other </w:t>
      </w:r>
    </w:p>
    <w:p w14:paraId="4481B5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hepatic lesions of infectious or tumoral origin. We report the case of a </w:t>
      </w:r>
    </w:p>
    <w:p w14:paraId="552119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67-year-old immunocompromised female patient with no known history of </w:t>
      </w:r>
    </w:p>
    <w:p w14:paraId="6BFA46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who was admitted for a liver abscess initially detected by </w:t>
      </w:r>
    </w:p>
    <w:p w14:paraId="19919D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abdominal computed tomography scan. Aspiration of the lesion revealed an </w:t>
      </w:r>
    </w:p>
    <w:p w14:paraId="1779C2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 involving Mycobacterium tuberculosis, confirmed by PCR analysis. The </w:t>
      </w:r>
    </w:p>
    <w:p w14:paraId="2EC4F2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 was treated with an appropriate antibiotic regimen of standard four-drug </w:t>
      </w:r>
    </w:p>
    <w:p w14:paraId="1F92FE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antituberculous therapy. Clinical and radiological follow-up showed progressive </w:t>
      </w:r>
    </w:p>
    <w:p w14:paraId="5CEC58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improvement, with complete recovery achieved after 6 months of treatment. This </w:t>
      </w:r>
    </w:p>
    <w:p w14:paraId="379992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 highlights the importance of considering hepatic tuberculosis, particularly </w:t>
      </w:r>
    </w:p>
    <w:p w14:paraId="11760C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 endemic regions and in immunocompromised individuals.</w:t>
      </w:r>
    </w:p>
    <w:p w14:paraId="1FA9CD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9285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The Authors.</w:t>
      </w:r>
    </w:p>
    <w:p w14:paraId="5F1F6C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F35DF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10.1099/acmi.0.001080.v3</w:t>
      </w:r>
    </w:p>
    <w:p w14:paraId="44019B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PMC13577192</w:t>
      </w:r>
    </w:p>
    <w:p w14:paraId="2EC81F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42746431</w:t>
      </w:r>
    </w:p>
    <w:p w14:paraId="5C3EB2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2E7FE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IJTLD Open. 2026 Sep 15;3(9):545-551. doi: 10.5588/ijtldopen.25.0802. </w:t>
      </w:r>
    </w:p>
    <w:p w14:paraId="18B29AB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4AEE6F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37B2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Implementation insights into bridging the gaps in isoniazid preventive therapy </w:t>
      </w:r>
    </w:p>
    <w:p w14:paraId="7CA92E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uptake in adults with HIV.</w:t>
      </w:r>
    </w:p>
    <w:p w14:paraId="101EF2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59BCD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Nevrekar N(1)(2), Pm A(1), Gupte N(1), Dhumal G(1)(2), Kulkarni P(1)(2), </w:t>
      </w:r>
    </w:p>
    <w:p w14:paraId="77A200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Shrisunder R(1)(2), Ubale K(2), Munde S(3), Gupta A(4), Suryavanshi N(1)(2).</w:t>
      </w:r>
    </w:p>
    <w:p w14:paraId="48CBE7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888C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16BB5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(1)Johns Hopkins Center for Infectious Diseases in India, Pune, Maharashtra, </w:t>
      </w:r>
    </w:p>
    <w:p w14:paraId="3B62DD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India.</w:t>
      </w:r>
    </w:p>
    <w:p w14:paraId="251788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(2)B.J. Government Medical College-Johns Hopkins University Clinical Research </w:t>
      </w:r>
    </w:p>
    <w:p w14:paraId="64B863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Site, Pune, India.</w:t>
      </w:r>
    </w:p>
    <w:p w14:paraId="5802B2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(3)Byramjee Jeejeebhoy Government Medical College and Sassoon General Hospital, </w:t>
      </w:r>
    </w:p>
    <w:p w14:paraId="0DD3F4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Pune, India.</w:t>
      </w:r>
    </w:p>
    <w:p w14:paraId="6654E4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(4)Division of Infectious Diseases, Johns Hopkins University School of Medicine, </w:t>
      </w:r>
    </w:p>
    <w:p w14:paraId="2528A9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Baltimore, MD, USA.</w:t>
      </w:r>
    </w:p>
    <w:p w14:paraId="6B1DF6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3384A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remains the leading opportunistic infection among people living </w:t>
      </w:r>
    </w:p>
    <w:p w14:paraId="01C1AC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HIV (PLHIV). Isoniazid preventive therapy (IPT) is a key strategy for TB </w:t>
      </w:r>
    </w:p>
    <w:p w14:paraId="2F2283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prevention, yet uptake remains suboptimal. This study examined barriers and </w:t>
      </w:r>
    </w:p>
    <w:p w14:paraId="353115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facilitators to IPT uptake among adult PLHIV and health care providers (HCPs) </w:t>
      </w:r>
    </w:p>
    <w:p w14:paraId="1F6E15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using the Consolidated Framework for Implementation Research (CFIR).</w:t>
      </w:r>
    </w:p>
    <w:p w14:paraId="091C6E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cross-sectional, mixed-methods study was conducted at the BJ </w:t>
      </w:r>
    </w:p>
    <w:p w14:paraId="4AB962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Government Medical College ART Centre, Pune, India, from May 2022 to July 2023. </w:t>
      </w:r>
    </w:p>
    <w:p w14:paraId="2205A0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Qualitative data from 11 in-depth interviews (5 PLHIV, 6 HCPs) were thematically </w:t>
      </w:r>
    </w:p>
    <w:p w14:paraId="2702E1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analysed using MAXQDA-2022, and quantitative data from 201 PLHIV were analysed </w:t>
      </w:r>
    </w:p>
    <w:p w14:paraId="018067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using R.</w:t>
      </w:r>
    </w:p>
    <w:p w14:paraId="55ED69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201 PLHIV, 50% (n = 100) completed IPT, 38% (n = 77) missed </w:t>
      </w:r>
    </w:p>
    <w:p w14:paraId="443773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doses, and 23% (n = 47) reported side effects. Integrated analysis identified </w:t>
      </w:r>
    </w:p>
    <w:p w14:paraId="55F6CA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 stock-outs as the dominant system-level barrier, alongside facility-level </w:t>
      </w:r>
    </w:p>
    <w:p w14:paraId="44413A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constraints such as limited counselling due to staff shortages. Individual-level </w:t>
      </w:r>
    </w:p>
    <w:p w14:paraId="4DF347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barriers included fear of side effects and time constraints. Facilitators </w:t>
      </w:r>
    </w:p>
    <w:p w14:paraId="0FD190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included effective counselling, family support, perceived preventive benefits, </w:t>
      </w:r>
    </w:p>
    <w:p w14:paraId="715AD4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motivation, and trust in providers. HCPs emphasised assertive counselling, </w:t>
      </w:r>
    </w:p>
    <w:p w14:paraId="209F85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routine IPT prescription, and regular follow-up as critical to improving IPT </w:t>
      </w:r>
    </w:p>
    <w:p w14:paraId="24D12F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completion.</w:t>
      </w:r>
    </w:p>
    <w:p w14:paraId="27190F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Ensuring an uninterrupted drug supply, sufficient staffing, and </w:t>
      </w:r>
    </w:p>
    <w:p w14:paraId="5FBA5A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structured counselling is essential for strengthening IPT implementation within </w:t>
      </w:r>
    </w:p>
    <w:p w14:paraId="40B7FB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HIV programmes.</w:t>
      </w:r>
    </w:p>
    <w:p w14:paraId="59BD9E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0BBAB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</w:t>
      </w:r>
    </w:p>
    <w:p w14:paraId="031348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7B4BB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10.5588/ijtldopen.25.0802</w:t>
      </w:r>
    </w:p>
    <w:p w14:paraId="2A015E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PMC13577205</w:t>
      </w:r>
    </w:p>
    <w:p w14:paraId="01B82B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42746401</w:t>
      </w:r>
    </w:p>
    <w:p w14:paraId="0ACA8E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CD51B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IJTLD Open. 2026 Sep 15;3(9):552-560. doi: 10.5588/ijtldopen.26.0142. </w:t>
      </w:r>
    </w:p>
    <w:p w14:paraId="0598FCA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7FD651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A6E5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Unequal recovery of TB notifications after COVID-19 in Colombia, 2018-2022.</w:t>
      </w:r>
    </w:p>
    <w:p w14:paraId="3C89E3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A1694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Valencia-Aguirre S(1)(2), Castaneda-Orjuela CA(3), Gaitán LH(4), Escobar CF(1), </w:t>
      </w:r>
    </w:p>
    <w:p w14:paraId="7121B7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Cervera BS(5), García-Basteiro AL(1)(6)(7)(8).</w:t>
      </w:r>
    </w:p>
    <w:p w14:paraId="405788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8E055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11592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(1)Barcelona Institute for Global Health (ISGlobal), Hospital Clínic of </w:t>
      </w:r>
    </w:p>
    <w:p w14:paraId="7ABFAD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Barcelona, Universitat de Barcelona, Barcelona, Spain.</w:t>
      </w:r>
    </w:p>
    <w:p w14:paraId="731E9C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(2)Research Group in Epidemiology, University of Antioquia, Medellín, Colombia.</w:t>
      </w:r>
    </w:p>
    <w:p w14:paraId="1F57E5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(3)Epidemiology and Public Health Evaluation Group, Universidad Nacional de </w:t>
      </w:r>
    </w:p>
    <w:p w14:paraId="3ED559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Colombia, Bogotá, Colombia.</w:t>
      </w:r>
    </w:p>
    <w:p w14:paraId="60ECAC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(4)Bogota District Health Secretariat (Secretaria Distrital de Salud de Bogota), </w:t>
      </w:r>
    </w:p>
    <w:p w14:paraId="561A91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Bogota, Colombia.</w:t>
      </w:r>
    </w:p>
    <w:p w14:paraId="611058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(5)Parasites and Microbes, Wellcome Sanger Institute, Cambridge, UK.</w:t>
      </w:r>
    </w:p>
    <w:p w14:paraId="66A4DE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(6)Centro de Investigação em Saúde de Manhiça (CISM), Manhiça, Mozambique.</w:t>
      </w:r>
    </w:p>
    <w:p w14:paraId="1E8405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(7)Centro de Investigación Biomédica en Red de Enfermedades Infecciosas </w:t>
      </w:r>
    </w:p>
    <w:p w14:paraId="69445F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CIBERINFEC, Barcelona, Spain.</w:t>
      </w:r>
    </w:p>
    <w:p w14:paraId="70FC5E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(8)Department of Preventive Medicine and Epidemiology, Hospital Clínic, </w:t>
      </w:r>
    </w:p>
    <w:p w14:paraId="662A78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Barcelona, Spain.</w:t>
      </w:r>
    </w:p>
    <w:p w14:paraId="608899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D88EF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COVID-19 pandemic disrupted TB services and case notifications </w:t>
      </w:r>
    </w:p>
    <w:p w14:paraId="7D3D1C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worldwide, but disaggregated analyses are needed to identify inequities in </w:t>
      </w:r>
    </w:p>
    <w:p w14:paraId="668CBC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post-pandemic recovery.</w:t>
      </w:r>
    </w:p>
    <w:p w14:paraId="172B76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We analysed national TB surveillance data from Colombia (January </w:t>
      </w:r>
    </w:p>
    <w:p w14:paraId="63987C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2018-November 2022) using interrupted time-series models. Monthly notification </w:t>
      </w:r>
    </w:p>
    <w:p w14:paraId="73E9A2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rates were estimated overall and by sex, age, health insurance scheme, area of </w:t>
      </w:r>
    </w:p>
    <w:p w14:paraId="0E80D7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residence, and indigenous status. Models quantified the immediate change in </w:t>
      </w:r>
    </w:p>
    <w:p w14:paraId="2CA855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March 2020, post-interruption trend changes, and divergence from counterfactual </w:t>
      </w:r>
    </w:p>
    <w:p w14:paraId="76ACA6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rates projected from pre-pandemic trends.</w:t>
      </w:r>
    </w:p>
    <w:p w14:paraId="641BD7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 N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ational notification rates fell by 17.1 cases per million in March </w:t>
      </w:r>
    </w:p>
    <w:p w14:paraId="25EF5E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2020, a 45.0% reduction relative to expected values. Notifications subsequently </w:t>
      </w:r>
    </w:p>
    <w:p w14:paraId="064960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increased and by November 2022 exceeded counterfactual projections by 13.2%. </w:t>
      </w:r>
    </w:p>
    <w:p w14:paraId="13FBA1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Disaggregated analyses showed heterogeneous recovery. Rates were 19.3% above </w:t>
      </w:r>
    </w:p>
    <w:p w14:paraId="1F5039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expected among men versus 3.0% among women, and 13.1% among adults aged ≥15 </w:t>
      </w:r>
    </w:p>
    <w:p w14:paraId="76E730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years versus 4.0% among children aged &lt;15 years. Notifications in the subsidised </w:t>
      </w:r>
    </w:p>
    <w:p w14:paraId="061835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insurance scheme were ∼26% above expected, whereas those in the contributory </w:t>
      </w:r>
    </w:p>
    <w:p w14:paraId="586997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scheme remained below expected. Urban rates exceeded projections, while rates </w:t>
      </w:r>
    </w:p>
    <w:p w14:paraId="31FA6C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for indigenous men remained below.</w:t>
      </w:r>
    </w:p>
    <w:p w14:paraId="0ED41F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National recovery masked persistent subgroup inequities, </w:t>
      </w:r>
    </w:p>
    <w:p w14:paraId="507FF0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highlighting the need for disaggregated surveillance to guide equitable TB </w:t>
      </w:r>
    </w:p>
    <w:p w14:paraId="299B43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control after major health system shocks.</w:t>
      </w:r>
    </w:p>
    <w:p w14:paraId="1D9F0D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4E05A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</w:t>
      </w:r>
    </w:p>
    <w:p w14:paraId="459EC6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146B8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10.5588/ijtldopen.26.0142</w:t>
      </w:r>
    </w:p>
    <w:p w14:paraId="5CD566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PMC13577209</w:t>
      </w:r>
    </w:p>
    <w:p w14:paraId="289BF4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42746397</w:t>
      </w:r>
    </w:p>
    <w:p w14:paraId="2ED6D9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9750B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IJTLD Open. 2026 Sep 15;3(9):592-597. doi: 10.5588/ijtldopen.26.0098. </w:t>
      </w:r>
    </w:p>
    <w:p w14:paraId="0D3949B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2C5736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0598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Anaemia, hypoalbuminemia, and risk of cycloserine-associated neuropsychiatric </w:t>
      </w:r>
    </w:p>
    <w:p w14:paraId="627660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toxicity in a shortened oral regimen for multidrug/rifampicin-resistant TB.</w:t>
      </w:r>
    </w:p>
    <w:p w14:paraId="3D2FF8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9164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Shen EQL(1), Rashitov M(2), Algozhina E(2), Arlyapova N(3), Skrahina A(4), </w:t>
      </w:r>
    </w:p>
    <w:p w14:paraId="76746D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LaHood A(5), Trevisi L(5), Osso E(5), Romo M(5), Seung KJ(3)(6), Mitnick </w:t>
      </w:r>
    </w:p>
    <w:p w14:paraId="7E5FDF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CD(3)(5)(6), Rich ML(3)(6), Franke MF(5)(7), Algozhin Y(2).</w:t>
      </w:r>
    </w:p>
    <w:p w14:paraId="2680A0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D7F79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7C1F0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(1)Harvard Medical School, Boston, MA, USA.</w:t>
      </w:r>
    </w:p>
    <w:p w14:paraId="4ECBD0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(2)Partners In Health Kazakhstan, Almaty, Kazakhstan.</w:t>
      </w:r>
    </w:p>
    <w:p w14:paraId="426429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(3)Partners In Health, Boston, MA, USA.</w:t>
      </w:r>
    </w:p>
    <w:p w14:paraId="10D404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(4)The Republican Scientific and Practical Centre for Pulmonology and </w:t>
      </w:r>
    </w:p>
    <w:p w14:paraId="543E98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Tuberculosis, Minsk, Belarus.</w:t>
      </w:r>
    </w:p>
    <w:p w14:paraId="25421C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Global Health and Social Medicine, Harvard Medical School, </w:t>
      </w:r>
    </w:p>
    <w:p w14:paraId="6C8F22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Boston, MA, USA.</w:t>
      </w:r>
    </w:p>
    <w:p w14:paraId="4A8859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(6)Division of Global Health Equity, Department of Medicine, Brigham and Women's </w:t>
      </w:r>
    </w:p>
    <w:p w14:paraId="1D279D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Boston, MA, USA.</w:t>
      </w:r>
    </w:p>
    <w:p w14:paraId="185230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Epidemiology, Harvard T.H. Chan School of Public Health, </w:t>
      </w:r>
    </w:p>
    <w:p w14:paraId="357760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Boston, MA, USA.</w:t>
      </w:r>
    </w:p>
    <w:p w14:paraId="56295A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D434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All-oral shortened regimens for multidrug/rifampicin-resistant TB </w:t>
      </w:r>
    </w:p>
    <w:p w14:paraId="02DEDF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(MDR/RR-TB) commonly include cycloserine, which is associated with </w:t>
      </w:r>
    </w:p>
    <w:p w14:paraId="1B63E3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neuropsychiatric toxicity. Predictors of cycloserine-related adverse events </w:t>
      </w:r>
    </w:p>
    <w:p w14:paraId="5E7267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remain poorly defined. We assessed whether baseline anaemia or hypoalbuminemia </w:t>
      </w:r>
    </w:p>
    <w:p w14:paraId="5B0A8F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predict neuropsychiatric toxicity.</w:t>
      </w:r>
    </w:p>
    <w:p w14:paraId="23C2C5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conducted a prospective cohort study of three 9-month standardised </w:t>
      </w:r>
    </w:p>
    <w:p w14:paraId="568AFF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MDR/RR-TB regimens in Kazakhstan. Regimens shared a core of a fluoroquinolone, </w:t>
      </w:r>
    </w:p>
    <w:p w14:paraId="10BFC4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bedaquiline, and linezolid; one regimen included cycloserine. Neuropsychiatric </w:t>
      </w:r>
    </w:p>
    <w:p w14:paraId="406FB7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adverse events of special interest (AESIs) included peripheral neuropathy, </w:t>
      </w:r>
    </w:p>
    <w:p w14:paraId="4B36F2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seizures, and psychosis. We conducted logistic regression to calculate </w:t>
      </w:r>
    </w:p>
    <w:p w14:paraId="59A8DA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associations between baseline anaemia and hypoalbuminemia and neuropsychiatric </w:t>
      </w:r>
    </w:p>
    <w:p w14:paraId="291A85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 central nervous system (CNS)-specific AESIs.</w:t>
      </w:r>
    </w:p>
    <w:p w14:paraId="09F23E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556 cycloserine-treated individuals, 29 (5.2%) developed </w:t>
      </w:r>
    </w:p>
    <w:p w14:paraId="3DB37E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neuropsychiatric AESIs. Adjusted odds ratios comparing anaemia vs. no anaemia </w:t>
      </w:r>
    </w:p>
    <w:p w14:paraId="673679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2.40 (95% confidence interval [CI]: 1.01-5.72) for neuropsychiatric AESIs </w:t>
      </w:r>
    </w:p>
    <w:p w14:paraId="25C46A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2.71 (95% CI: 0.74-9.91) for CNS-specific AESIs. Adjusted odds ratios for </w:t>
      </w:r>
    </w:p>
    <w:p w14:paraId="23F321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grade ≥2 hypoalbuminemia were 3.59 (95% CI: 0.88-14.60) and 7.40 (95% CI: </w:t>
      </w:r>
    </w:p>
    <w:p w14:paraId="15E5EC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1.58-34.66), respectively. In 146 individuals without cycloserine, </w:t>
      </w:r>
    </w:p>
    <w:p w14:paraId="2EA11D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neuropsychiatric AESI occurred in 0/49 with anaemia versus 5/97 without anaemia </w:t>
      </w:r>
    </w:p>
    <w:p w14:paraId="7EA8E0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(0% vs 5.2%; P = 0.168), and in 1/3 with grade ≥2 hypoalbuminemia versus 3/90 </w:t>
      </w:r>
    </w:p>
    <w:p w14:paraId="786428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without (33.3% vs 3.3%; Fisher's exact P = 0.125).</w:t>
      </w:r>
    </w:p>
    <w:p w14:paraId="640403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Baseline anaemia and hypoalbuminemia were associated with increased </w:t>
      </w:r>
    </w:p>
    <w:p w14:paraId="5E3DAD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neuropsychiatric toxicity risk during treatment with a cycloserine-containing </w:t>
      </w:r>
    </w:p>
    <w:p w14:paraId="16D828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regimen. Whether these associations are specific to cycloserine merits further </w:t>
      </w:r>
    </w:p>
    <w:p w14:paraId="33AAA7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study.</w:t>
      </w:r>
    </w:p>
    <w:p w14:paraId="6DBE3F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D1FBC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</w:t>
      </w:r>
    </w:p>
    <w:p w14:paraId="7269C8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E5CCE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10.5588/ijtldopen.26.0098</w:t>
      </w:r>
    </w:p>
    <w:p w14:paraId="5D49D1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PMC13577210</w:t>
      </w:r>
    </w:p>
    <w:p w14:paraId="526255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42746387</w:t>
      </w:r>
    </w:p>
    <w:p w14:paraId="4A7D1B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69E0A1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IJTLD Open. 2026 Sep 15;3(9):607-609. doi: 10.5588/ijtldopen.26.0337. </w:t>
      </w:r>
    </w:p>
    <w:p w14:paraId="7BDE45C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14E5DC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2C6B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Multimorbidity care during TB treatment: no longer if, but how.</w:t>
      </w:r>
    </w:p>
    <w:p w14:paraId="544933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6502E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Calderwood C(1)(2)(3), Marambire E(2), Mufare O(2), Bernays S(2)(4), Kranzer </w:t>
      </w:r>
    </w:p>
    <w:p w14:paraId="305BC1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K(2)(3)(5).</w:t>
      </w:r>
    </w:p>
    <w:p w14:paraId="588B18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2C7D7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3E102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(1)National Heart and Lung Institute, Imperial College London, London, UK.</w:t>
      </w:r>
    </w:p>
    <w:p w14:paraId="22173F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(2)The Health Research Unit Zimbabwe, Biomedical Research and Training </w:t>
      </w:r>
    </w:p>
    <w:p w14:paraId="6189C5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Institute, Harare, Zimbabwe.</w:t>
      </w:r>
    </w:p>
    <w:p w14:paraId="52CE8A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(3)Clinical Research Department, London School of Hygiene &amp; Tropical Medicine, </w:t>
      </w:r>
    </w:p>
    <w:p w14:paraId="213803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London, UK.</w:t>
      </w:r>
    </w:p>
    <w:p w14:paraId="03AF7E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(4)University of Sydney, Sydney, Australia.</w:t>
      </w:r>
    </w:p>
    <w:p w14:paraId="40511E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(5)Division of Infectious Diseases and Tropical Medicine, University Hospital, </w:t>
      </w:r>
    </w:p>
    <w:p w14:paraId="362D2B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LMU Munich, Munich, Germany.</w:t>
      </w:r>
    </w:p>
    <w:p w14:paraId="1B49F7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D74C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10.5588/ijtldopen.26.0337</w:t>
      </w:r>
    </w:p>
    <w:p w14:paraId="12BA6C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PMC13577211</w:t>
      </w:r>
    </w:p>
    <w:p w14:paraId="6E6B64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42746384</w:t>
      </w:r>
    </w:p>
    <w:p w14:paraId="47BCAD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4897F5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IJTLD Open. 2026 Sep 15;3(9):601-603. doi: 10.5588/ijtldopen.26.0265. </w:t>
      </w:r>
    </w:p>
    <w:p w14:paraId="7AC7052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5F9F57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73774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Cost-effectiveness of QuantiFERON for TB infection screening in household </w:t>
      </w:r>
    </w:p>
    <w:p w14:paraId="3844C4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contacts in the Philippines.</w:t>
      </w:r>
    </w:p>
    <w:p w14:paraId="7351CB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35BDF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Mortera LL(1), Padua JO(2), Alagna R(3).</w:t>
      </w:r>
    </w:p>
    <w:p w14:paraId="476662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302B9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6C097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(1)Lung Center of the Philippines, Manila, Philippines.</w:t>
      </w:r>
    </w:p>
    <w:p w14:paraId="27E3C9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(2)University of Santo Tomas Hospital, Manila, Philippines.</w:t>
      </w:r>
    </w:p>
    <w:p w14:paraId="08C926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(3)QIAGEN S.r.l., Milan, Italy.</w:t>
      </w:r>
    </w:p>
    <w:p w14:paraId="54DAE7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7CAC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10.5588/ijtldopen.26.0265</w:t>
      </w:r>
    </w:p>
    <w:p w14:paraId="229B0B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PMC13577214</w:t>
      </w:r>
    </w:p>
    <w:p w14:paraId="2979E2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42746381</w:t>
      </w:r>
    </w:p>
    <w:p w14:paraId="60CBE2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FFC47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IJTLD Open. 2026 Sep 15;3(9):586-591. doi: 10.5588/ijtldopen.26.0269. </w:t>
      </w:r>
    </w:p>
    <w:p w14:paraId="1273D83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5F2F9E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A0CA3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Real-world treatment outcomes and adverse events during BPaLM therapy for </w:t>
      </w:r>
    </w:p>
    <w:p w14:paraId="7BB405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rifampicin-resistant TB.</w:t>
      </w:r>
    </w:p>
    <w:p w14:paraId="4E99C9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CAFB2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Choong CV(1)(2), Soh EP(1), Ong YY(3), Tay JX(3), Khoong CHL(1)(2), Lau </w:t>
      </w:r>
    </w:p>
    <w:p w14:paraId="47E1BC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AEL(1)(2), Chee CBE(1)(2).</w:t>
      </w:r>
    </w:p>
    <w:p w14:paraId="2FB9E2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DC26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EFE4B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(1)National Tuberculosis Care Centre, Tan Tock Seng Hospital, Singapore.</w:t>
      </w:r>
    </w:p>
    <w:p w14:paraId="5F0B96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Respiratory and Critical Care Medicine, Tan Tock Seng Hospital, </w:t>
      </w:r>
    </w:p>
    <w:p w14:paraId="70FB70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Singapore.</w:t>
      </w:r>
    </w:p>
    <w:p w14:paraId="7981D2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(3)Pharmacy Division, National Centre of Infectious Diseases, Tan Tock Seng </w:t>
      </w:r>
    </w:p>
    <w:p w14:paraId="4A7D64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Hospital.</w:t>
      </w:r>
    </w:p>
    <w:p w14:paraId="527F67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C73A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trials have demonstrated high efficacy of bedaquiline, </w:t>
      </w:r>
    </w:p>
    <w:p w14:paraId="2D7038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pretomanid, and linezolid with or without moxifloxacin (BPaLM/BPaL) for </w:t>
      </w:r>
    </w:p>
    <w:p w14:paraId="7A4257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rifampicin-resistant and multidrug-resistant TB (RR/MDR-TB), but real-world </w:t>
      </w:r>
    </w:p>
    <w:p w14:paraId="2956AA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implementation data remain limited, particularly from South-East Asian </w:t>
      </w:r>
    </w:p>
    <w:p w14:paraId="40E9ED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programmatic settings. We report Singapore's national experience with </w:t>
      </w:r>
    </w:p>
    <w:p w14:paraId="0DF0A5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BPaLM/BPaL, focusing on treatment outcomes and adverse drug events.</w:t>
      </w:r>
    </w:p>
    <w:p w14:paraId="00BB9A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conducted a retrospective analysis of all RR/MDR-TB patients treated </w:t>
      </w:r>
    </w:p>
    <w:p w14:paraId="2BE349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BPaLM/BPaL at the National Tuberculosis Care Centre (NTBCC), Singapore, </w:t>
      </w:r>
    </w:p>
    <w:p w14:paraId="10F4CD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between July 2022 and September 2025. Data on demographics, microbiology, </w:t>
      </w:r>
    </w:p>
    <w:p w14:paraId="1DC785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characteristics, adverse drug reactions, and outcomes were extracted </w:t>
      </w:r>
    </w:p>
    <w:p w14:paraId="6D02E0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from a standing database.</w:t>
      </w:r>
    </w:p>
    <w:p w14:paraId="4B4F87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Thirty-three patients were included (median age 39 years, 45.4% men). </w:t>
      </w:r>
    </w:p>
    <w:p w14:paraId="69B500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Over half were asymptomatic at diagnosis, and 90.9% had culture-confirmed </w:t>
      </w:r>
    </w:p>
    <w:p w14:paraId="5DC1FD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disease. All patients who completed treatment locally achieved treatment success </w:t>
      </w:r>
    </w:p>
    <w:p w14:paraId="687572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without any relapses observed during available follow-up. Adverse drug reactions </w:t>
      </w:r>
    </w:p>
    <w:p w14:paraId="026B28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requiring regimen modification occurred in 21 patients (63.6%). Moxifloxacin was </w:t>
      </w:r>
    </w:p>
    <w:p w14:paraId="0419E3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discontinued for 14 patients (42.4%), predominantly due to QTc prolongation and </w:t>
      </w:r>
    </w:p>
    <w:p w14:paraId="7DE42C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gastrointestinal intolerance while 11 patients (33.3%) required linezolid dose </w:t>
      </w:r>
    </w:p>
    <w:p w14:paraId="623F75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reduction due to haematological toxicity and peripheral neuropathy.</w:t>
      </w:r>
    </w:p>
    <w:p w14:paraId="6F04A0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BPaLM/BPaL achieved excellent early effectiveness but required </w:t>
      </w:r>
    </w:p>
    <w:p w14:paraId="38404D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frequent regimen modifications. Successful implementation of short-course </w:t>
      </w:r>
    </w:p>
    <w:p w14:paraId="52A6B5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RR/MDR-TB regimens requires anticipatory toxicity monitoring, flexible regimen </w:t>
      </w:r>
    </w:p>
    <w:p w14:paraId="309274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management, and robust treatment support systems.</w:t>
      </w:r>
    </w:p>
    <w:p w14:paraId="5DF6D6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6ACE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</w:t>
      </w:r>
    </w:p>
    <w:p w14:paraId="748DE9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7503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10.5588/ijtldopen.26.0269</w:t>
      </w:r>
    </w:p>
    <w:p w14:paraId="58224F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PMC13577208</w:t>
      </w:r>
    </w:p>
    <w:p w14:paraId="7F0F57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42746380</w:t>
      </w:r>
    </w:p>
    <w:p w14:paraId="18EDC0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5E28F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MedComm (2020). 2026 Sep 15;7(10):e70974. doi: 10.1002/mco2.70974. eCollection 2026 Oct.</w:t>
      </w:r>
    </w:p>
    <w:p w14:paraId="3F1AA2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5D02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Post-Tuberculosis Lung Disease: Clinicopathologic Insights, Diagnosis, </w:t>
      </w:r>
    </w:p>
    <w:p w14:paraId="4C179C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Prevention, and Management.</w:t>
      </w:r>
    </w:p>
    <w:p w14:paraId="3FE7B5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8AF16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Gopalaswamy R(1), Subbian S(2).</w:t>
      </w:r>
    </w:p>
    <w:p w14:paraId="571A7D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DADE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33600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(1)Madurai Kamaraj University Madurai India.</w:t>
      </w:r>
    </w:p>
    <w:p w14:paraId="6FBCED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(2)Public Health Research Institute, New Jersey Medical School, Rutgers The </w:t>
      </w:r>
    </w:p>
    <w:p w14:paraId="2EBA3D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State University of New Jersey Newark New Jersey USA.</w:t>
      </w:r>
    </w:p>
    <w:p w14:paraId="69C1D1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56F0E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Post-tuberculosis lung disease (PTLD) encompasses a spectrum of chronic </w:t>
      </w:r>
    </w:p>
    <w:p w14:paraId="60D782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abnormalities arising from tuberculosis (TB)-associated tissue injury </w:t>
      </w:r>
    </w:p>
    <w:p w14:paraId="5B9853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maladaptive repair, and is emerging as a major contributor to long-term </w:t>
      </w:r>
    </w:p>
    <w:p w14:paraId="1A9905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respiratory disability among TB survivors. In this review, we position PTLD </w:t>
      </w:r>
    </w:p>
    <w:p w14:paraId="1DEBFE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within the broader continuum of TB pathobiology, from initial host-pathogen </w:t>
      </w:r>
    </w:p>
    <w:p w14:paraId="4546C6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interactions to chronic structural and functional lung sequelae. We examine </w:t>
      </w:r>
    </w:p>
    <w:p w14:paraId="170698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current definitions, epidemiology, and clinical burden, and present mechanistic </w:t>
      </w:r>
    </w:p>
    <w:p w14:paraId="460400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insights into the inflammatory, proteolytic, fibrotic, immunometabolic, and </w:t>
      </w:r>
    </w:p>
    <w:p w14:paraId="002B63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vascular pathways that drive persistent lung damage. We further discuss the </w:t>
      </w:r>
    </w:p>
    <w:p w14:paraId="29D977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heterogeneous clinical phenotypes of PTLD, including airflow obstruction, </w:t>
      </w:r>
    </w:p>
    <w:p w14:paraId="4F84B8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bronchiectasis, restrictive lung disease, pleural complications, chronic </w:t>
      </w:r>
    </w:p>
    <w:p w14:paraId="685BD4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aspergillosis, and nontuberculous mycobacterial disease, highlighting </w:t>
      </w:r>
    </w:p>
    <w:p w14:paraId="3F0707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practical approaches to diagnosis, risk stratification, and management across </w:t>
      </w:r>
    </w:p>
    <w:p w14:paraId="0049BD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diverse healthcare settings. We discuss PTLD in children and adolescents, </w:t>
      </w:r>
    </w:p>
    <w:p w14:paraId="2E2AFB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prevention opportunities throughout the TB care cascade, and health-system </w:t>
      </w:r>
    </w:p>
    <w:p w14:paraId="105641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strategies for integrating post-TB care. Finally, we identify key knowledge gaps </w:t>
      </w:r>
    </w:p>
    <w:p w14:paraId="1AB0B4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PTLD nosology, biomarkers, therapeutic development, clinical trial design, </w:t>
      </w:r>
    </w:p>
    <w:p w14:paraId="054F12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implementation science. Recognition of PTLD as a continuation rather than an </w:t>
      </w:r>
    </w:p>
    <w:p w14:paraId="49F8CD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endpoint of TB is essential for advancing survivorship-focused care and reducing </w:t>
      </w:r>
    </w:p>
    <w:p w14:paraId="2061D4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 global burden of chronic respiratory disease after TB.</w:t>
      </w:r>
    </w:p>
    <w:p w14:paraId="221990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D3A4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 The Author(s). MedComm published by Sichuan International Medical </w:t>
      </w:r>
    </w:p>
    <w:p w14:paraId="084B51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Exchange &amp; Promotion Association (SCIMEA) and John Wiley &amp; Sons Australia, Ltd.</w:t>
      </w:r>
    </w:p>
    <w:p w14:paraId="073B3D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DFF4B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10.1002/mco2.70974</w:t>
      </w:r>
    </w:p>
    <w:p w14:paraId="4C92B1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PMC13575780</w:t>
      </w:r>
    </w:p>
    <w:p w14:paraId="312827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42746233</w:t>
      </w:r>
    </w:p>
    <w:p w14:paraId="1EF372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36858F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Health Sci Rep. 2026 Sep 15;9(9):e73010. doi: 10.1002/hsr2.73010. eCollection </w:t>
      </w:r>
    </w:p>
    <w:p w14:paraId="142929B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2026 Sep.</w:t>
      </w:r>
    </w:p>
    <w:p w14:paraId="174657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EF71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in Sudan: A Comprehensive Narrative Review of Epidemiological </w:t>
      </w:r>
    </w:p>
    <w:p w14:paraId="5E67D9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Trends, Diagnosis, Drug Resistance, Challenges, and Data Gaps.</w:t>
      </w:r>
    </w:p>
    <w:p w14:paraId="5FD951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98CF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Kamal MA(1), Altayb HN(2), Abdulgader SM(3), Moglad E(1).</w:t>
      </w:r>
    </w:p>
    <w:p w14:paraId="4A9F27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23C38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B81F9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Pharmaceutics, College of Pharmacy Prince Sattam bin Abdulaziz </w:t>
      </w:r>
    </w:p>
    <w:p w14:paraId="00ECA7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Alkharj Saudi Arabia.</w:t>
      </w:r>
    </w:p>
    <w:p w14:paraId="4EBB5D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Biochemistry, Faculty of Sciences King Abdulaziz University </w:t>
      </w:r>
    </w:p>
    <w:p w14:paraId="4CC050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Jeddah Saudi Arabia.</w:t>
      </w:r>
    </w:p>
    <w:p w14:paraId="43509E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(3)DSI-NRF Centre of Excellence for Biomedical Tuberculosis Research, South </w:t>
      </w:r>
    </w:p>
    <w:p w14:paraId="0EC26E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African Medical Research Council Centre for Tuberculosis Research, Division of </w:t>
      </w:r>
    </w:p>
    <w:p w14:paraId="0402D5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Molecular Biology and Human Genetics, Faculty of Medicine and Health Sciences </w:t>
      </w:r>
    </w:p>
    <w:p w14:paraId="6E2E49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Stellenbosch University Cape Town South Africa.</w:t>
      </w:r>
    </w:p>
    <w:p w14:paraId="3217EE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E631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 AND AIMS: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narrative review aims to provide a comprehensive </w:t>
      </w:r>
    </w:p>
    <w:p w14:paraId="186E51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overview of tuberculosis (TB) in Sudan, focusing on prevalence, drug resistance </w:t>
      </w:r>
    </w:p>
    <w:p w14:paraId="10B2E6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patterns, and associated challenges while identifying knowledge gaps in </w:t>
      </w:r>
    </w:p>
    <w:p w14:paraId="547691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scientific research and data needed for effective management.</w:t>
      </w:r>
    </w:p>
    <w:p w14:paraId="2B6EFE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comprehensive literature search was conducted using PubMed, Scopus, </w:t>
      </w:r>
    </w:p>
    <w:p w14:paraId="498B44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Web of Science, and Google Scholar without language or date restrictions. </w:t>
      </w:r>
    </w:p>
    <w:p w14:paraId="4D561A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Thirty-two studies and TB notification data from 2009 to 2025 were analyzed.</w:t>
      </w:r>
    </w:p>
    <w:p w14:paraId="7C3B56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Among 32 studies, 41% (13/32) addressed TB prevalence and 59% (19/32) </w:t>
      </w:r>
    </w:p>
    <w:p w14:paraId="1DFC0B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explored drug resistance. Kassala State reported the highest pulmonary TB </w:t>
      </w:r>
    </w:p>
    <w:p w14:paraId="035D5F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prevalence (70%), while Khartoum had 17%. Drug-resistant TB was more prevalent </w:t>
      </w:r>
    </w:p>
    <w:p w14:paraId="48D1C4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Khartoum (41.5%) than Kassala (21.4%). Only 23 studies examined HIV </w:t>
      </w:r>
    </w:p>
    <w:p w14:paraId="2F0504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coinfections. TB notifications declined from 209 per 100,000 in 2009 to 10 per </w:t>
      </w:r>
    </w:p>
    <w:p w14:paraId="0B0AA2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100,000 in 2019 but increased to 50 per 100,000 after the COVID-19 pandemic. </w:t>
      </w:r>
    </w:p>
    <w:p w14:paraId="5EC936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Data were lacking for Sudan's western states. Because of the Sudan war, in 2024, </w:t>
      </w:r>
    </w:p>
    <w:p w14:paraId="7BE92E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14,310 cases were reported.</w:t>
      </w:r>
    </w:p>
    <w:p w14:paraId="0CB72F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review underlines the scarcity of TB research in Sudan and </w:t>
      </w:r>
    </w:p>
    <w:p w14:paraId="7721A2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highlights the urgent need for an integrated health information system to </w:t>
      </w:r>
    </w:p>
    <w:p w14:paraId="4CB499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generate accurate, updated data for timely interventions.</w:t>
      </w:r>
    </w:p>
    <w:p w14:paraId="043183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7FDA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Author(s). Health Science Reports published by Wiley Periodicals LLC.</w:t>
      </w:r>
    </w:p>
    <w:p w14:paraId="7299DB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91D0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10.1002/hsr2.73010</w:t>
      </w:r>
    </w:p>
    <w:p w14:paraId="5B8620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PMC13575636</w:t>
      </w:r>
    </w:p>
    <w:p w14:paraId="49421C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42746231</w:t>
      </w:r>
    </w:p>
    <w:p w14:paraId="7E12D8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E6822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BMC Glob Public Health. 2026 Sep 15;4(1):88. doi: 10.1186/s44263-026-00324-4.</w:t>
      </w:r>
    </w:p>
    <w:p w14:paraId="39C2D1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8CB03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epidemiological impact, costs, and cost-effectiveness of implementing </w:t>
      </w:r>
    </w:p>
    <w:p w14:paraId="791FDB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household contact investigation with tuberculosis preventive treatment in Nepal: </w:t>
      </w:r>
    </w:p>
    <w:p w14:paraId="52549B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 model-based analysis.</w:t>
      </w:r>
    </w:p>
    <w:p w14:paraId="0AFE4F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7F489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Paudel R(#)(1), Thapa A(#)(2), Shrestha S(3), Dorjee K(4), Dhital R(1), Dowdy </w:t>
      </w:r>
    </w:p>
    <w:p w14:paraId="43EB2D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DW(5), Caws M(1)(6), Shrestha S(5).</w:t>
      </w:r>
    </w:p>
    <w:p w14:paraId="337B12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7618A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3F65C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(1)Birat Nepal Medical Trust, Kathmandu, Nepal.</w:t>
      </w:r>
    </w:p>
    <w:p w14:paraId="54259A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(2)Birat Nepal Medical Trust, Kathmandu, Nepal. anchal.thapa@bnmt.org.np.</w:t>
      </w:r>
    </w:p>
    <w:p w14:paraId="5D5BB7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(3)School of Epidemiology and Public Health, University of Ottawa, Ottawa, </w:t>
      </w:r>
    </w:p>
    <w:p w14:paraId="2F754F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Canada.</w:t>
      </w:r>
    </w:p>
    <w:p w14:paraId="5C256C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(4)Johns Hopkins School of Medicine, Baltimore, US.</w:t>
      </w:r>
    </w:p>
    <w:p w14:paraId="5745A7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Epidemiology, Johns Hopkins Bloomberg School of Public Health, </w:t>
      </w:r>
    </w:p>
    <w:p w14:paraId="571A0B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Baltimore, US.</w:t>
      </w:r>
    </w:p>
    <w:p w14:paraId="588576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Clinical Sciences, Liverpool School of Tropical Medicine, </w:t>
      </w:r>
    </w:p>
    <w:p w14:paraId="7C05EE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Liverpool, UK.</w:t>
      </w:r>
    </w:p>
    <w:p w14:paraId="15BA49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34CC58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3E91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 T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 burden of tuberculosis (TB) remains extremely high globally. It </w:t>
      </w:r>
    </w:p>
    <w:p w14:paraId="3A7D75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 increasingly recognized that contact investigation and preventive treatment </w:t>
      </w:r>
    </w:p>
    <w:p w14:paraId="7F4D04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are essential components of effective action to reduce TB. High-quality, local </w:t>
      </w:r>
    </w:p>
    <w:p w14:paraId="754A36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evidence of feasibility and impact is urgently needed to catalyse scale-up of </w:t>
      </w:r>
    </w:p>
    <w:p w14:paraId="330679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preventive treatment in high-burden, resource-constrained settings.</w:t>
      </w:r>
    </w:p>
    <w:p w14:paraId="2B543B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collected data on the costs and yields of contact investigation and </w:t>
      </w:r>
    </w:p>
    <w:p w14:paraId="312C5F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implementation of three months of isoniazid and rifapentine (3HP) to treat </w:t>
      </w:r>
    </w:p>
    <w:p w14:paraId="74EE92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latent TB infection (LTBI), among adult household members of people diagnosed </w:t>
      </w:r>
    </w:p>
    <w:p w14:paraId="73196A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TB, from a pilot conducted in two districts of Nepal (Chitwan and Pyuthan) </w:t>
      </w:r>
    </w:p>
    <w:p w14:paraId="559C21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August 2022 to March 2023. We developed and calibrated mathematical models </w:t>
      </w:r>
    </w:p>
    <w:p w14:paraId="269E4E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representing each district and estimated the number of TB episodes and deaths </w:t>
      </w:r>
    </w:p>
    <w:p w14:paraId="2E9115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averted by the intervention during 2023-2042. By combining net discounted costs </w:t>
      </w:r>
    </w:p>
    <w:p w14:paraId="4DD84B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discounted impact, we estimated the incremental cost-effectiveness of the </w:t>
      </w:r>
    </w:p>
    <w:p w14:paraId="02FDB2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intervention (compared to no intervention) from a health system perspective as </w:t>
      </w:r>
    </w:p>
    <w:p w14:paraId="233DD9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costs (United States Dollars (USD) in 2022) per disability-adjusted life-year </w:t>
      </w:r>
    </w:p>
    <w:p w14:paraId="3CD67B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(DALY) averted.</w:t>
      </w:r>
    </w:p>
    <w:p w14:paraId="15AC83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intervention screened 1,711 adult household contact persons for TB </w:t>
      </w:r>
    </w:p>
    <w:p w14:paraId="6853B3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LTBI, and treated 500 individuals for LTBI, achieving 98% 3HP acceptance and </w:t>
      </w:r>
    </w:p>
    <w:p w14:paraId="5CCB23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95% completion at 150 USD per contact person treated (including drug and test </w:t>
      </w:r>
    </w:p>
    <w:p w14:paraId="32561D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procurement and implementation costs). Including the impact of treating TB </w:t>
      </w:r>
    </w:p>
    <w:p w14:paraId="79317B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disease, the intervention was projected to avert 141 (95% Uncertainty Interval </w:t>
      </w:r>
    </w:p>
    <w:p w14:paraId="24419D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(UI): 86-224) disease episodes and 24 (95% UI: 13-39) deaths during 2023-2042, </w:t>
      </w:r>
    </w:p>
    <w:p w14:paraId="241B41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 8.2 episodes and 1.4 deaths averted per 100 contact persons screened. The </w:t>
      </w:r>
    </w:p>
    <w:p w14:paraId="5ED1B4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incremental cost-effectiveness of the intervention was 119 USD (95% UI: 51-255) </w:t>
      </w:r>
    </w:p>
    <w:p w14:paraId="4E916E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163 USD (95% UI: 76-328) per DALY averted in Chitwan and Pyuthan, </w:t>
      </w:r>
    </w:p>
    <w:p w14:paraId="39A8A2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respectively.</w:t>
      </w:r>
    </w:p>
    <w:p w14:paraId="26DB77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Screening and treating household members of people with TB for both </w:t>
      </w:r>
    </w:p>
    <w:p w14:paraId="10B65C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and LTBI can be successfully implemented in both rural and urban settings, is </w:t>
      </w:r>
    </w:p>
    <w:p w14:paraId="584D61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highly cost-effective and should be prioritized to reduce the TB burden in Nepal </w:t>
      </w:r>
    </w:p>
    <w:p w14:paraId="75BC4D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similar high-burden countries.</w:t>
      </w:r>
    </w:p>
    <w:p w14:paraId="142959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C88A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632651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550B7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10.1186/s44263-026-00324-4</w:t>
      </w:r>
    </w:p>
    <w:p w14:paraId="7FFEB1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PMC13576199</w:t>
      </w:r>
    </w:p>
    <w:p w14:paraId="180939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42745305</w:t>
      </w:r>
    </w:p>
    <w:p w14:paraId="702F7E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64728A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Clin Pharmacokinet. 2026 Sep 15. doi: 10.1007/s40262-026-01674-w. Online ahead of print.</w:t>
      </w:r>
    </w:p>
    <w:p w14:paraId="1CBD9A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34D10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Towards Model-Informed Precision Dosing of High-Dose Rifampicin: A Parsimonious </w:t>
      </w:r>
    </w:p>
    <w:p w14:paraId="3AA81D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Population Pharmacokinetic Model Capturing Saturation and Autoinduction in </w:t>
      </w:r>
    </w:p>
    <w:p w14:paraId="7E2F87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Tanzanian and South African Patients with Tuberculosis.</w:t>
      </w:r>
    </w:p>
    <w:p w14:paraId="1428E4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97C75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Petermann YJ(1), Said B(2)(3), Sariko ML(4), Thoma Y(5), Mpagama SG(2), Csajka </w:t>
      </w:r>
    </w:p>
    <w:p w14:paraId="7E03F7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C(#)(1)(6)(7), Guidi M(#)(8)(9)(10).</w:t>
      </w:r>
    </w:p>
    <w:p w14:paraId="58A0AF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B70C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84534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(1)Centre for Research and Innovation in Clinical Pharmaceutical Sciences, </w:t>
      </w:r>
    </w:p>
    <w:p w14:paraId="07D433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Lausanne University Hospital and University of Lausanne, Rue du Bugnon 17, 1011, </w:t>
      </w:r>
    </w:p>
    <w:p w14:paraId="257EB1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Lausanne, Switzerland.</w:t>
      </w:r>
    </w:p>
    <w:p w14:paraId="3E8AF6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(2)Kibong'oto Infectious Diseases Hospital, Sanya Juu, United Republic of </w:t>
      </w:r>
    </w:p>
    <w:p w14:paraId="0CBF48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Tanzania.</w:t>
      </w:r>
    </w:p>
    <w:p w14:paraId="14B91B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(3)The Nelson Mandela African Institution of Science and Technology, Arusha, </w:t>
      </w:r>
    </w:p>
    <w:p w14:paraId="298D53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United Republic of Tanzania.</w:t>
      </w:r>
    </w:p>
    <w:p w14:paraId="3CB8DF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(4)Kilimanjaro Clinical Research Institute Kilimanjaro, Moshi, United Republic </w:t>
      </w:r>
    </w:p>
    <w:p w14:paraId="5E5816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Tanzania.</w:t>
      </w:r>
    </w:p>
    <w:p w14:paraId="7BE078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(5)School of Engineering and Management Vaud, HES-SO University of Applied </w:t>
      </w:r>
    </w:p>
    <w:p w14:paraId="1910E1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Sciences and Arts Western Switzerland, 1401, Yverdon-les-Bains, Switzerland.</w:t>
      </w:r>
    </w:p>
    <w:p w14:paraId="526FB2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(6)Institute of Pharmaceutical Sciences of Western Switzerland, University of </w:t>
      </w:r>
    </w:p>
    <w:p w14:paraId="5D332B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Geneva, University of Lausanne, Geneva &amp; Lausanne, Switzerland.</w:t>
      </w:r>
    </w:p>
    <w:p w14:paraId="1C84B7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(7)School of Pharmaceutical Sciences, University of Geneva, University of </w:t>
      </w:r>
    </w:p>
    <w:p w14:paraId="61E636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Lausanne, Geneva &amp; Lausanne, Switzerland.</w:t>
      </w:r>
    </w:p>
    <w:p w14:paraId="478F86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(8)Centre for Research and Innovation in Clinical Pharmaceutical Sciences, </w:t>
      </w:r>
    </w:p>
    <w:p w14:paraId="6396C7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Lausanne University Hospital and University of Lausanne, Rue du Bugnon 17, 1011, </w:t>
      </w:r>
    </w:p>
    <w:p w14:paraId="43F72B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Lausanne, Switzerland. monia.guidi@chuv.ch.</w:t>
      </w:r>
    </w:p>
    <w:p w14:paraId="799F98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(9)Institute of Pharmaceutical Sciences of Western Switzerland, University of </w:t>
      </w:r>
    </w:p>
    <w:p w14:paraId="5D9253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Geneva, University of Lausanne, Geneva &amp; Lausanne, Switzerland. </w:t>
      </w:r>
    </w:p>
    <w:p w14:paraId="756529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monia.guidi@chuv.ch.</w:t>
      </w:r>
    </w:p>
    <w:p w14:paraId="609F40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(10)Service of Clinical Pharmacology, Lausanne University Hospital and </w:t>
      </w:r>
    </w:p>
    <w:p w14:paraId="754D0E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Lausanne, Lausanne, Switzerland. monia.guidi@chuv.ch.</w:t>
      </w:r>
    </w:p>
    <w:p w14:paraId="495B90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458052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247BE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Rifampicin, a cornerstone of tuberculosis treatment, exhibits </w:t>
      </w:r>
    </w:p>
    <w:p w14:paraId="55BB50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complex pharmacokinetics with variable absorption, saturable elimination and </w:t>
      </w:r>
    </w:p>
    <w:p w14:paraId="53F0BF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time-dependent autoinduction, together with marked inter- and intra-individual </w:t>
      </w:r>
    </w:p>
    <w:p w14:paraId="167132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variability in drug exposure. These properties challenge standard weight-based </w:t>
      </w:r>
    </w:p>
    <w:p w14:paraId="71EB7D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dosing and underscore the need for individualized strategies, particularly in </w:t>
      </w:r>
    </w:p>
    <w:p w14:paraId="07197A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high-burden settings like Tanzania. While therapeutic drug monitoring (TDM) </w:t>
      </w:r>
    </w:p>
    <w:p w14:paraId="0C185A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supported by model-informed precision dosing (MIPD) is being implemented, few of </w:t>
      </w:r>
    </w:p>
    <w:p w14:paraId="17423C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existing population pharmacokinetic (popPK) models includes Tanzanians and </w:t>
      </w:r>
    </w:p>
    <w:p w14:paraId="092BC7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are parsimonious.</w:t>
      </w:r>
    </w:p>
    <w:p w14:paraId="6EE065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OBJECTIVE: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study aimed to develop a parsimonious popPK model of rifampicin </w:t>
      </w:r>
    </w:p>
    <w:p w14:paraId="4E6598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successfully captures both its autoinductive and saturable elimination </w:t>
      </w:r>
    </w:p>
    <w:p w14:paraId="15D0A4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components, achieving predictive performance comparable to more complex </w:t>
      </w:r>
    </w:p>
    <w:p w14:paraId="4EF769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reference models described in the literature.</w:t>
      </w:r>
    </w:p>
    <w:p w14:paraId="5F6950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Rifampicin concentrations data from 42 Tanzanian and 92 South African </w:t>
      </w:r>
    </w:p>
    <w:p w14:paraId="7EB397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patients, covering doses up to 50 mg/kg over 2 weeks were used to develop the </w:t>
      </w:r>
    </w:p>
    <w:p w14:paraId="0F46C7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model, which was further benchmarked against literature reference models.</w:t>
      </w:r>
    </w:p>
    <w:p w14:paraId="22A17C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chosen model employed a one-compartment structure with </w:t>
      </w:r>
    </w:p>
    <w:p w14:paraId="161C8A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Michaelis-Menten elimination and a time-dependant Emax-based autoinduction </w:t>
      </w:r>
    </w:p>
    <w:p w14:paraId="2EEA29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function. The final model demonstrated individual Bayesian predictive </w:t>
      </w:r>
    </w:p>
    <w:p w14:paraId="396AD2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performance comparable to two complex reference popPK models, and confirmed </w:t>
      </w:r>
    </w:p>
    <w:p w14:paraId="3959F1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substantial inter-individual variability in exposure, with exposures differing </w:t>
      </w:r>
    </w:p>
    <w:p w14:paraId="229E0E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by up to fivefold within the same weight-based dosing cohort.</w:t>
      </w:r>
    </w:p>
    <w:p w14:paraId="6787BE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These findings support the implementation of MIPD and TDM to improve </w:t>
      </w:r>
    </w:p>
    <w:p w14:paraId="7EDDCF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efficacy and safety in TB treatment rather than relying on a uniform dosing </w:t>
      </w:r>
    </w:p>
    <w:p w14:paraId="7157C1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approach based on bodyweight. This model provides a robust foundation for </w:t>
      </w:r>
    </w:p>
    <w:p w14:paraId="16C6A7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individualized dosing and the deployment of clinical decision support tools in </w:t>
      </w:r>
    </w:p>
    <w:p w14:paraId="0A905F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high TB burden settings.</w:t>
      </w:r>
    </w:p>
    <w:p w14:paraId="792FB1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552A9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6A1917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571D6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10.1007/s40262-026-01674-w</w:t>
      </w:r>
    </w:p>
    <w:p w14:paraId="4B5679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42744994</w:t>
      </w:r>
    </w:p>
    <w:p w14:paraId="2E33F9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E4890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Ann Epidemiol. 2026 Sep 15;123:110288. doi: 10.1016/j.annepidem.2026.110288. </w:t>
      </w:r>
    </w:p>
    <w:p w14:paraId="369A6D4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17B52E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53654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Rethinking social pathways between tuberculosis stigma to treatment outcomes: A </w:t>
      </w:r>
    </w:p>
    <w:p w14:paraId="3E38A5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gender-stratified mediation analysis of social support.</w:t>
      </w:r>
    </w:p>
    <w:p w14:paraId="778B52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C3F4B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Bondarchuk CP(1), Olivier D(2), de Vos L(3), Arua E(4), Charalambous S(5), </w:t>
      </w:r>
    </w:p>
    <w:p w14:paraId="52E3A3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Theron G(6), Daniels J(7), Medina-Marino A(8).</w:t>
      </w:r>
    </w:p>
    <w:p w14:paraId="767772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7F228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2AA68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(1)Harvard Medical School, Boston, MA, United States.</w:t>
      </w:r>
    </w:p>
    <w:p w14:paraId="508C7C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(2)Desmond Tutu HIV Centre, University of Cape Town, Cape Town, South Africa.</w:t>
      </w:r>
    </w:p>
    <w:p w14:paraId="405E08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(3)Desmond Tutu HIV Centre, University of Cape Town, Cape Town, South Africa; </w:t>
      </w:r>
    </w:p>
    <w:p w14:paraId="0005AE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School of Public Health, University of Cape Town, Cape Town, South Africa.</w:t>
      </w:r>
    </w:p>
    <w:p w14:paraId="56FA73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(4)School of Public Health, University of Cape Town, Cape Town, South Africa.</w:t>
      </w:r>
    </w:p>
    <w:p w14:paraId="18454F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(5)The Aurum Institute, Johannesburg, South Africa; School of Public Health, </w:t>
      </w:r>
    </w:p>
    <w:p w14:paraId="06C025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Faculty of Health Sciences, University of the Witwatersrand, Johannesburg, South </w:t>
      </w:r>
    </w:p>
    <w:p w14:paraId="0EB4A2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6798D0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(6)DSI-NRF Centre of Excellence for Biomedical Tuberculosis Research, Centre for </w:t>
      </w:r>
    </w:p>
    <w:p w14:paraId="272A7B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Research, Division of Molecular Biology and Human Genetics, Faculty </w:t>
      </w:r>
    </w:p>
    <w:p w14:paraId="28592A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Medicine and Health Sciences, Stellenbosch University, Cape Town, South </w:t>
      </w:r>
    </w:p>
    <w:p w14:paraId="6EF4C3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45469A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(7)Edson College of Nursing and Health Innovation, Arizona State University, </w:t>
      </w:r>
    </w:p>
    <w:p w14:paraId="443673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Phoenix, AZ, United States.</w:t>
      </w:r>
    </w:p>
    <w:p w14:paraId="1D20C7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(8)DSI-NRF Centre of Excellence for Biomedical Tuberculosis Research, Centre for </w:t>
      </w:r>
    </w:p>
    <w:p w14:paraId="750EFF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Research, Division of Molecular Biology and Human Genetics, Faculty </w:t>
      </w:r>
    </w:p>
    <w:p w14:paraId="6A580D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Medicine and Health Sciences, Stellenbosch University, Cape Town, South </w:t>
      </w:r>
    </w:p>
    <w:p w14:paraId="1545FE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Africa; Department of Psychiatry Perelman School of Medicine, University of </w:t>
      </w:r>
    </w:p>
    <w:p w14:paraId="0DB092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Pennsylvania, Philadelphia, United States. Electronic address: </w:t>
      </w:r>
    </w:p>
    <w:p w14:paraId="60CBDC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amedina@sun.ac.za.</w:t>
      </w:r>
    </w:p>
    <w:p w14:paraId="620F83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12B4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mechanisms through which tuberculosis-related stigma (TB-stigma) influences </w:t>
      </w:r>
    </w:p>
    <w:p w14:paraId="374A3B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outcomes-and whether pathways differ by gender-remain incompletely </w:t>
      </w:r>
    </w:p>
    <w:p w14:paraId="3B5E48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understood. Social support (SS) has been proposed to mediate pathways linking </w:t>
      </w:r>
    </w:p>
    <w:p w14:paraId="4ED47C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TB-stigma to treatment vulnerability, although this assumption has rarely been </w:t>
      </w:r>
    </w:p>
    <w:p w14:paraId="236429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empirically tested. We evaluated associations between TB-stigma and treatment </w:t>
      </w:r>
    </w:p>
    <w:p w14:paraId="0C7019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success, with perceived SS as a mediator. We analyzed data from 620 adults </w:t>
      </w:r>
    </w:p>
    <w:p w14:paraId="28D158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receiving tuberculosis treatment in South Africa. We measured isolation- and </w:t>
      </w:r>
    </w:p>
    <w:p w14:paraId="742FC7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disclosure-related stigma using validated scales and assessed SS using the </w:t>
      </w:r>
    </w:p>
    <w:p w14:paraId="165C83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Multidimensional Scale of Perceived Social Support. The primary outcome was </w:t>
      </w:r>
    </w:p>
    <w:p w14:paraId="408637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success. Gender-stratified regression models estimated associations </w:t>
      </w:r>
    </w:p>
    <w:p w14:paraId="013DE8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between stigma, SS, and treatment success, and we assessed mediation using </w:t>
      </w:r>
    </w:p>
    <w:p w14:paraId="125D24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bootstrapped confidence intervals. Treatment success was higher among women </w:t>
      </w:r>
    </w:p>
    <w:p w14:paraId="1F5E73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(92.3%) than men (86.6%) (p = 0.04). Among men, higher isolation-related stigma </w:t>
      </w:r>
    </w:p>
    <w:p w14:paraId="3CF97E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was associated with lower family-based SS (standardized β=-0.18, 95% CI: -0.31, </w:t>
      </w:r>
    </w:p>
    <w:p w14:paraId="3DCEE4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-0.05) but not treatment success. Among women, isolation-related stigma was </w:t>
      </w:r>
    </w:p>
    <w:p w14:paraId="2C0DD2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higher odds of treatment success (adjusted odds ratio [aOR]: </w:t>
      </w:r>
    </w:p>
    <w:p w14:paraId="3FFBE9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1.55, 95% CI: 1.05-2.30), whereas disclosure-related stigma was associated with </w:t>
      </w:r>
    </w:p>
    <w:p w14:paraId="296B46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lower odds of treatment success (aOR: 0.76, 95% CI: 0.59-0.98). No evidence of </w:t>
      </w:r>
    </w:p>
    <w:p w14:paraId="65CE53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mediation by SS was observed. These findings suggest the relationship between </w:t>
      </w:r>
    </w:p>
    <w:p w14:paraId="698655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TB-stigma and treatment outcomes is gender- and stigma-dimension-specific and is </w:t>
      </w:r>
    </w:p>
    <w:p w14:paraId="1E7A04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not explained by perceived SS as currently operationalized. Rather than </w:t>
      </w:r>
    </w:p>
    <w:p w14:paraId="0F185C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indicating an absence of social mechanisms, these results suggest that current </w:t>
      </w:r>
    </w:p>
    <w:p w14:paraId="510EF9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measures of SS may not adequately capture how TB-stigma shapes treatment </w:t>
      </w:r>
    </w:p>
    <w:p w14:paraId="24D387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experiences, highlighting the need to better measure gendered and relational </w:t>
      </w:r>
    </w:p>
    <w:p w14:paraId="52206E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vulnerability mechanisms.</w:t>
      </w:r>
    </w:p>
    <w:p w14:paraId="512768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DA8C5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The Authors. Published by Elsevier Inc. All rights reserved.</w:t>
      </w:r>
    </w:p>
    <w:p w14:paraId="7752BD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DFDC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10.1016/j.annepidem.2026.110288</w:t>
      </w:r>
    </w:p>
    <w:p w14:paraId="4179D1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42744057</w:t>
      </w:r>
    </w:p>
    <w:p w14:paraId="2F98DC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E69936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Am J Trop Med Hyg. 2026 Sep 15:tpmd260301. doi: 10.4269/ajtmh.26-0301. Online </w:t>
      </w:r>
    </w:p>
    <w:p w14:paraId="654D61F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1ECA01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BC46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Pulmonary Tuberculosis and a Related Verrucous Plaque on the Sole of the Foot.</w:t>
      </w:r>
    </w:p>
    <w:p w14:paraId="5CC682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5C89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Meena A(1), Susan SS(1), Jinkala S(2), Kumar S(1).</w:t>
      </w:r>
    </w:p>
    <w:p w14:paraId="7C18B7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258E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372C6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(1)Dermatology and STD, Jawaharlal Institute of Postgraduate Medical Education &amp; </w:t>
      </w:r>
    </w:p>
    <w:p w14:paraId="7F0708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Research, Pondicherry, India.</w:t>
      </w:r>
    </w:p>
    <w:p w14:paraId="17B205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Pathology, Jawaharlal Institute of Postgraduate Medical </w:t>
      </w:r>
    </w:p>
    <w:p w14:paraId="14D6AA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Education &amp; Research, Pondicherry, India.</w:t>
      </w:r>
    </w:p>
    <w:p w14:paraId="31C2BE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A06AE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10.4269/ajtmh.26-0301</w:t>
      </w:r>
    </w:p>
    <w:p w14:paraId="14B78E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42743919</w:t>
      </w:r>
    </w:p>
    <w:p w14:paraId="4B51D6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68F54F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JMIR Res Protoc. 2026 Sep 15;15:e79438. doi: 10.2196/79438.</w:t>
      </w:r>
    </w:p>
    <w:p w14:paraId="727E70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B118C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Effect of Tuberculosis and HIV on the Epidemiological, Clinical, </w:t>
      </w:r>
    </w:p>
    <w:p w14:paraId="12A247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Virological, and Immunological Trajectory of COVID-19: Protocol for a </w:t>
      </w:r>
    </w:p>
    <w:p w14:paraId="2998CD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Prospective Case-Ascertained and Surveillance Study.</w:t>
      </w:r>
    </w:p>
    <w:p w14:paraId="6E3262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AFA3A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Diergaardt A(1), Iipumbu E(1), Netha S(1), Steenkamp P(2), Shiweva L(1), Kizito </w:t>
      </w:r>
    </w:p>
    <w:p w14:paraId="5B0BD0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B(3), Günther G(1)(4), Nepolo E(1), Woldetsadik T(5), Niemann S(#)(6), Modongo </w:t>
      </w:r>
    </w:p>
    <w:p w14:paraId="5F82D2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C(3), Claassens M(#)(1)(7).</w:t>
      </w:r>
    </w:p>
    <w:p w14:paraId="049C14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46D8D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8887C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(1)School of Medicine, University of Namibia, Bach Street, Windhoek, Namibia, </w:t>
      </w:r>
    </w:p>
    <w:p w14:paraId="796CD5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+264 612063111.</w:t>
      </w:r>
    </w:p>
    <w:p w14:paraId="687399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(2)Health Poverty Action, Gobabis, Namibia.</w:t>
      </w:r>
    </w:p>
    <w:p w14:paraId="1AFF1D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(3)Victus Global Botswana Organization, Gabarone, Botswana.</w:t>
      </w:r>
    </w:p>
    <w:p w14:paraId="51A29E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Pulmonology, Allergologie and Clinical Immunologie, </w:t>
      </w:r>
    </w:p>
    <w:p w14:paraId="56C35B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Inselspital, Bern University Hospital, University of Bern, Bern, Switzerland.</w:t>
      </w:r>
    </w:p>
    <w:p w14:paraId="0EB156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(5)Health Poverty Action, London, United Kingdom.</w:t>
      </w:r>
    </w:p>
    <w:p w14:paraId="1939E2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(6)Molecular and Experimental Mycobacteriology Group, Research Center Borstel, </w:t>
      </w:r>
    </w:p>
    <w:p w14:paraId="365DFC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Borstel, Germany.</w:t>
      </w:r>
    </w:p>
    <w:p w14:paraId="4F0D88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(7)Desmond Tutu Tuberculosis Centre, Department of Pediatrics and Child Health, </w:t>
      </w:r>
    </w:p>
    <w:p w14:paraId="299802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Faculty of Medicine and Health Sciences, Stellenbosch University, Tygerberg, </w:t>
      </w:r>
    </w:p>
    <w:p w14:paraId="6D8874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Western Cape, South Africa.</w:t>
      </w:r>
    </w:p>
    <w:p w14:paraId="151968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2F1EC3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039B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 T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 COVID-19 pandemic impacted over 620 million people, including </w:t>
      </w:r>
    </w:p>
    <w:p w14:paraId="1FEEFA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approximately 9 million in Africa, and introduced uncertainties, especially </w:t>
      </w:r>
    </w:p>
    <w:p w14:paraId="461166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regarding coinfection with tuberculosis (TB) or HIV. TB and HIV, both global </w:t>
      </w:r>
    </w:p>
    <w:p w14:paraId="18FAB7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epidemics, disproportionately affect low- and middle-income countries. Namibia </w:t>
      </w:r>
    </w:p>
    <w:p w14:paraId="1CF2FC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Botswana have reported high mortality rates due to TB and HIV, highlighting </w:t>
      </w:r>
    </w:p>
    <w:p w14:paraId="03581B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ongoing challenges.</w:t>
      </w:r>
    </w:p>
    <w:p w14:paraId="251E98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paper outlines the protocol for a research study in Botswana and </w:t>
      </w:r>
    </w:p>
    <w:p w14:paraId="0FDA5A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Namibia to address these uncertainties and enhance disease management for </w:t>
      </w:r>
    </w:p>
    <w:p w14:paraId="5FFA74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COVID-19, TB, and HIV, especially with coinfection. The central hypothesis is </w:t>
      </w:r>
    </w:p>
    <w:p w14:paraId="426900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TB or HIV coinfection increases the risk of adverse clinical, </w:t>
      </w:r>
    </w:p>
    <w:p w14:paraId="5AD59F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immunological, and virological COVID-19 outcomes.</w:t>
      </w:r>
    </w:p>
    <w:p w14:paraId="0F99F2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Core-NB is a prospective clinical cohort of patients with COVID-19 </w:t>
      </w:r>
    </w:p>
    <w:p w14:paraId="4C69F8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identified through facility-based surveillance. The objectives were to (1) </w:t>
      </w:r>
    </w:p>
    <w:p w14:paraId="360B92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characterize the early COVID-19 pandemic in conjunction with TB and HIV in </w:t>
      </w:r>
    </w:p>
    <w:p w14:paraId="096E21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clinical, epidemiological, virological, and immunological terms via a household </w:t>
      </w:r>
    </w:p>
    <w:p w14:paraId="350C26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transmission study; and (2) conduct targeted COVID-19 screening and testing in </w:t>
      </w:r>
    </w:p>
    <w:p w14:paraId="49C9A7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conjunction with TB and HIV case finding through a primary health care (PHC) </w:t>
      </w:r>
    </w:p>
    <w:p w14:paraId="171BA4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facility surveillance study. For objective 1, participants were identified with </w:t>
      </w:r>
    </w:p>
    <w:p w14:paraId="4C61B6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reverse-transcription polymerase chain reaction (PCR) confirmation of COVID-19 </w:t>
      </w:r>
    </w:p>
    <w:p w14:paraId="000F50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at ministry of health-designated laboratories in each country. For objective 2, </w:t>
      </w:r>
    </w:p>
    <w:p w14:paraId="15A2D7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PHC attendees were enrolled independent of the reason for attending.</w:t>
      </w:r>
    </w:p>
    <w:p w14:paraId="1F90E4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Index participants and consenting household contacts received home </w:t>
      </w:r>
    </w:p>
    <w:p w14:paraId="67627A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visits, including an initial enrollment visit on day 1 (the day of COVID-19 </w:t>
      </w:r>
    </w:p>
    <w:p w14:paraId="0E386B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diagnosis for the index patient) and 3 follow-up visits taking place within 28 </w:t>
      </w:r>
    </w:p>
    <w:p w14:paraId="0433A4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days of enrollment. Additionally, there were telephone follow-ups 3 months after </w:t>
      </w:r>
    </w:p>
    <w:p w14:paraId="71503F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enrollment. Age, sex, race, occupation, income, and educational attainment were </w:t>
      </w:r>
    </w:p>
    <w:p w14:paraId="49888B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recorded using a standardized questionnaire for all participants. Three </w:t>
      </w:r>
    </w:p>
    <w:p w14:paraId="71E748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respiratory specimens were obtained from each participant: (1) nasopharyngeal </w:t>
      </w:r>
    </w:p>
    <w:p w14:paraId="504ED1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swab (SARS-CoV-2 RNA extraction and PCR); (2) sputum (GeneXpert Ultra active TB </w:t>
      </w:r>
    </w:p>
    <w:p w14:paraId="0B8DF3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testing); and (3) extra sputum (an additional sputum sample was collected in </w:t>
      </w:r>
    </w:p>
    <w:p w14:paraId="4BCB9A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 the GeneXpert Ultra test was positive to use for culture and drug </w:t>
      </w:r>
    </w:p>
    <w:p w14:paraId="3508DE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susceptibility testing). The study was funded in October 2021, with data </w:t>
      </w:r>
    </w:p>
    <w:p w14:paraId="08B453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collection starting in June 2022 and finalized in February 2024. The household </w:t>
      </w:r>
    </w:p>
    <w:p w14:paraId="638991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component enrolled 66 index patients with COVID-19 and 144 household contacts. </w:t>
      </w:r>
    </w:p>
    <w:p w14:paraId="0282DF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total, 1556 participants were enrolled in the PHC clinic component. The </w:t>
      </w:r>
    </w:p>
    <w:p w14:paraId="2F9463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primary outcome data analyses are ongoing and expected to be published in July </w:t>
      </w:r>
    </w:p>
    <w:p w14:paraId="5C2870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2026, with secondary outcomes published in December 2026.</w:t>
      </w:r>
    </w:p>
    <w:p w14:paraId="7D0B7B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study will strengthen COVID-19, TB, and HIV diagnosis, </w:t>
      </w:r>
    </w:p>
    <w:p w14:paraId="30FB3C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surveillance, and control through (1) high-resolution surveillance and </w:t>
      </w:r>
    </w:p>
    <w:p w14:paraId="725CD8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transmission data to establish guidelines and policies; (2) data to develop </w:t>
      </w:r>
    </w:p>
    <w:p w14:paraId="646CD1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further interventions; (3) implementation of new technologies to improve care </w:t>
      </w:r>
    </w:p>
    <w:p w14:paraId="429C27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provision and boost the cooperation of stakeholders; (4) support for the </w:t>
      </w:r>
    </w:p>
    <w:p w14:paraId="081478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development of skills and expertise in-country; and (5) contribution of evidence </w:t>
      </w:r>
    </w:p>
    <w:p w14:paraId="27CE11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build a regional network of expertise in the COVID-19, TB, and HIV </w:t>
      </w:r>
    </w:p>
    <w:p w14:paraId="5ADDF1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coepidemics.</w:t>
      </w:r>
    </w:p>
    <w:p w14:paraId="054FC4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2CE5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Azaria Diergaardt, Etuhole Iipumbu, Sibongile Netha, Pieter Steenkamp, </w:t>
      </w:r>
    </w:p>
    <w:p w14:paraId="75F6EE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Libertina Shiweva, Balladiah Kizito, Gunar Günther, Emmanuel Nepolo, Tadesse </w:t>
      </w:r>
    </w:p>
    <w:p w14:paraId="33CB72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Woldetsadik, Stefan Niemann, Chawangwa Modongo, Mareli Claassens. Originally </w:t>
      </w:r>
    </w:p>
    <w:p w14:paraId="7A8F6A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published in JMIR Research Protocols (https://www.researchprotocols.org).</w:t>
      </w:r>
    </w:p>
    <w:p w14:paraId="783C6F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A4D63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10.2196/79438</w:t>
      </w:r>
    </w:p>
    <w:p w14:paraId="6C044A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PMC13577614</w:t>
      </w:r>
    </w:p>
    <w:p w14:paraId="3EFE33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42743535 [Indexed for MEDLINE]</w:t>
      </w:r>
    </w:p>
    <w:p w14:paraId="697BD8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FE360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One. 2026 Sep 15;21(9):e0358593. doi: 10.1371/journal.pone.0358593. </w:t>
      </w:r>
    </w:p>
    <w:p w14:paraId="3C1EF11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750D8F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4E0A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Temporal patterns of tuberculosis-associated hyperglycaemia and its effect on </w:t>
      </w:r>
    </w:p>
    <w:p w14:paraId="753167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outcomes in individuals not previously diabetic: A prospective cohort </w:t>
      </w:r>
    </w:p>
    <w:p w14:paraId="6E27B0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study.</w:t>
      </w:r>
    </w:p>
    <w:p w14:paraId="40CB09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EFC08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Musyoki VM(1)(2)(3), Mureithi M(1)(2), Heikinheimo A(1)(4), Maleche-Obimbo </w:t>
      </w:r>
    </w:p>
    <w:p w14:paraId="427654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E(3)(5), Maina D(6), Musau S(1)(3), Maganga R(7), Anzala O(1)(2), Njaanake </w:t>
      </w:r>
    </w:p>
    <w:p w14:paraId="118DCF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K(1)(2).</w:t>
      </w:r>
    </w:p>
    <w:p w14:paraId="4F2E25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C82D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CBD35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Medical Microbiology and Immunology, University of Nairobi, </w:t>
      </w:r>
    </w:p>
    <w:p w14:paraId="79EE9C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Kenya.</w:t>
      </w:r>
    </w:p>
    <w:p w14:paraId="1AF914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(2)KAVI-Institute of Clinical Research, University of Nairobi, Kenya.</w:t>
      </w:r>
    </w:p>
    <w:p w14:paraId="555BE3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(3)Tuberculosis and HIV Co-infection Training Program, Kenya.</w:t>
      </w:r>
    </w:p>
    <w:p w14:paraId="366090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(4)Department of Veterinary Medicine, University of Helsinki, Finland.</w:t>
      </w:r>
    </w:p>
    <w:p w14:paraId="67482D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(5)Department of Paediatrics and Child Health, University of Nairobi, Kenya.</w:t>
      </w:r>
    </w:p>
    <w:p w14:paraId="5DD362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(6)Rhodes Chest Clinic, Nairobi, Kenya.</w:t>
      </w:r>
    </w:p>
    <w:p w14:paraId="3E1729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Applied Health Sciences, University of Birmingham, United </w:t>
      </w:r>
    </w:p>
    <w:p w14:paraId="1E5B0A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Kingdom.</w:t>
      </w:r>
    </w:p>
    <w:p w14:paraId="326D51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F194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Active tuberculosis (TB) infection can induce hyperglycaemia and </w:t>
      </w:r>
    </w:p>
    <w:p w14:paraId="529725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insulin resistance, increasing the risk of type 2 diabetes mellitus and </w:t>
      </w:r>
    </w:p>
    <w:p w14:paraId="312122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worsening TB disease severity. However, data on the dynamics of TB-associated </w:t>
      </w:r>
    </w:p>
    <w:p w14:paraId="3870F1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hyperglycaemia and its effect on TB treatment outcomes among individuals not </w:t>
      </w:r>
    </w:p>
    <w:p w14:paraId="38AC6D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previously diabetic remain limited, particularly in high TB-burden settings. In </w:t>
      </w:r>
    </w:p>
    <w:p w14:paraId="303008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study, we aimed to investigate the prevalence and temporal patterns of </w:t>
      </w:r>
    </w:p>
    <w:p w14:paraId="57AEDC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TB-associated hyperglycaemia and its impact on disease presentation and TB </w:t>
      </w:r>
    </w:p>
    <w:p w14:paraId="0589F0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 outcomes among a cohort of individuals not previously diabetic.</w:t>
      </w:r>
    </w:p>
    <w:p w14:paraId="64357F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: This was a five-month longitudinal prospective cohort study conducted </w:t>
      </w:r>
    </w:p>
    <w:p w14:paraId="0F1E42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at two urban specialized TB healthcare facilities in Kenya among adults aged &gt;18 </w:t>
      </w:r>
    </w:p>
    <w:p w14:paraId="6E3A2F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years with bacteriologically confirmed pulmonary TB (PTB). Known diabetes </w:t>
      </w:r>
    </w:p>
    <w:p w14:paraId="757353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mellitus (DM) or prediabetic individuals were excluded during enrolment. </w:t>
      </w:r>
    </w:p>
    <w:p w14:paraId="7F1B29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Glycaemic status was assessed at baseline and months two and five using glycated </w:t>
      </w:r>
    </w:p>
    <w:p w14:paraId="309D75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haemoglobin (HbA1c) according to the American Diabetes Association guideline. </w:t>
      </w:r>
    </w:p>
    <w:p w14:paraId="552971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Hyperglycaemia was defined as HbA1c ≥5.7% and categorized as normoglycaemia, </w:t>
      </w:r>
    </w:p>
    <w:p w14:paraId="56EC1C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persistent, transient, or incident hyperglycaemia based on longitudinal </w:t>
      </w:r>
    </w:p>
    <w:p w14:paraId="00FB5E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measurements. Socio-demographic and clinical data were collected using a </w:t>
      </w:r>
    </w:p>
    <w:p w14:paraId="0299E5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structured questionnaire and analysed using SPSS version 26.0 and GraphPad Prism </w:t>
      </w:r>
    </w:p>
    <w:p w14:paraId="6A6EBF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version 9.0. Longitudinal trends in HbA1c levels and the association of </w:t>
      </w:r>
    </w:p>
    <w:p w14:paraId="1EB890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hyperglycaemia with DM-related symptoms, as well as TB treatment outcomes, were </w:t>
      </w:r>
    </w:p>
    <w:p w14:paraId="5506ED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assessed using the Friedman test and the Generalized Estimating Equations (GEE), </w:t>
      </w:r>
    </w:p>
    <w:p w14:paraId="3A1596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respectively.</w:t>
      </w:r>
    </w:p>
    <w:p w14:paraId="536834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enrolled and followed 87 individuals newly diagnosed with PTB. Of </w:t>
      </w:r>
    </w:p>
    <w:p w14:paraId="5C1342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these, 66 were tested for hyperglycaemia in month two after 7 died and 14 were </w:t>
      </w:r>
    </w:p>
    <w:p w14:paraId="3922A8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lost to follow-up/transferred out (LTFU/TO), and 70 in month 5, after an </w:t>
      </w:r>
    </w:p>
    <w:p w14:paraId="7CC73B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additional death, 7 re-engagements, and 2 LTFU/TO were reported. At enrolment, </w:t>
      </w:r>
    </w:p>
    <w:p w14:paraId="7694DC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cohort was predominantly male (76%), not married (53%), and HIV-negative </w:t>
      </w:r>
    </w:p>
    <w:p w14:paraId="08D3A9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(84%), with a median age of 37 years (IQR 29-44). Prevalence of hyperglycaemia </w:t>
      </w:r>
    </w:p>
    <w:p w14:paraId="6F643D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at baseline was 75% (95% Confidence Interval [CI] 65-83), with 45% of the </w:t>
      </w:r>
    </w:p>
    <w:p w14:paraId="7E40C9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individuals presenting as prediabetic and 30% as diabetic. At the month-two and </w:t>
      </w:r>
    </w:p>
    <w:p w14:paraId="15E3E9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month-five time points, the proportion of participants with prediabetes (pre-DM) </w:t>
      </w:r>
    </w:p>
    <w:p w14:paraId="5B152B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increased from 24% (16/66) to 30% (21/70), while the prevalence of DM declined </w:t>
      </w:r>
    </w:p>
    <w:p w14:paraId="0E36EC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21% (14/66) to 9% (6/70). Across the time points, HbA1c levels varied </w:t>
      </w:r>
    </w:p>
    <w:p w14:paraId="20431D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significantly (p &lt; 0.001). In GEE analysis, hyperglycaemic participants were </w:t>
      </w:r>
    </w:p>
    <w:p w14:paraId="119691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more likely to experience classic symptoms of DM such as frequent micturition </w:t>
      </w:r>
    </w:p>
    <w:p w14:paraId="057452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(adjusted Relative Risk [aRR] 1.76, 95% CI 1.12-2.77), increased thirst (aRR </w:t>
      </w:r>
    </w:p>
    <w:p w14:paraId="32E644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2.37, 95% CI 1.38-4.05), unintentional weight loss (aRR 1.84, 95% CI 1.24-2.75), </w:t>
      </w:r>
    </w:p>
    <w:p w14:paraId="63E55A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blurred vision (aRR 1.95, 95% CI 1.20-3.18). After adjusting for age, BMI, </w:t>
      </w:r>
    </w:p>
    <w:p w14:paraId="15A6E6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HIV, alcohol use, and smoking, hyperglycaemia was independently associated with </w:t>
      </w:r>
    </w:p>
    <w:p w14:paraId="3B3FC7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 increased risk of sputum positivity (aRR 4.22, 95% CI 2.09-8.52). Glycaemic </w:t>
      </w:r>
    </w:p>
    <w:p w14:paraId="3FDF93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variability was significantly associated with unfavourable TB treatment outcomes </w:t>
      </w:r>
    </w:p>
    <w:p w14:paraId="3171B1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(p &lt; 0.001).</w:t>
      </w:r>
    </w:p>
    <w:p w14:paraId="008310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New-onset hyperglycaemia was highly prevalent in adults newly </w:t>
      </w:r>
    </w:p>
    <w:p w14:paraId="1A0213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diagnosed with TB and persisted through the fifth month of TB treatment. </w:t>
      </w:r>
    </w:p>
    <w:p w14:paraId="1F4FD2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Hyperglycaemia was associated with classic diabetic symptoms and persisting </w:t>
      </w:r>
    </w:p>
    <w:p w14:paraId="529247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sputum positivity, highlighting the need to integrate glycaemic monitoring and </w:t>
      </w:r>
    </w:p>
    <w:p w14:paraId="6842F9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management into routine TB follow-up care.</w:t>
      </w:r>
    </w:p>
    <w:p w14:paraId="5E8421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D0C3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Musyoki et al. This is an open access article distributed </w:t>
      </w:r>
    </w:p>
    <w:p w14:paraId="5F3578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 the terms of the Creative Commons Attribution License, which permits </w:t>
      </w:r>
    </w:p>
    <w:p w14:paraId="6447C0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2ACBF2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2228DD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C32D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10.1371/journal.pone.0358593</w:t>
      </w:r>
    </w:p>
    <w:p w14:paraId="78EF85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PMC13577521</w:t>
      </w:r>
    </w:p>
    <w:p w14:paraId="6F8904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42743331 [Indexed for MEDLINE]</w:t>
      </w:r>
    </w:p>
    <w:p w14:paraId="025DFA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F96FE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Med. 2026 Sep 15;23(9):e1004965. doi: 10.1371/journal.pmed.1004965. </w:t>
      </w:r>
    </w:p>
    <w:p w14:paraId="60DDEC9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6D9934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79DC4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Predicting resistance to fluoroquinolones among patients with </w:t>
      </w:r>
    </w:p>
    <w:p w14:paraId="51AB44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rifampicin-resistant tuberculosis: A cross-country validation study.</w:t>
      </w:r>
    </w:p>
    <w:p w14:paraId="59C858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3EEE1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Shao T(1), Neves MR(2), Franke M(3), Mitnick C(3), Furin J(3), Cohen T(1), </w:t>
      </w:r>
    </w:p>
    <w:p w14:paraId="0C4C60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Yaesoubi R(2)(4).</w:t>
      </w:r>
    </w:p>
    <w:p w14:paraId="7CFDAF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9460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40A4A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Epidemiology of Microbial Diseases, Yale School of Public </w:t>
      </w:r>
    </w:p>
    <w:p w14:paraId="5F0349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Health, New Haven, Connecticut, United States of America.</w:t>
      </w:r>
    </w:p>
    <w:p w14:paraId="676A26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(2)Philip R. Lee Institute for Health Policy Studies, University of California </w:t>
      </w:r>
    </w:p>
    <w:p w14:paraId="79BEC1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San Francisco, San Francisco, California, United States of America.</w:t>
      </w:r>
    </w:p>
    <w:p w14:paraId="3FA175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Global Health and Social Medicine, Harvard Medical School, </w:t>
      </w:r>
    </w:p>
    <w:p w14:paraId="0094B0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Boston, Massachusetts, United States of America.</w:t>
      </w:r>
    </w:p>
    <w:p w14:paraId="49FF96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Epidemiology and Biostatistics, University of California San </w:t>
      </w:r>
    </w:p>
    <w:p w14:paraId="005B33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Francisco, San Francisco, California, United States of America.</w:t>
      </w:r>
    </w:p>
    <w:p w14:paraId="41120C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8C33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 F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luoroquinolones (FQs) are a cornerstone of most all-oral, shorter </w:t>
      </w:r>
    </w:p>
    <w:p w14:paraId="3FA873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regimens endorsed by the World Health Organization for the treatment of </w:t>
      </w:r>
    </w:p>
    <w:p w14:paraId="010A31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rifampicin-resistant or multidrug-resistant tuberculosis (RR/MDR-TB). Knowledge </w:t>
      </w:r>
    </w:p>
    <w:p w14:paraId="6EA6E6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resistance to FQs can help guide regimen selection at the point of care. In </w:t>
      </w:r>
    </w:p>
    <w:p w14:paraId="6A709D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settings where rapid testing for FQ resistance is unavailable, prediction models </w:t>
      </w:r>
    </w:p>
    <w:p w14:paraId="5D5C9A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could support treatment decisions by identifying FQ resistance based on patient </w:t>
      </w:r>
    </w:p>
    <w:p w14:paraId="72EA35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characteristics observable at the point of care. These prediction models have </w:t>
      </w:r>
    </w:p>
    <w:p w14:paraId="424AC8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been typically developed and evaluated within a single country, and their </w:t>
      </w:r>
    </w:p>
    <w:p w14:paraId="588F43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generalizability across different geographic settings is unclear.</w:t>
      </w:r>
    </w:p>
    <w:p w14:paraId="4BF157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 AND FINDINGS: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used data from 5,175 patients with RR-TB and available </w:t>
      </w:r>
    </w:p>
    <w:p w14:paraId="35058B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FQ drug susceptibility testing (DST) results submitted to the TB Portals, an </w:t>
      </w:r>
    </w:p>
    <w:p w14:paraId="33E148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open-access data-sharing platform curated by the National Institute of Allergy </w:t>
      </w:r>
    </w:p>
    <w:p w14:paraId="6D96EE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Infectious Diseases, from eight countries (Azerbaijan, Belarus, Georgia, </w:t>
      </w:r>
    </w:p>
    <w:p w14:paraId="7A3031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Kazakhstan, Kyrgyzstan, Moldova, Romania and Ukraine) between 2012 and 2024. </w:t>
      </w:r>
    </w:p>
    <w:p w14:paraId="1E4D3B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these patients, 1,772 (34.2%) had FQ-resistant TB. We developed prediction </w:t>
      </w:r>
    </w:p>
    <w:p w14:paraId="4128A2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models for FQ resistance using logistic regression, neural networks, and </w:t>
      </w:r>
    </w:p>
    <w:p w14:paraId="05E9FF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XGBoost. Models were evaluated under three strategies: (1) pooled models trained </w:t>
      </w:r>
    </w:p>
    <w:p w14:paraId="11611C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 multi-country data; (2) within-country models trained and evaluated using </w:t>
      </w:r>
    </w:p>
    <w:p w14:paraId="6D51D2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internal validation; and (3) cross-country models trained on subsets of </w:t>
      </w:r>
    </w:p>
    <w:p w14:paraId="1FA5D4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countries and externally validated on held-out countries. Model discrimination </w:t>
      </w:r>
    </w:p>
    <w:p w14:paraId="1E5489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was assessed using the area under the receiver operating characteristic curve </w:t>
      </w:r>
    </w:p>
    <w:p w14:paraId="524BA8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(AUROC) and the area under the precision-recall curve (AUPRC). Across the three </w:t>
      </w:r>
    </w:p>
    <w:p w14:paraId="331BDC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algorithms, pooled models showed moderate optimism-corrected discrimination, </w:t>
      </w:r>
    </w:p>
    <w:p w14:paraId="62C7D1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AUROC ranging from 0.70 to 0.72 and AUPRC ranging from 0.57 to 0.59. </w:t>
      </w:r>
    </w:p>
    <w:p w14:paraId="607EE4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Within-country models demonstrated slightly better discrimination, with AUROC </w:t>
      </w:r>
    </w:p>
    <w:p w14:paraId="4CA7D3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AUPRC reaching 0.8 for some countries. Cross-country external validation </w:t>
      </w:r>
    </w:p>
    <w:p w14:paraId="4CF860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showed that performance loss from using a model trained on external data could </w:t>
      </w:r>
    </w:p>
    <w:p w14:paraId="6D19AC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 negligible to &gt;0.1 AUPROC or AUROC, depending on the country and algorithm. A </w:t>
      </w:r>
    </w:p>
    <w:p w14:paraId="1C5F51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limited set of predictors, including case definition and </w:t>
      </w:r>
    </w:p>
    <w:p w14:paraId="3B2362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treatment-history-related variables, were among the most consistently </w:t>
      </w:r>
    </w:p>
    <w:p w14:paraId="7BD9C3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informative predictors, whereas demographic, comorbidity, social-risk, </w:t>
      </w:r>
    </w:p>
    <w:p w14:paraId="5F8720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education, and employment variables showed more variable contributions across </w:t>
      </w:r>
    </w:p>
    <w:p w14:paraId="446992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countries and algorithms. A limitation of our study is that the incidence of </w:t>
      </w:r>
    </w:p>
    <w:p w14:paraId="1900AD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RR-TB and FQ resistance was relatively stable in our analysis dataset. Hence, </w:t>
      </w:r>
    </w:p>
    <w:p w14:paraId="08AD1D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results may not generalize to scenarios with marked changes in MDR-TB </w:t>
      </w:r>
    </w:p>
    <w:p w14:paraId="7D7256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dynamics.</w:t>
      </w:r>
    </w:p>
    <w:p w14:paraId="770DA6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Predicting FQ resistance using demographic and clinical </w:t>
      </w:r>
    </w:p>
    <w:p w14:paraId="7AAC96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characteristics showed moderate ability to identify FQ resistance among patients </w:t>
      </w:r>
    </w:p>
    <w:p w14:paraId="1C05E6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RR-TB, but their performance and predictor patterns varied across </w:t>
      </w:r>
    </w:p>
    <w:p w14:paraId="31D6EB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countries. Models developed for one or several countries cannot be assumed to </w:t>
      </w:r>
    </w:p>
    <w:p w14:paraId="2AFB2D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generalize to other settings without rigorous external validation. These </w:t>
      </w:r>
    </w:p>
    <w:p w14:paraId="63EC56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findings highlight the limitations of globally trained prediction models for </w:t>
      </w:r>
    </w:p>
    <w:p w14:paraId="6C73E5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RR/MDR-TB and underscore the need for locally informed prediction models to </w:t>
      </w:r>
    </w:p>
    <w:p w14:paraId="485A70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support clinical decision-making.</w:t>
      </w:r>
    </w:p>
    <w:p w14:paraId="0E6FAE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950B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Shao et al. This is an open access article distributed under </w:t>
      </w:r>
    </w:p>
    <w:p w14:paraId="35920B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terms of the Creative Commons Attribution License, which permits </w:t>
      </w:r>
    </w:p>
    <w:p w14:paraId="20AB03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1419B7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799443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423D1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10.1371/journal.pmed.1004965</w:t>
      </w:r>
    </w:p>
    <w:p w14:paraId="3EB6E0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PMC13588531</w:t>
      </w:r>
    </w:p>
    <w:p w14:paraId="4CC01A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42743308 [Indexed for MEDLINE]</w:t>
      </w:r>
    </w:p>
    <w:p w14:paraId="5918AE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FFE8B3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Glob Public Health. 2026 Sep 15;6(9):e0005130. doi: </w:t>
      </w:r>
    </w:p>
    <w:p w14:paraId="71DF070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10.1371/journal.pgph.0005130. eCollection 2026.</w:t>
      </w:r>
    </w:p>
    <w:p w14:paraId="138D9E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DBF4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Latent tuberculosis infection in focus: Evaluating public concerns, treatment </w:t>
      </w:r>
    </w:p>
    <w:p w14:paraId="57AF3A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perceptions, and awareness in King Sabatha Dalindyebo Local Municipality, </w:t>
      </w:r>
    </w:p>
    <w:p w14:paraId="12DAAA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Eastern Cape, South Africa.</w:t>
      </w:r>
    </w:p>
    <w:p w14:paraId="374D86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33BA0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Faye LM(1), Sineke N(1), Dlatu N(2), Tsuro U(1), Hosu MC(1), Apalata T(1).</w:t>
      </w:r>
    </w:p>
    <w:p w14:paraId="466A8E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3BF6A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E376D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(1)School of Pathology, Faculty of Medicine and Health Sciences, Walter Sisulu </w:t>
      </w:r>
    </w:p>
    <w:p w14:paraId="6800F5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Mthatha, South Africa.</w:t>
      </w:r>
    </w:p>
    <w:p w14:paraId="019CAF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(2)School of Public Health, Walter Sisulu Institute for Clinical Governance and </w:t>
      </w:r>
    </w:p>
    <w:p w14:paraId="4A6EF6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Healthcare Administration, Faculty of Health Sciences, Walter Sisulu University, </w:t>
      </w:r>
    </w:p>
    <w:p w14:paraId="7D854D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Mthatha, South Africa.</w:t>
      </w:r>
    </w:p>
    <w:p w14:paraId="428028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9DD6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Latent tuberculosis infection (LTBI) remains an under-recognized component of </w:t>
      </w:r>
    </w:p>
    <w:p w14:paraId="1771B5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prevention in South Africa despite its potential to progress </w:t>
      </w:r>
    </w:p>
    <w:p w14:paraId="7AD211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active disease and contribute to ongoing transmission. This study assessed </w:t>
      </w:r>
    </w:p>
    <w:p w14:paraId="3EE119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community awareness, perceptions of LTBI treatment, and perceived barriers to </w:t>
      </w:r>
    </w:p>
    <w:p w14:paraId="134690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screening and care among adults in the King Sabata Dalindyebo Local </w:t>
      </w:r>
    </w:p>
    <w:p w14:paraId="1126EF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Municipality, Eastern Cape, South Africa. A community-based cross-sectional </w:t>
      </w:r>
    </w:p>
    <w:p w14:paraId="316E50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survey was conducted using a structured interviewer-administered questionnaire </w:t>
      </w:r>
    </w:p>
    <w:p w14:paraId="350EDD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assessing LTBI awareness, perceived risk of progression, understanding of the </w:t>
      </w:r>
    </w:p>
    <w:p w14:paraId="2E4675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consequences of untreated LTBI, attitudes towards screening and treatment, and </w:t>
      </w:r>
    </w:p>
    <w:p w14:paraId="33FED1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perceived barriers to care. Data were analysed using descriptive statistics, </w:t>
      </w:r>
    </w:p>
    <w:p w14:paraId="6BD4C3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chi-square tests, correlation analysis, and multivariable logistic regression to </w:t>
      </w:r>
    </w:p>
    <w:p w14:paraId="3D0254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identify independent predictors of LTBI knowledge. LTBI awareness varied </w:t>
      </w:r>
    </w:p>
    <w:p w14:paraId="122939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significantly across age groups, with the highest awareness observed among </w:t>
      </w:r>
    </w:p>
    <w:p w14:paraId="72DCC0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participants aged 20-29 years and lower awareness among older adults. Although </w:t>
      </w:r>
    </w:p>
    <w:p w14:paraId="12881F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concern about progression to active TB was high, knowledge of the consequences </w:t>
      </w:r>
    </w:p>
    <w:p w14:paraId="0C9E06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untreated LTBI and uptake of preventive treatment remained limited. Lack of </w:t>
      </w:r>
    </w:p>
    <w:p w14:paraId="288098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awareness was the most frequently reported barrier to LTBI screening and </w:t>
      </w:r>
    </w:p>
    <w:p w14:paraId="432361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treatment, followed by fear of medication side effects and stigma. Greater </w:t>
      </w:r>
    </w:p>
    <w:p w14:paraId="2EC501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knowledge of LTBI was associated with fewer informational barriers, while lower </w:t>
      </w:r>
    </w:p>
    <w:p w14:paraId="133E2E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educational attainment independently predicted poor LTBI knowledge. These </w:t>
      </w:r>
    </w:p>
    <w:p w14:paraId="7D10F0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findings demonstrate important gaps between awareness, perceived risk, and </w:t>
      </w:r>
    </w:p>
    <w:p w14:paraId="792ED8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engagement in preventive care. Strengthening community education, improving </w:t>
      </w:r>
    </w:p>
    <w:p w14:paraId="78A6A4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access to LTBI information, and addressing informational barriers may enhance </w:t>
      </w:r>
    </w:p>
    <w:p w14:paraId="58CFC4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screening uptake and preventive treatment in rural, high-burden communities, </w:t>
      </w:r>
    </w:p>
    <w:p w14:paraId="7BCF6A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thereby supporting tuberculosis elimination efforts in South Africa.</w:t>
      </w:r>
    </w:p>
    <w:p w14:paraId="0A5D56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011B5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Faye et al. This is an open access article distributed under </w:t>
      </w:r>
    </w:p>
    <w:p w14:paraId="2DF109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terms of the Creative Commons Attribution License, which permits </w:t>
      </w:r>
    </w:p>
    <w:p w14:paraId="7E5CBB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558EB4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4C7E91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F7D4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10.1371/journal.pgph.0005130</w:t>
      </w:r>
    </w:p>
    <w:p w14:paraId="22A175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PMC13577523</w:t>
      </w:r>
    </w:p>
    <w:p w14:paraId="2008C4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42743236</w:t>
      </w:r>
    </w:p>
    <w:p w14:paraId="265E10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3D50E0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Discov Nano. 2026 Sep 15;21(1):443. doi: 10.1186/s11671-026-04933-8.</w:t>
      </w:r>
    </w:p>
    <w:p w14:paraId="22207D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C7E45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Exploring the impact of nutrition and autophagy on infectious diseases to inform </w:t>
      </w:r>
    </w:p>
    <w:p w14:paraId="62EDEA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 development of homeostatic-nanomedicines for HIV-TB coinfections.</w:t>
      </w:r>
    </w:p>
    <w:p w14:paraId="01CCC0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60D9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Maphasa RE(1)(2)(3), Rambharose S(2), Chigorimbo-Murefu N(4), Fielding BC(3), </w:t>
      </w:r>
    </w:p>
    <w:p w14:paraId="6DE50E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Dube A(5).</w:t>
      </w:r>
    </w:p>
    <w:p w14:paraId="3F9573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F7DB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BB14C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(1)Infectious Disease Nanomedicine Research Group, School of Pharmacy, </w:t>
      </w:r>
    </w:p>
    <w:p w14:paraId="7F951E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the Western Cape, Bellville, Cape Town, 7535, South Africa.</w:t>
      </w:r>
    </w:p>
    <w:p w14:paraId="491DF9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Physiological Sciences, Stellenbosch University, Cape Town, </w:t>
      </w:r>
    </w:p>
    <w:p w14:paraId="76E93A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 Africa.</w:t>
      </w:r>
    </w:p>
    <w:p w14:paraId="3E034E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Microbiology, Science Faculty, Stellenbosch University, </w:t>
      </w:r>
    </w:p>
    <w:p w14:paraId="7ECF0B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Stellenbosch, South Africa.</w:t>
      </w:r>
    </w:p>
    <w:p w14:paraId="32739C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(4)International Centre for Genetic Engineering and Biotechnology, Wernher and </w:t>
      </w:r>
    </w:p>
    <w:p w14:paraId="505DF6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Beit Building (South), Anzio Road, Observatory, Cape Town, 7925, South Africa.</w:t>
      </w:r>
    </w:p>
    <w:p w14:paraId="3ACB98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(5)Infectious Disease Nanomedicine Research Group, School of Pharmacy, </w:t>
      </w:r>
    </w:p>
    <w:p w14:paraId="3F754E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University of the Western Cape, Bellville, Cape Town, 7535, South Africa. </w:t>
      </w:r>
    </w:p>
    <w:p w14:paraId="3ADA6B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adube@uwc.ac.za.</w:t>
      </w:r>
    </w:p>
    <w:p w14:paraId="7D6C31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A7C34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and the human immunodeficiency virus/acquired immune </w:t>
      </w:r>
    </w:p>
    <w:p w14:paraId="04BC09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deficiency syndrome (HIV/AIDS) remain among the most difficult infectious </w:t>
      </w:r>
    </w:p>
    <w:p w14:paraId="092E65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diseases to manage globally, especially in developing countries. The two </w:t>
      </w:r>
    </w:p>
    <w:p w14:paraId="3443CD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diseases have also been shown to have a synergistic relationship that worsens </w:t>
      </w:r>
    </w:p>
    <w:p w14:paraId="00DF0C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negative effects of each disease on patient health, disease management, and </w:t>
      </w:r>
    </w:p>
    <w:p w14:paraId="59D2B4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overall socioeconomic outcomes. Both diseases have been shown to accelerate each </w:t>
      </w:r>
    </w:p>
    <w:p w14:paraId="738038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other's progression and are associated with multiple micronutrient deficiencies </w:t>
      </w:r>
    </w:p>
    <w:p w14:paraId="5D6926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(MNDs), which further compromise immune competence and perpetuate a cycle of </w:t>
      </w:r>
    </w:p>
    <w:p w14:paraId="640784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increased vulnerability to infectious diseases and progressive nutritional </w:t>
      </w:r>
    </w:p>
    <w:p w14:paraId="27F928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deterioration. Autophagy, an intracellular catabolic process partially induced </w:t>
      </w:r>
    </w:p>
    <w:p w14:paraId="766819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by nutrient deprivation, has also been recognized as a vital host defence </w:t>
      </w:r>
    </w:p>
    <w:p w14:paraId="452B1F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mechanism that reduces intracellular pathogen load and mitigates disease </w:t>
      </w:r>
    </w:p>
    <w:p w14:paraId="5C89A3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progression in both HIV and TB infections. Given the observed overlap between </w:t>
      </w:r>
    </w:p>
    <w:p w14:paraId="4DA207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nutrition and autophagy, this review explores the roles of autophagy and </w:t>
      </w:r>
    </w:p>
    <w:p w14:paraId="636391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nutrition to identify agents that can be used as homeostatic medicines. The use </w:t>
      </w:r>
    </w:p>
    <w:p w14:paraId="19367A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nanoparticles (NPs) to deliver homeostatic nanomedicine-based host-directed </w:t>
      </w:r>
    </w:p>
    <w:p w14:paraId="11055D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therapies (HDTs) is also explored to examine how this strategy could help </w:t>
      </w:r>
    </w:p>
    <w:p w14:paraId="44F0FE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restore immune homeostasis in infected individuals, while offering an </w:t>
      </w:r>
    </w:p>
    <w:p w14:paraId="66A267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alternative or complementary approach to conventional treatments for HIV, TB, </w:t>
      </w:r>
    </w:p>
    <w:p w14:paraId="2F72CF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HIV-TB coinfection.</w:t>
      </w:r>
    </w:p>
    <w:p w14:paraId="2E0443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7CF7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51C28D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0F05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10.1186/s11671-026-04933-8</w:t>
      </w:r>
    </w:p>
    <w:p w14:paraId="1BDFA6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PMC13578179</w:t>
      </w:r>
    </w:p>
    <w:p w14:paraId="687E3D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42742880</w:t>
      </w:r>
    </w:p>
    <w:p w14:paraId="3B73D5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4D7B72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Emerg Microbes Infect. 2026 Sep 15:2735151. doi: 10.1080/22221751.2026.2735151. Online ahead of print.</w:t>
      </w:r>
    </w:p>
    <w:p w14:paraId="1147C7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3B1A5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ESAT-6-derived lipopeptide-based mucosal vaccine elicits distinct humoral immune </w:t>
      </w:r>
    </w:p>
    <w:p w14:paraId="72006E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responses concomitant with a reduction in mycobacterium infection.</w:t>
      </w:r>
    </w:p>
    <w:p w14:paraId="6746B1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23E4D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Werellagama S(1), Gupta N(2)(3), Li J(1), Kumar R(2)(4)(5), Agrawal B(1).</w:t>
      </w:r>
    </w:p>
    <w:p w14:paraId="683D66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D04C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353BD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(1)Department of Surgery.</w:t>
      </w:r>
    </w:p>
    <w:p w14:paraId="2685C5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Laboratory Medicine and Pathology, Faculty of Medicine and </w:t>
      </w:r>
    </w:p>
    <w:p w14:paraId="3DAC55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Dentistry, University of Alberta, Edmonton, AB, Canada.</w:t>
      </w:r>
    </w:p>
    <w:p w14:paraId="41B81C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(3)Independent Scientists.</w:t>
      </w:r>
    </w:p>
    <w:p w14:paraId="4F821A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(4)Professor (Retd.), University of Alberta, Edmonton, Alberta.</w:t>
      </w:r>
    </w:p>
    <w:p w14:paraId="79DB99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(5)CEO and Co-Founder, ImMed Biotechnologies, Edmonton, Alberta.</w:t>
      </w:r>
    </w:p>
    <w:p w14:paraId="390E55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1612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Respiratory mycobacterial infections remain a major global health threat, yet </w:t>
      </w:r>
    </w:p>
    <w:p w14:paraId="330E2D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current vaccine strategies, which focus primarily on cell-mediated immunity, </w:t>
      </w:r>
    </w:p>
    <w:p w14:paraId="71089B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have met with limited success. We previously demonstrated that a vaccine </w:t>
      </w:r>
    </w:p>
    <w:p w14:paraId="6698B1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composed of five lipopeptides (LPs) encoding immunodominant ESAT-6 epitopes </w:t>
      </w:r>
    </w:p>
    <w:p w14:paraId="7765FD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elicits protective cellular immune responses against Mycobacterium tuberculosis </w:t>
      </w:r>
    </w:p>
    <w:p w14:paraId="6924B4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infection. In this study, we enhanced the ESAT-LPs vaccine with a novel mucosal </w:t>
      </w:r>
    </w:p>
    <w:p w14:paraId="5D8DFF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immune modulator, heat-killed Caulobacter crescentus (HKCC), and examined both </w:t>
      </w:r>
    </w:p>
    <w:p w14:paraId="620293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cellular and humoral immunity in a mouse model (BALB/c) of M. avium (Mav) </w:t>
      </w:r>
    </w:p>
    <w:p w14:paraId="035773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infection. Our findings revealed that incorporating HKCC significantly increased </w:t>
      </w:r>
    </w:p>
    <w:p w14:paraId="353553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cellular responses and mucosal IgA and systemic IgG titers in pre- and </w:t>
      </w:r>
    </w:p>
    <w:p w14:paraId="0D31BA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post-exposure models, respectively. These elevated antibody levels correlated </w:t>
      </w:r>
    </w:p>
    <w:p w14:paraId="6182F4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reduced mycobacterial burden in the lungs, spleens, and livers and with </w:t>
      </w:r>
    </w:p>
    <w:p w14:paraId="0AF076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improved lung pathology. Notably, serum samples from vaccinated mice markedly </w:t>
      </w:r>
    </w:p>
    <w:p w14:paraId="53CF10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reduced the intracellular Mav burden and activated antimicrobial mechanisms in </w:t>
      </w:r>
    </w:p>
    <w:p w14:paraId="5ED8E2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 ex vivo bone marrow-derived macrophage infection model. Heat-inactivated </w:t>
      </w:r>
    </w:p>
    <w:p w14:paraId="60BE53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serum samples also reduced intracellular Mav burden, suggesting a </w:t>
      </w:r>
    </w:p>
    <w:p w14:paraId="4B6113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complement-independent intracellular bactericidal function of the tested serum </w:t>
      </w:r>
    </w:p>
    <w:p w14:paraId="64243D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samples. Collectively, the ESAT-LPs-HKCC mucosal vaccine induces a robust, </w:t>
      </w:r>
    </w:p>
    <w:p w14:paraId="58CE9E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distinct humoral response and a remarkable reduction in bacterial load in both </w:t>
      </w:r>
    </w:p>
    <w:p w14:paraId="60306F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prophylactic and therapeutic settings, offering a promising new strategy for </w:t>
      </w:r>
    </w:p>
    <w:p w14:paraId="208F61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combating mycobacterial infections.</w:t>
      </w:r>
    </w:p>
    <w:p w14:paraId="0721E2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6F69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10.1080/22221751.2026.2735151</w:t>
      </w:r>
    </w:p>
    <w:p w14:paraId="5F765F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42742111</w:t>
      </w:r>
    </w:p>
    <w:p w14:paraId="57A5C9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179E0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ACG Case Rep J. 2026 Sep 15;13(9):e02300. doi: 10.14309/crj.0000000000002300. </w:t>
      </w:r>
    </w:p>
    <w:p w14:paraId="4891E97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233AD47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</w:p>
    <w:p w14:paraId="44E845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Not All Pancreatic Masses are Cancer: Pancreatic Tuberculosis Masquerading as </w:t>
      </w:r>
    </w:p>
    <w:p w14:paraId="753A04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Malignancy.</w:t>
      </w:r>
    </w:p>
    <w:p w14:paraId="41DF55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28BC6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Blanco Montecino R(1), Arbaiza AC(2), Cutrell J(3), Bajaj P(4), Polanco P(5), </w:t>
      </w:r>
    </w:p>
    <w:p w14:paraId="728E0A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Tavakkoli A(2).</w:t>
      </w:r>
    </w:p>
    <w:p w14:paraId="32DF61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5C9F6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BD373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Internal Medicine, St. Barnabas Hospital, CUNY School of </w:t>
      </w:r>
    </w:p>
    <w:p w14:paraId="08A8ED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The City University of New York, Bronx, NY.</w:t>
      </w:r>
    </w:p>
    <w:p w14:paraId="69644A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Internal Medicine, Division of Digestive and Liver Diseases, </w:t>
      </w:r>
    </w:p>
    <w:p w14:paraId="110BD9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Texas Southwestern Medical Center, Dallas, TX.</w:t>
      </w:r>
    </w:p>
    <w:p w14:paraId="7E24B6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Internal Medicine, Division of Infectious Diseases and </w:t>
      </w:r>
    </w:p>
    <w:p w14:paraId="33B8EC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Geographic Medicine, University of Texas Southwestern Medical Center, Dallas, </w:t>
      </w:r>
    </w:p>
    <w:p w14:paraId="6593C5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TX.</w:t>
      </w:r>
    </w:p>
    <w:p w14:paraId="568925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Internal Medicine, Division of Rheumatic Diseases, University </w:t>
      </w:r>
    </w:p>
    <w:p w14:paraId="3CB117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Texas Southwestern Medical Center, Dallas, TX.</w:t>
      </w:r>
    </w:p>
    <w:p w14:paraId="1DBE12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Surgery, Division of Surgical Oncology, Atrium Health Wake </w:t>
      </w:r>
    </w:p>
    <w:p w14:paraId="2F7305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Forest, Charlotte, NC.</w:t>
      </w:r>
    </w:p>
    <w:p w14:paraId="6DE63B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1F313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Pancreatic tuberculosis (TB) is a rare extrapulmonary manifestation that can </w:t>
      </w:r>
    </w:p>
    <w:p w14:paraId="120A5C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mimic pancreatic cancer. We report a 61-year-old man presenting with epigastric </w:t>
      </w:r>
    </w:p>
    <w:p w14:paraId="798C50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discomfort, weight loss, elevated liver enzymes, elevated carbohydrate antigen </w:t>
      </w:r>
    </w:p>
    <w:p w14:paraId="640729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19-9, and a pancreatic mass causing biliary obstruction. Endoscopic </w:t>
      </w:r>
    </w:p>
    <w:p w14:paraId="61036C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ultrasound-guided biopsies revealed granulomatous inflammation and necrosis. </w:t>
      </w:r>
    </w:p>
    <w:p w14:paraId="320E87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Autoimmune and fungal etiologies were excluded, and acid-fast stains were </w:t>
      </w:r>
    </w:p>
    <w:p w14:paraId="6B4F19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negative. Definitive diagnosis was achieved through 16S ribosomal RNA sequencing </w:t>
      </w:r>
    </w:p>
    <w:p w14:paraId="0B62B5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followed by detection of the Mycobacterium tuberculosis hsp65 gene. This case </w:t>
      </w:r>
    </w:p>
    <w:p w14:paraId="0C8A3C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highlights the diagnostic challenge of pancreatic TB and the importance of </w:t>
      </w:r>
    </w:p>
    <w:p w14:paraId="6A797B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reconsidering the differential diagnosis when histopathological findings do not </w:t>
      </w:r>
    </w:p>
    <w:p w14:paraId="0E6D70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align with clinical suspicion.</w:t>
      </w:r>
    </w:p>
    <w:p w14:paraId="66DBB5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79CB7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 The Author(s). Published by Wolters Kluwer Health, LLC. on behalf of The </w:t>
      </w:r>
    </w:p>
    <w:p w14:paraId="0D086F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American College of Gastroenterology.</w:t>
      </w:r>
    </w:p>
    <w:p w14:paraId="06C81D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8607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10.14309/crj.0000000000002300</w:t>
      </w:r>
    </w:p>
    <w:p w14:paraId="7F8B8D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PMC13574469</w:t>
      </w:r>
    </w:p>
    <w:p w14:paraId="717B29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42741785</w:t>
      </w:r>
    </w:p>
    <w:p w14:paraId="317C1F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6CA270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Br J Dermatol. 2026 Sep 15:ljag397. doi: 10.1093/bjd/ljag397. Online ahead of print.</w:t>
      </w:r>
    </w:p>
    <w:p w14:paraId="49B987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7245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Risks of tuberculosis, meningitis, candidiasis, and fungal infections among </w:t>
      </w:r>
    </w:p>
    <w:p w14:paraId="20014F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receiving systemic treatments for psoriasis: a nationwide cohort study </w:t>
      </w:r>
    </w:p>
    <w:p w14:paraId="0874CA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from BADBIR data.</w:t>
      </w:r>
    </w:p>
    <w:p w14:paraId="0D6D47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13BB5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Bright HRB(1), Smith CH(2), Laws P(3), Reynolds NJ(4), Phan DB(1), Lunt M(5), </w:t>
      </w:r>
    </w:p>
    <w:p w14:paraId="096D28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Warren RB(1), Yiu ZZN(1).</w:t>
      </w:r>
    </w:p>
    <w:p w14:paraId="60FE84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57F3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14918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(1)Dermatology Centre, Northern Care Alliance NHS Foundation Trust &amp; Division of </w:t>
      </w:r>
    </w:p>
    <w:p w14:paraId="000534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Musculoskeletal and Dermatological Sciences, Manchester NIHR Biomedical Research </w:t>
      </w:r>
    </w:p>
    <w:p w14:paraId="215DEB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Centre, Manchester Academic Health Science Centre, University of Manchester, </w:t>
      </w:r>
    </w:p>
    <w:p w14:paraId="2767D6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Manchester, UK.</w:t>
      </w:r>
    </w:p>
    <w:p w14:paraId="53C90A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(2)St John's Institute of Dermatology, King's College London and Guy's and St </w:t>
      </w:r>
    </w:p>
    <w:p w14:paraId="49AD70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Thomas' NHS Foundation Trust, London, UK.</w:t>
      </w:r>
    </w:p>
    <w:p w14:paraId="7D2DE2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(3)University of Leeds, Chapel Allerton Hospital, Leeds, UK.</w:t>
      </w:r>
    </w:p>
    <w:p w14:paraId="21D59D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(4)Institute of Translational and Clinical Medicine, Newcastle University and </w:t>
      </w:r>
    </w:p>
    <w:p w14:paraId="2BD179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NIHR Biomedical Research Centre, Newcastle upon Tyne, UK.</w:t>
      </w:r>
    </w:p>
    <w:p w14:paraId="18CAAA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(5)Division of Musculoskeletal and Dermatological Sciences, University of </w:t>
      </w:r>
    </w:p>
    <w:p w14:paraId="6FAE35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Manchester, Manchester, UK.</w:t>
      </w:r>
    </w:p>
    <w:p w14:paraId="41090A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240D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Systemic treatments for psoriasis confer differential risk profiles </w:t>
      </w:r>
    </w:p>
    <w:p w14:paraId="7270B0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infections such as tuberculosis, meningitis, candidiasis and other fungal </w:t>
      </w:r>
    </w:p>
    <w:p w14:paraId="0FAE80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infections. However, real-world comparative data including IL-17 and 23 </w:t>
      </w:r>
    </w:p>
    <w:p w14:paraId="7625FD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inhibitors remain limited.</w:t>
      </w:r>
    </w:p>
    <w:p w14:paraId="0D2998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conducted a nationwide cohort study using data from British </w:t>
      </w:r>
    </w:p>
    <w:p w14:paraId="7F08E7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Association of Dermatologists Biologic and Immunomodulators Register (BADBIR) </w:t>
      </w:r>
    </w:p>
    <w:p w14:paraId="16388E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2007 to 2024. Adults with psoriasis receiving systemic treatments were </w:t>
      </w:r>
    </w:p>
    <w:p w14:paraId="1BD457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included and followed from treatment initiation until treatment discontinuation, </w:t>
      </w:r>
    </w:p>
    <w:p w14:paraId="576CA3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death, or last available follow-up data. Primary outcomes included tuberculosis, </w:t>
      </w:r>
    </w:p>
    <w:p w14:paraId="3B996B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meningitis, candidiasis and other fungal infections. Incidence rates per 1000 </w:t>
      </w:r>
    </w:p>
    <w:p w14:paraId="5807B0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person-years were calculated and incidence rate ratios (IRRs) were estimated </w:t>
      </w:r>
    </w:p>
    <w:p w14:paraId="2CBBCB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using doubly robust interval-based Poisson regression model. Entropy balancing </w:t>
      </w:r>
    </w:p>
    <w:p w14:paraId="06D512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method was used to achieve covariate balance across treatment groups and </w:t>
      </w:r>
    </w:p>
    <w:p w14:paraId="7DF2A0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multiple imputation was used to handle missing baseline data.</w:t>
      </w:r>
    </w:p>
    <w:p w14:paraId="6FBD3C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total of 40,930 treatment episodes from 18,635 patients contributing </w:t>
      </w:r>
    </w:p>
    <w:p w14:paraId="22FC2B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118,018 person-years of follow-up were included in this analysis. During the </w:t>
      </w:r>
    </w:p>
    <w:p w14:paraId="16DD8B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follow-up, 22 tuberculosis cases, 29 meningitis cases, and 888 fungal infection </w:t>
      </w:r>
    </w:p>
    <w:p w14:paraId="09EB26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cases including 450 candidiasis were reported. The overall incidence rates were </w:t>
      </w:r>
    </w:p>
    <w:p w14:paraId="51F126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0.19 (95% CI 0.12 to 0.29) for tuberculosis, 0.25 (95% CI 0.16 to 0.35) for </w:t>
      </w:r>
    </w:p>
    <w:p w14:paraId="4799FE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meningitis, and 7.53 (95% CI 7.05 to 8.05) for fungal infections per 1000 </w:t>
      </w:r>
    </w:p>
    <w:p w14:paraId="005A40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person-years. Most tuberculosis and meningitis cases were associated with TNF-α </w:t>
      </w:r>
    </w:p>
    <w:p w14:paraId="409789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inhibitors, particularly adalimumab. Meningitis was predominantly viral and </w:t>
      </w:r>
    </w:p>
    <w:p w14:paraId="09964A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was largely pulmonary. 30-day mortality was observed in fewer than </w:t>
      </w:r>
    </w:p>
    <w:p w14:paraId="3E5FC9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5 cases in meningitis. IL-17 inhibitors alone exhibited increased risk of </w:t>
      </w:r>
    </w:p>
    <w:p w14:paraId="76FAE5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candidiasis compared to all other systemic treatment groups with IRRs ranging </w:t>
      </w:r>
    </w:p>
    <w:p w14:paraId="26B503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2.67 (95% CI 1.33 to 5.36) versus apremilast to 4.65 (95% CI 3.46 to 6.24) </w:t>
      </w:r>
    </w:p>
    <w:p w14:paraId="3B63E9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versus IL-12/23 inhibitor. Individual IL-17 inhibitors did not exhibit </w:t>
      </w:r>
    </w:p>
    <w:p w14:paraId="487135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 differences in the candidiasis risk. With fungal infections other </w:t>
      </w:r>
    </w:p>
    <w:p w14:paraId="7E3F28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than candidiasis, no statistically significant differences were observed between </w:t>
      </w:r>
    </w:p>
    <w:p w14:paraId="7EC096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 groups.</w:t>
      </w:r>
    </w:p>
    <w:p w14:paraId="420263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 I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 this large cohort study, tuberculosis and meningitis were rare </w:t>
      </w:r>
    </w:p>
    <w:p w14:paraId="4E18D1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longer-term follow-up is required to further characterise the risk with </w:t>
      </w:r>
    </w:p>
    <w:p w14:paraId="30313B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newer treatments. Candidiasis and fungal infections were more common with </w:t>
      </w:r>
    </w:p>
    <w:p w14:paraId="75E76F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increased risks among patients receiving IL-17 inhibitors.</w:t>
      </w:r>
    </w:p>
    <w:p w14:paraId="076B36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F9B1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The Author(s) 2026. Published by Oxford University Press on behalf of British </w:t>
      </w:r>
    </w:p>
    <w:p w14:paraId="34ECB1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Association of Dermatologists.</w:t>
      </w:r>
    </w:p>
    <w:p w14:paraId="0BED77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4E58E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10.1093/bjd/ljag397</w:t>
      </w:r>
    </w:p>
    <w:p w14:paraId="06D3DA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42740637</w:t>
      </w:r>
    </w:p>
    <w:p w14:paraId="3625DD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18DD6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Lancet Glob Health. 2026 Sep 14:104012. doi: 10.1016/j.langlo.2026.104012. </w:t>
      </w:r>
    </w:p>
    <w:p w14:paraId="107FE41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33B7C4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EA1C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External validation of a treatment decision algorithm for tuberculosis in </w:t>
      </w:r>
    </w:p>
    <w:p w14:paraId="161E0B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children living with HIV: a diagnostic cohort study.</w:t>
      </w:r>
    </w:p>
    <w:p w14:paraId="42357C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3169D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Khosa C(1), Huyen Ton Nu Nguyet M(2), Mwanga-Amumpaire J(3), Chabala C(4), Moh </w:t>
      </w:r>
    </w:p>
    <w:p w14:paraId="0D88FA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R(5), Roucher C(2), Nansera D(6), Nduna B(7), Macassa E(8), Amorissani Folquet </w:t>
      </w:r>
    </w:p>
    <w:p w14:paraId="341693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M(9), Rego D(10), Mundundu G(4), Natukunda N(3), Shankalala P(4), Cumbe S(11), </w:t>
      </w:r>
    </w:p>
    <w:p w14:paraId="284A7F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Komena E(12), Steenhoff AP(13), Hesseling AC(14), Seddon JA(15), Wobudeya E(16), </w:t>
      </w:r>
    </w:p>
    <w:p w14:paraId="3E7357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Bonnet M(17), Marcy O(2); TB-Speed HIV study group.</w:t>
      </w:r>
    </w:p>
    <w:p w14:paraId="43FED8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6301F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F8DFE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(1)Instituto Nacional de Saúde, Marracuene, Mozambique; Department of Clinical </w:t>
      </w:r>
    </w:p>
    <w:p w14:paraId="3AF5FA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Science, Liverpool, UK; Department of International Public Health, Liverpool, </w:t>
      </w:r>
    </w:p>
    <w:p w14:paraId="2BDDF3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UK; Liverpool School of Tropical Medicine, Liverpool, UK; Department of </w:t>
      </w:r>
    </w:p>
    <w:p w14:paraId="0BD989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Physiological Science, Clinical Pharmacology, Faculty of Medicine, Eduardo </w:t>
      </w:r>
    </w:p>
    <w:p w14:paraId="466081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Mondlane University, Maputo, Mozambique. Electronic address: </w:t>
      </w:r>
    </w:p>
    <w:p w14:paraId="0EE7CA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celso.khosa@ins.gov.mz.</w:t>
      </w:r>
    </w:p>
    <w:p w14:paraId="68AB7A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(2)University of Bordeaux, National Institute for Health and Medical Research </w:t>
      </w:r>
    </w:p>
    <w:p w14:paraId="3FD08A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(Inserm) UMR 1219, Research Institute for Sustainable Development (IRD) EMR 271, </w:t>
      </w:r>
    </w:p>
    <w:p w14:paraId="2A9DA3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Bordeaux Population Health Centre, Bordeaux, France.</w:t>
      </w:r>
    </w:p>
    <w:p w14:paraId="338F60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(3)Epicentre Mbarara Research Centre, Mbarara, Uganda; Department of Paediatrics </w:t>
      </w:r>
    </w:p>
    <w:p w14:paraId="13221B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Child Health, Mbarara University of Science and Technology, Mbarara, Uganda.</w:t>
      </w:r>
    </w:p>
    <w:p w14:paraId="7316F6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(4)University of Zambia School of Medicine, University Teaching Hospital, </w:t>
      </w:r>
    </w:p>
    <w:p w14:paraId="43DD6F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Lusaka, Zambia.</w:t>
      </w:r>
    </w:p>
    <w:p w14:paraId="3D0CBB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(5)Teaching Unit of Dermatology and Infectiology, UFR of Medical Sciences, </w:t>
      </w:r>
    </w:p>
    <w:p w14:paraId="12EDDC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Felix-Houphouet Boigny University, Abidjan, Côte d'Ivoire; Programme PAC-CI, CHU </w:t>
      </w:r>
    </w:p>
    <w:p w14:paraId="33E4D7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 Treichville, Abidjan, Côte d'Ivoire.</w:t>
      </w:r>
    </w:p>
    <w:p w14:paraId="1EC0D2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Paediatrics and Child Health, Mbarara Regional Referral </w:t>
      </w:r>
    </w:p>
    <w:p w14:paraId="3AAE0D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Mbarara University of Science and Technology, Mbarara, Uganda.</w:t>
      </w:r>
    </w:p>
    <w:p w14:paraId="3955CA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(7)Arthur Davison Children's Hospital, Ndola, Zambia.</w:t>
      </w:r>
    </w:p>
    <w:p w14:paraId="2DE6E8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(8)Paediatrics Department, Maputo Central Hospital, Maputo, Mozambique.</w:t>
      </w:r>
    </w:p>
    <w:p w14:paraId="073C46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(9)Cocody University Teaching Hospital, Abidjan, Côte d'Ivoire.</w:t>
      </w:r>
    </w:p>
    <w:p w14:paraId="43EF71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(10)Paediatrics Department, José Macamo General Hospital, Maputo, Mozambique.</w:t>
      </w:r>
    </w:p>
    <w:p w14:paraId="24394E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(11)Instituto Nacional de Saúde, Marracuene, Mozambique.</w:t>
      </w:r>
    </w:p>
    <w:p w14:paraId="3B7954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(12)Programme PAC-CI, CHU de Treichville, Abidjan, Côte d'Ivoire.</w:t>
      </w:r>
    </w:p>
    <w:p w14:paraId="1D0DC7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(13)Division of Infectious Diseases, Children's Hospital of Philadelphia, </w:t>
      </w:r>
    </w:p>
    <w:p w14:paraId="1BA58F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Philadelphia, PA, USA; Global Health Center, Children's Hospital of </w:t>
      </w:r>
    </w:p>
    <w:p w14:paraId="7036EF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Philadelphia, Philadelphia, PA, USA; Department of Pediatrics, University of </w:t>
      </w:r>
    </w:p>
    <w:p w14:paraId="006845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Pennsylvania, Philadelphia, PA, USA.</w:t>
      </w:r>
    </w:p>
    <w:p w14:paraId="315FA1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(14)Desmond Tutu TB Centre, Department of Paediatrics and Child Health, </w:t>
      </w:r>
    </w:p>
    <w:p w14:paraId="4DF1C5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Stellenbosch University, Stellenbosch, South Africa.</w:t>
      </w:r>
    </w:p>
    <w:p w14:paraId="3A0CAD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(15)Desmond Tutu TB Centre, Department of Paediatrics and Child Health, </w:t>
      </w:r>
    </w:p>
    <w:p w14:paraId="16E271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Stellenbosch University, Stellenbosch, South Africa; Department of Infectious </w:t>
      </w:r>
    </w:p>
    <w:p w14:paraId="113C74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Disease, Imperial College London, London, UK.</w:t>
      </w:r>
    </w:p>
    <w:p w14:paraId="637DC1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(16)Makerere University-Johns Hopkins University Research Collaboration, </w:t>
      </w:r>
    </w:p>
    <w:p w14:paraId="7D1F98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Kampala, Uganda.</w:t>
      </w:r>
    </w:p>
    <w:p w14:paraId="3FE984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(17)TransVIHMI, University of Montpellier, IRD, Inserm, Montpellier, France.</w:t>
      </w:r>
    </w:p>
    <w:p w14:paraId="638547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D8C1C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is the leading cause of death in children living with </w:t>
      </w:r>
    </w:p>
    <w:p w14:paraId="58D3AA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HIV, and is challenging to diagnose owing to the limitations of microbiological </w:t>
      </w:r>
    </w:p>
    <w:p w14:paraId="51C2F6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approaches. The Pediatric Asian African Network for Tuberculosis and HIV </w:t>
      </w:r>
    </w:p>
    <w:p w14:paraId="77E0D5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Research (PAANTHER) treatment decision algorithm (TDA) was previously developed </w:t>
      </w:r>
    </w:p>
    <w:p w14:paraId="5D1B44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improve the diagnosis of tuberculosis in children living with HIV, but has </w:t>
      </w:r>
    </w:p>
    <w:p w14:paraId="554B7F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not yet been validated. We aimed to externally validate this TDA in a </w:t>
      </w:r>
    </w:p>
    <w:p w14:paraId="19A427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prospective cohort of children from four countries in Africa.</w:t>
      </w:r>
    </w:p>
    <w:p w14:paraId="7C960D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TB-Speed HIV study was a prospective diagnostic cohort study </w:t>
      </w:r>
    </w:p>
    <w:p w14:paraId="48CE52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conducted in seven tertiary hospitals: two in Côte d'Ivoire, two in Mozambique, </w:t>
      </w:r>
    </w:p>
    <w:p w14:paraId="1A5980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one in Uganda, and two in Zambia. Eligible participants were children living </w:t>
      </w:r>
    </w:p>
    <w:p w14:paraId="10476C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HIV, aged 1 month to 14 years, with presumptive tuberculosis. Children who </w:t>
      </w:r>
    </w:p>
    <w:p w14:paraId="7FDE4F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currently receiving tuberculosis treatment, or who had received treatment </w:t>
      </w:r>
    </w:p>
    <w:p w14:paraId="2C365C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within the past 3 months, were excluded. At enrolment, children were evaluated </w:t>
      </w:r>
    </w:p>
    <w:p w14:paraId="2C7732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suggestive tuberculosis symptoms (fever for &gt;2 weeks, unremitting cough, </w:t>
      </w:r>
    </w:p>
    <w:p w14:paraId="695827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haemoptysis and/or weight loss in the past 4 weeks, and tachycardia) and </w:t>
      </w:r>
    </w:p>
    <w:p w14:paraId="33AA22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underwent Xpert MTB/RIF Ultra testing on respiratory and stool samples, chest </w:t>
      </w:r>
    </w:p>
    <w:p w14:paraId="79A8AA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radiography, and abdominal ultrasonography. Children were given a PAANTHER TDA </w:t>
      </w:r>
    </w:p>
    <w:p w14:paraId="5DBD64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score, with a score of less than 100 defined as negative and a score of 100 or </w:t>
      </w:r>
    </w:p>
    <w:p w14:paraId="4358D5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higher defined as positive and prompting the initiation of treatment. At the end </w:t>
      </w:r>
    </w:p>
    <w:p w14:paraId="45E226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the study, children were retrospectively classified by an endpoint review </w:t>
      </w:r>
    </w:p>
    <w:p w14:paraId="1E2CA9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committee as having confirmed, unconfirmed, or unlikely tuberculosis, forming </w:t>
      </w:r>
    </w:p>
    <w:p w14:paraId="068409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composite reference standard against which diagnostic accuracy was assessed. </w:t>
      </w:r>
    </w:p>
    <w:p w14:paraId="6BD41C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primary outcome was the proportion of children with missed tuberculosis </w:t>
      </w:r>
    </w:p>
    <w:p w14:paraId="7BCB63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(false negatives) among those who were not initiated on treatment as per the </w:t>
      </w:r>
    </w:p>
    <w:p w14:paraId="7B83EB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PAANTHER TDA. We assessed the diagnostic accuracy (sensitivity, specificity, and </w:t>
      </w:r>
    </w:p>
    <w:p w14:paraId="363B20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negative and positive predictive values) and feasibility (uptake and time to </w:t>
      </w:r>
    </w:p>
    <w:p w14:paraId="19CE69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initiation) of the PAANTHER TDA. The protocol-defined negative </w:t>
      </w:r>
    </w:p>
    <w:p w14:paraId="69658A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predictive value threshold for validation was 75%. This study is registered at </w:t>
      </w:r>
    </w:p>
    <w:p w14:paraId="6A3FAA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ClinicalTrials.gov, NCT04121026, and is complete.</w:t>
      </w:r>
    </w:p>
    <w:p w14:paraId="7BB41F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FINDINGS: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Oct 2, 2019, to Dec 31, 2021, 1706 children were prescreened for </w:t>
      </w:r>
    </w:p>
    <w:p w14:paraId="17C26E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eligibility, of whom 713 children living with HIV were screened for tuberculosis </w:t>
      </w:r>
    </w:p>
    <w:p w14:paraId="55182A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symptoms; 423 were eligible for the study and 277 were enrolled. Of these 277 </w:t>
      </w:r>
    </w:p>
    <w:p w14:paraId="71B4C9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children, 272 (98%) had a complete TDA evaluation: 215 (79%) had a score of 100 </w:t>
      </w:r>
    </w:p>
    <w:p w14:paraId="07A4AF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 higher, including 24 (9%) with a positive Xpert MTB/RIF Ultra test. Treatment </w:t>
      </w:r>
    </w:p>
    <w:p w14:paraId="30AE36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was initiated in 185 (86%) of 215 children with a positive score and 12 (20%) of </w:t>
      </w:r>
    </w:p>
    <w:p w14:paraId="14B514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60 children with a negative score, at a median of 1 day [IQR 0-4] after </w:t>
      </w:r>
    </w:p>
    <w:p w14:paraId="0A2F68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inclusion. After assessment by the endpoint review committee, the proportion of </w:t>
      </w:r>
    </w:p>
    <w:p w14:paraId="790276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children with tuberculosis in the classifiable study population (n=273) was </w:t>
      </w:r>
    </w:p>
    <w:p w14:paraId="2EB212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56·8% (95% CI 50·9-62·5), with 131 having unconfirmed tuberculosis and 24 having </w:t>
      </w:r>
    </w:p>
    <w:p w14:paraId="363A3D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confirmed tuberculosis. Four (7%) of the 60 children with a negative score were </w:t>
      </w:r>
    </w:p>
    <w:p w14:paraId="7EBB24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subsequently classified as having tuberculosis by the endpoint review committee </w:t>
      </w:r>
    </w:p>
    <w:p w14:paraId="7A5A29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(missed tuberculosis). The TDA had a negative predictive value of 93·3% (95% CI </w:t>
      </w:r>
    </w:p>
    <w:p w14:paraId="084B88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84·1-97·4), a positive predictive value of 70·9% (95% CI 64·5-76·6), a </w:t>
      </w:r>
    </w:p>
    <w:p w14:paraId="0FE127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sensitivity of 97·4% (95% CI 93·6-99·0), and a specificity of 47·5% (95% CI </w:t>
      </w:r>
    </w:p>
    <w:p w14:paraId="2F9F79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38·7-56·4).</w:t>
      </w:r>
    </w:p>
    <w:p w14:paraId="7A44F3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INTERPRETATION: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PAANTHER TDA was externally validated in a cohort of </w:t>
      </w:r>
    </w:p>
    <w:p w14:paraId="13B7FE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children living with HIV as per the study protocol. The high sensitivity of this </w:t>
      </w:r>
    </w:p>
    <w:p w14:paraId="0DAB20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TDA and its potential to enable rapid treatment initiation could contribute to </w:t>
      </w:r>
    </w:p>
    <w:p w14:paraId="4CE1A9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 reduction of mortality in children living with HIV.</w:t>
      </w:r>
    </w:p>
    <w:p w14:paraId="01F363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FUNDING: Unitaid.</w:t>
      </w:r>
    </w:p>
    <w:p w14:paraId="192C8D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5F76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The Author(s). Published by Elsevier Ltd.. All rights reserved.</w:t>
      </w:r>
    </w:p>
    <w:p w14:paraId="63BB5A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998E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10.1016/j.langlo.2026.104012</w:t>
      </w:r>
    </w:p>
    <w:p w14:paraId="14517F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42735691</w:t>
      </w:r>
    </w:p>
    <w:p w14:paraId="58046D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54FCB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mSystems. 2026 Sep 14:e0064126. doi: 10.1128/msystems.00641-26. Online ahead of print.</w:t>
      </w:r>
    </w:p>
    <w:p w14:paraId="5D03FC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5B90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Phylogenetic inconsistency of pairwise SNP clustering for inferring tuberculosis </w:t>
      </w:r>
    </w:p>
    <w:p w14:paraId="7207A3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transmission in a high-burden, endemic setting: a case study from Thailand.</w:t>
      </w:r>
    </w:p>
    <w:p w14:paraId="092443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0DE1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Aiewsakun P(1)(2), Hunter WS(1)(2), Palittapongarnpim P(1)(2).</w:t>
      </w:r>
    </w:p>
    <w:p w14:paraId="703755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2186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C6190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Microbiology, Faculty of Science, Mahidol University, Bangkok, </w:t>
      </w:r>
    </w:p>
    <w:p w14:paraId="3D2DEF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Thailand.</w:t>
      </w:r>
    </w:p>
    <w:p w14:paraId="187A0B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(2)Pornchai Matangkasombut Center for Microbial Genomics, Department of </w:t>
      </w:r>
    </w:p>
    <w:p w14:paraId="3943F4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Microbiology, Faculty of Science, Mahidol University, Bangkok, Thailand.</w:t>
      </w:r>
    </w:p>
    <w:p w14:paraId="75CD0F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39B2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Whole-genome sequence analysis is now widely used to delineate tuberculosis </w:t>
      </w:r>
    </w:p>
    <w:p w14:paraId="0DFE5F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transmission clusters. A standard practice is to cluster bacterial isolates </w:t>
      </w:r>
    </w:p>
    <w:p w14:paraId="4A7EB9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based on a fixed maximum genome-wide pairwise single nucleotide polymorphism </w:t>
      </w:r>
    </w:p>
    <w:p w14:paraId="6C8F2E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(pwSNP) distance threshold. In this study, we evaluated the phylogenetic </w:t>
      </w:r>
    </w:p>
    <w:p w14:paraId="585D86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consistency of pwSNP-distance clustering with thresholds ranging between 1 and </w:t>
      </w:r>
    </w:p>
    <w:p w14:paraId="292AD4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25 single nucleotide polymorphisms (SNPs) using two contrasting data sets: (i) a </w:t>
      </w:r>
    </w:p>
    <w:p w14:paraId="418166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data set from the UK (N = 390) published by T. M. Walker, C. L. C. Ip, R. H. </w:t>
      </w:r>
    </w:p>
    <w:p w14:paraId="0B80A2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Harrell, J. T. Evans, et al. (Lancet Infect Dis 13:137-146, 2013, </w:t>
      </w:r>
    </w:p>
    <w:p w14:paraId="1D5321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https://doi.org/10.1016/S1473-3099(12)70277-3), which was foundational to the </w:t>
      </w:r>
    </w:p>
    <w:p w14:paraId="32701A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establishment of this method, and (ii) a data set from Thailand (N = 3,341), </w:t>
      </w:r>
    </w:p>
    <w:p w14:paraId="666A05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characterized by persistent transmission and sparse, non-systematic sampling. </w:t>
      </w:r>
    </w:p>
    <w:p w14:paraId="5EA2AB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the UK data set, the standard pwSNP-distance clustering using thresholds of </w:t>
      </w:r>
    </w:p>
    <w:p w14:paraId="6300D1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≥12 SNPs yielded entirely monophyletic clusters and showed high concordance with </w:t>
      </w:r>
    </w:p>
    <w:p w14:paraId="396D7C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comparative monophyly constrained, tree-based method. In contrast, for the </w:t>
      </w:r>
    </w:p>
    <w:p w14:paraId="67729A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Thai data set, pwSNP-distance clustering often generated non-monophyletic </w:t>
      </w:r>
    </w:p>
    <w:p w14:paraId="5E5FE2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clusters, even by the 25-SNP threshold. The pwSNP-distance and comparative </w:t>
      </w:r>
    </w:p>
    <w:p w14:paraId="66F0B8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tree-based clustering methods only showed large consistency at thresholds of ≥22 SNPs. This suggests that SNP clusters defined by low distance thresholds (i.e., </w:t>
      </w:r>
    </w:p>
    <w:p w14:paraId="77ACEC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&lt;12 SNPs for the UK data set, and &lt;22 SNPs for the Thai data set) may lack </w:t>
      </w:r>
    </w:p>
    <w:p w14:paraId="28A9A9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robustness, and the problem is particularly severe for data sets characterized </w:t>
      </w:r>
    </w:p>
    <w:p w14:paraId="59D587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by persistent transmission, likely due to poorer cluster separation. Moreover, </w:t>
      </w:r>
    </w:p>
    <w:p w14:paraId="1B4B8B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our findings indicate that large cluster sizes, high maximum intra-cluster </w:t>
      </w:r>
    </w:p>
    <w:p w14:paraId="3F6298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genetic distances, and broad sample collection time spans may serve as useful </w:t>
      </w:r>
    </w:p>
    <w:p w14:paraId="053FCF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indicators of potentially non-monophyletic clusters. We also demonstrate that </w:t>
      </w:r>
    </w:p>
    <w:p w14:paraId="341FD4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mixed infections can produce spurious, phylogenetically long-range SNP linkages, </w:t>
      </w:r>
    </w:p>
    <w:p w14:paraId="7C7468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underscoring the necessity of strict sequence quality </w:t>
      </w:r>
    </w:p>
    <w:p w14:paraId="6CD056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control.</w:t>
      </w: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IMPORTANCE</w:t>
      </w:r>
      <w:r>
        <w:rPr>
          <w:rFonts w:hint="eastAsia" w:ascii="宋体" w:hAnsi="宋体" w:eastAsia="宋体" w:cs="宋体"/>
          <w:b/>
          <w:bCs w:val="0"/>
          <w:color w:val="auto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Fixed-threshold pairwise single nucleotide polymorphism </w:t>
      </w:r>
    </w:p>
    <w:p w14:paraId="0D1474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(pwSNP)-distance clustering is commonly used to delineate tuberculosis </w:t>
      </w:r>
    </w:p>
    <w:p w14:paraId="6D32FD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transmission clusters. From an epidemiological perspective, a genuine </w:t>
      </w:r>
    </w:p>
    <w:p w14:paraId="2401D8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transmission cluster must be monophyletic, originating from a single source. </w:t>
      </w:r>
    </w:p>
    <w:p w14:paraId="05C739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However, pwSNP-distance clustering is inherently simplistic and can therefore </w:t>
      </w:r>
    </w:p>
    <w:p w14:paraId="080726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violate this principle, making the assessment of its phylogenetic consistency </w:t>
      </w:r>
    </w:p>
    <w:p w14:paraId="5751A9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critical. Our results demonstrate that while this method effectively delineated </w:t>
      </w:r>
    </w:p>
    <w:p w14:paraId="125437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complete transmission clusters for the data set from the UK, a low-burden and </w:t>
      </w:r>
    </w:p>
    <w:p w14:paraId="598306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non-persistent transmission setting, it frequently generated non-monophyletic </w:t>
      </w:r>
    </w:p>
    <w:p w14:paraId="30CC9E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clusters when applied to the Thai data set, characterized by persistent </w:t>
      </w:r>
    </w:p>
    <w:p w14:paraId="28EC3D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transmission alongside sparse and non-systematic sampling. Furthermore, we found </w:t>
      </w:r>
    </w:p>
    <w:p w14:paraId="760CC0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clusters derived using low distance thresholds could notably vary between </w:t>
      </w:r>
    </w:p>
    <w:p w14:paraId="314F3C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pwSNP-distance and comparative tree-based clustering methods, suggesting </w:t>
      </w:r>
    </w:p>
    <w:p w14:paraId="48C2A9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limited reliability and robustness. To accurately delineate tuberculosis </w:t>
      </w:r>
    </w:p>
    <w:p w14:paraId="167DD8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transmission clusters, especially for complex data from high-burden, endemic </w:t>
      </w:r>
    </w:p>
    <w:p w14:paraId="1F9186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settings, we recommend transitioning from pwSNP-distance clustering toward more </w:t>
      </w:r>
    </w:p>
    <w:p w14:paraId="071E11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robust, phylogenetic clustering that respects evolutionary descent.</w:t>
      </w:r>
    </w:p>
    <w:p w14:paraId="1082D4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E2FD3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10.1128/msystems.00641-26</w:t>
      </w:r>
    </w:p>
    <w:p w14:paraId="721B7A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42734325</w:t>
      </w:r>
    </w:p>
    <w:p w14:paraId="494146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F77AE4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Sci Rep. 2026 Sep 14;16(1):28546. doi: 10.1038/s41598-026-57014-2.</w:t>
      </w:r>
    </w:p>
    <w:p w14:paraId="51FBA4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FD23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Uncovering the genomic landscape of Mycobacterium bovis in Wales.</w:t>
      </w:r>
    </w:p>
    <w:p w14:paraId="4B294E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5F60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Healey AJE(1), Williams CL(1), Dimonaco NJ(1)(2), Galloway T(3), Ellis RJ(4), </w:t>
      </w:r>
    </w:p>
    <w:p w14:paraId="1D93B1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Palkopoulou E(5), Strong J(1), Gibson AJ(1), Hewinson RG(1), Friedersdorff </w:t>
      </w:r>
    </w:p>
    <w:p w14:paraId="08F2E2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JCA(6).</w:t>
      </w:r>
    </w:p>
    <w:p w14:paraId="75D8F6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103F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76733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Life Sciences, Centre of Excellence for Bovine Tuberculosis, </w:t>
      </w:r>
    </w:p>
    <w:p w14:paraId="51319F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Aberystwyth University, Aberystwyth, Wales.</w:t>
      </w:r>
    </w:p>
    <w:p w14:paraId="03F4FA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(2)Institute for Global Food Security, School of Biological Sciences, Queen's </w:t>
      </w:r>
    </w:p>
    <w:p w14:paraId="35B9AC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Belfast, Belfast, Northern Ireland.</w:t>
      </w:r>
    </w:p>
    <w:p w14:paraId="0C5236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(3)Animal and Plant Health Agency, Carmarthen Field Services, Ty Merlin, Heol </w:t>
      </w:r>
    </w:p>
    <w:p w14:paraId="30E334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Glasdwr, Parc Pensarn, SA31 2NF, Carmarthen, Wales.</w:t>
      </w:r>
    </w:p>
    <w:p w14:paraId="2DA834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(4)Surveillance and Laboratory Services Department, Animal and Plant Health </w:t>
      </w:r>
    </w:p>
    <w:p w14:paraId="61FC0D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Agency Weybridge, KT15 3NB, New Haw, Surrey, UK.</w:t>
      </w:r>
    </w:p>
    <w:p w14:paraId="35AA5C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Bacteriology, Animal and Plant Health Agency Weybridge, KT15 </w:t>
      </w:r>
    </w:p>
    <w:p w14:paraId="6D7E51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3NB, New Haw, Surrey, UK.</w:t>
      </w:r>
    </w:p>
    <w:p w14:paraId="2DD810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Life Sciences, Centre of Excellence for Bovine Tuberculosis, </w:t>
      </w:r>
    </w:p>
    <w:p w14:paraId="7C8CF4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Aberystwyth University, Aberystwyth, Wales. jess@friedersdorff.com.</w:t>
      </w:r>
    </w:p>
    <w:p w14:paraId="4C9406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A0D3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Bovine tuberculosis (bTB), caused by the bacterium Mycobacterium bovis, is one </w:t>
      </w:r>
    </w:p>
    <w:p w14:paraId="584FCF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the most pressing animal health issues in Wales today. It negatively impacts </w:t>
      </w:r>
    </w:p>
    <w:p w14:paraId="1EC513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cattle health, affects profitability and trade, and can decimate years of </w:t>
      </w:r>
    </w:p>
    <w:p w14:paraId="182CDB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genetic improvement towards desirable production traits. It also imposes </w:t>
      </w:r>
    </w:p>
    <w:p w14:paraId="6901D8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substantial financial, social, and psychological burdens on farming communities. </w:t>
      </w:r>
    </w:p>
    <w:p w14:paraId="59F412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Eradication of bTB requires an understanding of local transmission pathways to </w:t>
      </w:r>
    </w:p>
    <w:p w14:paraId="586BBB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target effective disease-control interventions. In this study, we characterised </w:t>
      </w:r>
    </w:p>
    <w:p w14:paraId="761942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genomic diversity of M. bovis across Wales by analysing the genome sequence </w:t>
      </w:r>
    </w:p>
    <w:p w14:paraId="57EA38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379 M. bovis isolates obtained from culture-positive animals in Wales in </w:t>
      </w:r>
    </w:p>
    <w:p w14:paraId="4DA01A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2021. Analyses uncovered three prevalent clusters that are geographically </w:t>
      </w:r>
    </w:p>
    <w:p w14:paraId="78E873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distinct. A further three clusters containing fewer isolates were also </w:t>
      </w:r>
    </w:p>
    <w:p w14:paraId="1A1604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geographically separated, two of which had particularly large SNP distances from </w:t>
      </w:r>
    </w:p>
    <w:p w14:paraId="6CC6AD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most other Welsh isolates, suggesting independent introductions of M. bovis </w:t>
      </w:r>
    </w:p>
    <w:p w14:paraId="41FD1D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strains that are not endemic to Wales. Fine-scale and epidemiologically relevant </w:t>
      </w:r>
    </w:p>
    <w:p w14:paraId="06D5DE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genetic structuring was identified within the six main clusters, indicating </w:t>
      </w:r>
    </w:p>
    <w:p w14:paraId="6C22A1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region-specific evolution, which can drive local disease dynamics. Finally, SNPs </w:t>
      </w:r>
    </w:p>
    <w:p w14:paraId="08A18A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identified in coding genes that have the potential for important </w:t>
      </w:r>
    </w:p>
    <w:p w14:paraId="26C479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advantageous physiological consequences that may impact host-pathogen </w:t>
      </w:r>
    </w:p>
    <w:p w14:paraId="6192DA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interactions and necessitate further investigation.</w:t>
      </w:r>
    </w:p>
    <w:p w14:paraId="2EB678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9AE87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Crown.</w:t>
      </w:r>
    </w:p>
    <w:p w14:paraId="6D7791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802F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10.1038/s41598-026-57014-2</w:t>
      </w:r>
    </w:p>
    <w:p w14:paraId="18875E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PMC13572552</w:t>
      </w:r>
    </w:p>
    <w:p w14:paraId="543506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42733092 [Indexed for MEDLINE]</w:t>
      </w:r>
    </w:p>
    <w:p w14:paraId="0AE3DA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C93F72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Cureus. 2026 Aug 21;18(8):e114905. doi: 10.7759/cureus.114905. eCollection 2026 Aug.</w:t>
      </w:r>
    </w:p>
    <w:p w14:paraId="0DF1BD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B1322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Cutaneous Clue to Prolonged Fever: Erythema Induratum of Bazin in a </w:t>
      </w:r>
    </w:p>
    <w:p w14:paraId="764178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Tuberculosis-Endemic Region.</w:t>
      </w:r>
    </w:p>
    <w:p w14:paraId="0AFB78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6E81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Mohanty B(1), Mohapatra N(1), Panda J(1), Nanda G(2).</w:t>
      </w:r>
    </w:p>
    <w:p w14:paraId="17051F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A3740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06477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(1)General Medicine, Sriram Chandra Bhanja Medical College Hospital, Cuttack, </w:t>
      </w:r>
    </w:p>
    <w:p w14:paraId="78154F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IND.</w:t>
      </w:r>
    </w:p>
    <w:p w14:paraId="400954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(2)Neuroimaging and Interventional Radiology, National Institute of Mental </w:t>
      </w:r>
    </w:p>
    <w:p w14:paraId="726C8B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Health and Neurosciences, Bangalore, IND.</w:t>
      </w:r>
    </w:p>
    <w:p w14:paraId="60B7C3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8915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Erythema induratum of Bazin (EIB) is a rare form of cutaneous tuberculosis </w:t>
      </w:r>
    </w:p>
    <w:p w14:paraId="184EE3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characterised by recurrent nodular lesions, predominantly affecting the lower </w:t>
      </w:r>
    </w:p>
    <w:p w14:paraId="759E2C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extremities. It is considered a hypersensitivity reaction to Mycobacterium </w:t>
      </w:r>
    </w:p>
    <w:p w14:paraId="1D59CA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rather than a direct infection, hence the term "tuberculid". Due to </w:t>
      </w:r>
    </w:p>
    <w:p w14:paraId="529C1F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its nonspecific clinical presentation, it often mimics other dermatological and </w:t>
      </w:r>
    </w:p>
    <w:p w14:paraId="4B24BA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systemic conditions, leading to diagnostic challenges. We report a case of a </w:t>
      </w:r>
    </w:p>
    <w:p w14:paraId="74BCEC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40-year-old woman presenting with prolonged low-grade fever, weight loss, and </w:t>
      </w:r>
    </w:p>
    <w:p w14:paraId="47EC36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multiple tender nodular lesions over the lower limbs and forearms. Laboratory </w:t>
      </w:r>
    </w:p>
    <w:p w14:paraId="6AF2B1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evaluation revealed anaemia of chronic disease and elevated inflammatory </w:t>
      </w:r>
    </w:p>
    <w:p w14:paraId="297D49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markers, while autoimmune and infectious workup was negative. Histopathological </w:t>
      </w:r>
    </w:p>
    <w:p w14:paraId="727E46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examination demonstrated lobular panniculitis with lymphohistiocytic infiltrates </w:t>
      </w:r>
    </w:p>
    <w:p w14:paraId="3E6ED1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granulomatous inflammation along with vasculitis, consistent with EIB. The </w:t>
      </w:r>
    </w:p>
    <w:p w14:paraId="4B5888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 was initiated on anti-tubercular therapy, resulting in complete </w:t>
      </w:r>
    </w:p>
    <w:p w14:paraId="1644F9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resolution of symptoms and lesions. This case highlights the importance of </w:t>
      </w:r>
    </w:p>
    <w:p w14:paraId="5EC533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considering cutaneous tuberculosis in patients with persistent nodular lesions, </w:t>
      </w:r>
    </w:p>
    <w:p w14:paraId="44BE8D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particularly in endemic regions, and underscores the diagnostic value of </w:t>
      </w:r>
    </w:p>
    <w:p w14:paraId="7FABC8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histopathology.</w:t>
      </w:r>
    </w:p>
    <w:p w14:paraId="03A498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E7F47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2026, Mohanty et al.</w:t>
      </w:r>
    </w:p>
    <w:p w14:paraId="248630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563C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10.7759/cureus.114905</w:t>
      </w:r>
    </w:p>
    <w:p w14:paraId="683BEA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PMC13589824</w:t>
      </w:r>
    </w:p>
    <w:p w14:paraId="73E373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42764839</w:t>
      </w:r>
    </w:p>
    <w:p w14:paraId="52217B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816E4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Curr Health Sci J. 2026 Apr-Jun;52(2):277-280. doi: 10.12865/CHSJ.52.02.277. </w:t>
      </w:r>
    </w:p>
    <w:p w14:paraId="1B3C922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Epub 2026 Jun 30.</w:t>
      </w:r>
    </w:p>
    <w:p w14:paraId="6B2189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24D25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Cutaneous Tuberculosis in a 22-Day-Old Neonate:A Diagnostic Challenge and Case </w:t>
      </w:r>
    </w:p>
    <w:p w14:paraId="2B6B57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Report.</w:t>
      </w:r>
    </w:p>
    <w:p w14:paraId="4EB10F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C686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Imran A(1), Shah SWF(1), Shah SAR(1), Rafique M(1), Raja H(1).</w:t>
      </w:r>
    </w:p>
    <w:p w14:paraId="2FA8B7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125A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C2400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(1)Dr. Ruth K. M. Pfau, Civil Hospital Karachi, Pakistan.</w:t>
      </w:r>
    </w:p>
    <w:p w14:paraId="4B89F2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8ECA2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Cutaneous tuberculosis (CTB) is a rare extrapulmonary manifestation </w:t>
      </w:r>
    </w:p>
    <w:p w14:paraId="11A868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tuberculosis, particularly in neonates. Its diagnosis is often challenging </w:t>
      </w:r>
    </w:p>
    <w:p w14:paraId="4F0607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due to non-specific presentations that can mimic common conditions.</w:t>
      </w:r>
    </w:p>
    <w:p w14:paraId="40C815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DESCRIPTION: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report the case of a 22-day-old male neonate who </w:t>
      </w:r>
    </w:p>
    <w:p w14:paraId="2219B7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presented to the emergency room with fever and a scalp swelling following a </w:t>
      </w:r>
    </w:p>
    <w:p w14:paraId="326B94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reported fall from bed. Initial assessment suggested a subcutaneous abscess. The </w:t>
      </w:r>
    </w:p>
    <w:p w14:paraId="7A8549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 did not respond to multiple courses of intravenous antibiotics. A blood </w:t>
      </w:r>
    </w:p>
    <w:p w14:paraId="03F06A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culture grew Burkholderia species, but targeted therapy also failed. Incision </w:t>
      </w:r>
    </w:p>
    <w:p w14:paraId="40DBF7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drainage were performed, and pus GeneXpert testing was positive for </w:t>
      </w:r>
    </w:p>
    <w:p w14:paraId="425FB3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tuberculosis, despite a negative tuberculin skin test and clear </w:t>
      </w:r>
    </w:p>
    <w:p w14:paraId="185410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chest X-ray. A final diagnosis of cutaneous tuberculosis (tuberculous chancre) </w:t>
      </w:r>
    </w:p>
    <w:p w14:paraId="14BE54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was established.</w:t>
      </w:r>
    </w:p>
    <w:p w14:paraId="54BE75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MANAGEMENT &amp; OUTCOME: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Anti-tuberculosis therapy (ATT) was initiated, leading to </w:t>
      </w:r>
    </w:p>
    <w:p w14:paraId="79367E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complete resolution of the swelling and full recovery.</w:t>
      </w:r>
    </w:p>
    <w:p w14:paraId="7CE5BF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case underscores the diagnostic challenges of neonatal CTB. It </w:t>
      </w:r>
    </w:p>
    <w:p w14:paraId="131EB7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highlights the importance of considering tuberculosis in the differential </w:t>
      </w:r>
    </w:p>
    <w:p w14:paraId="0D8118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diagnosis of non-resolving abscesses in infants, especially in endemic areas, </w:t>
      </w:r>
    </w:p>
    <w:p w14:paraId="4C6B2B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demonstrates the critical role of molecular diagnostics like GeneXpert in </w:t>
      </w:r>
    </w:p>
    <w:p w14:paraId="27A1F3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achieving a timely diagnosis.</w:t>
      </w:r>
    </w:p>
    <w:p w14:paraId="6FECBA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E595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2023, Medical University Publishing House Craiova.</w:t>
      </w:r>
    </w:p>
    <w:p w14:paraId="20FDE6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BD59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10.12865/CHSJ.52.02.277</w:t>
      </w:r>
    </w:p>
    <w:p w14:paraId="7AC51E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PMC13589588</w:t>
      </w:r>
    </w:p>
    <w:p w14:paraId="76D6B0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42763721</w:t>
      </w:r>
    </w:p>
    <w:p w14:paraId="792180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36AAEA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RSC Med Chem. 2026 Sep 10. doi: 10.1039/d6md00338a. Online ahead of print.</w:t>
      </w:r>
    </w:p>
    <w:p w14:paraId="06899F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C36B5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Synthesis and evaluation of novel 3,5-dinitrobenzoyl substituted amino acid </w:t>
      </w:r>
    </w:p>
    <w:p w14:paraId="48FCE6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hydrazides against Mycobacterium tuberculosis.</w:t>
      </w:r>
    </w:p>
    <w:p w14:paraId="6F0CE4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88E3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Alsalem FM(1), Brown AK(1), Crowhurst AK(2), Taylor CA(3), Larkin LG(3), Gill </w:t>
      </w:r>
    </w:p>
    <w:p w14:paraId="095DE5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JH(3)(4), Sellars JD(1)(3).</w:t>
      </w:r>
    </w:p>
    <w:p w14:paraId="79228E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AD1D3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5BFB1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(1)Biosciences Institute, Faculty of Medical Sciences, Newcastle University </w:t>
      </w:r>
    </w:p>
    <w:p w14:paraId="7F27FC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Catherine Cookson Building, Framlington Place Newcastle upon Tyne NE2 4HH UK </w:t>
      </w:r>
    </w:p>
    <w:p w14:paraId="625455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jon.sellars@newcastle.ac.uk +44 (191)2082357.</w:t>
      </w:r>
    </w:p>
    <w:p w14:paraId="08DA6C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(2)Chemistry, School of Natural &amp; Environmental Sciences, Newcastle University </w:t>
      </w:r>
    </w:p>
    <w:p w14:paraId="1B93A1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Newcastle upon Tyne NE1 7RU UK.</w:t>
      </w:r>
    </w:p>
    <w:p w14:paraId="7A4A69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(3)School of Pharmacy, Faculty of Medical Sciences, Newcastle University King </w:t>
      </w:r>
    </w:p>
    <w:p w14:paraId="6A0A99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George VI Building Newcastle upon Tyne NE1 7RU UK.</w:t>
      </w:r>
    </w:p>
    <w:p w14:paraId="0FB5B3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(4)Translational and Clinical Research Institute, Faculty of Medical Sciences, </w:t>
      </w:r>
    </w:p>
    <w:p w14:paraId="5F874F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Newcastle University Newcastle upon Tyne NE2 4HH UK.</w:t>
      </w:r>
    </w:p>
    <w:p w14:paraId="4C7F81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5C3E8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Multidrug-resistant tuberculosis (MDR-TB) represents an urgent unmet clinical </w:t>
      </w:r>
    </w:p>
    <w:p w14:paraId="07E30B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need, with current regimens limited by prolonged duration, toxicity, and </w:t>
      </w:r>
    </w:p>
    <w:p w14:paraId="45B646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escalating resistance. We report the design, synthesis, and biological </w:t>
      </w:r>
    </w:p>
    <w:p w14:paraId="7DAEF6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evaluation of 43 novel 3,5-dinitrobenzoyl amino acid hydrazide analogues against </w:t>
      </w:r>
    </w:p>
    <w:p w14:paraId="54D936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wild-type and multidrug-resistant strains of Mycobacterium tuberculosis. </w:t>
      </w:r>
    </w:p>
    <w:p w14:paraId="745D86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Systematic variation of both the amino acid side chain and the aryl hydrazide </w:t>
      </w:r>
    </w:p>
    <w:p w14:paraId="3CE8E7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substituent revealed that hydrophobic, extended side chains confer superior </w:t>
      </w:r>
    </w:p>
    <w:p w14:paraId="3DC012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antimycobacterial potency, whilst the influence of the hydrazide substituent </w:t>
      </w:r>
    </w:p>
    <w:p w14:paraId="569B91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appears context-dependent, modulated by the steric demands of the amino acid </w:t>
      </w:r>
    </w:p>
    <w:p w14:paraId="715549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side chain. Cytotoxicity against mammalian cells was observed for several potent </w:t>
      </w:r>
    </w:p>
    <w:p w14:paraId="1E2744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analogues, representing an early-stage optimisation challenge with clearly </w:t>
      </w:r>
    </w:p>
    <w:p w14:paraId="453910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identified structure-dependent separability. Molecular docking against </w:t>
      </w:r>
    </w:p>
    <w:p w14:paraId="3156E2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decaprenylphosphoryl-β-d-ribose 2'-epimerase (DprE1) is presented as a </w:t>
      </w:r>
    </w:p>
    <w:p w14:paraId="2CC541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hypothesis-generating framework to rationalise key SAR trends. These findings </w:t>
      </w:r>
    </w:p>
    <w:p w14:paraId="509034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establish a refined SAR landscape that will guide future structural optimisation </w:t>
      </w:r>
    </w:p>
    <w:p w14:paraId="531421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this promising antitubercular scaffold.</w:t>
      </w:r>
    </w:p>
    <w:p w14:paraId="291AC7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93726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This journal is © The Royal Society of Chemistry.</w:t>
      </w:r>
    </w:p>
    <w:p w14:paraId="091833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96A3D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10.1039/d6md00338a</w:t>
      </w:r>
    </w:p>
    <w:p w14:paraId="35ED19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PMC13587841</w:t>
      </w:r>
    </w:p>
    <w:p w14:paraId="3382E8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42761891</w:t>
      </w:r>
    </w:p>
    <w:p w14:paraId="556045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08868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Lancet Reg Health Eur. 2026 Sep 10;70:101865. doi: 10.1016/j.lanepe.2026.101865. eCollection 2026 Nov.</w:t>
      </w:r>
    </w:p>
    <w:p w14:paraId="09A6C8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12C8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Drug-resistance profiles, population structure, genomic clustering, and temporal </w:t>
      </w:r>
    </w:p>
    <w:p w14:paraId="11A92E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trends in drug resistance among Mycobacterium tuberculosis complex isolates in </w:t>
      </w:r>
    </w:p>
    <w:p w14:paraId="03DB4A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Ukraine, 2019-2023: a multicentre cohort study.</w:t>
      </w:r>
    </w:p>
    <w:p w14:paraId="1ED64E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8B029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Butov D(1)(2), Butova T(3), Miasoiedov V(4), Feshchenko Y(5), Nakonechna O(6), </w:t>
      </w:r>
    </w:p>
    <w:p w14:paraId="2A91AD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Kuzhko M(5), Rosenthal A(7), Grinev A(7), Hoppes D(7), Kilmnick J(7), </w:t>
      </w:r>
    </w:p>
    <w:p w14:paraId="210A5B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Levandovska D(8), Hryhorieva A(8), Vekshyn V(9), Abramova L(9), Niemann </w:t>
      </w:r>
    </w:p>
    <w:p w14:paraId="59D492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S(2)(10)(11)(12), Dreyer V(2)(10); Ukrainian TB Portal Collaborators.</w:t>
      </w:r>
    </w:p>
    <w:p w14:paraId="7F61F7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1101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83FC0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Infectious Diseases, Childhood Infectious Diseases and </w:t>
      </w:r>
    </w:p>
    <w:p w14:paraId="19BDAE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Phthisiology, Kharkiv National Medical University, Kharkiv, Ukraine.</w:t>
      </w:r>
    </w:p>
    <w:p w14:paraId="56767F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(2)Research Center Borstel-Leibniz Lung Center, Molecular and Experimental </w:t>
      </w:r>
    </w:p>
    <w:p w14:paraId="59DBB9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Mycobacteriology Group, Borstel, Germany.</w:t>
      </w:r>
    </w:p>
    <w:p w14:paraId="0EF6ED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(3)Outpatient Department, Merefa Central District Hospital, Merefa, Ukraine.</w:t>
      </w:r>
    </w:p>
    <w:p w14:paraId="5472AA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(4)Department of Biology, Kharkiv National Medical University, Kharkiv, Ukraine.</w:t>
      </w:r>
    </w:p>
    <w:p w14:paraId="613BF5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(5)National Scientific Center of Phthisiatry, Pulmonology and Allergology named </w:t>
      </w:r>
    </w:p>
    <w:p w14:paraId="646E15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after F. G. Yanovskyi, National Academy of Medical Sciences of Ukraine, Kyiv, </w:t>
      </w:r>
    </w:p>
    <w:p w14:paraId="032EA6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Ukraine.</w:t>
      </w:r>
    </w:p>
    <w:p w14:paraId="136F53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Biochemistry, Kharkiv National Medical University, Kharkiv, </w:t>
      </w:r>
    </w:p>
    <w:p w14:paraId="0C7E4B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Ukraine.</w:t>
      </w:r>
    </w:p>
    <w:p w14:paraId="30FBCC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(7)Office of Cyber Infrastructure and Computational Biology, National Institute </w:t>
      </w:r>
    </w:p>
    <w:p w14:paraId="4F9E03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Allergy and Infectious Diseases, National Institutes of Health, Rockville, </w:t>
      </w:r>
    </w:p>
    <w:p w14:paraId="74362E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MD, USA.</w:t>
      </w:r>
    </w:p>
    <w:p w14:paraId="5F6F94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(8)Cherkasy Regional Tuberculosis Dispensary, Cherkasy, Ukraine.</w:t>
      </w:r>
    </w:p>
    <w:p w14:paraId="6FB5F6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(9)Central Scientific and Research Laboratory, Kharkiv National Medical </w:t>
      </w:r>
    </w:p>
    <w:p w14:paraId="1F082E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Kharkiv, Ukraine.</w:t>
      </w:r>
    </w:p>
    <w:p w14:paraId="7E5F5C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(10)German Center for Infection Research (DZIF), Partner Site </w:t>
      </w:r>
    </w:p>
    <w:p w14:paraId="568C10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Hamburg-Lübeck-Borstel-Riems, Borstel, Germany.</w:t>
      </w:r>
    </w:p>
    <w:p w14:paraId="5867DD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(11)EPHE, PSL University, Paris, France.</w:t>
      </w:r>
    </w:p>
    <w:p w14:paraId="3891D6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(12)Institut de Systématique, Évolution, Biodiversité (ISYEB), Muséum national </w:t>
      </w:r>
    </w:p>
    <w:p w14:paraId="75C853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d'Histoire naturelle, CNRS, Sorbonne Université, EPHE, Université des Antilles, </w:t>
      </w:r>
    </w:p>
    <w:p w14:paraId="294235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Paris, France.</w:t>
      </w:r>
    </w:p>
    <w:p w14:paraId="22C93A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BC1F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Ukraine has a high burden of rifampicin-resistant (RR) tuberculosis </w:t>
      </w:r>
    </w:p>
    <w:p w14:paraId="305F42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(TB). We characterised whole-genome sequencing (WGS)-inferred drug-resistance </w:t>
      </w:r>
    </w:p>
    <w:p w14:paraId="5455EC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(DR) profiles, population structure, genomic clustering, and temporal trends in </w:t>
      </w:r>
    </w:p>
    <w:p w14:paraId="744ABA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 among Mycobacterium tuberculosis complex (Mtbc) isolates during 2019-2023, </w:t>
      </w:r>
    </w:p>
    <w:p w14:paraId="2A6A41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amid the COVID-19 pandemic, large-scale displacement, health-system disruptions, </w:t>
      </w:r>
    </w:p>
    <w:p w14:paraId="42AFEA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changes in DR-TB-policy.</w:t>
      </w:r>
    </w:p>
    <w:p w14:paraId="7C6D28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In this multicentre cohort study, we analysed WGS data from </w:t>
      </w:r>
    </w:p>
    <w:p w14:paraId="71D055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pretreatment Mtbc isolates collected across 18 of 24 Ukrainian regions. WGS </w:t>
      </w:r>
    </w:p>
    <w:p w14:paraId="2C0DB8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enabled phylogenetic classification, resistance prediction, clustering. Clinical </w:t>
      </w:r>
    </w:p>
    <w:p w14:paraId="007FAD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data were prospectively collected.</w:t>
      </w:r>
    </w:p>
    <w:p w14:paraId="443FF5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FINDINGS: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WGS was completed for 4162 Mtbc-isolates, of which 3112/4162 (74.8%) </w:t>
      </w:r>
    </w:p>
    <w:p w14:paraId="74119B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at least RR. Among 3040 multidrug-resistant (MDR) isolates, 1101/3040 </w:t>
      </w:r>
    </w:p>
    <w:p w14:paraId="2F9A5F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(36.2%) had WGS-inferred fluoroquinolone (FQ) resistance and 78/3040 (2.6%) were </w:t>
      </w:r>
    </w:p>
    <w:p w14:paraId="67275D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classified as extensively DR-TB (XDR-TB); 57 had bedaquiline resistance, 32 had </w:t>
      </w:r>
    </w:p>
    <w:p w14:paraId="311F52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linezolid resistance, and 11 had resistance to both drugs. Lineage 2 (L2) </w:t>
      </w:r>
    </w:p>
    <w:p w14:paraId="21B0BB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accounted for 1608/1939 (82.9%) of MDR, 891/1023 (87.1%) of pre-XDR, and 70/78 </w:t>
      </w:r>
    </w:p>
    <w:p w14:paraId="39A152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(89.7%) of XDR isolates. Overall, 1712/3112 (55.0%) of DR-isolates formed </w:t>
      </w:r>
    </w:p>
    <w:p w14:paraId="18AF0D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genomic clusters; the three largest comprised 671/3112 (21.6%) of DR-TB cases </w:t>
      </w:r>
    </w:p>
    <w:p w14:paraId="4FCAA1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consisted exclusively of L2-isolates. WGS-inferred FQ resistance declined </w:t>
      </w:r>
    </w:p>
    <w:p w14:paraId="1ACEC1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276/675 (40.9%) to 216/767 (28.2%) during 2019-2023 (absolute difference </w:t>
      </w:r>
    </w:p>
    <w:p w14:paraId="1464CF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-12.7 percentage points [95% CI -17.5 to -7.8]; FDR-adjusted q = 4.1 × 10-7).</w:t>
      </w:r>
    </w:p>
    <w:p w14:paraId="539A56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INTERPRETATION: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DR-TB in this cohort was characterised by the predominance of </w:t>
      </w:r>
    </w:p>
    <w:p w14:paraId="2FBC15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genomically clustered L2 strains and frequent FQ resistance. Although </w:t>
      </w:r>
    </w:p>
    <w:p w14:paraId="1288A3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WGS-inferred bedaquiline resistance and XDR-TB were uncommon, combined FQ, </w:t>
      </w:r>
    </w:p>
    <w:p w14:paraId="2D7C60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bedaquiline, and linezolid resistance warrants continued genomic surveillance. </w:t>
      </w:r>
    </w:p>
    <w:p w14:paraId="525C1E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Temporal trends may reflect concurrent epidemiological, diagnostic, and </w:t>
      </w:r>
    </w:p>
    <w:p w14:paraId="79EDAE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health-system changes.</w:t>
      </w:r>
    </w:p>
    <w:p w14:paraId="797DAD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FUNDING: NIAID/USCRDF; BMBF; Deutsche Forschungsgemeinschaft; EvoLUNG.</w:t>
      </w:r>
    </w:p>
    <w:p w14:paraId="48C716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AD23A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The Author(s).</w:t>
      </w:r>
    </w:p>
    <w:p w14:paraId="60F6A8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C65E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10.1016/j.lanepe.2026.101865</w:t>
      </w:r>
    </w:p>
    <w:p w14:paraId="4407A8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PMC13586565</w:t>
      </w:r>
    </w:p>
    <w:p w14:paraId="3DFDEB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42761426</w:t>
      </w:r>
    </w:p>
    <w:p w14:paraId="3337C9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0378A3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Chem Biol Drug Des. 2026 Sep;108(3):e70405. doi: 10.1111/cbdd.70405.</w:t>
      </w:r>
    </w:p>
    <w:p w14:paraId="1143AF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06F64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Design, Synthesis, Antimycobacterial Evaluation, and In Silico Investigation of </w:t>
      </w:r>
    </w:p>
    <w:p w14:paraId="1C6B25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Benzisothiazole-Based Hydrazide Derivatives as Potential Anti-Tuberculosis </w:t>
      </w:r>
    </w:p>
    <w:p w14:paraId="1D7291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Agents.</w:t>
      </w:r>
    </w:p>
    <w:p w14:paraId="4ADAF8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9FD2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Sharma V(1), Sharma A(1), Poria R(2), Kumar P(2).</w:t>
      </w:r>
    </w:p>
    <w:p w14:paraId="101A44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EA19F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DB576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Chemistry U.G.C. Centre of Advanced Studies, Guru Nanak Dev </w:t>
      </w:r>
    </w:p>
    <w:p w14:paraId="4FE3D8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Amritsar, India.</w:t>
      </w:r>
    </w:p>
    <w:p w14:paraId="3D0E10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(2)Swami Dayanand Post Graduate Institute of Pharmaceutical Sciences Rohtak, </w:t>
      </w:r>
    </w:p>
    <w:p w14:paraId="0C5BE8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Pandit Bhagwat Dayal Sharma University of Health and Sciences, Rohtak, Haryana, </w:t>
      </w:r>
    </w:p>
    <w:p w14:paraId="0B39AB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</w:t>
      </w:r>
    </w:p>
    <w:p w14:paraId="07BF4D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75B8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series of novel benzisothiazole-based hydrazide derivatives was rationally </w:t>
      </w:r>
    </w:p>
    <w:p w14:paraId="0713B0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designed, synthesized, and evaluated for their antitubercular activity. Among </w:t>
      </w:r>
    </w:p>
    <w:p w14:paraId="70C5CA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synthesized compounds, derivative 8k emerged as the most potent candidate, </w:t>
      </w:r>
    </w:p>
    <w:p w14:paraId="55F921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exhibiting a minimum inhibitory concentration (MIC) of 0.25 μg/mL, along with a </w:t>
      </w:r>
    </w:p>
    <w:p w14:paraId="5F146C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 selectivity index (SI) of 42 and confirmed bactericidal activity. To gain </w:t>
      </w:r>
    </w:p>
    <w:p w14:paraId="66AA5A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preliminary insights into its possible mechanism of action, compound 8k was </w:t>
      </w:r>
    </w:p>
    <w:p w14:paraId="0573E3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subjected to molecular docking and 100 ns molecular dynamics simulations, using </w:t>
      </w:r>
    </w:p>
    <w:p w14:paraId="74BBAD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enoyl-acyl carrier protein reductase (InhA) as the proposed molecular target. </w:t>
      </w:r>
    </w:p>
    <w:p w14:paraId="1EA028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computational studies revealed favorable binding interactions and a </w:t>
      </w:r>
    </w:p>
    <w:p w14:paraId="55C662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relatively stable protein-ligand complex, suggesting InhA as a potential </w:t>
      </w:r>
    </w:p>
    <w:p w14:paraId="5EE7A5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molecular target. However, experimental target-validation studies are required </w:t>
      </w:r>
    </w:p>
    <w:p w14:paraId="7F7E52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confirm direct InhA inhibition and establish the proposed mechanism of </w:t>
      </w:r>
    </w:p>
    <w:p w14:paraId="6DEAF4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action. Furthermore, in silico ADMET predictions indicated favorable </w:t>
      </w:r>
    </w:p>
    <w:p w14:paraId="6A89F1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pharmacokinetic characteristics and drug-likeness properties for the lead </w:t>
      </w:r>
    </w:p>
    <w:p w14:paraId="6FE82D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compound. Collectively, these findings highlight the potential of </w:t>
      </w:r>
    </w:p>
    <w:p w14:paraId="599C02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benzisothiazole-based hydrazide derivatives as promising scaffolds for the </w:t>
      </w:r>
    </w:p>
    <w:p w14:paraId="57A984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development of new antitubercular agents.</w:t>
      </w:r>
    </w:p>
    <w:p w14:paraId="184A9A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EF0E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2026 The Author(s). Chemical Biology &amp; Drug Design published by John Wiley &amp; </w:t>
      </w:r>
    </w:p>
    <w:p w14:paraId="41B580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Sons Ltd.</w:t>
      </w:r>
    </w:p>
    <w:p w14:paraId="093978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DE30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10.1111/cbdd.70405</w:t>
      </w:r>
    </w:p>
    <w:p w14:paraId="360661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PMC13589221</w:t>
      </w:r>
    </w:p>
    <w:p w14:paraId="5100C3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42760852 [Indexed for MEDLINE]</w:t>
      </w:r>
    </w:p>
    <w:p w14:paraId="491896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0A9379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BMC Infect Dis. 2026 Aug 18;26(1):1678. doi: 10.1186/s12879-026-14249-8.</w:t>
      </w:r>
    </w:p>
    <w:p w14:paraId="32B556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A05F0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Prevalence and factors associated with tuberculosis recurrence among key </w:t>
      </w:r>
    </w:p>
    <w:p w14:paraId="381BC1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vulnerable populations in the Ashanti region, Ghana.</w:t>
      </w:r>
    </w:p>
    <w:p w14:paraId="679091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97F8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Adangabe E(1), Idan JS(2)(3), Cheabu BSN(4)(5), Obiefuna AA(6), Mensah KA(7), </w:t>
      </w:r>
    </w:p>
    <w:p w14:paraId="403A0A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Acheampong PR(8), Mohammed A(2).</w:t>
      </w:r>
    </w:p>
    <w:p w14:paraId="3766A9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65C6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EA9FD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Epidemiology and Biostatistics, School of Public Health, Kwame </w:t>
      </w:r>
    </w:p>
    <w:p w14:paraId="3B8978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Nkrumah University of Science and Technology, Kumasi, Ghana. </w:t>
      </w:r>
    </w:p>
    <w:p w14:paraId="44659D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adangabeerrors@gmail.com.</w:t>
      </w:r>
    </w:p>
    <w:p w14:paraId="31AC67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Epidemiology and Biostatistics, School of Public Health, Kwame </w:t>
      </w:r>
    </w:p>
    <w:p w14:paraId="589B49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Nkrumah University of Science and Technology, Kumasi, Ghana.</w:t>
      </w:r>
    </w:p>
    <w:p w14:paraId="254D7C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(3)University Health Services, University of Education, Winneba, Ghana.</w:t>
      </w:r>
    </w:p>
    <w:p w14:paraId="767142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(4)Christian Health Association of Ghana, Accra, Ghana.</w:t>
      </w:r>
    </w:p>
    <w:p w14:paraId="110EE8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(5)Faculty of Health Science, Health Quality Programs, Queen's University, </w:t>
      </w:r>
    </w:p>
    <w:p w14:paraId="466012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Kingston, K7L3N6, Canada.</w:t>
      </w:r>
    </w:p>
    <w:p w14:paraId="515067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(6)Afro Global Alliance, Accra, Ghana.</w:t>
      </w:r>
    </w:p>
    <w:p w14:paraId="564CCF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(7)Department of Health Policy, Management and Economics, School of Public </w:t>
      </w:r>
    </w:p>
    <w:p w14:paraId="179807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Health, Kwame Nkrumah University of Science and Technology, Kumasi, Ghana.</w:t>
      </w:r>
    </w:p>
    <w:p w14:paraId="243323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(8)Department of Health Promotion and Disability Studies, School of Public </w:t>
      </w:r>
    </w:p>
    <w:p w14:paraId="633917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Health, Kwame Nkrumah University of Science and Technology, Kumasi, Ghana.</w:t>
      </w:r>
    </w:p>
    <w:p w14:paraId="3F9CDC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8CAD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INTRODUCTION: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Tuberculosis (TB) is a leading public health challenge, with </w:t>
      </w:r>
    </w:p>
    <w:p w14:paraId="335504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limited data on the prevalence of recurrence TB and its associated factors among </w:t>
      </w:r>
    </w:p>
    <w:p w14:paraId="0A777F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key vulnerable populations (KVPs) in Ghana. This study aimed to determine the </w:t>
      </w:r>
    </w:p>
    <w:p w14:paraId="478C3B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prevalence of TB recurrence and identify factors associated with recurrence </w:t>
      </w:r>
    </w:p>
    <w:p w14:paraId="6FD858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among PLHIV, informal miners, prisoners, the rural poor, smokers, and children.</w:t>
      </w:r>
    </w:p>
    <w:p w14:paraId="131784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cross-sectional study was conducted in five health districts in the </w:t>
      </w:r>
    </w:p>
    <w:p w14:paraId="74E165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Ashanti Region, Ghana, from September to November, 2024. A total of 436 </w:t>
      </w:r>
    </w:p>
    <w:p w14:paraId="036803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participants, including PLHIV, informal miners, prisoners, the rural poor, </w:t>
      </w:r>
    </w:p>
    <w:p w14:paraId="663791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smokers, and children, were recruited through systematic random sampling. Data </w:t>
      </w:r>
    </w:p>
    <w:p w14:paraId="39DDBA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on socio-demographic, clinical and behavioral factors were collected using a </w:t>
      </w:r>
    </w:p>
    <w:p w14:paraId="3732F8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validated structured questionnaire. Descriptive statistics were used to </w:t>
      </w:r>
    </w:p>
    <w:p w14:paraId="6F8AF7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summarize data, and logistic regression to identify factors associated with TB </w:t>
      </w:r>
    </w:p>
    <w:p w14:paraId="3827B0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recurrence, adjusting for potential confounders using Stata/SE version 16.1.</w:t>
      </w:r>
    </w:p>
    <w:p w14:paraId="350A1A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overall prevalence of TB recurrence among KVPs was 15.6% (68/436). </w:t>
      </w:r>
    </w:p>
    <w:p w14:paraId="11B171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Recurrence was highest among smokers at 25.0% (95% CI: 14.7-37.9), followed by </w:t>
      </w:r>
    </w:p>
    <w:p w14:paraId="7C9A81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rural poor at 23.1% (95% CI: 14.9-33.1), informal miners at 19.1% (95% CI: </w:t>
      </w:r>
    </w:p>
    <w:p w14:paraId="3D8A06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11.8-28.6), and prisoners at 14.3% (95% CI: 1.8-42.8). PLHIV had a recurrence </w:t>
      </w:r>
    </w:p>
    <w:p w14:paraId="5625B7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prevalence of 12.0% (95% CI: 6.4-20.0), while no recurrence was observed among </w:t>
      </w:r>
    </w:p>
    <w:p w14:paraId="31D9D0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children (0%). In the multivariable logistic regression, two factors were </w:t>
      </w:r>
    </w:p>
    <w:p w14:paraId="0D21E9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independently associated with TB recurrence, which included; residing in a </w:t>
      </w:r>
    </w:p>
    <w:p w14:paraId="6EDC99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single-family home compared to a family compound house (AOR: 2.055; 95% CI: </w:t>
      </w:r>
    </w:p>
    <w:p w14:paraId="74F8DB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1.002-4.212), and those with the history of heavy alcohol consumption </w:t>
      </w:r>
    </w:p>
    <w:p w14:paraId="2E6C76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(AOR = 3.596; 95% CI: 1.283-10.080) Compared with participants who reported </w:t>
      </w:r>
    </w:p>
    <w:p w14:paraId="51CB59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never consuming alcohol. All other factors, including age, sex, educational </w:t>
      </w:r>
    </w:p>
    <w:p w14:paraId="34B2C1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level, marital status, key vulnerable population category, and TB support, were </w:t>
      </w:r>
    </w:p>
    <w:p w14:paraId="2160FC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not significantly associated with TB recurrence in the adjusted model.</w:t>
      </w:r>
    </w:p>
    <w:p w14:paraId="218B7D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TB recurrence among KVPs in the Ashanti Region is an important </w:t>
      </w:r>
    </w:p>
    <w:p w14:paraId="2E7EA0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public health concern, with the burden disproportionately concentrated among </w:t>
      </w:r>
    </w:p>
    <w:p w14:paraId="52B137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smokers, the rural poor, and informal miners. Individuals residing in </w:t>
      </w:r>
    </w:p>
    <w:p w14:paraId="7840EB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single-family homes and those with heavy alcohol consumption had higher odds of </w:t>
      </w:r>
    </w:p>
    <w:p w14:paraId="16BEC1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recurrence. These findings indicate that TB control programmes must address </w:t>
      </w:r>
    </w:p>
    <w:p w14:paraId="72E297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both housing conditions that isolate individuals from family support networks </w:t>
      </w:r>
    </w:p>
    <w:p w14:paraId="5EC7CA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implement integrated alcohol screening and brief interventions within </w:t>
      </w:r>
    </w:p>
    <w:p w14:paraId="362320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protocols. Targeted interventions addressing these modifiable factors </w:t>
      </w:r>
    </w:p>
    <w:p w14:paraId="4F2571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are essential to reduce TB recurrence and improve treatment outcomes among </w:t>
      </w:r>
    </w:p>
    <w:p w14:paraId="2060A1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vulnerable populations in Ghana.</w:t>
      </w:r>
    </w:p>
    <w:p w14:paraId="332342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CLINICAL TRIAL: Not applicable.</w:t>
      </w:r>
    </w:p>
    <w:p w14:paraId="4ECFC1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2E3E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2026. The Author(s).</w:t>
      </w:r>
    </w:p>
    <w:p w14:paraId="256595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B340D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10.1186/s12879-026-14249-8</w:t>
      </w:r>
    </w:p>
    <w:p w14:paraId="6D1E34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PMC13589359</w:t>
      </w:r>
    </w:p>
    <w:p w14:paraId="28F40C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42760524 [Indexed for MEDLINE]</w:t>
      </w:r>
    </w:p>
    <w:p w14:paraId="411BEE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58643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3. J Crohns Colitis. 2026 Sep 3;20(9):jjag142. doi: 10.1093/ecco-jcc/jjag142.</w:t>
      </w:r>
    </w:p>
    <w:p w14:paraId="13A30A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DDBD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Follow-up duration and tuberculosis do not modify the comparative safety of JAK </w:t>
      </w:r>
    </w:p>
    <w:p w14:paraId="5283D0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inhibitors in ulcerative colitis.</w:t>
      </w:r>
    </w:p>
    <w:p w14:paraId="693273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EB595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Meyer A(1)(2), Amiot A(1)(2).</w:t>
      </w:r>
    </w:p>
    <w:p w14:paraId="479879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C97E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5F151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(1)Service de Gastroentérologie, Hôpital Bicêtre, Assistance Publique-Hôpitaux </w:t>
      </w:r>
    </w:p>
    <w:p w14:paraId="4CC26C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 Paris, Paris-Saclay, Le Kremlin Bicêtre, France.</w:t>
      </w:r>
    </w:p>
    <w:p w14:paraId="2721CC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(2)Inserm, Gustave Roussy, CESP, Université Paris-Saclay, UVSQ, Villejuif, </w:t>
      </w:r>
    </w:p>
    <w:p w14:paraId="13C453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94805, France.</w:t>
      </w:r>
    </w:p>
    <w:p w14:paraId="7C2B4C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25911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Comment on</w:t>
      </w:r>
    </w:p>
    <w:p w14:paraId="07A712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   J Crohns Colitis. 2026 Jul 7;20(7):jjag109. doi: 10.1093/ecco-jcc/jjag109.</w:t>
      </w:r>
    </w:p>
    <w:p w14:paraId="7C5FD2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EA612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10.1093/ecco-jcc/jjag142</w:t>
      </w:r>
    </w:p>
    <w:p w14:paraId="19A0A7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42758047</w:t>
      </w:r>
    </w:p>
    <w:p w14:paraId="790429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4C209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IDCases. 2026 Sep 9;46:e02758. doi: 10.1016/j.idcr.2026.e02758. eCollection </w:t>
      </w:r>
    </w:p>
    <w:p w14:paraId="63E0C50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2026.</w:t>
      </w:r>
    </w:p>
    <w:p w14:paraId="075042C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</w:p>
    <w:p w14:paraId="5E55F1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Challenges in causality assessment of renal dysfunction during sequential </w:t>
      </w:r>
    </w:p>
    <w:p w14:paraId="376BD1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treatment for presumed rifampicin-resistant tuberculosis in an elderly patient.</w:t>
      </w:r>
    </w:p>
    <w:p w14:paraId="177A11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99B7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Hoang TTT(1), Ha HC(2), Nguyen HT(3)(4), Nguyen TH(5), Codlin AJ(6)(7), Vo </w:t>
      </w:r>
    </w:p>
    <w:p w14:paraId="6EBEFF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LNQ(6)(7).</w:t>
      </w:r>
    </w:p>
    <w:p w14:paraId="0E585C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EBD64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99B61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(1)National TB Control Programme of Vietnam, National Lung Hospital, Hanoi, Viet </w:t>
      </w:r>
    </w:p>
    <w:p w14:paraId="6529D8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Nam.</w:t>
      </w:r>
    </w:p>
    <w:p w14:paraId="17C8D3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(2)Soc Trang Lung Hospital, Viet Nam.</w:t>
      </w:r>
    </w:p>
    <w:p w14:paraId="722125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(3)Research Department, FIT RD Social Enterprise Company Limited (FIT RD), </w:t>
      </w:r>
    </w:p>
    <w:p w14:paraId="620B92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Hanoi, Viet Nam.</w:t>
      </w:r>
    </w:p>
    <w:p w14:paraId="1D9E3A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(4)Division of Infectious Diseases, Department of Medicine Solna, Karolinska </w:t>
      </w:r>
    </w:p>
    <w:p w14:paraId="52A403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Institutet, Stockholm, Sweden.</w:t>
      </w:r>
    </w:p>
    <w:p w14:paraId="1B8F41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(5)KNCV Tuberculosis Foundation, Viet Nam.</w:t>
      </w:r>
    </w:p>
    <w:p w14:paraId="58360E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(6)Friends for International TB Relief, Hanoi, Viet Nam.</w:t>
      </w:r>
    </w:p>
    <w:p w14:paraId="15836F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(7)Department of Global Public Health, Karolinska Institutet, Stockholm, Sweden.</w:t>
      </w:r>
    </w:p>
    <w:p w14:paraId="2F4344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CBA7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Renal impairment during treatment for rifampicin-resistant </w:t>
      </w:r>
    </w:p>
    <w:p w14:paraId="1C9C55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(RR-TB) is uncommon but clinically significant, especially in </w:t>
      </w:r>
    </w:p>
    <w:p w14:paraId="2CD230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elderly patients with limited physiological reserve. Determining whether renal </w:t>
      </w:r>
    </w:p>
    <w:p w14:paraId="1E8374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dysfunction is attributable to anti-tuberculosis drugs or patient-related </w:t>
      </w:r>
    </w:p>
    <w:p w14:paraId="72AA2F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factors remains a major clinical challenge, particularly following sequential </w:t>
      </w:r>
    </w:p>
    <w:p w14:paraId="198E51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regimen changes.</w:t>
      </w:r>
    </w:p>
    <w:p w14:paraId="57F3C3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CASE PRESENTATION: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74-year-old man with a low body mass index (17.5 kg/m²) was </w:t>
      </w:r>
    </w:p>
    <w:p w14:paraId="00B0E6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treated for presumed RR-TB based on a single Xpert MTB/RIF assay showing </w:t>
      </w:r>
    </w:p>
    <w:p w14:paraId="7074E6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rifampicin resistance despite persistently negative smear microscopy and </w:t>
      </w:r>
    </w:p>
    <w:p w14:paraId="677D20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mycobacterial culture. Baseline renal function was normal (serum creatinine 89 </w:t>
      </w:r>
    </w:p>
    <w:p w14:paraId="578849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µmol/L; estimated glomerular filtration rate [eGFR] 73.2 mL/min/1.73 m²). </w:t>
      </w:r>
    </w:p>
    <w:p w14:paraId="632A74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Eighteen days after initiation of a long oral regimen (D2: levofloxacin, </w:t>
      </w:r>
    </w:p>
    <w:p w14:paraId="3F2DE4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clofazimine, linezolid, pyrazinamide, and cycloserine), acute kidney injury </w:t>
      </w:r>
    </w:p>
    <w:p w14:paraId="02A00A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developed, with serum creatinine increasing to 140 µmol/L and eGFR declining to </w:t>
      </w:r>
    </w:p>
    <w:p w14:paraId="11E6B7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42.34 mL/min/1.73 m². The regimen was switched to BPaLM, during which renal </w:t>
      </w:r>
    </w:p>
    <w:p w14:paraId="587AF7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function worsened with marked fluctuations (eGFR 24.65-57.3 mL/min/1.73 m²), </w:t>
      </w:r>
    </w:p>
    <w:p w14:paraId="0A2F9A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requiring supportive care. Renal function partially improved after treatment </w:t>
      </w:r>
    </w:p>
    <w:p w14:paraId="3C9387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interruption. Rechallenge with the D2 regimen was associated with relatively </w:t>
      </w:r>
    </w:p>
    <w:p w14:paraId="7E8922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less fluctuation in renal function. WHO-UMC causality assessment classified the </w:t>
      </w:r>
    </w:p>
    <w:p w14:paraId="585880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relationship between anti-tuberculosis treatment and renal dysfunction as </w:t>
      </w:r>
    </w:p>
    <w:p w14:paraId="27B030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"possible."</w:t>
      </w:r>
    </w:p>
    <w:p w14:paraId="6D67F3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case highlights the complexity of evaluating renal dysfunction </w:t>
      </w:r>
    </w:p>
    <w:p w14:paraId="567915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during sequential treatment for RR-TB. Advanced age, low BMI, frailty, and </w:t>
      </w:r>
    </w:p>
    <w:p w14:paraId="0E32FE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fluctuating hydration status should be considered when interpreting changes in </w:t>
      </w:r>
    </w:p>
    <w:p w14:paraId="2B4CA4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renal function. Careful interpretation requires integration of the clinical </w:t>
      </w:r>
    </w:p>
    <w:p w14:paraId="29E725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course and available diagnostic information rather than reliance on temporal </w:t>
      </w:r>
    </w:p>
    <w:p w14:paraId="0EEEF8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associations alone.</w:t>
      </w:r>
    </w:p>
    <w:p w14:paraId="43C2E4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11D25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The Authors.</w:t>
      </w:r>
    </w:p>
    <w:p w14:paraId="3F0463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F643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10.1016/j.idcr.2026.e02758</w:t>
      </w:r>
    </w:p>
    <w:p w14:paraId="52D806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PMC13584142</w:t>
      </w:r>
    </w:p>
    <w:p w14:paraId="44FF23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42757111</w:t>
      </w:r>
    </w:p>
    <w:p w14:paraId="4F7964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6E6EA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BMJ Neurol Open. 2026 Sep 11;8(2):e001750. doi: 10.1136/bmjno-2026-001750. </w:t>
      </w:r>
    </w:p>
    <w:p w14:paraId="4FA0379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14CCA9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0C1C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Inflammatory biomarkers as predictors of paradoxical reaction in tubercular </w:t>
      </w:r>
    </w:p>
    <w:p w14:paraId="4DA8DB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meningitis: a prospective observational study.</w:t>
      </w:r>
    </w:p>
    <w:p w14:paraId="170256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480D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Deswal S(1), Qavi A(1), Singh AK(1), Maurya PK(1), Kulshreshtha D(1), Ansari </w:t>
      </w:r>
    </w:p>
    <w:p w14:paraId="60B62B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A(2).</w:t>
      </w:r>
    </w:p>
    <w:p w14:paraId="4FADF6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E028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84AD4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(1)Neurology, Dr Ram Manohar Lohia Institute of Medical Sciences, Lucknow, </w:t>
      </w:r>
    </w:p>
    <w:p w14:paraId="05C860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</w:t>
      </w:r>
    </w:p>
    <w:p w14:paraId="3DFF6A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(2)Community Medicine and Public Health, Dr Ram Manohar Lohia Institute of </w:t>
      </w:r>
    </w:p>
    <w:p w14:paraId="7CC416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Medical Sciences, Lucknow, India.</w:t>
      </w:r>
    </w:p>
    <w:p w14:paraId="506B37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6ABB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INTRODUCTION: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Tubercular meningitis (TBM) is associated with high morbidity and </w:t>
      </w:r>
    </w:p>
    <w:p w14:paraId="2AD56D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mortality due to intense inflammatory responses causing basal exudates, </w:t>
      </w:r>
    </w:p>
    <w:p w14:paraId="064034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vasculitic infarcts, hydrocephalus and cranial nerve palsies. Paradoxical </w:t>
      </w:r>
    </w:p>
    <w:p w14:paraId="640F1C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reaction (PR) occurs in nearly 30% of patients and contributes to clinical </w:t>
      </w:r>
    </w:p>
    <w:p w14:paraId="193542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deterioration during treatment. Dysregulated inflammatory mediators in serum and </w:t>
      </w:r>
    </w:p>
    <w:p w14:paraId="616BA9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cerebrospinal fluid (CSF) have been implicated in PR and adverse outcomes in </w:t>
      </w:r>
    </w:p>
    <w:p w14:paraId="289CB0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TBM.</w:t>
      </w:r>
    </w:p>
    <w:p w14:paraId="2A702B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evaluated baseline serum and CSF inflammatory biomarkers </w:t>
      </w:r>
    </w:p>
    <w:p w14:paraId="116905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for predicting PR and vasculitic infarcts in newly diagnosed TBM patients.</w:t>
      </w:r>
    </w:p>
    <w:p w14:paraId="01AF54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this prospective observational study, 151 treatment-naïve TBM </w:t>
      </w:r>
    </w:p>
    <w:p w14:paraId="2908A7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 fulfilling Marais consensus criteria were enrolled. Baseline clinical, </w:t>
      </w:r>
    </w:p>
    <w:p w14:paraId="394463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radiological, serum and CSF inflammatory markers were assessed and repeated </w:t>
      </w:r>
    </w:p>
    <w:p w14:paraId="12BC20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during PR/stroke. Serum markers included high-sensitivity C reactive protein </w:t>
      </w:r>
    </w:p>
    <w:p w14:paraId="6BAFA0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(hsCRP), erythrocyte sedimentation rate (ESR), lactate dehydrogenase (LDH), </w:t>
      </w:r>
    </w:p>
    <w:p w14:paraId="3C5F8B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ferritin, albumin, D-dimer, neutrophil-lymphocyte ratio (NLR) and systemic </w:t>
      </w:r>
    </w:p>
    <w:p w14:paraId="46192C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immune-inflammation index. CSF analysis included adenosine deaminase, NLR, </w:t>
      </w:r>
    </w:p>
    <w:p w14:paraId="5B6F05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protein, glucose and leucocyte count.</w:t>
      </w:r>
    </w:p>
    <w:p w14:paraId="2820D3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151 patients (mean age 32.7±14.5 years), 43 (28.4%) developed PR, </w:t>
      </w:r>
    </w:p>
    <w:p w14:paraId="1DE86D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most commonly within 1-2 months of antitubercular therapy initiation. Altered </w:t>
      </w:r>
    </w:p>
    <w:p w14:paraId="5427F2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sensorium (58.1%) and progression of hydrocephalus (60.5%) were common </w:t>
      </w:r>
    </w:p>
    <w:p w14:paraId="0270F1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manifestations. Higher baseline ESR, hsCRP, LDH, ferritin, D-dimer and lower </w:t>
      </w:r>
    </w:p>
    <w:p w14:paraId="36703C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serum albumin were significantly associated with PR. Serum ferritin showed the </w:t>
      </w:r>
    </w:p>
    <w:p w14:paraId="787557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best predictive accuracy (area under the curve 0.910; cut-off ≥451 µg/L; </w:t>
      </w:r>
    </w:p>
    <w:p w14:paraId="62E3BF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sensitivity 88.4%, specificity 88.9%). On multivariable analysis, serum ferritin </w:t>
      </w:r>
    </w:p>
    <w:p w14:paraId="237090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(OR 1.004; p=0.001) and ESR (OR 1.020; p=0.033) remained independent predictors.</w:t>
      </w:r>
    </w:p>
    <w:p w14:paraId="048FCB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Serum inflammatory markers, particularly ferritin and ESR, may </w:t>
      </w:r>
    </w:p>
    <w:p w14:paraId="0C0B96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serve as useful predictors of PR in TBM. These findings support an </w:t>
      </w:r>
    </w:p>
    <w:p w14:paraId="219A0B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immune-mediated mechanism underlying paradoxical worsening and may help identify </w:t>
      </w:r>
    </w:p>
    <w:p w14:paraId="464C71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high-risk patients who could benefit from early anti-inflammatory or </w:t>
      </w:r>
    </w:p>
    <w:p w14:paraId="2FA77B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immune-modulatory therapy.</w:t>
      </w:r>
    </w:p>
    <w:p w14:paraId="21256A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1206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Author(s) (or their employer(s)) 2026. Re-use permitted under CC </w:t>
      </w:r>
    </w:p>
    <w:p w14:paraId="31DDA7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BY-NC. No commercial re-use. See rights and permissions. Published by BMJ Group.</w:t>
      </w:r>
    </w:p>
    <w:p w14:paraId="09562F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38F0C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10.1136/bmjno-2026-001750</w:t>
      </w:r>
    </w:p>
    <w:p w14:paraId="3E4833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PMC13583852</w:t>
      </w:r>
    </w:p>
    <w:p w14:paraId="127D95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42756990</w:t>
      </w:r>
    </w:p>
    <w:p w14:paraId="753A52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72EB7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Immunol. 2026 Sep 3;17:1895152. doi: 10.3389/fimmu.2026.1895152. </w:t>
      </w:r>
    </w:p>
    <w:p w14:paraId="24953BA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6961B5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578CF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Crosstalk between Mycobacterium tuberculosis and SARS-CoV-2 defines divergent </w:t>
      </w:r>
    </w:p>
    <w:p w14:paraId="7F98AF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cellular composition of murine responses.</w:t>
      </w:r>
    </w:p>
    <w:p w14:paraId="74FBEC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CC92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Hildebrand RE(#)(1), Lodes MB(#)(1), Chandrasekar SS(1), Hansen CH(1), Elsmo </w:t>
      </w:r>
    </w:p>
    <w:p w14:paraId="0DDC84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E(1)(2), Veltri AJ(3), Talaat AM(1)(4).</w:t>
      </w:r>
    </w:p>
    <w:p w14:paraId="685413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1A6D6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80D1F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Pathobiological Sciences, School of Veterinary Medicine, </w:t>
      </w:r>
    </w:p>
    <w:p w14:paraId="728637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Wisconsin, Madison, WI, United States.</w:t>
      </w:r>
    </w:p>
    <w:p w14:paraId="1F4CEB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(2)Wisconsin Veterinary Diagnostic Laboratory, Madison, WI, United States.</w:t>
      </w:r>
    </w:p>
    <w:p w14:paraId="201FB3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(3)Bioinformatics Resource Center, University of Wisconsin Biotechnology Center, </w:t>
      </w:r>
    </w:p>
    <w:p w14:paraId="33A72F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Madison, WI, United States.</w:t>
      </w:r>
    </w:p>
    <w:p w14:paraId="2A207A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(4)Vireo Vaccines International, Middleton, WI, United States.</w:t>
      </w:r>
    </w:p>
    <w:p w14:paraId="4F3CC6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20D418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3DF1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INTRODUCTION: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infects nearly a quarter of the world </w:t>
      </w:r>
    </w:p>
    <w:p w14:paraId="21A818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population, while SARS-CoV-2 has infected hundreds of millions in recent years. </w:t>
      </w:r>
    </w:p>
    <w:p w14:paraId="3BFC86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cellular and genetic impact of this coinfection remains unclear.</w:t>
      </w:r>
    </w:p>
    <w:p w14:paraId="60642B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Using a murine model, we studied SARS-CoV-2 superinfection during acute </w:t>
      </w:r>
    </w:p>
    <w:p w14:paraId="49F07E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chronic stages of high dose tuberculosis (TB).</w:t>
      </w:r>
    </w:p>
    <w:p w14:paraId="3D2F75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In acute TB, coinfection increased mortality associated with higher </w:t>
      </w:r>
    </w:p>
    <w:p w14:paraId="76E2A3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brain viral loads. During chronic TB, survival improved slightly without </w:t>
      </w:r>
    </w:p>
    <w:p w14:paraId="68E27F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affecting brain infection. Interestingly, histopathology showed disorganized </w:t>
      </w:r>
    </w:p>
    <w:p w14:paraId="3F39D5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inflammatory responses in co-infected mice versus granuloma-like structures in </w:t>
      </w:r>
    </w:p>
    <w:p w14:paraId="26B460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alone. Spatial transcriptomics revealed expanded B cell populations and </w:t>
      </w:r>
    </w:p>
    <w:p w14:paraId="08CE1E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upregulation of immunoglobulin-associated genes, as well as an absence of </w:t>
      </w:r>
    </w:p>
    <w:p w14:paraId="0226F3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distinct Tcell clusters, consistent with a relative prominence of humoral immune </w:t>
      </w:r>
    </w:p>
    <w:p w14:paraId="1E7991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signatures in chronic TB. Notably, SARS-CoV-2 infection produced bronchial </w:t>
      </w:r>
    </w:p>
    <w:p w14:paraId="023DE5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inflammation dominated by innate immune cells, like acute TB but unlike the </w:t>
      </w:r>
    </w:p>
    <w:p w14:paraId="324D1C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infiltration of foamy macrophage during chronic TB.</w:t>
      </w:r>
    </w:p>
    <w:p w14:paraId="11D378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DISCUSSION: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Overall, SARS-CoV-2 coinfection was associated with a distinct </w:t>
      </w:r>
    </w:p>
    <w:p w14:paraId="57456B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immune landscape compared to TB alone, including differences in </w:t>
      </w:r>
    </w:p>
    <w:p w14:paraId="53C6C9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macrophage and lymphocyte composition and spatial organization, suggesting that </w:t>
      </w:r>
    </w:p>
    <w:p w14:paraId="2A4BF7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coinfection may modulate the local immune response to TB and highlighting the </w:t>
      </w:r>
    </w:p>
    <w:p w14:paraId="1BEDCB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need for further investigation into the development of vaccines and therapies </w:t>
      </w:r>
    </w:p>
    <w:p w14:paraId="126793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targeting both pathogens.</w:t>
      </w:r>
    </w:p>
    <w:p w14:paraId="6710FD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0A04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Hildebrand, Lodes, Chandrasekar, Hansen, Elsmo, Veltri and </w:t>
      </w:r>
    </w:p>
    <w:p w14:paraId="4440EA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Talaat.</w:t>
      </w:r>
    </w:p>
    <w:p w14:paraId="15AEB9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ADEE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10.3389/fimmu.2026.1895152</w:t>
      </w:r>
    </w:p>
    <w:p w14:paraId="3C5F7F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PMC13583669</w:t>
      </w:r>
    </w:p>
    <w:p w14:paraId="3B392D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42756934 [Indexed for MEDLINE]</w:t>
      </w:r>
    </w:p>
    <w:p w14:paraId="0CD921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828FD2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Immunol. 2026 Sep 3;17:1920524. doi: 10.3389/fimmu.2026.1920524. </w:t>
      </w:r>
    </w:p>
    <w:p w14:paraId="6B056CE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794094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9FEB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eight pillars of within-host tuberculosis modelling.</w:t>
      </w:r>
    </w:p>
    <w:p w14:paraId="088315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74A25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Kaondera-Shava RF(1), Michael CT(2), Kirschner D(2), Bowness R(1).</w:t>
      </w:r>
    </w:p>
    <w:p w14:paraId="739063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7081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6EB63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(1)Centre for Mathematical Biology, Department of Mathematical Sciences, </w:t>
      </w:r>
    </w:p>
    <w:p w14:paraId="375CE5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Bath, Bath, United Kingdom.</w:t>
      </w:r>
    </w:p>
    <w:p w14:paraId="545261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Microbiology and Immunology, University of Michigan-Michigan </w:t>
      </w:r>
    </w:p>
    <w:p w14:paraId="19CF92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Ann Arbor, MI, United States.</w:t>
      </w:r>
    </w:p>
    <w:p w14:paraId="6D5736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CAB3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remains a global health challenge, driven by multiscale </w:t>
      </w:r>
    </w:p>
    <w:p w14:paraId="73C335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pathogenesis across molecular, cellular, tissue, and systemic levels. </w:t>
      </w:r>
    </w:p>
    <w:p w14:paraId="137737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Within-host mathematical modelling provides a powerful way to explore these </w:t>
      </w:r>
    </w:p>
    <w:p w14:paraId="583AB0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processes, providing mechanistic insights that are difficult to capture </w:t>
      </w:r>
    </w:p>
    <w:p w14:paraId="001EFC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experimentally, including host-pathogen interactions, immune regulation, and </w:t>
      </w:r>
    </w:p>
    <w:p w14:paraId="1EC41E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efficacy. This review synthesises the evolution of TB models from </w:t>
      </w:r>
    </w:p>
    <w:p w14:paraId="1D9364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early ordinary differential equation systems to agent-based and hybrid </w:t>
      </w:r>
    </w:p>
    <w:p w14:paraId="6CA657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multiscale approaches, leading to integrated pharmacokinetic/pharmacodynamic and </w:t>
      </w:r>
    </w:p>
    <w:p w14:paraId="02BAFB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systems pharmacology frameworks. We highlight advances in omics-driven </w:t>
      </w:r>
    </w:p>
    <w:p w14:paraId="000901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personalisation, virtual clinical trials for regimen optimisation, multiscale </w:t>
      </w:r>
    </w:p>
    <w:p w14:paraId="5E462F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multicompartment extensions, translational impact, evolutionary dynamics, </w:t>
      </w:r>
    </w:p>
    <w:p w14:paraId="0BE821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efforts to improve reproducibility. We also examine modelling strategies for </w:t>
      </w:r>
    </w:p>
    <w:p w14:paraId="7DAA25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coinfections and comorbidities, including HIV and diabetes, which reshape </w:t>
      </w:r>
    </w:p>
    <w:p w14:paraId="462F14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granuloma biology and drug exposure. Unlike previous reviews, we integrate </w:t>
      </w:r>
    </w:p>
    <w:p w14:paraId="61530C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historical and recent within-host tuberculosis modelling advances and present </w:t>
      </w:r>
    </w:p>
    <w:p w14:paraId="0AFEDE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quantitative visual summaries in the form of theme-by-approach heatmaps. In this </w:t>
      </w:r>
    </w:p>
    <w:p w14:paraId="77F95F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work, we identify emerging opportunities and current gaps in the landscape of TB </w:t>
      </w:r>
    </w:p>
    <w:p w14:paraId="675EAC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models. In addition, we develop a unique workflow for this review that can be </w:t>
      </w:r>
    </w:p>
    <w:p w14:paraId="2D078C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adapted for other modelling topics. Our synthesis provides a roadmap towards </w:t>
      </w:r>
    </w:p>
    <w:p w14:paraId="7BDE54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computational models that may support future precision therapy and TB control </w:t>
      </w:r>
    </w:p>
    <w:p w14:paraId="40877F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strategies.</w:t>
      </w:r>
    </w:p>
    <w:p w14:paraId="6EB788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23E9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Kaondera-Shava, Michael, Kirschner and Bowness.</w:t>
      </w:r>
    </w:p>
    <w:p w14:paraId="7F201D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5541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10.3389/fimmu.2026.1920524</w:t>
      </w:r>
    </w:p>
    <w:p w14:paraId="50C0AF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PMC13584441</w:t>
      </w:r>
    </w:p>
    <w:p w14:paraId="642C1A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42756726 [Indexed for MEDLINE]</w:t>
      </w:r>
    </w:p>
    <w:p w14:paraId="69AD14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15A08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Int J Hematol Oncol Stem Cell Res. 2026 Apr 1;20(2):232-236. doi: </w:t>
      </w:r>
    </w:p>
    <w:p w14:paraId="32AD669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10.18502/ijhoscr.v20i2.21787.</w:t>
      </w:r>
    </w:p>
    <w:p w14:paraId="6E65F2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3056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CNS Tuberculoma in a Patient of Acute Lymphoblastic Leukemia: A Rare Case </w:t>
      </w:r>
    </w:p>
    <w:p w14:paraId="7C1380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Report.</w:t>
      </w:r>
    </w:p>
    <w:p w14:paraId="5937F6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235D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Ghosh K(1), Mandal PK(1).</w:t>
      </w:r>
    </w:p>
    <w:p w14:paraId="4FA1CE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AE6F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FB3FF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Hematology, Nilratan Sircar Medical College and Hospital, </w:t>
      </w:r>
    </w:p>
    <w:p w14:paraId="1770E5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Kolkata, West Bengal, India.</w:t>
      </w:r>
    </w:p>
    <w:p w14:paraId="07F09F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B86A8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 with acute leukemia are immunocompromised and highly susceptible to </w:t>
      </w:r>
    </w:p>
    <w:p w14:paraId="1ED8E3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infections. Central nervous system (CNS) tuberculoma is a rare but serious </w:t>
      </w:r>
    </w:p>
    <w:p w14:paraId="374043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complication in this population, particularly among those undergoing treatment </w:t>
      </w:r>
    </w:p>
    <w:p w14:paraId="70A6B8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hematological malignancies. Early diagnosis is often challenging due to </w:t>
      </w:r>
    </w:p>
    <w:p w14:paraId="60ED74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non-specific symptoms. We report the case of a 28-year-old female recently </w:t>
      </w:r>
    </w:p>
    <w:p w14:paraId="1CD6CA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diagnosed with CALLA-positive B-cell acute lymphoblastic leukemia, who presented </w:t>
      </w:r>
    </w:p>
    <w:p w14:paraId="53BE74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a two-month history of low-grade fever. Induction chemotherapy was </w:t>
      </w:r>
    </w:p>
    <w:p w14:paraId="760D98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initiated; however, during the third week, she developed new-onset seizures. A </w:t>
      </w:r>
    </w:p>
    <w:p w14:paraId="1B59E8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computed tomography scan of the brain revealed a heterogeneous ring-enhancing </w:t>
      </w:r>
    </w:p>
    <w:p w14:paraId="47B65A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lesion in the right parietal lobe. Magnetic resonance imaging with spectroscopy </w:t>
      </w:r>
    </w:p>
    <w:p w14:paraId="76C3DD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demonstrated characteristic lipid peaks, supporting the diagnosis of a </w:t>
      </w:r>
    </w:p>
    <w:p w14:paraId="6E65B0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tuberculoma. Antitubercular therapy comprising rifampicin, isoniazid, </w:t>
      </w:r>
    </w:p>
    <w:p w14:paraId="23B974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pyrazinamide, and ethambutol, along with pyridoxine and dexamethasone, was </w:t>
      </w:r>
    </w:p>
    <w:p w14:paraId="5569AB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commenced. The patient showed a favorable response, with resolution of fever and </w:t>
      </w:r>
    </w:p>
    <w:p w14:paraId="59A0B9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 recurrence of seizures. This case underscores the importance of considering </w:t>
      </w:r>
    </w:p>
    <w:p w14:paraId="12B523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CNS tuberculosis in the differential diagnosis of unexplained neurological </w:t>
      </w:r>
    </w:p>
    <w:p w14:paraId="4D4C9A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symptoms and fever in patients with acute leukemia, particularly in </w:t>
      </w:r>
    </w:p>
    <w:p w14:paraId="67BA96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tuberculosis-endemic regions. Prompt recognition and treatment can lead to </w:t>
      </w:r>
    </w:p>
    <w:p w14:paraId="62C57D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favorable outcomes.</w:t>
      </w:r>
    </w:p>
    <w:p w14:paraId="025A0F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CFF7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Tehran University of Medical Sciences.</w:t>
      </w:r>
    </w:p>
    <w:p w14:paraId="51EC16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91C0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10.18502/ijhoscr.v20i2.21787</w:t>
      </w:r>
    </w:p>
    <w:p w14:paraId="75E1B7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PMC13583151</w:t>
      </w:r>
    </w:p>
    <w:p w14:paraId="1FB0DD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42756353</w:t>
      </w:r>
    </w:p>
    <w:p w14:paraId="390ABB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6C8A2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Chem Biol Drug Des. 2026 Sep;108(3):e70400. doi: 10.1111/cbdd.70400.</w:t>
      </w:r>
    </w:p>
    <w:p w14:paraId="203178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B3F27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Design and Synthesis of Novel 1,2,3-Triazole Conjugates Featuring Hydroxamic </w:t>
      </w:r>
    </w:p>
    <w:p w14:paraId="313D05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Acid and Sulfonamide Moieties: Exploring Dual Pharmacophores for Enhanced </w:t>
      </w:r>
    </w:p>
    <w:p w14:paraId="675D99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Biological Activity.</w:t>
      </w:r>
    </w:p>
    <w:p w14:paraId="7ADBB8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FEC2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Pagar D(1), Shaw R(2), Suryavanshi H(3), Rajani D(4), Patil S(1).</w:t>
      </w:r>
    </w:p>
    <w:p w14:paraId="0331D4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7D27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D22C5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(1)Organic Chemistry Research Laboratory, Maharashtra Udaygiri Mahavidyalay, </w:t>
      </w:r>
    </w:p>
    <w:p w14:paraId="2CE5E4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Swami Ramanand Teerth Marathwada University, Nanded, India.</w:t>
      </w:r>
    </w:p>
    <w:p w14:paraId="40E86E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(2)Department of Chemistry, GLA University, Mathura, Uttar Pradesh, India.</w:t>
      </w:r>
    </w:p>
    <w:p w14:paraId="5068C9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(3)Zeal College of Engineering and Research, Pune, India.</w:t>
      </w:r>
    </w:p>
    <w:p w14:paraId="52B1FB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(4)Microcare Laboratory, Surat, India.</w:t>
      </w:r>
    </w:p>
    <w:p w14:paraId="4C1742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C36B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new series of N-hydroxy-1-(4-(aryl </w:t>
      </w:r>
    </w:p>
    <w:p w14:paraId="529ABD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sulfonamido)phenyl)-1H-1,2,3-triazole-4-carboxamide derivatives (8a-j) were </w:t>
      </w:r>
    </w:p>
    <w:p w14:paraId="6861EA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synthesized through a concise multistep route integrating three key </w:t>
      </w:r>
    </w:p>
    <w:p w14:paraId="2D2B60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pharmacophores: the 1,2,3-triazole core, an aryl sulfonamide moiety, and an </w:t>
      </w:r>
    </w:p>
    <w:p w14:paraId="261885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N-hydroxycarboxamide group. Biological evaluation demonstrated promising </w:t>
      </w:r>
    </w:p>
    <w:p w14:paraId="4B8040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antimicrobial potential for several derivatives. Compounds 8f, 8g, and 8i </w:t>
      </w:r>
    </w:p>
    <w:p w14:paraId="37D6E3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exhibited notable antibacterial activity against both Gram-positive and </w:t>
      </w:r>
    </w:p>
    <w:p w14:paraId="68960E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Gram-negative bacteria, whereas most analogues showed weak antifungal activity. </w:t>
      </w:r>
    </w:p>
    <w:p w14:paraId="1D8BF5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the antimalarial assay, compound 8d emerged as the most potent derivative </w:t>
      </w:r>
    </w:p>
    <w:p w14:paraId="045525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(IC50 = 0.84 μg/mL), while compounds 8b, 8e, 8g, and 8h also displayed </w:t>
      </w:r>
    </w:p>
    <w:p w14:paraId="27682C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appreciable activity. Antitubercular evaluation identified compounds 8g and 8i </w:t>
      </w:r>
    </w:p>
    <w:p w14:paraId="23392A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 the most active derivatives against Mycobacterium tuberculosis H37Rv, with </w:t>
      </w:r>
    </w:p>
    <w:p w14:paraId="74C764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 values of 62.5 and 50 μg/mL, respectively. The molecular docking study </w:t>
      </w:r>
    </w:p>
    <w:p w14:paraId="6678A2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against DNA gyrase (PDB ID: 7FVT) and lanosterol 14α-demethylase (PDB ID: 5V5Z) </w:t>
      </w:r>
    </w:p>
    <w:p w14:paraId="3BE733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 relevant antibacterial and antifungal targets, respectively, showed a similar </w:t>
      </w:r>
    </w:p>
    <w:p w14:paraId="07A877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trend of activity. Computational studies, including molecular docking, MM/GBSA, </w:t>
      </w:r>
    </w:p>
    <w:p w14:paraId="315BE5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molecular dynamics simulations, and ADME prediction, supported the structural </w:t>
      </w:r>
    </w:p>
    <w:p w14:paraId="2F80A0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pharmacokinetic characteristics of the synthesized compounds, with selected </w:t>
      </w:r>
    </w:p>
    <w:p w14:paraId="4977C9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derivatives exhibiting favorable interactions with the c-KIT kinase active site </w:t>
      </w:r>
    </w:p>
    <w:p w14:paraId="535B6D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generally acceptable drug-like properties. Overall, these </w:t>
      </w:r>
    </w:p>
    <w:p w14:paraId="795377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triazole-sulfonamide-N-hydroxycarboxamide hybrids represent promising lead </w:t>
      </w:r>
    </w:p>
    <w:p w14:paraId="603507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molecules for further structural optimization and biological investigation.</w:t>
      </w:r>
    </w:p>
    <w:p w14:paraId="5DA9D9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7DB9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2026 The Author(s). Chemical Biology &amp; Drug Design published by John Wiley &amp; </w:t>
      </w:r>
    </w:p>
    <w:p w14:paraId="21AE5C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Sons Ltd.</w:t>
      </w:r>
    </w:p>
    <w:p w14:paraId="79F27E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4858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10.1111/cbdd.70400</w:t>
      </w:r>
    </w:p>
    <w:p w14:paraId="392A97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42751775 [Indexed for MEDLINE]</w:t>
      </w:r>
    </w:p>
    <w:p w14:paraId="1F9FD7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BD434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Cureus. 2026 Aug 17;18(8):e114665. doi: 10.7759/cureus.114665. eCollection 2026 Aug.</w:t>
      </w:r>
    </w:p>
    <w:p w14:paraId="4741C2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E1A7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Microbiologically Confirmed Concomitant Tuberculous and Pneumococcal Meningitis </w:t>
      </w:r>
    </w:p>
    <w:p w14:paraId="3D5B24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 an Adult: A Case Report.</w:t>
      </w:r>
    </w:p>
    <w:p w14:paraId="1ED306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DC24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Silvana F(1), Paul A(2), Kumar R(3), Mallik A(4), Singh RR(5).</w:t>
      </w:r>
    </w:p>
    <w:p w14:paraId="4B36DE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E28EC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FBAE4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(1)General Physician, Astromedics Hospital, Gorakhpur, IND.</w:t>
      </w:r>
    </w:p>
    <w:p w14:paraId="2BE06C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(2)Anesthesiology, Astromedics Hospital, Gorakhpur, IND.</w:t>
      </w:r>
    </w:p>
    <w:p w14:paraId="4BBFB5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(3)Neurosurgery, Astromedics Hospital, Gorakhpur, IND.</w:t>
      </w:r>
    </w:p>
    <w:p w14:paraId="5694A8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(4)General Surgery, Astromedics Hospital, Gorakhpur, IND.</w:t>
      </w:r>
    </w:p>
    <w:p w14:paraId="6ED9B0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(5)General Medicine, Astromedics Hospital, Gorakhpur, IND.</w:t>
      </w:r>
    </w:p>
    <w:p w14:paraId="53A37A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12F60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Concurrent infection of the central nervous system by Mycobacterium tuberculosis </w:t>
      </w:r>
    </w:p>
    <w:p w14:paraId="144014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Streptococcus pneumoniae is rare and poses substantial diagnostic and </w:t>
      </w:r>
    </w:p>
    <w:p w14:paraId="6480F4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therapeutic challenges due to the overlap of clinical symptoms and cerebrospinal </w:t>
      </w:r>
    </w:p>
    <w:p w14:paraId="2211CE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fluid (CSF) findings. A 45-year-old male presented with complaints of fever, </w:t>
      </w:r>
    </w:p>
    <w:p w14:paraId="292665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headache, vomiting, generalized seizures, and altered sensorium. Magnetic </w:t>
      </w:r>
    </w:p>
    <w:p w14:paraId="732555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resonance imaging of the brain was normal, and CSF analysis showed lymphocytic </w:t>
      </w:r>
    </w:p>
    <w:p w14:paraId="2C595D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pleocytosis, protein elevation, and elevated levels of adenosine deaminase. A </w:t>
      </w:r>
    </w:p>
    <w:p w14:paraId="6FFC18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Cartridge-Based Nucleic Acid Amplification Test performed on the CSF detected </w:t>
      </w:r>
    </w:p>
    <w:p w14:paraId="72EEBC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tuberculosis. CSF culture grew Streptococcus pneumoniae, </w:t>
      </w:r>
    </w:p>
    <w:p w14:paraId="0C8CF5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confirming the diagnosis of both tuberculous and pneumococcal meningitis in the </w:t>
      </w:r>
    </w:p>
    <w:p w14:paraId="7BAD7A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patient. The treatment included pathogen-directed intravenous antibiotics, </w:t>
      </w:r>
    </w:p>
    <w:p w14:paraId="46E28F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treatment, corticosteroids, and comprehensive neurocritical care, </w:t>
      </w:r>
    </w:p>
    <w:p w14:paraId="20D24C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including mechanical ventilation. The patient also suffered from </w:t>
      </w:r>
    </w:p>
    <w:p w14:paraId="6E791C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ventilator-associated pneumonia due to Klebsiella pneumoniae, which was managed </w:t>
      </w:r>
    </w:p>
    <w:p w14:paraId="15C36F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successfully. The patient made steady neurological improvement, was weaned off </w:t>
      </w:r>
    </w:p>
    <w:p w14:paraId="534671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mechanical ventilation, and was discharged. This case illustrates that </w:t>
      </w:r>
    </w:p>
    <w:p w14:paraId="57308C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diagnosing combined tuberculous and bacterial meningitis remains challenging, </w:t>
      </w:r>
    </w:p>
    <w:p w14:paraId="7ED0A9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laboratory confirmation of a single infection does not exclude additional </w:t>
      </w:r>
    </w:p>
    <w:p w14:paraId="78547A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pathogens or etiologies, especially in countries with prevalent tuberculosis. </w:t>
      </w:r>
    </w:p>
    <w:p w14:paraId="616258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Comprehensive CSF evaluation using both molecular diagnostics and conventional </w:t>
      </w:r>
    </w:p>
    <w:p w14:paraId="68D85D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culture enabled timely diagnosis and pathogen-directed therapy. This case </w:t>
      </w:r>
    </w:p>
    <w:p w14:paraId="45171B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highlights the importance of maintaining a high index of suspicion for dual </w:t>
      </w:r>
    </w:p>
    <w:p w14:paraId="4D03BB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central nervous system infections and integrating molecular diagnostics with </w:t>
      </w:r>
    </w:p>
    <w:p w14:paraId="595DB8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conventional microbiological techniques to facilitate early pathogen-directed </w:t>
      </w:r>
    </w:p>
    <w:p w14:paraId="171941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therapy.</w:t>
      </w:r>
    </w:p>
    <w:p w14:paraId="35EE4B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220C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2026, Silvana et al.</w:t>
      </w:r>
    </w:p>
    <w:p w14:paraId="151C01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B9A0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10.7759/cureus.114665</w:t>
      </w:r>
    </w:p>
    <w:p w14:paraId="3C5F4A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PMC13580697</w:t>
      </w:r>
    </w:p>
    <w:p w14:paraId="2A5864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42751665</w:t>
      </w:r>
    </w:p>
    <w:p w14:paraId="72C89E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6D71A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Open Forum Infect Dis. 2026 Aug 31;13(9):ofag531. doi: 10.1093/ofid/ofag531. </w:t>
      </w:r>
    </w:p>
    <w:p w14:paraId="01BA1F0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Sep.</w:t>
      </w:r>
    </w:p>
    <w:p w14:paraId="7C1C90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1251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Retrospective Analysis Examining the Impact of Educational Attainment and </w:t>
      </w:r>
    </w:p>
    <w:p w14:paraId="3CA403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Social Determinants of Health on Rifampicin-Resistant Tuberculosis Treatment </w:t>
      </w:r>
    </w:p>
    <w:p w14:paraId="02432E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Outcomes.</w:t>
      </w:r>
    </w:p>
    <w:p w14:paraId="3E7C84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5BDA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Teibo TKA(1)(2), Perumal R(2)(3)(4), Amusa LB(2)(3)(5), Shunmugam L(2)(3), </w:t>
      </w:r>
    </w:p>
    <w:p w14:paraId="5C7C51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Mzinyane N(2)(3), Chetty D(2)(3), Boodhram R(2)(3), Narasimmulu R(2)(3), Kachoka </w:t>
      </w:r>
    </w:p>
    <w:p w14:paraId="6CB90A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T(6), Shozi C(2)(3), O'Donnell MR(2)(3)(7), Wolf A(7), Chotoo S(8), Singh N(8), </w:t>
      </w:r>
    </w:p>
    <w:p w14:paraId="79DBD9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Arcêncio RA(1), Padayatchi N(2)(3), Naidoo K(2)(3).</w:t>
      </w:r>
    </w:p>
    <w:p w14:paraId="629CBA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978C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8F81C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Maternal and Child Nursing and Public Health, University of São </w:t>
      </w:r>
    </w:p>
    <w:p w14:paraId="01EAB1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Paulo, College of Nursing at Ribeirão Preto, Ribeirão Preto, São Paulo, Brazil.</w:t>
      </w:r>
    </w:p>
    <w:p w14:paraId="2A7FF1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(2)Centre for the AIDS Programme of Research in South Africa (CAPRISA), Nelson R </w:t>
      </w:r>
    </w:p>
    <w:p w14:paraId="307E96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Mandela School of Medicine, College of Health Sciences, University of </w:t>
      </w:r>
    </w:p>
    <w:p w14:paraId="5BCD09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KwaZulu-Natal, Durban, South Africa.</w:t>
      </w:r>
    </w:p>
    <w:p w14:paraId="196941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(3)CAPRISA-SAMRC HIV-TB Pathogenesis and Treatment Research Unit, Centre for the </w:t>
      </w:r>
    </w:p>
    <w:p w14:paraId="44520E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AIDS Programme of Research in South Africa, Nelson R Mandela School of Medicine, </w:t>
      </w:r>
    </w:p>
    <w:p w14:paraId="2A8D55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KwaZulu-Natal, Durban, South Africa.</w:t>
      </w:r>
    </w:p>
    <w:p w14:paraId="2E5913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Pulmonology and Critical Care, Nelson R Mandela School of </w:t>
      </w:r>
    </w:p>
    <w:p w14:paraId="662020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Medicine, College of Health Sciences, University of KwaZulu-Natal, Durban, </w:t>
      </w:r>
    </w:p>
    <w:p w14:paraId="26B884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KwaZulu-Natal, South Africa.</w:t>
      </w:r>
    </w:p>
    <w:p w14:paraId="0B4EDD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(5)Department of Statistics, University of Ilorin, Ilorin, Nigeria.</w:t>
      </w:r>
    </w:p>
    <w:p w14:paraId="78FB8B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(6)Clinical HIV Research Unit (CHRU), Jose Pearson TB Hospital, Wits Health </w:t>
      </w:r>
    </w:p>
    <w:p w14:paraId="044265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Consortium Pty Ltd, Port Elizabeth, South Africa.</w:t>
      </w:r>
    </w:p>
    <w:p w14:paraId="2A1DA0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(7)Division of Pulmonary, Allergy, and Critical Care Medicine, Columbia </w:t>
      </w:r>
    </w:p>
    <w:p w14:paraId="161664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Medical Center, New York, New York, USA.</w:t>
      </w:r>
    </w:p>
    <w:p w14:paraId="7CCC2B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(8)Drug-resistant Tuberculosis Unit, King Dinuzulu Hospital Complex, Sydenham, </w:t>
      </w:r>
    </w:p>
    <w:p w14:paraId="545777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Durban, South Africa.</w:t>
      </w:r>
    </w:p>
    <w:p w14:paraId="0755B8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2A9B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Rifampicin-resistant tuberculosis (RR-TB) remains a major public </w:t>
      </w:r>
    </w:p>
    <w:p w14:paraId="0279A6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 challenge in TB-endemic regions. While social determinants of health </w:t>
      </w:r>
    </w:p>
    <w:p w14:paraId="16D0BE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affect infectious disease outcomes, their impact on RR-TB remains poorly </w:t>
      </w:r>
    </w:p>
    <w:p w14:paraId="372AC0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understood. This study evaluated the relationship between educational </w:t>
      </w:r>
    </w:p>
    <w:p w14:paraId="2B6CFD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attainment, social disadvantage, and RR-TB outcomes.</w:t>
      </w:r>
    </w:p>
    <w:p w14:paraId="275BC3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conducted a retrospective cohort study using data from 4 Centre for </w:t>
      </w:r>
    </w:p>
    <w:p w14:paraId="01865B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AIDS Programme of Research in South Africa RR-TB clinical trials. Social </w:t>
      </w:r>
    </w:p>
    <w:p w14:paraId="79BBE6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vulnerability was measured using an exploratory Social Disadvantage Score (SDS) </w:t>
      </w:r>
    </w:p>
    <w:p w14:paraId="0F12E4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incorporated education, employment, and incarceration. We used a latent </w:t>
      </w:r>
    </w:p>
    <w:p w14:paraId="0807C4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class analysis (LCA) to identify classes with shared social vulnerability </w:t>
      </w:r>
    </w:p>
    <w:p w14:paraId="620CF1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indicators. Associations with treatment outcomes were assessed using Cox </w:t>
      </w:r>
    </w:p>
    <w:p w14:paraId="4585A7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regression models, with the exploratory SDS, its component indicators, and </w:t>
      </w:r>
    </w:p>
    <w:p w14:paraId="2F57B5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derived latent classes as predictors.</w:t>
      </w:r>
    </w:p>
    <w:p w14:paraId="407106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Education was not independently associated with unfavorable treatment </w:t>
      </w:r>
    </w:p>
    <w:p w14:paraId="2E0AE1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outcomes (adjusted hazard ratio [aHR] = 1.39, 95% confidence interval [CI]: </w:t>
      </w:r>
    </w:p>
    <w:p w14:paraId="4EEB24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0.96-1.99, P = .077), whereas a history of incarceration doubled the hazard (aHR </w:t>
      </w:r>
    </w:p>
    <w:p w14:paraId="03F5CD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= 2.05, 95% CI: 1.33-3.16, P &lt; .001). Restricting subsequent models to the </w:t>
      </w:r>
    </w:p>
    <w:p w14:paraId="29EEE7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subcohort with collected employment data, unemployment increased the hazard of </w:t>
      </w:r>
    </w:p>
    <w:p w14:paraId="59733E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unfavorable outcomes (aHR = 1.84, 95% CI: 1.20-2.82, P = .005). Using the same </w:t>
      </w:r>
    </w:p>
    <w:p w14:paraId="49359A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subcohort, increasing cumulative social disadvantage showed a strong </w:t>
      </w:r>
    </w:p>
    <w:p w14:paraId="72D64B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dose-response relationship, with a 5-fold higher hazard for 3 disadvantages (aHR </w:t>
      </w:r>
    </w:p>
    <w:p w14:paraId="42E712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= 5.85, 95% CI: 2.73-12.56, P &lt; .001). Latent class analysis revealed that Class </w:t>
      </w:r>
    </w:p>
    <w:p w14:paraId="43F374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 (moderate socioeconomic advantage) had a significantly higher hazard of </w:t>
      </w:r>
    </w:p>
    <w:p w14:paraId="2BC1B9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unfavorable outcomes (aHR = 1.82, 95% CI: 1.19-2.79, P = .006).</w:t>
      </w:r>
    </w:p>
    <w:p w14:paraId="1F7BCA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Cumulative social risk score was associated with unfavorable RR-TB </w:t>
      </w:r>
    </w:p>
    <w:p w14:paraId="663E02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outcomes, supporting further evaluation of targeted support for disadvantaged </w:t>
      </w:r>
    </w:p>
    <w:p w14:paraId="1B2582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populations.</w:t>
      </w:r>
    </w:p>
    <w:p w14:paraId="6EA1D5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0494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The Author(s) 2026. Published by Oxford University Press on behalf of </w:t>
      </w:r>
    </w:p>
    <w:p w14:paraId="3350D5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Infectious Diseases Society of America.</w:t>
      </w:r>
    </w:p>
    <w:p w14:paraId="15CCF3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98E7C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10.1093/ofid/ofag531</w:t>
      </w:r>
    </w:p>
    <w:p w14:paraId="115127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PMC13579474</w:t>
      </w:r>
    </w:p>
    <w:p w14:paraId="043D66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42751046</w:t>
      </w:r>
    </w:p>
    <w:p w14:paraId="2A733B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333B6C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Nurs Open. 2026 Sep;13(9):e70826. doi: 10.1002/nop2.70826.</w:t>
      </w:r>
    </w:p>
    <w:p w14:paraId="0A988E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B584D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Validity and Reliability of the Korean Version of the Supportive Care Needs </w:t>
      </w:r>
    </w:p>
    <w:p w14:paraId="696ECA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Scale for Tuberculosis Patients.</w:t>
      </w:r>
    </w:p>
    <w:p w14:paraId="4D24CD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6AEB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Ha H(1), Han JW(1).</w:t>
      </w:r>
    </w:p>
    <w:p w14:paraId="58AAA0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1ACEB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ECAB5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(1)College of Nursing Science, Kyung Hee University, Seoul, Republic of Korea.</w:t>
      </w:r>
    </w:p>
    <w:p w14:paraId="17C078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02F4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AIM: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develop a culturally appropriate Korean version of the Supportive Care </w:t>
      </w:r>
    </w:p>
    <w:p w14:paraId="545955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Needs Scale for Patients with Tuberculosis and to rigorously evaluate its </w:t>
      </w:r>
    </w:p>
    <w:p w14:paraId="2CC49C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validity and reliability for use as a standardized assessment tool.</w:t>
      </w:r>
    </w:p>
    <w:p w14:paraId="40EE0D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DESIGN: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 cross-sectional study.</w:t>
      </w:r>
    </w:p>
    <w:p w14:paraId="0C7214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original tool underwent standardized translation and cultural </w:t>
      </w:r>
    </w:p>
    <w:p w14:paraId="108B3C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adaptation, followed by expert review and pilot testing to finalize the Korean </w:t>
      </w:r>
    </w:p>
    <w:p w14:paraId="038251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version. A cross-sectional survey was conducted among 330 adults receiving </w:t>
      </w:r>
    </w:p>
    <w:p w14:paraId="7C5A19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treatment at three medical institutions in South Korea. Construct </w:t>
      </w:r>
    </w:p>
    <w:p w14:paraId="21E26D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validity was assessed using exploratory and confirmatory factor analyses, along </w:t>
      </w:r>
    </w:p>
    <w:p w14:paraId="714DE8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with criterion validity and internal consistency reliability.</w:t>
      </w:r>
    </w:p>
    <w:p w14:paraId="669218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content validity index was ≥ 0.80, and exploratory factor analysis </w:t>
      </w:r>
    </w:p>
    <w:p w14:paraId="3675C9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supported a five-factor structure, explaining 76.3% of the total variance, while </w:t>
      </w:r>
    </w:p>
    <w:p w14:paraId="78C95C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confirmatory factor analysis demonstrated acceptable model fit. Cronbach's alpha </w:t>
      </w:r>
    </w:p>
    <w:p w14:paraId="5AC428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was 0.96, indicating excellent internal consistency.</w:t>
      </w:r>
    </w:p>
    <w:p w14:paraId="035391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Korean version of the Supportive Nursing Needs Scale for </w:t>
      </w:r>
    </w:p>
    <w:p w14:paraId="5268BD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Patients is a valid, reliable tool for assessing supportive care </w:t>
      </w:r>
    </w:p>
    <w:p w14:paraId="6C5F5B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needs in patients with tuberculosis and is appropriate for clinical use and </w:t>
      </w:r>
    </w:p>
    <w:p w14:paraId="5DF815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subgroup comparison research.</w:t>
      </w:r>
    </w:p>
    <w:p w14:paraId="1100C7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IMPLICATIONS FOR NURSING PRACTICE: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findings of this study are expected to </w:t>
      </w:r>
    </w:p>
    <w:p w14:paraId="1C76BC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serve as foundational data for nurses caring for tuberculosis patients to </w:t>
      </w:r>
    </w:p>
    <w:p w14:paraId="2E2969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identify patients' nursing needs early and to design and implement tailored </w:t>
      </w:r>
    </w:p>
    <w:p w14:paraId="64FC24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nursing plans. Ultimately, this will contribute to increasing patient </w:t>
      </w:r>
    </w:p>
    <w:p w14:paraId="0D6859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satisfaction with nursing care and promoting disease recovery.</w:t>
      </w:r>
    </w:p>
    <w:p w14:paraId="482F56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IMPACT: T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his study provides a culturally adapted and validated instrument for </w:t>
      </w:r>
    </w:p>
    <w:p w14:paraId="5F4176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assessing supportive care needs among patients with tuberculosis, supporting </w:t>
      </w:r>
    </w:p>
    <w:p w14:paraId="0B9974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comprehensive needs assessment and patient-centred care.</w:t>
      </w:r>
    </w:p>
    <w:p w14:paraId="31721D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REPORTING METHOD: The STROBE guidelines were followed.</w:t>
      </w:r>
    </w:p>
    <w:p w14:paraId="0CEDEC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 OR PUBLIC CONTRIBUTION: Patients contributed to this study by completing </w:t>
      </w:r>
    </w:p>
    <w:p w14:paraId="5E581B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survey.</w:t>
      </w:r>
    </w:p>
    <w:p w14:paraId="035724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TRIAL REGISTRATION: Clinical Research Information Service, Republic of Korea </w:t>
      </w:r>
    </w:p>
    <w:p w14:paraId="46A6E0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(KCT0010245).</w:t>
      </w:r>
    </w:p>
    <w:p w14:paraId="2A0C60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80E0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The Author(s). Nursing Open published by John Wiley &amp; Sons Ltd.</w:t>
      </w:r>
    </w:p>
    <w:p w14:paraId="0FF794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45DF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10.1002/nop2.70826</w:t>
      </w:r>
    </w:p>
    <w:p w14:paraId="25268C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PMC13581316</w:t>
      </w:r>
    </w:p>
    <w:p w14:paraId="18B33D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42748400 [Indexed for MEDLINE]</w:t>
      </w:r>
    </w:p>
    <w:p w14:paraId="36ABE7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6FC35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Immunol. 2026 Sep 1;17:1943755. doi: 10.3389/fimmu.2026.1943755. </w:t>
      </w:r>
    </w:p>
    <w:p w14:paraId="4E0DD8E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0E4D27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0454C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Epigenetic modulation in tuberculosis - mycobacterial defense mechanism to host </w:t>
      </w:r>
    </w:p>
    <w:p w14:paraId="2CB785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immune responses.</w:t>
      </w:r>
    </w:p>
    <w:p w14:paraId="60AFFF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3B62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Sundaram K(1), Rathinam S(2), Bethunaickan R(3)(4), Ranganathan UD(3)(4), </w:t>
      </w:r>
    </w:p>
    <w:p w14:paraId="2D8F95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Dhanapal M(3), Selvaraj H(5), Prabhu V(5).</w:t>
      </w:r>
    </w:p>
    <w:p w14:paraId="578431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F61F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374E0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Herbal Pharmacology and Environmental Sustainability, Chettinad </w:t>
      </w:r>
    </w:p>
    <w:p w14:paraId="009700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Hospital and Research Institute, Chettinad Academy of Research and Education, </w:t>
      </w:r>
    </w:p>
    <w:p w14:paraId="14618B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Kanchipuram, Tamil Nadu, India.</w:t>
      </w:r>
    </w:p>
    <w:p w14:paraId="15F1DD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(2)Chettinad Hospital and Research Institute, Chettinad Academy of Research and </w:t>
      </w:r>
    </w:p>
    <w:p w14:paraId="1F2639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Education, Kanchipuram, Tamil Nadu, India.</w:t>
      </w:r>
    </w:p>
    <w:p w14:paraId="5A1BE7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Immunology, Indian Council of Medical Research (ICMR)- National </w:t>
      </w:r>
    </w:p>
    <w:p w14:paraId="5F0422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Institute for Research in Tuberculosis, Chennai, Tamilnadu, India.</w:t>
      </w:r>
    </w:p>
    <w:p w14:paraId="262454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(4)Faculty of Medical Research, Academy of Scientific and Innovative Research </w:t>
      </w:r>
    </w:p>
    <w:p w14:paraId="313899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(AcSIR), Ghaziabad, India.</w:t>
      </w:r>
    </w:p>
    <w:p w14:paraId="73D19F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(5)Division of Medical Research, SRM Medical College Hospital and Research </w:t>
      </w:r>
    </w:p>
    <w:p w14:paraId="132B7F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Centre, Chennai, Tamil Nadu, India.</w:t>
      </w:r>
    </w:p>
    <w:p w14:paraId="32358C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7EDC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Epigenetic regulators alter chromatin to control transcription in response to </w:t>
      </w:r>
    </w:p>
    <w:p w14:paraId="7C0772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pathogens. Histone acetylation influences DNA accessibility and gene expression, </w:t>
      </w:r>
    </w:p>
    <w:p w14:paraId="5AE990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impacting latent and active tuberculosis (TB). Mycobacterium tuberculosis (MTB) </w:t>
      </w:r>
    </w:p>
    <w:p w14:paraId="04D54A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requires specific components to harm the host immune system. The review aims to </w:t>
      </w:r>
    </w:p>
    <w:p w14:paraId="34A102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analyze MTB epigenetic processes and the impact of host immune system genes. </w:t>
      </w:r>
    </w:p>
    <w:p w14:paraId="36AEEB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review analyzed histone deacetylases, DNA methyltransferases, epigenetic </w:t>
      </w:r>
    </w:p>
    <w:p w14:paraId="2D87FE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linkages to non-coding RNAs, and enhanced epigenetic detection. Also, it </w:t>
      </w:r>
    </w:p>
    <w:p w14:paraId="215ADE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described mycobacteria's evasion of the host immune system through lipid </w:t>
      </w:r>
    </w:p>
    <w:p w14:paraId="01856D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metabolism, autophagy, oxidative stress, and epigenetic efflux pump inhibitors. </w:t>
      </w:r>
    </w:p>
    <w:p w14:paraId="66ACC3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MTB DNA methyltransferase (DNMT) Rv2966c (I6XFS7) modifies histones H3 and </w:t>
      </w:r>
    </w:p>
    <w:p w14:paraId="6FB523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H4, impacting host transcription. The MTB acetyltransferase EIS (Rv2416c, </w:t>
      </w:r>
    </w:p>
    <w:p w14:paraId="4B1656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P9WFK7) enhances human IL-10 synthesis and acetylates the H3 gene promoter. MTB </w:t>
      </w:r>
    </w:p>
    <w:p w14:paraId="5BCC10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 activates an epigenetic repressor complex with HDAC1 and ZBTB25, which </w:t>
      </w:r>
    </w:p>
    <w:p w14:paraId="7C953A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restricts IL-12B production in macrophages. MTB inhibits HDAC1 and ZBTB25, </w:t>
      </w:r>
    </w:p>
    <w:p w14:paraId="15F2B9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enhances autophagic clearance, reduces bacterial viability, and increases </w:t>
      </w:r>
    </w:p>
    <w:p w14:paraId="67DA23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IL-12B. ADP-ribosyl polymerase Rv1899c interacts with HDAC1 and may inhibit </w:t>
      </w:r>
    </w:p>
    <w:p w14:paraId="7049F0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activation. Rv1899c interacts with HDAC1 and ZBTB25 to silence </w:t>
      </w:r>
    </w:p>
    <w:p w14:paraId="4A71E4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inflammatory promoters and maintain immune suppression without effector release. </w:t>
      </w:r>
    </w:p>
    <w:p w14:paraId="5607DC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NLRP3 activation is influenced by DNA methylation. DNMT inhibitor DAC increased </w:t>
      </w:r>
    </w:p>
    <w:p w14:paraId="262491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transcriptional activity in vitro, while DNA methylase Sss I decreased NLRP3 </w:t>
      </w:r>
    </w:p>
    <w:p w14:paraId="242839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promoter activity. In small RNAs, links to epigenetics, the miR-15/16 family's </w:t>
      </w:r>
    </w:p>
    <w:p w14:paraId="2755B6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miR-15a-5p, regulate apoptosis, the cell cycle, and inflammatory cytokines. </w:t>
      </w:r>
    </w:p>
    <w:p w14:paraId="01A73F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MiR-15a-5p affects inflammation by targeting genes in the BCL2, IKKα, and NF-κB pathways. Thus, epigenetic studies on MTB are vital to identify host immune </w:t>
      </w:r>
    </w:p>
    <w:p w14:paraId="5AA720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evasion and host-directed therapy.</w:t>
      </w:r>
    </w:p>
    <w:p w14:paraId="62492B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40A8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Sundaram, Rathinam, Bethunaickan, Ranganathan, Dhanapal, </w:t>
      </w:r>
    </w:p>
    <w:p w14:paraId="76F6BE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Selvaraj and Prabhu.</w:t>
      </w:r>
    </w:p>
    <w:p w14:paraId="671F77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C64D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10.3389/fimmu.2026.1943755</w:t>
      </w:r>
    </w:p>
    <w:p w14:paraId="08080F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PMC13576054</w:t>
      </w:r>
    </w:p>
    <w:p w14:paraId="386BD4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42746448 [Indexed for MEDLINE]</w:t>
      </w:r>
    </w:p>
    <w:p w14:paraId="3829A3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D9E63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Digit Health. 2026 Sep 1;8:1815509. doi: 10.3389/fdgth.2026.1815509. </w:t>
      </w:r>
    </w:p>
    <w:p w14:paraId="1ACDDDD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0924A4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979EB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Time to first and recurrent missed video directly observed therapy sessions and </w:t>
      </w:r>
    </w:p>
    <w:p w14:paraId="5A0E41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associated factors among people with Tuberculosis in Kampala, Uganda.</w:t>
      </w:r>
    </w:p>
    <w:p w14:paraId="70ABA1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22C9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Bwambale K(1), Amutuheire D(1), Nakkonde D(1), Kaggwa P(2)(3), Buregyeya E(1), </w:t>
      </w:r>
    </w:p>
    <w:p w14:paraId="4392DB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Zalwango S(4), Nabukeera S(1), Isunju JB(1), Sekandi JN(2)(3).</w:t>
      </w:r>
    </w:p>
    <w:p w14:paraId="409321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87478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5C609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(1)School of Public Health, Makerere University, Kampala, Uganda.</w:t>
      </w:r>
    </w:p>
    <w:p w14:paraId="60EB5D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Epidemiology and Biostatistics, College of Public Health, </w:t>
      </w:r>
    </w:p>
    <w:p w14:paraId="74B2CA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Georgia, Athens, GA, United States.</w:t>
      </w:r>
    </w:p>
    <w:p w14:paraId="1336C0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(3)Global Health Institute, College of Public Health, University of Georgia, </w:t>
      </w:r>
    </w:p>
    <w:p w14:paraId="698967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Athens, GA, United States.</w:t>
      </w:r>
    </w:p>
    <w:p w14:paraId="57F888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(4)Kampala Capital City Authority, Department of Public Health Service and </w:t>
      </w:r>
    </w:p>
    <w:p w14:paraId="05361A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Environment, Kampala, Uganda.</w:t>
      </w:r>
    </w:p>
    <w:p w14:paraId="034F3B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9F83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 V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ideo Directly Observed Therapy (VDOT) provides a promising </w:t>
      </w:r>
    </w:p>
    <w:p w14:paraId="3BA4E3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alternative to in-person directly observed therapy (DOT) for Tuberculosis (TB) </w:t>
      </w:r>
    </w:p>
    <w:p w14:paraId="3B8054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adherence monitoring. However, sustained patient engagement and missed </w:t>
      </w:r>
    </w:p>
    <w:p w14:paraId="12F3EC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video submissions remain a challenge. This study examined the time to first and </w:t>
      </w:r>
    </w:p>
    <w:p w14:paraId="6D12C7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recurrent missed VDOT submissions and the associated factors.</w:t>
      </w:r>
    </w:p>
    <w:p w14:paraId="243BF5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conducted a retrospective cohort analysis study of 71 people with TB </w:t>
      </w:r>
    </w:p>
    <w:p w14:paraId="560249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assigned to the VDOT arm of the DOT Selfie randomized trial in Kampala, Uganda. </w:t>
      </w:r>
    </w:p>
    <w:p w14:paraId="550861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Primary outcomes were time to first and recurrent missed VDOT sessions, analyzed </w:t>
      </w:r>
    </w:p>
    <w:p w14:paraId="2FD8B8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using the Kaplan-Meier estimator. Associated factors were identified with Cox </w:t>
      </w:r>
    </w:p>
    <w:p w14:paraId="72C9DB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regression and the Prentice-Williams-Peterson Gap Time model. Median times with </w:t>
      </w:r>
    </w:p>
    <w:p w14:paraId="2C59E2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corresponding first and third quartiles (Q1, Q3) and adjusted hazard ratios </w:t>
      </w:r>
    </w:p>
    <w:p w14:paraId="7372A9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(aHRs) with their 95% Confidence Intervals were reported. Analyses were </w:t>
      </w:r>
    </w:p>
    <w:p w14:paraId="4E975B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conducted in Stata 14·2.</w:t>
      </w:r>
    </w:p>
    <w:p w14:paraId="13AEDA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the 71 participants, 36 (51%) were female, the median age was 29 </w:t>
      </w:r>
    </w:p>
    <w:p w14:paraId="2865DF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years (24, 42), and 23 (32%) were living with HIV. The median time to the first </w:t>
      </w:r>
    </w:p>
    <w:p w14:paraId="5E79C6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missed VDOT session was 9 days (2, 39), and to recurrent missed sessions was 2 </w:t>
      </w:r>
    </w:p>
    <w:p w14:paraId="66FB91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days (1, 8). Earlier first missed sessions were associated with HIV co-infection </w:t>
      </w:r>
    </w:p>
    <w:p w14:paraId="459C89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(aHR=1·99; 95% CI: 1·09, 3·62), being married (aHR = 1·88; 95% CI: 1·03, 3·42), </w:t>
      </w:r>
    </w:p>
    <w:p w14:paraId="162C1C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reporting alcohol use (aHR=4·11, 95% CI: 1·89, 8·97). Factors associated </w:t>
      </w:r>
    </w:p>
    <w:p w14:paraId="198FA1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earlier recurrences of missed sessions included being currently married </w:t>
      </w:r>
    </w:p>
    <w:p w14:paraId="53AFDA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(aHR = 1·34; 95% CI: 1·03, 1·75) compared to the never married. A larger </w:t>
      </w:r>
    </w:p>
    <w:p w14:paraId="5148EA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household size was slightly protective against earlier recurrent missed sessions </w:t>
      </w:r>
    </w:p>
    <w:p w14:paraId="4AE4FB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(aHR = 0·96; 95% CI: 0·92, 0·99).</w:t>
      </w:r>
    </w:p>
    <w:p w14:paraId="7C5997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highlights the factors that are associated with earlier </w:t>
      </w:r>
    </w:p>
    <w:p w14:paraId="2C2D96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missed VDOT sessions in the Ugandan setting. These factors may help identify </w:t>
      </w:r>
    </w:p>
    <w:p w14:paraId="1D661E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groups that could benefit from targeted adherence support in future VDOT </w:t>
      </w:r>
    </w:p>
    <w:p w14:paraId="121152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implementation efforts. We recommend more research to understand the interplay </w:t>
      </w:r>
    </w:p>
    <w:p w14:paraId="1632AD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marital status with VDOT use.</w:t>
      </w:r>
    </w:p>
    <w:p w14:paraId="10DBB7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B8B79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2026 Bwambale, Amutuheire, Nakkonde, Kaggwa, Buregyeya, Zalwango, Nabukeera, </w:t>
      </w:r>
    </w:p>
    <w:p w14:paraId="1F263F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Isunju and Sekandi.</w:t>
      </w:r>
    </w:p>
    <w:p w14:paraId="018CC8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96FCA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10.3389/fdgth.2026.1815509</w:t>
      </w:r>
    </w:p>
    <w:p w14:paraId="55EF8F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PMC13574809</w:t>
      </w:r>
    </w:p>
    <w:p w14:paraId="07D9A4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42746033</w:t>
      </w:r>
    </w:p>
    <w:p w14:paraId="400A4E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ED8BC7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J Popul Econ. 2026;39(4):63. doi: 10.1007/s00148-026-01197-5. Epub 2026 Sep 14.</w:t>
      </w:r>
    </w:p>
    <w:p w14:paraId="0C62BF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1BC6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Impact of a TB epidemic on worker and firm productivity: the regional </w:t>
      </w:r>
    </w:p>
    <w:p w14:paraId="4CBE94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perspective from Ukraine.</w:t>
      </w:r>
    </w:p>
    <w:p w14:paraId="1069D4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DF99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Nizalova O(1), Shepotylo O(2).</w:t>
      </w:r>
    </w:p>
    <w:p w14:paraId="499935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EFA2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F35CA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(1)University of Kent, Canterbury, England.</w:t>
      </w:r>
    </w:p>
    <w:p w14:paraId="0BFFEA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(2)Aston University, Birmingham, England.</w:t>
      </w:r>
    </w:p>
    <w:p w14:paraId="107E4E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E0186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paper investigates the indirect economic effects of tuberculosis (TB) in a </w:t>
      </w:r>
    </w:p>
    <w:p w14:paraId="0497ED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 TB burden country, focusing on worker and firm productivity. Using unique </w:t>
      </w:r>
    </w:p>
    <w:p w14:paraId="45DFCD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administrative data from Ukraine, in 2003-2009, we find that TB prevalence leads </w:t>
      </w:r>
    </w:p>
    <w:p w14:paraId="74CC22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significantly lower wages and total factor productivity (TFP), while higher </w:t>
      </w:r>
    </w:p>
    <w:p w14:paraId="1F6B9B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incidence, reflecting risk of exposure, is linked to higher wages and </w:t>
      </w:r>
    </w:p>
    <w:p w14:paraId="063EE8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productivity. Additional analysis reveals strong spatial spillovers, underlining </w:t>
      </w:r>
    </w:p>
    <w:p w14:paraId="1ADC2D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contagious nature of the disease and the need for coordinated policy </w:t>
      </w:r>
    </w:p>
    <w:p w14:paraId="46CF9E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responses. Our estimates suggest that a 10% reduction in TB prevalence could </w:t>
      </w:r>
    </w:p>
    <w:p w14:paraId="167ABC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yield a 1.05% GDP gain (0.15% from higher wages and 0.89% from higher TFP), </w:t>
      </w:r>
    </w:p>
    <w:p w14:paraId="34832E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compared to TB-related spending of only 0.04% of GDP that same year. These </w:t>
      </w:r>
    </w:p>
    <w:p w14:paraId="0588DE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highlight the underinvestment in TB control and the broader economic </w:t>
      </w:r>
    </w:p>
    <w:p w14:paraId="530E36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stakes of epidemic containment.</w:t>
      </w:r>
    </w:p>
    <w:p w14:paraId="367991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126B3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The Author(s) 2026.</w:t>
      </w:r>
    </w:p>
    <w:p w14:paraId="11CBCC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CA3D3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10.1007/s00148-026-01197-5</w:t>
      </w:r>
    </w:p>
    <w:p w14:paraId="379AD4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PMC13574866</w:t>
      </w:r>
    </w:p>
    <w:p w14:paraId="6D710C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42745979</w:t>
      </w:r>
    </w:p>
    <w:p w14:paraId="62A075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B04B8F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bioRxiv [Preprint]. 2026 Aug 5:2026.08.04.742562. doi: </w:t>
      </w:r>
    </w:p>
    <w:p w14:paraId="6613511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10.64898/2026.08.04.742562.</w:t>
      </w:r>
    </w:p>
    <w:p w14:paraId="290A02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9C726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Loss of riboflavin biosynthesis leads to accumulation of select aromatic amino </w:t>
      </w:r>
    </w:p>
    <w:p w14:paraId="3185FD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acids and loss of infectivity in Mycobacterium tuberculosis.</w:t>
      </w:r>
    </w:p>
    <w:p w14:paraId="12D096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3CE6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Jaisinghani N, Arasappan A, Pradhan A, Kaur R, Li K, Aubé J, Cross JR, Jesus </w:t>
      </w:r>
    </w:p>
    <w:p w14:paraId="472E02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Faustino Ramos RJ, Hartman T, Previti ML, Vorkas CK, Seeliger JC.</w:t>
      </w:r>
    </w:p>
    <w:p w14:paraId="144438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8B5A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Riboflavin biosynthesis is required for in vitro survival of the human pathogen </w:t>
      </w:r>
    </w:p>
    <w:p w14:paraId="4726E9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( Mtb ). However, despite the lack of a known </w:t>
      </w:r>
    </w:p>
    <w:p w14:paraId="46AB22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transporter, growth can be rescued by exogenous riboflavin. The riboflavin </w:t>
      </w:r>
    </w:p>
    <w:p w14:paraId="466824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biosynthesis pathway is also predicted essential in vivo , but whether </w:t>
      </w:r>
    </w:p>
    <w:p w14:paraId="4F3721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riboflavin levels available in the host can support survival has not been </w:t>
      </w:r>
    </w:p>
    <w:p w14:paraId="7FF4B1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directly tested. Here we constructed a set of inducible CRISPR interference </w:t>
      </w:r>
    </w:p>
    <w:p w14:paraId="7E42CE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(CRISPRi) knockdown and targeted gene deletion strains for known riboflavin </w:t>
      </w:r>
    </w:p>
    <w:p w14:paraId="45CAF7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biosynthesis genes ( ribA2, ribG, ribH, ribC ) as tools to characterize </w:t>
      </w:r>
    </w:p>
    <w:p w14:paraId="66B5B3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riboflavin requirements, uptake, and metabolite changes and to assess in vivo </w:t>
      </w:r>
    </w:p>
    <w:p w14:paraId="160369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essentiality. We found that riboflavin, but not flavin adenine dinucleotide or </w:t>
      </w:r>
    </w:p>
    <w:p w14:paraId="1C22CF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flavin mononucleotide, rescued auxotrophy for all strains tested. Further, </w:t>
      </w:r>
    </w:p>
    <w:p w14:paraId="2A4CA7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riboflavin uptake did not show strong evidence of being dependent on active or </w:t>
      </w:r>
    </w:p>
    <w:p w14:paraId="60CA03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facilitated transport, supporting the mechanism of passive diffusion. Targeted </w:t>
      </w:r>
    </w:p>
    <w:p w14:paraId="65D2E3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metabolite profiling after removal of riboflavin from growth medium confirmed </w:t>
      </w:r>
    </w:p>
    <w:p w14:paraId="6F5744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reduced riboflavin levels. While other riboflavin intermediates were not </w:t>
      </w:r>
    </w:p>
    <w:p w14:paraId="0B556D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detected, significant accumulation of aromatic amino acids (Phe, Tyr) was </w:t>
      </w:r>
    </w:p>
    <w:p w14:paraId="4BC6E6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observed across all assayed strains, as well as alteration in a vitamin B9 </w:t>
      </w:r>
    </w:p>
    <w:p w14:paraId="0178CB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metabolite. Selecting the ribC knockout as a representative strain, we found </w:t>
      </w:r>
    </w:p>
    <w:p w14:paraId="288457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riboflavin depletion had a bacteriostatic effect as late as 3 weeks after </w:t>
      </w:r>
    </w:p>
    <w:p w14:paraId="629675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removal. Unexpectedly, Δ ribC lacked infectivity in an aerosol mouse infection, </w:t>
      </w:r>
    </w:p>
    <w:p w14:paraId="276EAD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suggesting that the potential to scavenge riboflavin from the host is not </w:t>
      </w:r>
    </w:p>
    <w:p w14:paraId="59894D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sufficient to survive in vivo . Overall, our results show that altered </w:t>
      </w:r>
    </w:p>
    <w:p w14:paraId="46BBE0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metabolism upon loss of riboflavin biosynthesis leads to compromised Mtb </w:t>
      </w:r>
    </w:p>
    <w:p w14:paraId="590CCC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infectivity.</w:t>
      </w:r>
    </w:p>
    <w:p w14:paraId="491026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IMPORTANCE: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remains one of the world's most deadly infectious </w:t>
      </w:r>
    </w:p>
    <w:p w14:paraId="5C2A41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diseases, underscoring the need to explore new drug targets. Riboflavin (vitamin </w:t>
      </w:r>
    </w:p>
    <w:p w14:paraId="0EF468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B2) biosynthesis has emerged as a promising target because Mycobacterium </w:t>
      </w:r>
    </w:p>
    <w:p w14:paraId="2C209A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 Mtb ) depends on this pathway for survival. The riboflavin </w:t>
      </w:r>
    </w:p>
    <w:p w14:paraId="397480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pathway also produces metabolites that modulate host mucosal-associated </w:t>
      </w:r>
    </w:p>
    <w:p w14:paraId="4615D2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invariant T (MAIT) cell activity, towards understanding potential strategies for </w:t>
      </w:r>
    </w:p>
    <w:p w14:paraId="2D9A2F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host-directed therapies. Here we found that disrupting riboflavin biosynthesis </w:t>
      </w:r>
    </w:p>
    <w:p w14:paraId="1E1840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led to not only compromised survival, but also widespread changes to metabolism </w:t>
      </w:r>
    </w:p>
    <w:p w14:paraId="3A4E30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loss of the ability to establish infection in an animal model. These </w:t>
      </w:r>
    </w:p>
    <w:p w14:paraId="569620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improve our understanding of how Mtb adapts to metabolic stress, with </w:t>
      </w:r>
    </w:p>
    <w:p w14:paraId="6A3E96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implications for developing drugs that target riboflavin biosynthesis and for </w:t>
      </w:r>
    </w:p>
    <w:p w14:paraId="6769AB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alterations in host immunity to be explored in future studies.</w:t>
      </w:r>
    </w:p>
    <w:p w14:paraId="5E79FC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EF43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10.64898/2026.08.04.742562</w:t>
      </w:r>
    </w:p>
    <w:p w14:paraId="306E68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PMC13573722</w:t>
      </w:r>
    </w:p>
    <w:p w14:paraId="75EB01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42745764</w:t>
      </w:r>
    </w:p>
    <w:p w14:paraId="33F9AF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188CE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RSC Med Chem. 2026 Aug 19. doi: 10.1039/d6md00438e. Online ahead of print.</w:t>
      </w:r>
    </w:p>
    <w:p w14:paraId="3C078F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167F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Development of isonicotinoyl-azole hybrids as potential InhA inhibitors for </w:t>
      </w:r>
    </w:p>
    <w:p w14:paraId="6EF02D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anti-tubercular activity.</w:t>
      </w:r>
    </w:p>
    <w:p w14:paraId="088294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F4EC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Eldehna WM(1), Elsayed ZM(2), Korycka-Machała M(3), Brzostek A(3), Chyb M(4), </w:t>
      </w:r>
    </w:p>
    <w:p w14:paraId="75F7D5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Dziadek B(4), Omar YM(5)(6), Elimam DM(7), Al-Warhi T(8), Kuzioła M(3)(9), Sabt </w:t>
      </w:r>
    </w:p>
    <w:p w14:paraId="4B3189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A(10), Dziadek J(3), Tawfik HO(11)(12).</w:t>
      </w:r>
    </w:p>
    <w:p w14:paraId="2E921E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4151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E46A6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Pharmaceutical Chemistry, Faculty of Pharmacy, Kafrelsheikh </w:t>
      </w:r>
    </w:p>
    <w:p w14:paraId="195554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P.O. Box 33516 Kafrelsheikh Egypt wagdy2000@gmail.com.</w:t>
      </w:r>
    </w:p>
    <w:p w14:paraId="27A741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(2)Scientific Research and Innovation Support Unit, Faculty of Pharmacy, </w:t>
      </w:r>
    </w:p>
    <w:p w14:paraId="63B0F9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Kafrelsheikh University Kafr El-Shaikh 33516 Egypt.</w:t>
      </w:r>
    </w:p>
    <w:p w14:paraId="1ED88E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(3)Laboratory of Genetics and Physiology of Mycobacterium, Institute of Medical </w:t>
      </w:r>
    </w:p>
    <w:p w14:paraId="2BE61B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Biology of the Polish Academy of Sciences Lodz Poland jdziadek@cbm.pan.pl.</w:t>
      </w:r>
    </w:p>
    <w:p w14:paraId="14C60C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Molecular Microbiology, Faculty of Biology and Environmental </w:t>
      </w:r>
    </w:p>
    <w:p w14:paraId="3CDC11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Protection, University of Lodz Lodz Poland.</w:t>
      </w:r>
    </w:p>
    <w:p w14:paraId="1763AF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(5)Institute of Cancer Therapeutics, University of Bradford BD7 1DP UK.</w:t>
      </w:r>
    </w:p>
    <w:p w14:paraId="37357E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Pharmaceutical Organic Chemistry, Faculty of Pharmacy, Assiut </w:t>
      </w:r>
    </w:p>
    <w:p w14:paraId="589479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Assiut 71526 Egypt.</w:t>
      </w:r>
    </w:p>
    <w:p w14:paraId="31128D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(7)Department of Pharmacognosy, Faculty of Pharmacy, Kafrelsheikh University </w:t>
      </w:r>
    </w:p>
    <w:p w14:paraId="5AF7D9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Kafrelsheikh 33516 Egypt.</w:t>
      </w:r>
    </w:p>
    <w:p w14:paraId="2EC6DC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(8)Department of Chemistry, College of Science, Princess Nourah Bint Abdulrahman </w:t>
      </w:r>
    </w:p>
    <w:p w14:paraId="5D2121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P.O. Box 84428 Riyadh 11671 Saudi Arabia.</w:t>
      </w:r>
    </w:p>
    <w:p w14:paraId="55AA01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(9)The Bio-Med-Chem Doctoral School of the University of Lodz and Lodz </w:t>
      </w:r>
    </w:p>
    <w:p w14:paraId="15F8A9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Institutes of the Polish Academy of Sciences Lodz Poland.</w:t>
      </w:r>
    </w:p>
    <w:p w14:paraId="57F2A3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(10)Chemistry of Natural Compounds Department, Pharmaceutical and Drug </w:t>
      </w:r>
    </w:p>
    <w:p w14:paraId="4F46BE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Industries Research Institute, National Research Center Dokki Egypt.</w:t>
      </w:r>
    </w:p>
    <w:p w14:paraId="7D39F6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(11)Department of Pharmaceutical Chemistry, Faculty of Pharmacy, Tanta </w:t>
      </w:r>
    </w:p>
    <w:p w14:paraId="4AE9CB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Tanta 31527 Egypt haytham.omar.mahmoud@pharm.tanta.edu.eg.</w:t>
      </w:r>
    </w:p>
    <w:p w14:paraId="0E73E5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(12)Department of Pharmaceutical Chemistry, Faculty of Pharmacy, Alsalam </w:t>
      </w:r>
    </w:p>
    <w:p w14:paraId="167235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Tanta 31611 Egypt.</w:t>
      </w:r>
    </w:p>
    <w:p w14:paraId="4C1BCB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807E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development of innovative treatment medicines that can overcome drug </w:t>
      </w:r>
    </w:p>
    <w:p w14:paraId="66EAF5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 and intracellular persistence is necessary since tuberculosis (TB) </w:t>
      </w:r>
    </w:p>
    <w:p w14:paraId="7D2BCB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continues to be a significant worldwide health burden. In this work, series of </w:t>
      </w:r>
    </w:p>
    <w:p w14:paraId="5C4620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hybrid compounds containing azole moieties, imine/semicarbazide linkers, and </w:t>
      </w:r>
    </w:p>
    <w:p w14:paraId="209C6F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isonicotinoyl groups were synthesized, and their anti-mycobacterial activity was </w:t>
      </w:r>
    </w:p>
    <w:p w14:paraId="02FFE5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assessed. The microplate Alamar blue test (MABA) was used to evaluate the </w:t>
      </w:r>
    </w:p>
    <w:p w14:paraId="461131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synthesized compounds (10a-i, 17a, b, 20a-d, and 25) against Mycobacterium </w:t>
      </w:r>
    </w:p>
    <w:p w14:paraId="418132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H37Rv and M. abscessus. Compounds 17a and 17b were the most active, </w:t>
      </w:r>
    </w:p>
    <w:p w14:paraId="33BFCA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sub-μg mL-1 potency (MICs of 0.5 and 0.25 μg mL-1, respectively). However, </w:t>
      </w:r>
    </w:p>
    <w:p w14:paraId="7980B0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numerous analogues demonstrated strong inhibitory activity against M. </w:t>
      </w:r>
    </w:p>
    <w:p w14:paraId="1A2DA4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(MIC = 1.0 μg mL-1). L929 fibroblasts were used to evaluate </w:t>
      </w:r>
    </w:p>
    <w:p w14:paraId="7953AF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cytotoxicity, and the results showed good selectivity, especially for compounds </w:t>
      </w:r>
    </w:p>
    <w:p w14:paraId="0C96CF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17a and 17b, which had high selectivity indices (SI = 160 and 240, </w:t>
      </w:r>
    </w:p>
    <w:p w14:paraId="0D7B21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respectively). Compounds 17a and 17b showed high bactericidal activity at low </w:t>
      </w:r>
    </w:p>
    <w:p w14:paraId="7AA2FA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doses (BC = 5 μg mL-1) in the bactericidal assay, confirming that multiple </w:t>
      </w:r>
    </w:p>
    <w:p w14:paraId="33D5BE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compounds exhibited concentration-dependent death. Additionally, in the human </w:t>
      </w:r>
    </w:p>
    <w:p w14:paraId="15D292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macrophage model, both compounds showed notable intracellular efficacy with low </w:t>
      </w:r>
    </w:p>
    <w:p w14:paraId="5A5F5C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host-cell toxicity, demonstrating their capacity to target intracellular M. </w:t>
      </w:r>
    </w:p>
    <w:p w14:paraId="2C8707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tuberculosis. Additionally, moderate antibiofilm activity was noted, suggesting </w:t>
      </w:r>
    </w:p>
    <w:p w14:paraId="35C71B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developed mycobacterial biofilms were partially disrupted. The suggested </w:t>
      </w:r>
    </w:p>
    <w:p w14:paraId="2A2A00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 of action was supported by mechanistic investigations that demonstrated </w:t>
      </w:r>
    </w:p>
    <w:p w14:paraId="4BE81B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strong inhibition of the InhA enzyme, with compound 17b exhibiting activity </w:t>
      </w:r>
    </w:p>
    <w:p w14:paraId="1D6BCF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similar to triclosan (IC50 = 0.75 μM). The stability and favorable binding </w:t>
      </w:r>
    </w:p>
    <w:p w14:paraId="2A29A5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interactions of the lead compounds within the InhA active site were further </w:t>
      </w:r>
    </w:p>
    <w:p w14:paraId="1D870E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validated by in silico investigations, including molecular docking and molecular </w:t>
      </w:r>
    </w:p>
    <w:p w14:paraId="2E4A42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dynamics simulations. All things considered, the incorporation of several </w:t>
      </w:r>
    </w:p>
    <w:p w14:paraId="2DA321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pharmacophores into a single scaffold yielded promising multitarget </w:t>
      </w:r>
    </w:p>
    <w:p w14:paraId="444ACE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anti-tubercular agents, with compounds 17a and 17b as potential avenues for </w:t>
      </w:r>
    </w:p>
    <w:p w14:paraId="23C213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further research and optimization.</w:t>
      </w:r>
    </w:p>
    <w:p w14:paraId="6B00F7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00612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This journal is © The Royal Society of Chemistry.</w:t>
      </w:r>
    </w:p>
    <w:p w14:paraId="6DBAF5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DDB7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10.1039/d6md00438e</w:t>
      </w:r>
    </w:p>
    <w:p w14:paraId="7A1100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PMC13573359</w:t>
      </w:r>
    </w:p>
    <w:p w14:paraId="22B341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42741666</w:t>
      </w:r>
    </w:p>
    <w:p w14:paraId="6C981B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BAD06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Lancet Reg Health Eur. 2026 Sep 8;70:101856. doi: 10.1016/j.lanepe.2026.101856. eCollection 2026 Nov.</w:t>
      </w:r>
    </w:p>
    <w:p w14:paraId="3EB9960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</w:p>
    <w:p w14:paraId="0F84E9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disease and infection screening among migrants in the Netherlands </w:t>
      </w:r>
    </w:p>
    <w:p w14:paraId="58A70B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2019-2023: a national retrospective observational study.</w:t>
      </w:r>
    </w:p>
    <w:p w14:paraId="7BCB30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911E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 Vries G(1), Mulder A(1), Spruijt I(2), Huisman E(3), Schimmel H(1), Siebers </w:t>
      </w:r>
    </w:p>
    <w:p w14:paraId="441AC9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M(4), Vrubleuskaya N(5), Zandbelt-Smits M(6), van Gageldonk-Lafeber R(1), van </w:t>
      </w:r>
    </w:p>
    <w:p w14:paraId="3E2D1B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den Hof S(1)(7).</w:t>
      </w:r>
    </w:p>
    <w:p w14:paraId="31E186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6EB4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7AD03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(1)Centre for Infectious Disease Control, National Institute for Public Health </w:t>
      </w:r>
    </w:p>
    <w:p w14:paraId="59FDC4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the Environment, Bilthoven, the Netherlands.</w:t>
      </w:r>
    </w:p>
    <w:p w14:paraId="5955D9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(2)KNCV Tuberculosis Foundation, The Hague, the Netherlands.</w:t>
      </w:r>
    </w:p>
    <w:p w14:paraId="396F71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(3)Regional TB Expert Centre Noordoost/GGD Noord- en Oost-Gelderland, Warnsveld, </w:t>
      </w:r>
    </w:p>
    <w:p w14:paraId="58ED2D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Netherlands.</w:t>
      </w:r>
    </w:p>
    <w:p w14:paraId="52E7E1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(4)Regional TB Expert Centre Zuid/GGD Brabant Zuidoost, Eindhoven, the </w:t>
      </w:r>
    </w:p>
    <w:p w14:paraId="772208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Netherlands.</w:t>
      </w:r>
    </w:p>
    <w:p w14:paraId="13A947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(5)Regional TB Expert Centre Zuid-Holland/GGD Haaglanden, The Hague, the </w:t>
      </w:r>
    </w:p>
    <w:p w14:paraId="390316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Netherlands.</w:t>
      </w:r>
    </w:p>
    <w:p w14:paraId="2F9DFC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(6)Regional TB Expert Centre Noordwest/GGD Amsterdam, Amsterdam, the </w:t>
      </w:r>
    </w:p>
    <w:p w14:paraId="7CA7C6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Netherlands.</w:t>
      </w:r>
    </w:p>
    <w:p w14:paraId="23F2B8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(7)Leiden University Medical Center, Leiden, the Netherlands.</w:t>
      </w:r>
    </w:p>
    <w:p w14:paraId="2AA2B5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F521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Migrants from tuberculosis (TB) high-incidence countries are at </w:t>
      </w:r>
    </w:p>
    <w:p w14:paraId="74E80A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increased risk of TB, therefore, screening for TB is frequently implemented in </w:t>
      </w:r>
    </w:p>
    <w:p w14:paraId="666D91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 countries, but evidence for systematic screening for TB infection (TBI) is </w:t>
      </w:r>
    </w:p>
    <w:p w14:paraId="500E41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limited. We evaluated the national migrant TB/TBI screening programme in the </w:t>
      </w:r>
    </w:p>
    <w:p w14:paraId="028699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Netherlands to assess TB yield, TBI prevalence, and the subsequent cascade of </w:t>
      </w:r>
    </w:p>
    <w:p w14:paraId="5D2777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care.</w:t>
      </w:r>
    </w:p>
    <w:p w14:paraId="6FD854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retrospective observational study included all immigrants and </w:t>
      </w:r>
    </w:p>
    <w:p w14:paraId="710FF9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asylum seekers screened for TB and TBI in the Netherlands in 2019-2023. We </w:t>
      </w:r>
    </w:p>
    <w:p w14:paraId="2132E7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linked data from the national TB client information system to the Netherlands TB </w:t>
      </w:r>
    </w:p>
    <w:p w14:paraId="4DDD3E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Register to assess TB yield (cases detected per 100,000 screened), TBI </w:t>
      </w:r>
    </w:p>
    <w:p w14:paraId="67E9FA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prevalence, and treatment initiation and completion, by migrant group, country </w:t>
      </w:r>
    </w:p>
    <w:p w14:paraId="28394F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birth, and age group.</w:t>
      </w:r>
    </w:p>
    <w:p w14:paraId="48FEB2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FINDINGS: 1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49,214 migrants were included (87,511 immigrants; 61,703 asylum </w:t>
      </w:r>
    </w:p>
    <w:p w14:paraId="6BFC6A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seekers). TB at entry was diagnosed in 69 immigrants and 170 asylum seekers, </w:t>
      </w:r>
    </w:p>
    <w:p w14:paraId="378DDC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corresponding to yields of 79 per 100,000 (95% CI 62-100) and 276 per 100,000 </w:t>
      </w:r>
    </w:p>
    <w:p w14:paraId="16A65D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(237-320), respectively. Among 202 pulmonary TB cases, 129 (63.9%) was </w:t>
      </w:r>
    </w:p>
    <w:p w14:paraId="27C19E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bacteriologically confirmed and 147 (72.8%) did not report cough symptoms. TB </w:t>
      </w:r>
    </w:p>
    <w:p w14:paraId="43F62E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completion was 92.8% (64/69) among immigrants and 81.2% (138/170) </w:t>
      </w:r>
    </w:p>
    <w:p w14:paraId="0A5FE0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asylum seekers. TBI screening included 20,378 immigrants. TBI prevalence </w:t>
      </w:r>
    </w:p>
    <w:p w14:paraId="3CE5A9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increased with age, from 0.6% in children &lt;12 years, 4.4% in adolescents 12-17 </w:t>
      </w:r>
    </w:p>
    <w:p w14:paraId="371D6F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years, to 12.9% in adults ≥ 18 years. Among them, 64.6% (31/48), 81.5% (66/81), </w:t>
      </w:r>
    </w:p>
    <w:p w14:paraId="4A356D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64.7% (663/1024), respectively, initiated and completed treatment.</w:t>
      </w:r>
    </w:p>
    <w:p w14:paraId="539F8F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INTERPRETATION: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Systematic TB and TBI screening among migrants in the </w:t>
      </w:r>
    </w:p>
    <w:p w14:paraId="286657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Netherlands effectively identifies people with TB, including those without </w:t>
      </w:r>
    </w:p>
    <w:p w14:paraId="461F9A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symptoms, and enables TB prevention. These findings support targeted screening </w:t>
      </w:r>
    </w:p>
    <w:p w14:paraId="2969F7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policies as a core component of TB prevention and control in low-incidence </w:t>
      </w:r>
    </w:p>
    <w:p w14:paraId="74C3BB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settings.</w:t>
      </w:r>
    </w:p>
    <w:p w14:paraId="51D80E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FUNDING: This work was supported by the Ministry of Health, Welfare and Sports </w:t>
      </w:r>
    </w:p>
    <w:p w14:paraId="0D761F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(VWS), the Netherlands.</w:t>
      </w:r>
    </w:p>
    <w:p w14:paraId="562A58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AFC5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The Author(s).</w:t>
      </w:r>
    </w:p>
    <w:p w14:paraId="2EBCE0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17E3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10.1016/j.lanepe.2026.101856</w:t>
      </w:r>
    </w:p>
    <w:p w14:paraId="0865EA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PMC13573575</w:t>
      </w:r>
    </w:p>
    <w:p w14:paraId="2E06DC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42741342</w:t>
      </w:r>
    </w:p>
    <w:p w14:paraId="09CEE3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EAA36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J Clin Tuberc Other Mycobact Dis. 2026 Aug 31;45:100643. doi: </w:t>
      </w:r>
    </w:p>
    <w:p w14:paraId="22ED9E1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10.1016/j.jctube.2026.100643. eCollection 2026 Dec.</w:t>
      </w:r>
    </w:p>
    <w:p w14:paraId="7E2DB0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76A7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Reimagining tuberculosis detection in Somalia: from passive to active case </w:t>
      </w:r>
    </w:p>
    <w:p w14:paraId="473176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finding.</w:t>
      </w:r>
    </w:p>
    <w:p w14:paraId="28D479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BAF4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Adan AM(1)(2)(3), Omar AM(1)(2)(3), Abdi MS(1)(2), Ali MA(1)(2)(3), Abdullahi </w:t>
      </w:r>
    </w:p>
    <w:p w14:paraId="483DC6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YB(1)(2)(4).</w:t>
      </w:r>
    </w:p>
    <w:p w14:paraId="23F31D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8F9D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81369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(1)Faculty of Health Sciences and Tropical Medicine, Somali National University, </w:t>
      </w:r>
    </w:p>
    <w:p w14:paraId="0FDD26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Mogadishu, Somalia.</w:t>
      </w:r>
    </w:p>
    <w:p w14:paraId="581DE8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(2)Center for Health Research and Innovation, Somali National University, </w:t>
      </w:r>
    </w:p>
    <w:p w14:paraId="4DBFC0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Mogadishu, Somalia.</w:t>
      </w:r>
    </w:p>
    <w:p w14:paraId="7E638A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(3)Benaadir Research, Consultancy and Evaluation Center, Mogadishu, Somalia.</w:t>
      </w:r>
    </w:p>
    <w:p w14:paraId="29140F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(4)Faculty of Health Science, Salaam University, Mogadishu, Somalia.</w:t>
      </w:r>
    </w:p>
    <w:p w14:paraId="22DFA5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83B6A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10.1016/j.jctube.2026.100643</w:t>
      </w:r>
    </w:p>
    <w:p w14:paraId="050977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PMC13572305</w:t>
      </w:r>
    </w:p>
    <w:p w14:paraId="3FC7ED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42741197</w:t>
      </w:r>
    </w:p>
    <w:p w14:paraId="7F1A81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C3BBC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Respir Res Clin Pract. 2026 Aug 13;52(3):e20260059. doi: </w:t>
      </w:r>
    </w:p>
    <w:p w14:paraId="4AF5F95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10.36416/1806-3756/e20260059. eCollection 2026.</w:t>
      </w:r>
    </w:p>
    <w:p w14:paraId="27CC7B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7CF5A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Evaluation of Xpert MTB/RIF Ultra performance on bronchoalveolar lavage fluid </w:t>
      </w:r>
    </w:p>
    <w:p w14:paraId="202EEA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samples for pulmonary tuberculosis diagnosis.</w:t>
      </w:r>
    </w:p>
    <w:p w14:paraId="4A4442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D91E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Vieira MCV(1), Santos AK(2), de Braga RSL(2), de Souza MS(2), Ramos GS(2), </w:t>
      </w:r>
    </w:p>
    <w:p w14:paraId="742651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Marinho AP(2), Silva DR(1)(2)(3).</w:t>
      </w:r>
    </w:p>
    <w:p w14:paraId="3CA60F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69AB4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220FD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(1). Programa de Pós-Graduação em Ciências Pneumológicas, Universidade Federal </w:t>
      </w:r>
    </w:p>
    <w:p w14:paraId="47E120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 Rio Grande do Sul - UFRGS - Porto Alegre (RS) Brasil.</w:t>
      </w:r>
    </w:p>
    <w:p w14:paraId="78904B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(2). Faculdade de Medicina, Universidade Federal do Rio Grande do Sul - UFRGS - </w:t>
      </w:r>
    </w:p>
    <w:p w14:paraId="360165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Porto Alegre (RS) Brasil.</w:t>
      </w:r>
    </w:p>
    <w:p w14:paraId="38D33F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(3). Serviço de Pneumologia, Hospital de Clínicas de Porto Alegre - HCPA - Porto </w:t>
      </w:r>
    </w:p>
    <w:p w14:paraId="2259B4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Alegre (RS) Brasil.</w:t>
      </w:r>
    </w:p>
    <w:p w14:paraId="3E2B4C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4BD2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In cases in which tuberculosis is not diagnosed microbiologically </w:t>
      </w:r>
    </w:p>
    <w:p w14:paraId="0BBAC8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through sputum samples, bronchoscopy has been the conventional method to </w:t>
      </w:r>
    </w:p>
    <w:p w14:paraId="609C1F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 diagnostic rates. Few studies have evaluated the performance of the </w:t>
      </w:r>
    </w:p>
    <w:p w14:paraId="5004BC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Xpert MTB/RIF Ultra assay on BAL fluid samples. We therefore sought to evaluate </w:t>
      </w:r>
    </w:p>
    <w:p w14:paraId="030DFE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performance of Xpert MTB/RIF Ultra on BAL fluid samples for pulmonary </w:t>
      </w:r>
    </w:p>
    <w:p w14:paraId="7F37B9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diagnosis in a Brazilian city with a high incidence of </w:t>
      </w:r>
    </w:p>
    <w:p w14:paraId="70F7ED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tuberculosis.</w:t>
      </w:r>
    </w:p>
    <w:p w14:paraId="2D22A4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was a cross-sectional study performed at a tertiary care </w:t>
      </w:r>
    </w:p>
    <w:p w14:paraId="2E117A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 hospital in southern Brazil. Patients &gt; 18 years of age with </w:t>
      </w:r>
    </w:p>
    <w:p w14:paraId="2E520E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respiratory symptoms suggestive of pulmonary tuberculosis were invited to </w:t>
      </w:r>
    </w:p>
    <w:p w14:paraId="02FBCC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participate. Test results were collected, including smear microscopy, </w:t>
      </w:r>
    </w:p>
    <w:p w14:paraId="75C4C2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mycobacterial culture, and Xpert MTB/RIF Ultra on BAL fluid samples.</w:t>
      </w:r>
    </w:p>
    <w:p w14:paraId="1AB3DD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During the study period, 161 patients met the inclusion criteria and </w:t>
      </w:r>
    </w:p>
    <w:p w14:paraId="40BFA4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therefore included in the analysis. With culture being considered the gold </w:t>
      </w:r>
    </w:p>
    <w:p w14:paraId="051594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standard, the sensitivity, specificity, positive predictive value, and negative </w:t>
      </w:r>
    </w:p>
    <w:p w14:paraId="64F5D5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predictive value of Xpert MTB/RIF Ultra on BAL fluid samples were 97.3% (95% CI, </w:t>
      </w:r>
    </w:p>
    <w:p w14:paraId="2AB349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90.6-99.7), 94.3% (95% CI, 87.1-98.1), 93.5% (95% CI, 86.0-97.1), and 97.6% (95% </w:t>
      </w:r>
    </w:p>
    <w:p w14:paraId="5FB592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CI, 91.3-99.4), respectively.</w:t>
      </w:r>
    </w:p>
    <w:p w14:paraId="73B457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Xpert MTB/RIF Ultra assay showed high sensitivity and </w:t>
      </w:r>
    </w:p>
    <w:p w14:paraId="1E8B50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specificity on BAL fluid samples from individuals with presumptive pulmonary </w:t>
      </w:r>
    </w:p>
    <w:p w14:paraId="2E317A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tuberculosis. This demonstrates that the test is a useful tool for pulmonary </w:t>
      </w:r>
    </w:p>
    <w:p w14:paraId="610807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diagnosis under programmatic conditions.</w:t>
      </w:r>
    </w:p>
    <w:p w14:paraId="74C4DA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7F3F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Sociedade Brasileira de Pneumologia e Tisiologia.</w:t>
      </w:r>
    </w:p>
    <w:p w14:paraId="6CA07E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FB53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10.36416/1806-3756/e20260059</w:t>
      </w:r>
    </w:p>
    <w:p w14:paraId="2D777A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PMC13568803</w:t>
      </w:r>
    </w:p>
    <w:p w14:paraId="088423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42740846 [Indexed for MEDLINE]</w:t>
      </w:r>
    </w:p>
    <w:p w14:paraId="59F9C2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28F87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Respir Res Clin Pract. 2026 Aug 13;52(3):e20250464. doi: </w:t>
      </w:r>
    </w:p>
    <w:p w14:paraId="5552609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10.36416/1806-3756/e20250464. eCollection 2026.</w:t>
      </w:r>
    </w:p>
    <w:p w14:paraId="3A2120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8C368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Safety and tolerability of linezolid to treat tuberculosis: a systematic review </w:t>
      </w:r>
    </w:p>
    <w:p w14:paraId="01451C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meta-analysis.</w:t>
      </w:r>
    </w:p>
    <w:p w14:paraId="142B04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A9559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Amiri M(1), Cheraghi M(1), Ghafari N(1), Nasiri MJ(1), Silva DR(2), D'Ambrosio </w:t>
      </w:r>
    </w:p>
    <w:p w14:paraId="1D9B1C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L(3), Centis R(4), Villa S(5), James A(6), Pontali E(7), Migliori GB(4).</w:t>
      </w:r>
    </w:p>
    <w:p w14:paraId="5042F5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03CE1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19446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(1). Department of Microbiology, School of Medicine, Shahid Beheshti University </w:t>
      </w:r>
    </w:p>
    <w:p w14:paraId="17E993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Medical Sciences, Tehran, Iran.</w:t>
      </w:r>
    </w:p>
    <w:p w14:paraId="441688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(2). Faculdade de Medicina, Universidade Federal do Rio Grande do Sul - UFRGS - </w:t>
      </w:r>
    </w:p>
    <w:p w14:paraId="408B6E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Porto Alegre (RS) Brasil.</w:t>
      </w:r>
    </w:p>
    <w:p w14:paraId="2E9806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(3). Public Health Consulting Group, Lugano, Switzerland.</w:t>
      </w:r>
    </w:p>
    <w:p w14:paraId="039002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(4). Servizio di Epidemiologia Clinica delle Malattie Respiratorie, Istituti </w:t>
      </w:r>
    </w:p>
    <w:p w14:paraId="7B2EAC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Clinici Scientifici Maugeri - IRCCS - Tradate, Italia.</w:t>
      </w:r>
    </w:p>
    <w:p w14:paraId="5D4B42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(5). Dipartimento di Scienze Biomediche per la Salute, Università degli Studi di </w:t>
      </w:r>
    </w:p>
    <w:p w14:paraId="4F98F2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Milano, Milano, Italia.</w:t>
      </w:r>
    </w:p>
    <w:p w14:paraId="0F543C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(6). mDrift Technologies, Rotterdam, The Netherlands.</w:t>
      </w:r>
    </w:p>
    <w:p w14:paraId="6685CA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(7). S. C. Malattie Infettive, Ospedali Galliera, Genova, Italia.</w:t>
      </w:r>
    </w:p>
    <w:p w14:paraId="2933F7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8FD3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a previous review, we summarized the safety of </w:t>
      </w:r>
    </w:p>
    <w:p w14:paraId="2AF932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linezolid-containing regimens to treat rifampin-resistant/multidrug-resistant </w:t>
      </w:r>
    </w:p>
    <w:p w14:paraId="158C64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(RR/MDR-TB), underscoring the persistent need for shorter and safer </w:t>
      </w:r>
    </w:p>
    <w:p w14:paraId="1B142C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regimens. The objective of the present study was to explore the safety and </w:t>
      </w:r>
    </w:p>
    <w:p w14:paraId="6F680A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tolerability directly attributable to linezolid in regimens designed to treat </w:t>
      </w:r>
    </w:p>
    <w:p w14:paraId="3F113B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RR/MDR-TB in studies published between 2009 and 2025.</w:t>
      </w:r>
    </w:p>
    <w:p w14:paraId="3F64FC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searched PubMed/MEDLINE, Embase, the Cochrane Central Register of </w:t>
      </w:r>
    </w:p>
    <w:p w14:paraId="673FD1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Controlled Trials, Scopus, and Web of Science for studies reporting on the </w:t>
      </w:r>
    </w:p>
    <w:p w14:paraId="451555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safety and tolerability of linezolid since it was introduced as a repurposed </w:t>
      </w:r>
    </w:p>
    <w:p w14:paraId="4AEE95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drug in the treatment of tuberculosis.</w:t>
      </w:r>
    </w:p>
    <w:p w14:paraId="3B81E4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total of 22 studies (including 26 arms) were identified, with a total </w:t>
      </w:r>
    </w:p>
    <w:p w14:paraId="75DA9C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3,014 patients. There was significant variation in geographic distribution, </w:t>
      </w:r>
    </w:p>
    <w:p w14:paraId="10CE92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sample size (range, 8-655), linezolid dose (range, 300-1,200 mg), duration, and </w:t>
      </w:r>
    </w:p>
    <w:p w14:paraId="31FD55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other core variables. The pooled rate of favorable outcomes among cohort studies </w:t>
      </w:r>
    </w:p>
    <w:p w14:paraId="5E1112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(cure or treatment completion) was = 80.1%. Hematologic disorders (including </w:t>
      </w:r>
    </w:p>
    <w:p w14:paraId="58BEF3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anemia, thrombocytopenia, and leukopenia, in 33.1%) and peripheral neuropathy </w:t>
      </w:r>
    </w:p>
    <w:p w14:paraId="6AF0B6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(in 33.9%) were the most common adverse events (AEs), followed by psychiatric </w:t>
      </w:r>
    </w:p>
    <w:p w14:paraId="45C5F9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neurological disorders (in 12.3%), myalgia (in 7.0%), optic neuropathy (in </w:t>
      </w:r>
    </w:p>
    <w:p w14:paraId="61C66D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7.8%), gastrointestinal events (in 1.9%), ototoxicity (in 2.9%), and rash (in </w:t>
      </w:r>
    </w:p>
    <w:p w14:paraId="33E4F6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1.0%). Serious AEs were rarely reported.</w:t>
      </w:r>
    </w:p>
    <w:p w14:paraId="5D7706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Although the recommended linezolid-containing regimens are </w:t>
      </w:r>
    </w:p>
    <w:p w14:paraId="016BA2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considered safe, linezolid still causes frequent and severe AEs. A new drug with </w:t>
      </w:r>
    </w:p>
    <w:p w14:paraId="42D936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similar characteristics but lower toxicity will significantly improve the safety </w:t>
      </w:r>
    </w:p>
    <w:p w14:paraId="262AFF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antituberculosis regimens, with improved adherence and treatment outcomes.</w:t>
      </w:r>
    </w:p>
    <w:p w14:paraId="3EDBA4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1E33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Sociedade Brasileira de Pneumologia e Tisiologia.</w:t>
      </w:r>
    </w:p>
    <w:p w14:paraId="72DB59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E47B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10.36416/1806-3756/e20250464</w:t>
      </w:r>
    </w:p>
    <w:p w14:paraId="0BF420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PMC13568797</w:t>
      </w:r>
    </w:p>
    <w:p w14:paraId="7A4F8F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42740774 [Indexed for MEDLINE]</w:t>
      </w:r>
    </w:p>
    <w:p w14:paraId="1966CF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B9B97B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J Clin Med. 2026 Aug 30;15(17):6745. doi: 10.3390/jcm15176745.</w:t>
      </w:r>
    </w:p>
    <w:p w14:paraId="2D9FA6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15694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Population Decline May Affect the Incidence of Pulmonary Tuberculosis in Japan.</w:t>
      </w:r>
    </w:p>
    <w:p w14:paraId="7F0D72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E8F1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Miyauchi A(1)(2), Inaba M(1)(3), Tetsuka T(1)(3), Sakamoto N(1), Nomura Y(1), </w:t>
      </w:r>
    </w:p>
    <w:p w14:paraId="01CD00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Katsube O(1), Hirata H(2), Yoshioka H(2), Niho S(3), Sugiyama K(1)(2).</w:t>
      </w:r>
    </w:p>
    <w:p w14:paraId="7B935D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98F54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54189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Respiratory Medicine and Clinical Immunology, National Hospital </w:t>
      </w:r>
    </w:p>
    <w:p w14:paraId="37F943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Organization Utsunomiya Hospital, Tochigi 329-1193, Japan.</w:t>
      </w:r>
    </w:p>
    <w:p w14:paraId="283799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Respiratory Medicine and Clinical Immunology, Dokkyo Medical </w:t>
      </w:r>
    </w:p>
    <w:p w14:paraId="2CFAEE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Saitama Medical Center, Saitama 343-8555, Japan.</w:t>
      </w:r>
    </w:p>
    <w:p w14:paraId="1B7B99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Pulmonary Medicine and Clinical Immunology, Dokkyo Medical </w:t>
      </w:r>
    </w:p>
    <w:p w14:paraId="564088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Tochigi 321-0293, Japan.</w:t>
      </w:r>
    </w:p>
    <w:p w14:paraId="7D1FE3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8309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Background/Objectives: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tuberculosis in Japan had been decreasing as a </w:t>
      </w:r>
    </w:p>
    <w:p w14:paraId="21DB40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 of the country's anti-tuberculosis policy. The decreased number of </w:t>
      </w:r>
    </w:p>
    <w:p w14:paraId="4394A6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 with tuberculosis has led to many tuberculosis units being downsized. </w:t>
      </w:r>
    </w:p>
    <w:p w14:paraId="051A87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However, the decreasing trend in incidence ended in 2022. To resume this trend, </w:t>
      </w:r>
    </w:p>
    <w:p w14:paraId="4576B5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it is important to clarify which populations are at higher risk of developing </w:t>
      </w:r>
    </w:p>
    <w:p w14:paraId="0B7D03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is. 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study analyzed annual reports on tuberculosis </w:t>
      </w:r>
    </w:p>
    <w:p w14:paraId="3F83AE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published by the Japanese government from 2015 to 2024.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Among Japanese </w:t>
      </w:r>
    </w:p>
    <w:p w14:paraId="1627A0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nationals, the number of newly notified cases of tuberculosis had been </w:t>
      </w:r>
    </w:p>
    <w:p w14:paraId="19C851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decreasing in all age groups. However, the number of newly notified cases among </w:t>
      </w:r>
    </w:p>
    <w:p w14:paraId="203251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foreign-born residents has sharply increased since 2022, and the rate of newly </w:t>
      </w:r>
    </w:p>
    <w:p w14:paraId="3B078F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notified cases among foreign-born residents per 100,000 population was highest </w:t>
      </w:r>
    </w:p>
    <w:p w14:paraId="431D2F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the 20-39-year age group. During the observation period, the number of </w:t>
      </w:r>
    </w:p>
    <w:p w14:paraId="321B29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foreign-born workers from countries with a high incidence of tuberculosis had </w:t>
      </w:r>
    </w:p>
    <w:p w14:paraId="64DE3A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increased, and the populations of several countries and the corresponding </w:t>
      </w:r>
    </w:p>
    <w:p w14:paraId="6103AA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numbers of tuberculosis notifications increased.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study </w:t>
      </w:r>
    </w:p>
    <w:p w14:paraId="7282FB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revealed that younger foreign workers from those countries are more likely to </w:t>
      </w:r>
    </w:p>
    <w:p w14:paraId="7F8C2F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 pulmonary tuberculosis in Japan. The change in population composition </w:t>
      </w:r>
    </w:p>
    <w:p w14:paraId="0F9AAD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may have impacted the incidence of tuberculosis in Japan and will be a hindrance </w:t>
      </w:r>
    </w:p>
    <w:p w14:paraId="443456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efforts to decrease the number of tuberculosis cases going forward. </w:t>
      </w:r>
    </w:p>
    <w:p w14:paraId="5559F2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Therefore, more effective pre-entry tuberculosis screening should be introduced </w:t>
      </w:r>
    </w:p>
    <w:p w14:paraId="1A8C21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young migrant workers from countries with a high incidence of tuberculosis </w:t>
      </w:r>
    </w:p>
    <w:p w14:paraId="57BF3B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cases.</w:t>
      </w:r>
    </w:p>
    <w:p w14:paraId="0672D6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E9781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10.3390/jcm15176745</w:t>
      </w:r>
    </w:p>
    <w:p w14:paraId="2140B5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PMC13566138</w:t>
      </w:r>
    </w:p>
    <w:p w14:paraId="72833E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42739750</w:t>
      </w:r>
    </w:p>
    <w:p w14:paraId="731681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9F5FEF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Diagnostics (Basel). 2026 Aug 28;16(17):2760. doi: 10.3390/diagnostics16172760.</w:t>
      </w:r>
    </w:p>
    <w:p w14:paraId="58400A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311A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Accuracy and Usability of the Pluslife Mycobacterium tuberculosis </w:t>
      </w:r>
    </w:p>
    <w:p w14:paraId="662A08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Assay on Tongue and Sputum Swabs in Symptomatic and Asymptomatic Adults in South </w:t>
      </w:r>
    </w:p>
    <w:p w14:paraId="6E1BA7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Africa.</w:t>
      </w:r>
    </w:p>
    <w:p w14:paraId="04A48E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AF01C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David A(1), Scott LE(1), Singh L(2), Marokane P(3), da Silva MP(3), Gast D(2), </w:t>
      </w:r>
    </w:p>
    <w:p w14:paraId="34B3EB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Noble LD(1), Waja Z(4), Moloantoa T(4), Martinson NA(4)(5), Stevens W(1)(3).</w:t>
      </w:r>
    </w:p>
    <w:p w14:paraId="62C8F2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001A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B9C05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(1)Wits Diagnostics Innovation Hub, Health Sciences Research Office, Faculty of </w:t>
      </w:r>
    </w:p>
    <w:p w14:paraId="78DA1B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 Sciences, University of the Witwatersrand, Johannesburg 2193, South </w:t>
      </w:r>
    </w:p>
    <w:p w14:paraId="4D1F68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Africa.</w:t>
      </w:r>
    </w:p>
    <w:p w14:paraId="63ADB3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(2)Wits Diagnostics Innovation Hub, Wits Health Consortium (PTY) Ltd., </w:t>
      </w:r>
    </w:p>
    <w:p w14:paraId="71CBD2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Johannesburg 2193, South Africa.</w:t>
      </w:r>
    </w:p>
    <w:p w14:paraId="461D68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(3)National Priority Programmes, National Health Laboratory Services, </w:t>
      </w:r>
    </w:p>
    <w:p w14:paraId="31C4F0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Johannesburg 2193, South Africa.</w:t>
      </w:r>
    </w:p>
    <w:p w14:paraId="2C6590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(4)Perinatal HIV Research Unit (PHRU), University of the Witwatersrand, </w:t>
      </w:r>
    </w:p>
    <w:p w14:paraId="75220D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Johannesburg 1862, South Africa.</w:t>
      </w:r>
    </w:p>
    <w:p w14:paraId="30B155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(5)Center for TB Research, Johns Hopkins University, Baltimore, MD 21218, USA.</w:t>
      </w:r>
    </w:p>
    <w:p w14:paraId="3973D5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B39F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Background/Objectives: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Access to accurate tuberculosis (TB) diagnostics remains </w:t>
      </w:r>
    </w:p>
    <w:p w14:paraId="17566B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limited, particularly in high-burden settings. The Pluslife MTB assay is among </w:t>
      </w:r>
    </w:p>
    <w:p w14:paraId="65CB10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first molecular tests specifically designed for swab-based detection of </w:t>
      </w:r>
    </w:p>
    <w:p w14:paraId="2032BE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complex (MTBC) and offers near point-of-care use. </w:t>
      </w:r>
    </w:p>
    <w:p w14:paraId="5DCEC9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conducted a prospective diagnostic accuracy study in South Africa to </w:t>
      </w:r>
    </w:p>
    <w:p w14:paraId="0A8194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evaluate the performance of the Pluslife assay on tongue swabs (TSs) and sputum </w:t>
      </w:r>
    </w:p>
    <w:p w14:paraId="5E02C2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swabs (SSs) among symptomatic and asymptomatic adults. Results were compared </w:t>
      </w:r>
    </w:p>
    <w:p w14:paraId="2A01AE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against liquid culture as the reference standard and Xpert MTB/RIF Ultra (Xpert </w:t>
      </w:r>
    </w:p>
    <w:p w14:paraId="73EA67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Ultra) as a comparator. Operational characteristics and ease-of-use were </w:t>
      </w:r>
    </w:p>
    <w:p w14:paraId="71B1D0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assessed through structured observation and Likert-scale scoring by testing </w:t>
      </w:r>
    </w:p>
    <w:p w14:paraId="65386A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personnel.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Of the 256 participants enrolled, 92 [36%] were people with </w:t>
      </w:r>
    </w:p>
    <w:p w14:paraId="204453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 (PHIV) and 217 were included in the final analysis. Culture confirmed TB in </w:t>
      </w:r>
    </w:p>
    <w:p w14:paraId="5C961A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41/217 (19%). Pluslife on SSs demonstrated a sensitivity of 85% (95% CI: </w:t>
      </w:r>
    </w:p>
    <w:p w14:paraId="4E925D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70.8-94.4), compared to 83% (95% CI: 67.9-92.8), for Xpert Ultra on sputum and </w:t>
      </w:r>
    </w:p>
    <w:p w14:paraId="1F65E2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detected one additional case (paired analysis, p = 1.000). Sensitivity on TSs </w:t>
      </w:r>
    </w:p>
    <w:p w14:paraId="6DBD6E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lower (63%, 95% CI: 46.9-77.9), particularly among PHIV. Specificity </w:t>
      </w:r>
    </w:p>
    <w:p w14:paraId="679539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exceeded 97% across specimen types. Concordance on TSs between Pluslife and </w:t>
      </w:r>
    </w:p>
    <w:p w14:paraId="01CD7B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Xpert Ultra increased with higher bacterial loads. Operational evaluation showed </w:t>
      </w:r>
    </w:p>
    <w:p w14:paraId="423547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short hands-on time and high ease-of-use scores, though limitations were noted </w:t>
      </w:r>
    </w:p>
    <w:p w14:paraId="17866C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patient identifier recording and troubleshooting on the Pluslife MiniDock </w:t>
      </w:r>
    </w:p>
    <w:p w14:paraId="09B9E6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device.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Pluslife MTB assay on SSs demonstrated good diagnostic </w:t>
      </w:r>
    </w:p>
    <w:p w14:paraId="44F6F7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accuracy and favorable usability in this study. Tongue swabs remain feasible but </w:t>
      </w:r>
    </w:p>
    <w:p w14:paraId="6BCFBC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less reliable, supporting sputum as the preferred first specimen for TB </w:t>
      </w:r>
    </w:p>
    <w:p w14:paraId="688518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diagnosis.</w:t>
      </w:r>
    </w:p>
    <w:p w14:paraId="421B88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BBF80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10.3390/diagnostics16172760</w:t>
      </w:r>
    </w:p>
    <w:p w14:paraId="570315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PMC13564815</w:t>
      </w:r>
    </w:p>
    <w:p w14:paraId="475F03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42739190</w:t>
      </w:r>
    </w:p>
    <w:p w14:paraId="1A95D1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2340B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Cells. 2026 Sep 3;15(17):1604. doi: 10.3390/cells15171604.</w:t>
      </w:r>
    </w:p>
    <w:p w14:paraId="15E0F9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EABF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Diabetic Immunotherapy Advances with BCG: Metabolic and Immune Reprogramming.</w:t>
      </w:r>
    </w:p>
    <w:p w14:paraId="0D2862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79B1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Faustman DL(1), Hashiguchi S(1), Davis M(1), Kuhtreiber W(1).</w:t>
      </w:r>
    </w:p>
    <w:p w14:paraId="087538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822FD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D30A7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(1)Immunobiology Laboratory, Massachusetts General Hospital and Harvard Medical </w:t>
      </w:r>
    </w:p>
    <w:p w14:paraId="4FD01A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School, Boston, MA 02129, USA.</w:t>
      </w:r>
    </w:p>
    <w:p w14:paraId="61ABD8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9AD5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review describes the cellular and molecular mechanisms underlying </w:t>
      </w:r>
    </w:p>
    <w:p w14:paraId="4FEBBB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multi-dose bacille Calmette-Guérin (BCG) as an investigational immunotherapy for </w:t>
      </w:r>
    </w:p>
    <w:p w14:paraId="66DD39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glycemic improvement in autoimmune diabetes. The BCG data is most often human </w:t>
      </w:r>
    </w:p>
    <w:p w14:paraId="52900C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trial data over the last 15 years paired with mechanistic insights. BCG </w:t>
      </w:r>
    </w:p>
    <w:p w14:paraId="16B1F0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 a vaccine has an excellent safety record with a century-long safety record in </w:t>
      </w:r>
    </w:p>
    <w:p w14:paraId="09D46C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prevention worldwide and, for 36 years, has been FDA-approved at </w:t>
      </w:r>
    </w:p>
    <w:p w14:paraId="081508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higher doses for the treatment of bladder cancer. Our group and others have </w:t>
      </w:r>
    </w:p>
    <w:p w14:paraId="59D558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conducted multiple clinical trials evaluating multi-dose BCG immunotherapy in </w:t>
      </w:r>
    </w:p>
    <w:p w14:paraId="60C378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adults with the two forms of longstanding autoimmune diabetes. In type 1 </w:t>
      </w:r>
    </w:p>
    <w:p w14:paraId="3FC75C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diabetes (T1D), clinical trials of multi-dose BCG have shown stable repeated </w:t>
      </w:r>
    </w:p>
    <w:p w14:paraId="09EFA6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reductions in the FDA-recommended biomarker glycated hemoglobin (HbA1c) to </w:t>
      </w:r>
    </w:p>
    <w:p w14:paraId="387EA1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near-normal levels (vs placebo) for at least 8 years. This improvement </w:t>
      </w:r>
    </w:p>
    <w:p w14:paraId="515E4A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paradoxically occurs without any recovery of pancreatic function from its </w:t>
      </w:r>
    </w:p>
    <w:p w14:paraId="44D755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negligible baseline level. Evidence from long-term trials, together with </w:t>
      </w:r>
    </w:p>
    <w:p w14:paraId="5E145E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companion global mechanistic studies, indicates that glycemic improvement is </w:t>
      </w:r>
    </w:p>
    <w:p w14:paraId="404DAD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associated with BCG-induced correction of aerobic glycolysis defects in lymphoid </w:t>
      </w:r>
    </w:p>
    <w:p w14:paraId="0DA2FF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myeloid cells, an outcome also observed in the granuloma of BCG's close </w:t>
      </w:r>
    </w:p>
    <w:p w14:paraId="53A794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relative, tuberculosis. Restoration of energy metabolism to aerobic glycolysis </w:t>
      </w:r>
    </w:p>
    <w:p w14:paraId="394DAF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diabetic lymphoid cells increases glucose utilization, thereby enhancing </w:t>
      </w:r>
    </w:p>
    <w:p w14:paraId="137840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systemic glucose uptake from the bloodstream, as demonstrated by longitudinal </w:t>
      </w:r>
    </w:p>
    <w:p w14:paraId="2A08D1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PET/CT imaging. In contrast, latent autoimmune diabetes in adults (LADA), a form </w:t>
      </w:r>
    </w:p>
    <w:p w14:paraId="7FDC01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slow autoimmune diabetes that occurs late into adulthood, has minimal or </w:t>
      </w:r>
    </w:p>
    <w:p w14:paraId="64FF95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lacks the clinically significant aerobic glycolysis defect. In LADA with </w:t>
      </w:r>
    </w:p>
    <w:p w14:paraId="30099E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multi-dose BCG immunotherapy glycemic improvement in BCG-treated patients does </w:t>
      </w:r>
    </w:p>
    <w:p w14:paraId="747561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not occur commonly, based on 8 years of data. LADA nevertheless displays other </w:t>
      </w:r>
    </w:p>
    <w:p w14:paraId="6B7535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favorable immune and clinical responses suggestive of BCG-induced regulatory T </w:t>
      </w:r>
    </w:p>
    <w:p w14:paraId="0BD110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 (Treg) induction. In LADA, multi-dose BCG decreases inflammation, thus </w:t>
      </w:r>
    </w:p>
    <w:p w14:paraId="58A7ED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halting pancreatic autoimmunity with insulin rescue and also halts inflammatory </w:t>
      </w:r>
    </w:p>
    <w:p w14:paraId="65BC5B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driven insulin resistance. BCG's consistent clinical benefits in autoimmune </w:t>
      </w:r>
    </w:p>
    <w:p w14:paraId="5DCD28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diabetes coincide with the gradual pace of upstream epigenetic reprogramming of </w:t>
      </w:r>
    </w:p>
    <w:p w14:paraId="24F4A9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genes involved in metabolic and T cell pathways without changing genotype. </w:t>
      </w:r>
    </w:p>
    <w:p w14:paraId="5C20AF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Understanding the mechanistic chain linking BCG-induced epigenetic changes to </w:t>
      </w:r>
    </w:p>
    <w:p w14:paraId="2565EE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efficacy may offer insights into the treatment and potential prevention </w:t>
      </w:r>
    </w:p>
    <w:p w14:paraId="348839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autoimmune diabetes.</w:t>
      </w:r>
    </w:p>
    <w:p w14:paraId="6E6631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C348A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10.3390/cells15171604</w:t>
      </w:r>
    </w:p>
    <w:p w14:paraId="19D269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PMC13565049</w:t>
      </w:r>
    </w:p>
    <w:p w14:paraId="2D56DE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42738899 [Indexed for MEDLINE]</w:t>
      </w:r>
    </w:p>
    <w:p w14:paraId="056F1C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D39C7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Int J Mol Sci. 2026 Sep 1;27(17):7827. doi: 10.3390/ijms27177827.</w:t>
      </w:r>
    </w:p>
    <w:p w14:paraId="107CB5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A9650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Targeting Latent Tuberculosis: Immunogenic Evaluation of a Mycobacterium </w:t>
      </w:r>
    </w:p>
    <w:p w14:paraId="23EB71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Dormancy Antigen as a Vaccine Candidate.</w:t>
      </w:r>
    </w:p>
    <w:p w14:paraId="4871C8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332D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Zuazo R(1), Bazán Bouyrie AJ(2), Vitti AD(1), Morelli MP(1), Martin C(1), Santos </w:t>
      </w:r>
    </w:p>
    <w:p w14:paraId="2D8D5C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J(2)(3), Musella R(4), Palmero DJ(4), Calamante G(5), Del Médico Zajac MP(5), </w:t>
      </w:r>
    </w:p>
    <w:p w14:paraId="262B40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Amiano NO(1)(6), García VE(1)(2).</w:t>
      </w:r>
    </w:p>
    <w:p w14:paraId="40F1DD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7E6A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670C5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(1)Instituto de Química Biológica, Facultad de Ciencias Exactas y Naturales </w:t>
      </w:r>
    </w:p>
    <w:p w14:paraId="7006F4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(IQUIBICEN), Universidad de Buenos Aires (UBA)-CONICET, Intendente Güiraldes </w:t>
      </w:r>
    </w:p>
    <w:p w14:paraId="166A7C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2160, Pabellón II, 4°piso, Ciudad Universitaria, Buenos Aires C1428EGA, </w:t>
      </w:r>
    </w:p>
    <w:p w14:paraId="6E244E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Argentina.</w:t>
      </w:r>
    </w:p>
    <w:p w14:paraId="632F7C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(2)Departamento de Química Biológica, Facultad de Ciencias Exactas y Naturales, </w:t>
      </w:r>
    </w:p>
    <w:p w14:paraId="6CB3A8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Universidad de Buenos Aires (UBA), Intendente Güiraldes 2160, Pabellón II, </w:t>
      </w:r>
    </w:p>
    <w:p w14:paraId="42E108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4°piso, Ciudad Universitaria, Buenos Aires C1428EGA, Argentina.</w:t>
      </w:r>
    </w:p>
    <w:p w14:paraId="2E22CC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(3)Instituto de Biociencias, Biotecnología y Biología Traslacional (IB3), </w:t>
      </w:r>
    </w:p>
    <w:p w14:paraId="24DF3E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Facultad de Ciencias Exactas y Naturales, Universidad de Buenos Aires (UBA), </w:t>
      </w:r>
    </w:p>
    <w:p w14:paraId="2831E0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Intendente Güiraldes 2160, Pabellón II, 2°piso, Ciudad Universitaria, Buenos </w:t>
      </w:r>
    </w:p>
    <w:p w14:paraId="49A578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Aires C1428EGA, Argentina.</w:t>
      </w:r>
    </w:p>
    <w:p w14:paraId="4E0BCC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(4)División de Tisioneumonología, Hospital F.J. Muñiz, Uspallata 2272, Buenos </w:t>
      </w:r>
    </w:p>
    <w:p w14:paraId="68C62B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Aires C1282AEN, Argentina.</w:t>
      </w:r>
    </w:p>
    <w:p w14:paraId="6C9D53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(5)Instituto de Agrobiotecnología y Biología Molecular (IABIMO), Instituto </w:t>
      </w:r>
    </w:p>
    <w:p w14:paraId="5AF47D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Nacional de Tecnología Agropecuaria (INTA), Hurlingham, Buenos Aires C1033AAE, </w:t>
      </w:r>
    </w:p>
    <w:p w14:paraId="6D9DCD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Argentina.</w:t>
      </w:r>
    </w:p>
    <w:p w14:paraId="7D1E19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(6)Departamento de Química Orgánica, Facultad de Ciencias Exactas y Naturales, </w:t>
      </w:r>
    </w:p>
    <w:p w14:paraId="071FB0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Universidad de Buenos Aires (UBA), Intendente Güiraldes 2160, Pabellón II, </w:t>
      </w:r>
    </w:p>
    <w:p w14:paraId="2450BA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3°piso, Ciudad Universitaria, Buenos Aires C1428EGA, Argentina.</w:t>
      </w:r>
    </w:p>
    <w:p w14:paraId="0708F5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6D72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 estimated 2.1 billion people are infected with Mycobacterium tuberculosis </w:t>
      </w:r>
    </w:p>
    <w:p w14:paraId="749763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(Mtb) and at risk of developing active tuberculosis (TB). Because Mtb exists in </w:t>
      </w:r>
    </w:p>
    <w:p w14:paraId="5B24C1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replicating and dormant states, effective vaccines should target antigens from </w:t>
      </w:r>
    </w:p>
    <w:p w14:paraId="6392D7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both stages. Here, we evaluated the immunogenicity and vaccine potential of Mtb </w:t>
      </w:r>
    </w:p>
    <w:p w14:paraId="03D886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dormancy antigen Rv2626c. Cellular and humoral immune responses were studied in </w:t>
      </w:r>
    </w:p>
    <w:p w14:paraId="650763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individuals with latent TB infection (LTBI), active TB, and healthy donors (HD) </w:t>
      </w:r>
    </w:p>
    <w:p w14:paraId="6BF92B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using flow cytometry and ELISA. Overlapping peptides spanning Rv2626c sequence </w:t>
      </w:r>
    </w:p>
    <w:p w14:paraId="450930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structural mapping were employed to characterize Rv2626c immunogenic </w:t>
      </w:r>
    </w:p>
    <w:p w14:paraId="305A61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regions. Additionally, the protective efficacy of a Modified Vaccinia Ankara </w:t>
      </w:r>
    </w:p>
    <w:p w14:paraId="276016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(MVA) vector expressing Rv2626c was evaluated in a murine challenge model. </w:t>
      </w:r>
    </w:p>
    <w:p w14:paraId="142501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Rv2626c induced cellular immunity selectively in LTBI, characterized by </w:t>
      </w:r>
    </w:p>
    <w:p w14:paraId="43ABC8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increased frequencies of CD4+IFN-γ+, SLAMF1+, and poly-functional T lymphocytes. </w:t>
      </w:r>
    </w:p>
    <w:p w14:paraId="76C2D5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Immunodominant peptide regions were identified across the protein sequence. </w:t>
      </w:r>
    </w:p>
    <w:p w14:paraId="74FA09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Moreover, mice immunized with MVA-Rv2626c showed a significant reduction in </w:t>
      </w:r>
    </w:p>
    <w:p w14:paraId="4F9072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splenic bacterial burden following a challenge with Mtb H37Rv. Altogether, our </w:t>
      </w:r>
    </w:p>
    <w:p w14:paraId="1A3048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indicate that the latency-associated antigen Rv2626c elicits immune </w:t>
      </w:r>
    </w:p>
    <w:p w14:paraId="3E4D2E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responses in LTBI subjects and limits bacterial dissemination in our mice model </w:t>
      </w:r>
    </w:p>
    <w:p w14:paraId="22C1C5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infection. Therefore, Rv2626c arises as a promising candidate to be combined </w:t>
      </w:r>
    </w:p>
    <w:p w14:paraId="5B1257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with active phase antigens in multistage vaccines against Mtb infection.</w:t>
      </w:r>
    </w:p>
    <w:p w14:paraId="02BEEF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D62F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10.3390/ijms27177827</w:t>
      </w:r>
    </w:p>
    <w:p w14:paraId="2A0880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PMC13565904</w:t>
      </w:r>
    </w:p>
    <w:p w14:paraId="62574A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42737724 [Indexed for MEDLINE]</w:t>
      </w:r>
    </w:p>
    <w:p w14:paraId="49467E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6AFE3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Int J Mol Sci. 2026 Aug 29;27(17):7757. doi: 10.3390/ijms27177757.</w:t>
      </w:r>
    </w:p>
    <w:p w14:paraId="7B79DF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1ECCA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Immune-Inflammatory Hub Genes Intersecting with a Ferroptosis-Associated Gene </w:t>
      </w:r>
    </w:p>
    <w:p w14:paraId="70A2EB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Set in Active Tuberculosis: A Multi-Dataset Bioinformatics Study.</w:t>
      </w:r>
    </w:p>
    <w:p w14:paraId="05CA4E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3611B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Elsayim R(1), Alqahtani MSM(2), Alaaullah MHI(3), Bin Suaydan RA(4), Abudouleh </w:t>
      </w:r>
    </w:p>
    <w:p w14:paraId="0D776B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E(1), Mohamed SHA(5), Almuraikhi N(6).</w:t>
      </w:r>
    </w:p>
    <w:p w14:paraId="5023C4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B4E95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F171A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Botany and Microbiology, College of Science, King Saud </w:t>
      </w:r>
    </w:p>
    <w:p w14:paraId="38842F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P.O. Box 2455, Riyadh 11451, Saudi Arabia.</w:t>
      </w:r>
    </w:p>
    <w:p w14:paraId="0D1CE3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(2)Biology Department, Faculty of Science, King Khalid University, Abha 61413, </w:t>
      </w:r>
    </w:p>
    <w:p w14:paraId="061DC3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Saudi Arabia.</w:t>
      </w:r>
    </w:p>
    <w:p w14:paraId="53C48E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(3)Disaster and Emergency Medicine, Brown University, Providence, RI 02912, USA.</w:t>
      </w:r>
    </w:p>
    <w:p w14:paraId="1B4852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Clinical Laboratory Science, College of Applied Medical </w:t>
      </w:r>
    </w:p>
    <w:p w14:paraId="199C19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Sciences, King Saud University, Riyadh 11451, Saudi Arabia.</w:t>
      </w:r>
    </w:p>
    <w:p w14:paraId="7DFBCA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Health Sciences, College of Applied Studies, King Saud </w:t>
      </w:r>
    </w:p>
    <w:p w14:paraId="27881D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Riyadh 11451, Saudi Arabia.</w:t>
      </w:r>
    </w:p>
    <w:p w14:paraId="010518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Anatomy, College of Medicine, King Saud University, Riyadh </w:t>
      </w:r>
    </w:p>
    <w:p w14:paraId="338C52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11451, Saudi Arabia.</w:t>
      </w:r>
    </w:p>
    <w:p w14:paraId="3CD7E1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AC2D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progression of tuberculosis (TB) from a latent infection to an active </w:t>
      </w:r>
    </w:p>
    <w:p w14:paraId="48F460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 involves intricate modifications in host immune, inflammatory, </w:t>
      </w:r>
    </w:p>
    <w:p w14:paraId="4E3460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oxidative, and metabolic pathways. Ferroptosis represents a distinct form of </w:t>
      </w:r>
    </w:p>
    <w:p w14:paraId="4A2605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regulated cell death that requires iron and is associated with excessive lipid </w:t>
      </w:r>
    </w:p>
    <w:p w14:paraId="381408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peroxidation and has been associated with tissue damage in TB; however, its </w:t>
      </w:r>
    </w:p>
    <w:p w14:paraId="0252F8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connection with host transcriptional changes during active TB is not fully </w:t>
      </w:r>
    </w:p>
    <w:p w14:paraId="743F30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understood. This study sought to identify and externally validate </w:t>
      </w:r>
    </w:p>
    <w:p w14:paraId="1BF767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immune-inflammatory hub genes among differentially expressed genes (DEGs) in </w:t>
      </w:r>
    </w:p>
    <w:p w14:paraId="347241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active TB that overlap with a ferroptosis-associated gene set derived from </w:t>
      </w:r>
    </w:p>
    <w:p w14:paraId="08B092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FerrDb, employing an integrated transcriptomic and systems-biology methodology. </w:t>
      </w:r>
    </w:p>
    <w:p w14:paraId="05AC1D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Differential expression analysis of GSE37250 revealed 1015 DEGs in active TB </w:t>
      </w:r>
    </w:p>
    <w:p w14:paraId="313644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compared to latent TB, comprising 585 upregulated and 430 downregulated genes, </w:t>
      </w:r>
    </w:p>
    <w:p w14:paraId="685A13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93 DEGs in active TB compared to healthy controls, including 65 upregulated </w:t>
      </w:r>
    </w:p>
    <w:p w14:paraId="68AB50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28 downregulated genes. Intersection analysis identified 94 DEGs common to </w:t>
      </w:r>
    </w:p>
    <w:p w14:paraId="67BC87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active TB versus latent TB comparison and the ferroptosis-associated gene </w:t>
      </w:r>
    </w:p>
    <w:p w14:paraId="05D6AA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set, and eight DEGs common to the active tuberculosis versus healthy-control </w:t>
      </w:r>
    </w:p>
    <w:p w14:paraId="731934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comparison and the same gene set, with no genes shared across all three sets. </w:t>
      </w:r>
    </w:p>
    <w:p w14:paraId="25DEF7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Functional enrichment of the 94 intersection genes underscored immune response, </w:t>
      </w:r>
    </w:p>
    <w:p w14:paraId="185534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defense response, stress response, Toll-like receptor signaling, NOD-like </w:t>
      </w:r>
    </w:p>
    <w:p w14:paraId="77F8F7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receptor signaling, IL-17 signaling, TNF signaling, glutathione metabolism, </w:t>
      </w:r>
    </w:p>
    <w:p w14:paraId="5725D6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neutrophil degranulation, cytokine signaling, and antimicrobial metal </w:t>
      </w:r>
    </w:p>
    <w:p w14:paraId="2265C7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sequestration. Protein-protein interaction analysis followed by cytoHubba </w:t>
      </w:r>
    </w:p>
    <w:p w14:paraId="5BE5CA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prioritization identified 10 hub genes: IL1B, TLR4, CXCL10, MMP9, CYBB, MPO, </w:t>
      </w:r>
    </w:p>
    <w:p w14:paraId="5048F5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CD36, LCN2, S100A8, and LTF. Subsequent to outcome-independent probe selection, </w:t>
      </w:r>
    </w:p>
    <w:p w14:paraId="41F021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external validation in GSE28623 demonstrated significant positive differential </w:t>
      </w:r>
    </w:p>
    <w:p w14:paraId="36AFFB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expression of LCN2, S100A8, and LTF, while GSE62525 showed significant positive </w:t>
      </w:r>
    </w:p>
    <w:p w14:paraId="66961E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differential expression of IL1B, TLR4, MMP9, MPO, LCN2, and LTF. LCN2 and LTF </w:t>
      </w:r>
    </w:p>
    <w:p w14:paraId="57A76A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significantly upregulated in both validation datasets, indicating the </w:t>
      </w:r>
    </w:p>
    <w:p w14:paraId="273D6D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strongest cross-dataset reproducibility. These results identify an </w:t>
      </w:r>
    </w:p>
    <w:p w14:paraId="3C5CC9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immune-inflammatory transcriptional network intersecting with </w:t>
      </w:r>
    </w:p>
    <w:p w14:paraId="30007F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ferroptosis-associated genes in active TB. Notably, the transcriptomic findings </w:t>
      </w:r>
    </w:p>
    <w:p w14:paraId="1973C3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do not confirm ferroptotic cell death but suggest candidate genes and biological </w:t>
      </w:r>
    </w:p>
    <w:p w14:paraId="35E146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processes for future experimental exploration.</w:t>
      </w:r>
    </w:p>
    <w:p w14:paraId="7E2890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EF9D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10.3390/ijms27177757</w:t>
      </w:r>
    </w:p>
    <w:p w14:paraId="210C58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PMC13565939</w:t>
      </w:r>
    </w:p>
    <w:p w14:paraId="76D77E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42737653 [Indexed for MEDLINE]</w:t>
      </w:r>
    </w:p>
    <w:p w14:paraId="3B2F39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EB415E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Int J Mol Sci. 2026 Aug 26;27(17):7657. doi: 10.3390/ijms27177657.</w:t>
      </w:r>
    </w:p>
    <w:p w14:paraId="3CFC9B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BE5E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 of Sodium C-Tetra(propyl)resorcin[4]tetrasulfonate (Na(4)PRA) on </w:t>
      </w:r>
    </w:p>
    <w:p w14:paraId="56E19E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Antituberculosis Drugs as Seen by Diffusometry and NMR Spectroscopy.</w:t>
      </w:r>
    </w:p>
    <w:p w14:paraId="518200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5FA4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Sanabria E(1), Ribeiro ACF(2), Cabral AMTDPV(3), Maldonado M(4).</w:t>
      </w:r>
    </w:p>
    <w:p w14:paraId="032537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B975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DF982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(1)Grupo GICRIM, Programa de Investigación Criminal, Universidad Manuela </w:t>
      </w:r>
    </w:p>
    <w:p w14:paraId="65C485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Beltrán, Avenida Circunvalar No. 60-00, Bogotá 111321, Colombia.</w:t>
      </w:r>
    </w:p>
    <w:p w14:paraId="001326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(2)CQC-IMS, Department of Chemistry, University of Coimbra, 3004-535 Coimbra, </w:t>
      </w:r>
    </w:p>
    <w:p w14:paraId="0DC8A3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Portugal.</w:t>
      </w:r>
    </w:p>
    <w:p w14:paraId="03E816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(3)Faculty of Pharmacy, University of Coimbra, 3000-548 Coimbra, Portugal.</w:t>
      </w:r>
    </w:p>
    <w:p w14:paraId="3CC985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(4)Departamento de Química, Facultad de Ciencias, Universidad Nacional de </w:t>
      </w:r>
    </w:p>
    <w:p w14:paraId="5919A0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Colombia, Sede Bogota, Carrera 30 No. 45-03, Bogotá 111311, Colombia.</w:t>
      </w:r>
    </w:p>
    <w:p w14:paraId="30DD25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51B1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present study investigates the physicochemical behavior of the first-line </w:t>
      </w:r>
    </w:p>
    <w:p w14:paraId="559A5A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anti-tuberculosis drugs isoniazid (INH) and ethambutol, in the form of </w:t>
      </w:r>
    </w:p>
    <w:p w14:paraId="096EB9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dihydrochloride (E·(HCl)2), in aqueous solutions containing the synthetic </w:t>
      </w:r>
    </w:p>
    <w:p w14:paraId="679947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macrocyclic resorcinarene, C-tetra(propyl)resorcin[4]tetrasulfonate (Na4PRA) at </w:t>
      </w:r>
    </w:p>
    <w:p w14:paraId="5EE109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298.15 K. Taylor dispersion experiments were conducted to determine the ternary </w:t>
      </w:r>
    </w:p>
    <w:p w14:paraId="30A9E2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diffusion coefficients of these systems, offering valuable insights into their </w:t>
      </w:r>
    </w:p>
    <w:p w14:paraId="748B27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transport properties. Non-zero cross-diffusion coefficients (D12 and D21) </w:t>
      </w:r>
    </w:p>
    <w:p w14:paraId="69CF5F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demonstrate significant coupled transport, collectively indicating interactions </w:t>
      </w:r>
    </w:p>
    <w:p w14:paraId="74031B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between these antibiotics and the resorcinarene host. This behavior is highly </w:t>
      </w:r>
    </w:p>
    <w:p w14:paraId="77F05A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consistent with the formation of a host-guest complex. These diffusion </w:t>
      </w:r>
    </w:p>
    <w:p w14:paraId="051DD3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measurements were complemented by NMR spectroscopy, which confirmed the </w:t>
      </w:r>
    </w:p>
    <w:p w14:paraId="0F82C9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formation of host-guest complexes between the respective drugs and this </w:t>
      </w:r>
    </w:p>
    <w:p w14:paraId="1B2A02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resorcinarene, Na4PRA.</w:t>
      </w:r>
    </w:p>
    <w:p w14:paraId="26F2A6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5BCA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10.3390/ijms27177657</w:t>
      </w:r>
    </w:p>
    <w:p w14:paraId="2DDCCA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PMC13566610</w:t>
      </w:r>
    </w:p>
    <w:p w14:paraId="3E8F8A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42737555 [Indexed for MEDLINE]</w:t>
      </w:r>
    </w:p>
    <w:p w14:paraId="7A0687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184B9A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Int J Mol Sci. 2026 Aug 24;27(17):7551. doi: 10.3390/ijms27177551.</w:t>
      </w:r>
    </w:p>
    <w:p w14:paraId="61408D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6C25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Exploring Novel Indazole and Pyrazole Nucleoside Analogues: Enzymatic Synthesis, </w:t>
      </w:r>
    </w:p>
    <w:p w14:paraId="074819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Characterization, and Biological Evaluation.</w:t>
      </w:r>
    </w:p>
    <w:p w14:paraId="11B2D1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126C4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Mironov AF(1)(2), Eletskaya BZ(1), Antonov KV(1), Paramonov AS(1), Esipov RS(1), </w:t>
      </w:r>
    </w:p>
    <w:p w14:paraId="4EF553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Konstantinova ID(1), Andreevskaya SN(3), Smirnova TG(3), Karpenko IL(4), </w:t>
      </w:r>
    </w:p>
    <w:p w14:paraId="6F12A6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Sokhraneva VA(4), Zhivotova IS(4), Kochetkov SN(4), Khandazhinskaya AL(4), </w:t>
      </w:r>
    </w:p>
    <w:p w14:paraId="5B012C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Matyugina ES(4).</w:t>
      </w:r>
    </w:p>
    <w:p w14:paraId="05B736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AB99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9236A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(1)Shemyakin-Ovchinnikov Institute of Bioorganic Chemistry, Russian Academy of </w:t>
      </w:r>
    </w:p>
    <w:p w14:paraId="5D3F30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Sciences, Miklukho-Maklaya St. 16/10, 117997 Moscow, Russia.</w:t>
      </w:r>
    </w:p>
    <w:p w14:paraId="505EC6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(2)Institute of Pharmacy and Biotechnology, Peoples' Friendship University of </w:t>
      </w:r>
    </w:p>
    <w:p w14:paraId="4C80A0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Russia Named after Patrice Lumumba, Miklukho-Maklaya St. 6, 117198 Moscow, </w:t>
      </w:r>
    </w:p>
    <w:p w14:paraId="2B9604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Russia.</w:t>
      </w:r>
    </w:p>
    <w:p w14:paraId="7C66B4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(3)Microbiology Department, Central Tuberculosis Research Institute, 2 Yauzskaya </w:t>
      </w:r>
    </w:p>
    <w:p w14:paraId="0A4A68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Alley, 107564 Moscow, Russia.</w:t>
      </w:r>
    </w:p>
    <w:p w14:paraId="546C02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(4)Engelhardt Institute of Molecular Biology, Russian Academy of Sciences, </w:t>
      </w:r>
    </w:p>
    <w:p w14:paraId="74B02E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Vavilov St. 32, 119991 Moscow, Russia.</w:t>
      </w:r>
    </w:p>
    <w:p w14:paraId="34EA3F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12D1A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New indazole and pyrazole nucleoside analogues were synthesized by enzymatic </w:t>
      </w:r>
    </w:p>
    <w:p w14:paraId="5A66A4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transglycosylation using E. coli purine nucleoside phosphorylase (PNP). </w:t>
      </w:r>
    </w:p>
    <w:p w14:paraId="10BEF7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Indazoles substituted at position 5 or 6 with bromine, pyrazole or pyrimidine </w:t>
      </w:r>
    </w:p>
    <w:p w14:paraId="59BD97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fragments were used as heterocyclic bases. In the case of indazole-pyrazole </w:t>
      </w:r>
    </w:p>
    <w:p w14:paraId="0089A6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hybrids, the selectivity of PNP in glycosylation of the pyrazole fragment, </w:t>
      </w:r>
    </w:p>
    <w:p w14:paraId="3BCAAB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rather than the indazole one, was established. Molecular modeling methods </w:t>
      </w:r>
    </w:p>
    <w:p w14:paraId="38B3D6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allowed the identification of the preferred orientations of substrates in the </w:t>
      </w:r>
    </w:p>
    <w:p w14:paraId="46E5F3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active site of the enzyme, leading to the formation of N1- and N2-regioisomers </w:t>
      </w:r>
    </w:p>
    <w:p w14:paraId="1DAF36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indazole. Unique substrate specificity ensured the possibility of </w:t>
      </w:r>
    </w:p>
    <w:p w14:paraId="21310F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glycosylation of the bases with conversion rates of 65-100% (according to HPLC </w:t>
      </w:r>
    </w:p>
    <w:p w14:paraId="08956C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analysis of the reaction mixtures) and isolated yields of 19-94%. It was shown </w:t>
      </w:r>
    </w:p>
    <w:p w14:paraId="24A068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the synthesized nucleoside analogues are not inhibitors of E. coli </w:t>
      </w:r>
    </w:p>
    <w:p w14:paraId="6CB0D4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adenosine deaminase (ADA). They do not exhibit cytotoxicity towards cancer cell </w:t>
      </w:r>
    </w:p>
    <w:p w14:paraId="5F7220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lines (SH-SY5Y neuroblastoma cell lines, K-562 lymphoblastic cells, and HL-60 </w:t>
      </w:r>
    </w:p>
    <w:p w14:paraId="1E1A71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promyeloblastic cells). The activity of indazole derivatives against </w:t>
      </w:r>
    </w:p>
    <w:p w14:paraId="292779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(strain H37Rv) was determined by the microdilution </w:t>
      </w:r>
    </w:p>
    <w:p w14:paraId="67C73D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method. 1-(β-D-2'deoxyribofuranosyl)-5-bromo-indazole and </w:t>
      </w:r>
    </w:p>
    <w:p w14:paraId="23E516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5-(pyrimidin-5-yl)-1H-indazole at a concentration of 50 μg/mL were able to </w:t>
      </w:r>
    </w:p>
    <w:p w14:paraId="2B6EEA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inhibit 50% and 90% of the culture growth, correspondingly.</w:t>
      </w:r>
    </w:p>
    <w:p w14:paraId="555BF9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9A08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10.3390/ijms27177551</w:t>
      </w:r>
    </w:p>
    <w:p w14:paraId="2A44BB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PMC13566874</w:t>
      </w:r>
    </w:p>
    <w:p w14:paraId="2A6720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42737455 [Indexed for MEDLINE]</w:t>
      </w:r>
    </w:p>
    <w:p w14:paraId="71CBB8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3B722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Polymers (Basel). 2026 Sep 2;18(17):2139. doi: 10.3390/polym18172139.</w:t>
      </w:r>
    </w:p>
    <w:p w14:paraId="5824AA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A479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Chitosan-Gellan Gum Nanoparticles for Antituberculosis Drug Encapsulation: </w:t>
      </w:r>
    </w:p>
    <w:p w14:paraId="0E778D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Synthesis, Characterization and In Vitro Investigation.</w:t>
      </w:r>
    </w:p>
    <w:p w14:paraId="737FE5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B8FC6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Tazhbayev Y(1), Cheung SY(1), Galiyeva A(1), Slouf M(2), Kostka L(2), </w:t>
      </w:r>
    </w:p>
    <w:p w14:paraId="7999BA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Zhumagaliyeva T(1), Zhaparova L(1), Daribay A(1), Kaziyev A(3).</w:t>
      </w:r>
    </w:p>
    <w:p w14:paraId="5910C1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2486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22B7B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(1)Institute of Chemical Issues, Buketov Karaganda National Research University, </w:t>
      </w:r>
    </w:p>
    <w:p w14:paraId="5D3F59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Karaganda 100028, Kazakhstan.</w:t>
      </w:r>
    </w:p>
    <w:p w14:paraId="5CCFAE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(2)Institute of Macromolecular Chemistry, Czech Academy of Sciences, 162 00 </w:t>
      </w:r>
    </w:p>
    <w:p w14:paraId="3DFE05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Prague, Czech Republic.</w:t>
      </w:r>
    </w:p>
    <w:p w14:paraId="5219D6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(3)National Scientific Centre of Phthisiopulmonology, Almaty 050010, Kazakhstan.</w:t>
      </w:r>
    </w:p>
    <w:p w14:paraId="1C3989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F420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delivery of anti-tuberculosis drugs has emerged as a promising </w:t>
      </w:r>
    </w:p>
    <w:p w14:paraId="2475F9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alternative for increasing local drug concentrations whilst minimising side </w:t>
      </w:r>
    </w:p>
    <w:p w14:paraId="1FB596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effects. Natural polymers-polysaccharides capable of forming polyelectrolyte </w:t>
      </w:r>
    </w:p>
    <w:p w14:paraId="6FCCCF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complexes (PECs) through electrostatic interactions-show great promise in this </w:t>
      </w:r>
    </w:p>
    <w:p w14:paraId="4DA19D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field. In this study, mucoadhesive chitosan-gellan gum nanoparticles were </w:t>
      </w:r>
    </w:p>
    <w:p w14:paraId="4F75B1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developed for the controlled release of isoniazid using the polyelectrolyte </w:t>
      </w:r>
    </w:p>
    <w:p w14:paraId="13DAD0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complex coacervation method. Parameters such as the chitosan-to-gellan gum ratio </w:t>
      </w:r>
    </w:p>
    <w:p w14:paraId="1A4104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the medium pH were investigated to achieve suitable particle size, </w:t>
      </w:r>
    </w:p>
    <w:p w14:paraId="31C925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polydispersity, surface charge, drug loading and encapsulation efficiency. The </w:t>
      </w:r>
    </w:p>
    <w:p w14:paraId="5DEB4E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morphology of the produced nanoparticles was determined using transmission </w:t>
      </w:r>
    </w:p>
    <w:p w14:paraId="41291A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electron microscopy (TEM) and nanoparticle tracking analysis (NTA), which </w:t>
      </w:r>
    </w:p>
    <w:p w14:paraId="3F184E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confirmed the formation of nanoscale spherical particles. The mucoadhesive </w:t>
      </w:r>
    </w:p>
    <w:p w14:paraId="55228A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properties were tested on ovine lung tissue using fluorescence retention </w:t>
      </w:r>
    </w:p>
    <w:p w14:paraId="32E9AC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analysis, whilst in vitro drug release was studied under physiological </w:t>
      </w:r>
    </w:p>
    <w:p w14:paraId="348AC5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conditions. Antimycobacterial activity against Mycobacterium tuberculosis H37Rv </w:t>
      </w:r>
    </w:p>
    <w:p w14:paraId="1AE746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assessed using the Mycobacteria Growth Indicator Tube (MGIT) system, </w:t>
      </w:r>
    </w:p>
    <w:p w14:paraId="56AE06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followed by subculturing on Löwenstein-Jensen medium. The produced nanoparticles </w:t>
      </w:r>
    </w:p>
    <w:p w14:paraId="3F3211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exhibited high mucoadhesion, maintaining prolonged retention on lung tissue. </w:t>
      </w:r>
    </w:p>
    <w:p w14:paraId="1399BE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 release showed an initial burst followed by sustained release over 24 h. </w:t>
      </w:r>
    </w:p>
    <w:p w14:paraId="185488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These results demonstrate that CSGG-INH nanoparticles possess sustained drug </w:t>
      </w:r>
    </w:p>
    <w:p w14:paraId="35978A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release, good mucoadhesion to the lungs and high antimycobacterial activity, </w:t>
      </w:r>
    </w:p>
    <w:p w14:paraId="1FB71C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supporting their further development as potential carriers for pulmonary </w:t>
      </w:r>
    </w:p>
    <w:p w14:paraId="752115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delivery of anti-tuberculosis drugs.</w:t>
      </w:r>
    </w:p>
    <w:p w14:paraId="77EA3D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4B6F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10.3390/polym18172139</w:t>
      </w:r>
    </w:p>
    <w:p w14:paraId="4CD61B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PMC13568138</w:t>
      </w:r>
    </w:p>
    <w:p w14:paraId="733E54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42737148</w:t>
      </w:r>
    </w:p>
    <w:p w14:paraId="03D0D8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6D9F0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110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Int J Med Microbiol. 2026 Sep 10;323:151733. doi: 10.1016/j.ijmm.2026.151733. </w:t>
      </w:r>
    </w:p>
    <w:p w14:paraId="347DF66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Online ahead of print.</w:t>
      </w:r>
    </w:p>
    <w:p w14:paraId="739896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634E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Amplicon-based nanopore sequencing for Mycobacterium spp. identification in </w:t>
      </w:r>
    </w:p>
    <w:p w14:paraId="4C8B72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clinical isolates and sputum.</w:t>
      </w:r>
    </w:p>
    <w:p w14:paraId="008CB3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C5DA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Sunantawanit S(1), Chanchaem P(1), Klomkliew P(1), Visedthorn S(1), Compiro </w:t>
      </w:r>
    </w:p>
    <w:p w14:paraId="5F5C26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P(1), Terbtothakun P(1), Rotcheewaphan S(2), Payungporn S(1), Kaewsapsak P(3).</w:t>
      </w:r>
    </w:p>
    <w:p w14:paraId="2B31A6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9385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C4F89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Biochemistry, Faculty of Medicine, Chulalongkorn University, </w:t>
      </w:r>
    </w:p>
    <w:p w14:paraId="7B1F58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Thailand; Center of Excellence in Systems Microbiology, Faculty of Medicine, </w:t>
      </w:r>
    </w:p>
    <w:p w14:paraId="57DB93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Chulalongkorn University, Bangkok, Thailand.</w:t>
      </w:r>
    </w:p>
    <w:p w14:paraId="602429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(2)Center of Excellence in Systems Microbiology, Faculty of Medicine, </w:t>
      </w:r>
    </w:p>
    <w:p w14:paraId="612B70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Chulalongkorn University, Bangkok, Thailand; Department of Microbiology, Faculty </w:t>
      </w:r>
    </w:p>
    <w:p w14:paraId="21845C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Medicine, Chulalongkorn University, Bangkok, Thailand.</w:t>
      </w:r>
    </w:p>
    <w:p w14:paraId="2F1FAA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Biochemistry, Faculty of Medicine, Chulalongkorn University, </w:t>
      </w:r>
    </w:p>
    <w:p w14:paraId="01A37A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Thailand; Center of Excellence in Systems Microbiology, Faculty of Medicine, </w:t>
      </w:r>
    </w:p>
    <w:p w14:paraId="55575D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Chulalongkorn University, Bangkok, Thailand. Electronic address: </w:t>
      </w:r>
    </w:p>
    <w:p w14:paraId="31DEC9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pkaewsap@gmail.com.</w:t>
      </w:r>
    </w:p>
    <w:p w14:paraId="5556F9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D6D3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study developed a mycobacterial amplicon-based nanopore </w:t>
      </w:r>
    </w:p>
    <w:p w14:paraId="6C311C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sequencing (Myco-ANS) assay for differentiating eight Mycobacterium spp. and </w:t>
      </w:r>
    </w:p>
    <w:p w14:paraId="4B6281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evaluated its diagnostic accuracy in clinical isolates and sputum samples.</w:t>
      </w:r>
    </w:p>
    <w:p w14:paraId="18BEDC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PCR primers targeting the rpoB gene were optimized for sequencing with </w:t>
      </w:r>
    </w:p>
    <w:p w14:paraId="5EC299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Oxford Nanopore Technology. Eight American Type Culture Collection (ATCC) </w:t>
      </w:r>
    </w:p>
    <w:p w14:paraId="79CEEB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reference strains were used for assay development. Clinical isolates and sputum </w:t>
      </w:r>
    </w:p>
    <w:p w14:paraId="171F62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samples were obtained from King Chulalongkorn Memorial Hospital. Results were </w:t>
      </w:r>
    </w:p>
    <w:p w14:paraId="21D7BC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compared with those from the line probe assay (LPA).</w:t>
      </w:r>
    </w:p>
    <w:p w14:paraId="7D7CF9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total of 125 clinical isolates and 46 sputum samples were analyzed. </w:t>
      </w:r>
    </w:p>
    <w:p w14:paraId="3A7532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Myco-ANS correctly identified eight species: M. tuberculosis, M. bovis BCG, M. </w:t>
      </w:r>
    </w:p>
    <w:p w14:paraId="6056A1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abscessus, M. avium, M. fortuitum group, M. kansasii, M. gordonae, and M. </w:t>
      </w:r>
    </w:p>
    <w:p w14:paraId="01A77A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intracellulare. For isolates, sensitivity ranged from 89.5 to 100.0%, </w:t>
      </w:r>
    </w:p>
    <w:p w14:paraId="42BDF3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specificity from 99.2 to 100.0%, and diagnostic accuracy from 98.4 to 100.0%. In </w:t>
      </w:r>
    </w:p>
    <w:p w14:paraId="06E3B4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sputum, species-level identification showed substantial agreement with LPA </w:t>
      </w:r>
    </w:p>
    <w:p w14:paraId="6570EE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(kappa = 0.70).</w:t>
      </w:r>
    </w:p>
    <w:p w14:paraId="70F6FC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Myco-ANS provides rapid, accurate identification of clinically </w:t>
      </w:r>
    </w:p>
    <w:p w14:paraId="005BDF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relevant mycobacteria from both isolates and sputum. With results available </w:t>
      </w:r>
    </w:p>
    <w:p w14:paraId="30B430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within three days, this assay shortens turnaround time compared to conventional </w:t>
      </w:r>
    </w:p>
    <w:p w14:paraId="698530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methods, supporting faster treatment decisions and reducing transmission risk.</w:t>
      </w:r>
    </w:p>
    <w:p w14:paraId="019D39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E7EE7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The Authors. Published by Elsevier GmbH.. All rights reserved.</w:t>
      </w:r>
    </w:p>
    <w:p w14:paraId="792358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C82AB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10.1016/j.ijmm.2026.151733</w:t>
      </w:r>
    </w:p>
    <w:p w14:paraId="5916B6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42735554</w:t>
      </w:r>
    </w:p>
    <w:p w14:paraId="2FA0F0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AE21B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111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Clin Lab. 2026 Sep 1;72(9):1919-1924. doi: 10.7754/Clin.Lab.2025.250937.</w:t>
      </w:r>
    </w:p>
    <w:p w14:paraId="3F725F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C988E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Performance of a Fluorescence Immunoassay-Based Interferon-Gamma Release Assay </w:t>
      </w:r>
    </w:p>
    <w:p w14:paraId="677414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for Latent Tuberculosis Infection.</w:t>
      </w:r>
    </w:p>
    <w:p w14:paraId="306A42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32ED6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Yoon E, Lee JJ, Ryu H, Verma AK, Ranjan A, Kumar L, Kumar R, Kumar G, Dey A, Kim </w:t>
      </w:r>
    </w:p>
    <w:p w14:paraId="087FB6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TY, Nam M.</w:t>
      </w:r>
    </w:p>
    <w:p w14:paraId="57F53A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DDBC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Latent tuberculosis infection (LTBI) diagnosis is crucial for </w:t>
      </w:r>
    </w:p>
    <w:p w14:paraId="7A8E06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controlling tuberculosis (TB). Interferon-gamma release assay (IGRA) diagnoses </w:t>
      </w:r>
    </w:p>
    <w:p w14:paraId="40B44B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LTBI by measuring interferon-gamma produced by TB antigen-stimulated T-cells. In </w:t>
      </w:r>
    </w:p>
    <w:p w14:paraId="175320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study, we evaluated the clinical performance of AFIAS IGRA-TB (Boditech </w:t>
      </w:r>
    </w:p>
    <w:p w14:paraId="5BDA1B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Med, Inc.).</w:t>
      </w:r>
    </w:p>
    <w:p w14:paraId="5F065E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total of 200 subjects, including those without known risk factors for </w:t>
      </w:r>
    </w:p>
    <w:p w14:paraId="6990D7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infection, those with known TB contact, and those with active TB, were </w:t>
      </w:r>
    </w:p>
    <w:p w14:paraId="016670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analyzed using both AFIAS IGRA-TB and QuantiFERON-TB Gold In-Tube (QFT-GIT; </w:t>
      </w:r>
    </w:p>
    <w:p w14:paraId="25A530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Qiagen) according to the manufacturers' instructions.</w:t>
      </w:r>
    </w:p>
    <w:p w14:paraId="587921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positive, negative, and overall percent agreements between AFIAS </w:t>
      </w:r>
    </w:p>
    <w:p w14:paraId="7F1E23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IGRA-TB and QFT-GIT were 88.2% (95% confidence interval [CI]: 76.6 - 94.5%), </w:t>
      </w:r>
    </w:p>
    <w:p w14:paraId="4FA746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95.4% (95% CI: 90.4 - 97.9%), and 93.4% (95% CI: 88.8 - 96.2%), respectively. </w:t>
      </w:r>
    </w:p>
    <w:p w14:paraId="18D45E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Cohen's kappa coefficient was 0.84, indicating excellent agreement.</w:t>
      </w:r>
    </w:p>
    <w:p w14:paraId="258BE2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AFIAS IGRA-TB demonstrated equivalent clinical performance to </w:t>
      </w:r>
    </w:p>
    <w:p w14:paraId="7807DD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QFT-GIT. Given its ease of use, minimal reliance on trained personnel or complex </w:t>
      </w:r>
    </w:p>
    <w:p w14:paraId="2E355C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equipment, and rapid turnaround time, AFIAS IGRA-TB has the potential to serve </w:t>
      </w:r>
    </w:p>
    <w:p w14:paraId="13EB34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 an alternative test for diagnosing LTBI and active TB in resource-limited </w:t>
      </w:r>
    </w:p>
    <w:p w14:paraId="292A41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settings.</w:t>
      </w:r>
    </w:p>
    <w:p w14:paraId="6F78D6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46E79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10.7754/Clin.Lab.2025.250937</w:t>
      </w:r>
    </w:p>
    <w:p w14:paraId="02D18D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42733985 [Indexed for MEDLINE]</w:t>
      </w:r>
    </w:p>
    <w:p w14:paraId="1E7B8B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8BA7C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112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J Clin Tuberc Other Mycobact Dis. 2026 Aug 27;45:100642. doi: </w:t>
      </w:r>
    </w:p>
    <w:p w14:paraId="104A480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10.1016/j.jctube.2026.100642. eCollection 2026 Dec.</w:t>
      </w:r>
    </w:p>
    <w:p w14:paraId="536342E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</w:p>
    <w:p w14:paraId="46B64A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retrospective survey of patient experiences during hospital-based isolation </w:t>
      </w:r>
    </w:p>
    <w:p w14:paraId="100CB1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for tuberculosis in new York City.</w:t>
      </w:r>
    </w:p>
    <w:p w14:paraId="6A6DFE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01F3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Salerno MM(1), Squire EF(2)(3), Khilall A(1), Rahman M(2), Maru S(2), Moreira </w:t>
      </w:r>
    </w:p>
    <w:p w14:paraId="77FE38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P(1), Quinn C(4)(5), Mangan JM(6), Burzynski J(2).</w:t>
      </w:r>
    </w:p>
    <w:p w14:paraId="2952D1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016F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5E789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(1)Global Tuberculosis Institute, New Jersey Medical School, Rutgers University, </w:t>
      </w:r>
    </w:p>
    <w:p w14:paraId="60CF1B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Newark, NJ, USA.</w:t>
      </w:r>
    </w:p>
    <w:p w14:paraId="709A54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(2)Bureau of Tuberculosis Control, New York City Department of Health and Mental </w:t>
      </w:r>
    </w:p>
    <w:p w14:paraId="3C513D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Hygiene, Queens, NY, USA.</w:t>
      </w:r>
    </w:p>
    <w:p w14:paraId="2C35A3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(3)Public Health Associate Program, National Center for State, Tribal, Local, </w:t>
      </w:r>
    </w:p>
    <w:p w14:paraId="233B0A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Territorial Public Health Infrastructure and Workforce, Centers for Disease </w:t>
      </w:r>
    </w:p>
    <w:p w14:paraId="3CD63E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Control and Prevention, Atlanta, GA, USA.</w:t>
      </w:r>
    </w:p>
    <w:p w14:paraId="46A20D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(4)Division of Disease Control, New York City Department of Health and Mental </w:t>
      </w:r>
    </w:p>
    <w:p w14:paraId="73B59E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Hygiene, Queens, NY, USA.</w:t>
      </w:r>
    </w:p>
    <w:p w14:paraId="790542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(5)Division of State and Local Readiness, Centers for Disease Control and </w:t>
      </w:r>
    </w:p>
    <w:p w14:paraId="154989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Prevention, Atlanta, GA, USA.</w:t>
      </w:r>
    </w:p>
    <w:p w14:paraId="0DEDD9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(6)Division of Tuberculosis Elimination, Centers for Disease Control and </w:t>
      </w:r>
    </w:p>
    <w:p w14:paraId="23E3E5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Prevention, Atlanta, GA, USA.</w:t>
      </w:r>
    </w:p>
    <w:p w14:paraId="6471CF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22DA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To prevent tuberculosis (TB) transmission, individuals with presumed </w:t>
      </w:r>
    </w:p>
    <w:p w14:paraId="714AD9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 confirmed respiratory TB are isolated until they are no longer considered </w:t>
      </w:r>
    </w:p>
    <w:p w14:paraId="610ECA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infectious. Minimal research exists on the impact of prolonged isolation on </w:t>
      </w:r>
    </w:p>
    <w:p w14:paraId="3AA27F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persons with TB (PWTB). We surveyed PWTB following hospital discharge when </w:t>
      </w:r>
    </w:p>
    <w:p w14:paraId="03905F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hospital-based isolation (HBI) occurred.</w:t>
      </w:r>
    </w:p>
    <w:p w14:paraId="68EB67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DESIGN: From September 2023 to June 2024, adult PWTB who had experienced HBI </w:t>
      </w:r>
    </w:p>
    <w:p w14:paraId="1AD96D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invited to participate in a survey at a New York City Health Department </w:t>
      </w:r>
    </w:p>
    <w:p w14:paraId="158FC6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Chest-clinic. The survey was administered by project coordinators or </w:t>
      </w:r>
    </w:p>
    <w:p w14:paraId="73E36C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self-administered by patients. Survey questions were adapted from validated </w:t>
      </w:r>
    </w:p>
    <w:p w14:paraId="6788D7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instruments, and assessed mental adjustments to TB, access to tangible support, </w:t>
      </w:r>
    </w:p>
    <w:p w14:paraId="27CB39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incurred economic costs during HBI.</w:t>
      </w:r>
    </w:p>
    <w:p w14:paraId="547FD5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Fifty PWTB completed the survey. Participants were in HBI for a median </w:t>
      </w:r>
    </w:p>
    <w:p w14:paraId="011545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23 [IQR: 13-38] days. Survey items assessing cognitive adjustment indicate </w:t>
      </w:r>
    </w:p>
    <w:p w14:paraId="4FDE0A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fighting spirit was the most reported (91% average, range 80%-96%) cognitive </w:t>
      </w:r>
    </w:p>
    <w:p w14:paraId="3147AD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strategy used. However, patients also reported feeling hopeless and helpless </w:t>
      </w:r>
    </w:p>
    <w:p w14:paraId="5F2595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(28% average, range 20%-44%) and using cognitive avoidance strategies (69% </w:t>
      </w:r>
    </w:p>
    <w:p w14:paraId="248E7B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average, range 62%-82%) while in HBI. Sixty-two percent of participants reported </w:t>
      </w:r>
    </w:p>
    <w:p w14:paraId="487F91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lacking at least one form of tangible support (e.g., inability to easily find </w:t>
      </w:r>
    </w:p>
    <w:p w14:paraId="32B9F6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someone to stay with during an emergency). Thirty-seven (74%) participants </w:t>
      </w:r>
    </w:p>
    <w:p w14:paraId="659022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reported a loss of employment income and thirty-nine (78%) reported difficulties </w:t>
      </w:r>
    </w:p>
    <w:p w14:paraId="006A5D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paying for usual expenses.</w:t>
      </w:r>
    </w:p>
    <w:p w14:paraId="13526C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Participants reported financial, social, and cognitive adjustment </w:t>
      </w:r>
    </w:p>
    <w:p w14:paraId="022A7B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challenges during HBI for TB. Pathways to reduce HBI duration and approaches to </w:t>
      </w:r>
    </w:p>
    <w:p w14:paraId="151980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provide or direct patients to sources of support are needed.</w:t>
      </w:r>
    </w:p>
    <w:p w14:paraId="15F0B8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B10E8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The Authors. Published by Elsevier Ltd.</w:t>
      </w:r>
    </w:p>
    <w:p w14:paraId="0F71B5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95AC6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10.1016/j.jctube.2026.100642</w:t>
      </w:r>
    </w:p>
    <w:p w14:paraId="5E6286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PMC13571502</w:t>
      </w:r>
    </w:p>
    <w:p w14:paraId="1AC235C0">
      <w:pPr>
        <w:rPr>
          <w:rFonts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42733549</w:t>
      </w:r>
    </w:p>
    <w:sectPr>
      <w:pgSz w:w="11906" w:h="16838"/>
      <w:pgMar w:top="1440" w:right="1753" w:bottom="1440" w:left="17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88"/>
    <w:rsid w:val="00000EB4"/>
    <w:rsid w:val="00001BCE"/>
    <w:rsid w:val="00004FA0"/>
    <w:rsid w:val="00005480"/>
    <w:rsid w:val="0000548B"/>
    <w:rsid w:val="00005BFA"/>
    <w:rsid w:val="00006312"/>
    <w:rsid w:val="00006445"/>
    <w:rsid w:val="00006AD1"/>
    <w:rsid w:val="00007FE2"/>
    <w:rsid w:val="00010E83"/>
    <w:rsid w:val="0001109E"/>
    <w:rsid w:val="00011EE4"/>
    <w:rsid w:val="00014ACD"/>
    <w:rsid w:val="00014B97"/>
    <w:rsid w:val="00014C5C"/>
    <w:rsid w:val="000151BC"/>
    <w:rsid w:val="000163F8"/>
    <w:rsid w:val="0001793D"/>
    <w:rsid w:val="00017A03"/>
    <w:rsid w:val="00017EFF"/>
    <w:rsid w:val="00020101"/>
    <w:rsid w:val="00020316"/>
    <w:rsid w:val="0002051D"/>
    <w:rsid w:val="00021027"/>
    <w:rsid w:val="00021F93"/>
    <w:rsid w:val="00025A11"/>
    <w:rsid w:val="00026111"/>
    <w:rsid w:val="00026718"/>
    <w:rsid w:val="00030012"/>
    <w:rsid w:val="000309FE"/>
    <w:rsid w:val="000313FC"/>
    <w:rsid w:val="00032CAA"/>
    <w:rsid w:val="00032F94"/>
    <w:rsid w:val="000340CF"/>
    <w:rsid w:val="0003428A"/>
    <w:rsid w:val="00035E04"/>
    <w:rsid w:val="00036F5C"/>
    <w:rsid w:val="000370E0"/>
    <w:rsid w:val="000379B3"/>
    <w:rsid w:val="00037A3B"/>
    <w:rsid w:val="00040872"/>
    <w:rsid w:val="00042020"/>
    <w:rsid w:val="00042414"/>
    <w:rsid w:val="00042556"/>
    <w:rsid w:val="00042899"/>
    <w:rsid w:val="00044A66"/>
    <w:rsid w:val="00044B78"/>
    <w:rsid w:val="00044C28"/>
    <w:rsid w:val="00045FBC"/>
    <w:rsid w:val="000461EE"/>
    <w:rsid w:val="0004682E"/>
    <w:rsid w:val="00047272"/>
    <w:rsid w:val="000474E6"/>
    <w:rsid w:val="00047D13"/>
    <w:rsid w:val="000505E8"/>
    <w:rsid w:val="00050E61"/>
    <w:rsid w:val="00051DD5"/>
    <w:rsid w:val="000527D8"/>
    <w:rsid w:val="00052E5C"/>
    <w:rsid w:val="000531C2"/>
    <w:rsid w:val="0005401D"/>
    <w:rsid w:val="0005489E"/>
    <w:rsid w:val="00054996"/>
    <w:rsid w:val="000549F5"/>
    <w:rsid w:val="000552EE"/>
    <w:rsid w:val="000567C6"/>
    <w:rsid w:val="00056ACF"/>
    <w:rsid w:val="0006072D"/>
    <w:rsid w:val="00060930"/>
    <w:rsid w:val="00061C4E"/>
    <w:rsid w:val="00061F05"/>
    <w:rsid w:val="00062062"/>
    <w:rsid w:val="0006216E"/>
    <w:rsid w:val="0006285F"/>
    <w:rsid w:val="00063F03"/>
    <w:rsid w:val="00064D3B"/>
    <w:rsid w:val="000661FE"/>
    <w:rsid w:val="00067B6F"/>
    <w:rsid w:val="00067C37"/>
    <w:rsid w:val="00070238"/>
    <w:rsid w:val="00070407"/>
    <w:rsid w:val="0007049C"/>
    <w:rsid w:val="00071826"/>
    <w:rsid w:val="00072366"/>
    <w:rsid w:val="000724C3"/>
    <w:rsid w:val="00074388"/>
    <w:rsid w:val="00076272"/>
    <w:rsid w:val="00077EC3"/>
    <w:rsid w:val="000802F3"/>
    <w:rsid w:val="0008127A"/>
    <w:rsid w:val="000814BF"/>
    <w:rsid w:val="00082113"/>
    <w:rsid w:val="000823C5"/>
    <w:rsid w:val="00083685"/>
    <w:rsid w:val="00084FA1"/>
    <w:rsid w:val="00085FFF"/>
    <w:rsid w:val="0008630A"/>
    <w:rsid w:val="00086502"/>
    <w:rsid w:val="00087251"/>
    <w:rsid w:val="00090B3F"/>
    <w:rsid w:val="00090B53"/>
    <w:rsid w:val="0009167A"/>
    <w:rsid w:val="00091781"/>
    <w:rsid w:val="00091D4F"/>
    <w:rsid w:val="0009258E"/>
    <w:rsid w:val="00092CA5"/>
    <w:rsid w:val="00092F7F"/>
    <w:rsid w:val="00093EB4"/>
    <w:rsid w:val="000943C3"/>
    <w:rsid w:val="0009444D"/>
    <w:rsid w:val="00094774"/>
    <w:rsid w:val="00094D1C"/>
    <w:rsid w:val="0009523F"/>
    <w:rsid w:val="000961CE"/>
    <w:rsid w:val="000966AA"/>
    <w:rsid w:val="000A087D"/>
    <w:rsid w:val="000A0ACA"/>
    <w:rsid w:val="000A0F96"/>
    <w:rsid w:val="000A124E"/>
    <w:rsid w:val="000A127A"/>
    <w:rsid w:val="000A1434"/>
    <w:rsid w:val="000A1D4B"/>
    <w:rsid w:val="000A2127"/>
    <w:rsid w:val="000A2D53"/>
    <w:rsid w:val="000A2F2E"/>
    <w:rsid w:val="000A37C7"/>
    <w:rsid w:val="000A3943"/>
    <w:rsid w:val="000A3E0E"/>
    <w:rsid w:val="000A47E7"/>
    <w:rsid w:val="000A496C"/>
    <w:rsid w:val="000A4A7D"/>
    <w:rsid w:val="000A51E6"/>
    <w:rsid w:val="000A5D84"/>
    <w:rsid w:val="000A6101"/>
    <w:rsid w:val="000A72A6"/>
    <w:rsid w:val="000B00E0"/>
    <w:rsid w:val="000B0CA1"/>
    <w:rsid w:val="000B0CAE"/>
    <w:rsid w:val="000B1016"/>
    <w:rsid w:val="000B115F"/>
    <w:rsid w:val="000B13CA"/>
    <w:rsid w:val="000B16AA"/>
    <w:rsid w:val="000B18A0"/>
    <w:rsid w:val="000B2704"/>
    <w:rsid w:val="000B2997"/>
    <w:rsid w:val="000B2D0A"/>
    <w:rsid w:val="000B39CD"/>
    <w:rsid w:val="000B579D"/>
    <w:rsid w:val="000B58BE"/>
    <w:rsid w:val="000B5A38"/>
    <w:rsid w:val="000B5C58"/>
    <w:rsid w:val="000B6618"/>
    <w:rsid w:val="000B6906"/>
    <w:rsid w:val="000B6914"/>
    <w:rsid w:val="000B6D3C"/>
    <w:rsid w:val="000B7B81"/>
    <w:rsid w:val="000B7B97"/>
    <w:rsid w:val="000C04D5"/>
    <w:rsid w:val="000C1093"/>
    <w:rsid w:val="000C3590"/>
    <w:rsid w:val="000C3A90"/>
    <w:rsid w:val="000C488A"/>
    <w:rsid w:val="000C5482"/>
    <w:rsid w:val="000C614D"/>
    <w:rsid w:val="000C683A"/>
    <w:rsid w:val="000C71E1"/>
    <w:rsid w:val="000D02D3"/>
    <w:rsid w:val="000D205B"/>
    <w:rsid w:val="000D2241"/>
    <w:rsid w:val="000D2A9B"/>
    <w:rsid w:val="000D2B94"/>
    <w:rsid w:val="000D2F64"/>
    <w:rsid w:val="000D3403"/>
    <w:rsid w:val="000D5656"/>
    <w:rsid w:val="000D6450"/>
    <w:rsid w:val="000D7BF2"/>
    <w:rsid w:val="000E052F"/>
    <w:rsid w:val="000E2388"/>
    <w:rsid w:val="000E2E0D"/>
    <w:rsid w:val="000E4DF7"/>
    <w:rsid w:val="000E615C"/>
    <w:rsid w:val="000E6A33"/>
    <w:rsid w:val="000E6C23"/>
    <w:rsid w:val="000E713B"/>
    <w:rsid w:val="000F0847"/>
    <w:rsid w:val="000F0A49"/>
    <w:rsid w:val="000F0D00"/>
    <w:rsid w:val="000F1E63"/>
    <w:rsid w:val="000F1FFB"/>
    <w:rsid w:val="000F24D7"/>
    <w:rsid w:val="000F3795"/>
    <w:rsid w:val="000F39E9"/>
    <w:rsid w:val="000F3B6A"/>
    <w:rsid w:val="000F41CE"/>
    <w:rsid w:val="000F5BE2"/>
    <w:rsid w:val="000F6938"/>
    <w:rsid w:val="000F6B20"/>
    <w:rsid w:val="000F7FE8"/>
    <w:rsid w:val="001009A0"/>
    <w:rsid w:val="00100A49"/>
    <w:rsid w:val="00101FDC"/>
    <w:rsid w:val="0010360B"/>
    <w:rsid w:val="00103B38"/>
    <w:rsid w:val="001045B5"/>
    <w:rsid w:val="00104C1E"/>
    <w:rsid w:val="00104CC5"/>
    <w:rsid w:val="00106495"/>
    <w:rsid w:val="001100AE"/>
    <w:rsid w:val="001111F4"/>
    <w:rsid w:val="00112102"/>
    <w:rsid w:val="001128DA"/>
    <w:rsid w:val="00113B07"/>
    <w:rsid w:val="001146C5"/>
    <w:rsid w:val="00115AA0"/>
    <w:rsid w:val="001160B6"/>
    <w:rsid w:val="00117A55"/>
    <w:rsid w:val="00117E9C"/>
    <w:rsid w:val="00120200"/>
    <w:rsid w:val="00120C7E"/>
    <w:rsid w:val="00122BB5"/>
    <w:rsid w:val="00123084"/>
    <w:rsid w:val="0012313C"/>
    <w:rsid w:val="001232FE"/>
    <w:rsid w:val="001239BF"/>
    <w:rsid w:val="00123B2B"/>
    <w:rsid w:val="00123D14"/>
    <w:rsid w:val="00124054"/>
    <w:rsid w:val="00124203"/>
    <w:rsid w:val="00124FA0"/>
    <w:rsid w:val="001250F8"/>
    <w:rsid w:val="001258E8"/>
    <w:rsid w:val="00130332"/>
    <w:rsid w:val="00130522"/>
    <w:rsid w:val="00131064"/>
    <w:rsid w:val="00131D02"/>
    <w:rsid w:val="00131F89"/>
    <w:rsid w:val="00132F05"/>
    <w:rsid w:val="0013385F"/>
    <w:rsid w:val="00133BD7"/>
    <w:rsid w:val="00133F6C"/>
    <w:rsid w:val="0013533E"/>
    <w:rsid w:val="00135AEE"/>
    <w:rsid w:val="00135C60"/>
    <w:rsid w:val="00135D11"/>
    <w:rsid w:val="00137D90"/>
    <w:rsid w:val="001400DC"/>
    <w:rsid w:val="00141D76"/>
    <w:rsid w:val="00142DC2"/>
    <w:rsid w:val="00143C23"/>
    <w:rsid w:val="00143FFB"/>
    <w:rsid w:val="001442A6"/>
    <w:rsid w:val="0014482B"/>
    <w:rsid w:val="00144C21"/>
    <w:rsid w:val="00145536"/>
    <w:rsid w:val="00145858"/>
    <w:rsid w:val="001460E6"/>
    <w:rsid w:val="001462BE"/>
    <w:rsid w:val="0014644D"/>
    <w:rsid w:val="00147542"/>
    <w:rsid w:val="00147E95"/>
    <w:rsid w:val="0015022B"/>
    <w:rsid w:val="00151492"/>
    <w:rsid w:val="0015230D"/>
    <w:rsid w:val="00152842"/>
    <w:rsid w:val="00152DAF"/>
    <w:rsid w:val="00152FFB"/>
    <w:rsid w:val="0015436D"/>
    <w:rsid w:val="0015447B"/>
    <w:rsid w:val="00154EEE"/>
    <w:rsid w:val="001555BE"/>
    <w:rsid w:val="00155DAB"/>
    <w:rsid w:val="0016036F"/>
    <w:rsid w:val="00160D5D"/>
    <w:rsid w:val="00161C58"/>
    <w:rsid w:val="00162024"/>
    <w:rsid w:val="00162396"/>
    <w:rsid w:val="00162E0B"/>
    <w:rsid w:val="001631D1"/>
    <w:rsid w:val="00163933"/>
    <w:rsid w:val="001640F5"/>
    <w:rsid w:val="00165111"/>
    <w:rsid w:val="00166D15"/>
    <w:rsid w:val="00166F6B"/>
    <w:rsid w:val="0016722E"/>
    <w:rsid w:val="001678E4"/>
    <w:rsid w:val="00170981"/>
    <w:rsid w:val="00170E44"/>
    <w:rsid w:val="0017293C"/>
    <w:rsid w:val="001730B3"/>
    <w:rsid w:val="00174CD2"/>
    <w:rsid w:val="00176DAB"/>
    <w:rsid w:val="00176EA2"/>
    <w:rsid w:val="00176EA9"/>
    <w:rsid w:val="001770AB"/>
    <w:rsid w:val="00177782"/>
    <w:rsid w:val="00177890"/>
    <w:rsid w:val="00180BC2"/>
    <w:rsid w:val="00182C81"/>
    <w:rsid w:val="001835CE"/>
    <w:rsid w:val="001840C6"/>
    <w:rsid w:val="00184BE2"/>
    <w:rsid w:val="00185015"/>
    <w:rsid w:val="00185DA7"/>
    <w:rsid w:val="001861C1"/>
    <w:rsid w:val="0018793A"/>
    <w:rsid w:val="00187D7F"/>
    <w:rsid w:val="00187F13"/>
    <w:rsid w:val="00190F37"/>
    <w:rsid w:val="0019686E"/>
    <w:rsid w:val="001A062A"/>
    <w:rsid w:val="001A19AA"/>
    <w:rsid w:val="001A19C3"/>
    <w:rsid w:val="001A24D1"/>
    <w:rsid w:val="001A287C"/>
    <w:rsid w:val="001A2B93"/>
    <w:rsid w:val="001A4CD3"/>
    <w:rsid w:val="001A5A10"/>
    <w:rsid w:val="001A61FD"/>
    <w:rsid w:val="001A7D2B"/>
    <w:rsid w:val="001A7F64"/>
    <w:rsid w:val="001B0C50"/>
    <w:rsid w:val="001B1917"/>
    <w:rsid w:val="001B2378"/>
    <w:rsid w:val="001B2393"/>
    <w:rsid w:val="001B2CC5"/>
    <w:rsid w:val="001B2E1D"/>
    <w:rsid w:val="001B3B23"/>
    <w:rsid w:val="001B407D"/>
    <w:rsid w:val="001B48FB"/>
    <w:rsid w:val="001B6473"/>
    <w:rsid w:val="001B6AA0"/>
    <w:rsid w:val="001C143E"/>
    <w:rsid w:val="001C2157"/>
    <w:rsid w:val="001C2709"/>
    <w:rsid w:val="001C3A11"/>
    <w:rsid w:val="001C4AAF"/>
    <w:rsid w:val="001C5349"/>
    <w:rsid w:val="001C55D4"/>
    <w:rsid w:val="001C6150"/>
    <w:rsid w:val="001C71B1"/>
    <w:rsid w:val="001D094C"/>
    <w:rsid w:val="001D12AE"/>
    <w:rsid w:val="001D135A"/>
    <w:rsid w:val="001D193B"/>
    <w:rsid w:val="001D1977"/>
    <w:rsid w:val="001D1E65"/>
    <w:rsid w:val="001D20AE"/>
    <w:rsid w:val="001D243D"/>
    <w:rsid w:val="001D35E3"/>
    <w:rsid w:val="001D3C91"/>
    <w:rsid w:val="001D49D4"/>
    <w:rsid w:val="001D4AFF"/>
    <w:rsid w:val="001D5338"/>
    <w:rsid w:val="001D6792"/>
    <w:rsid w:val="001D680A"/>
    <w:rsid w:val="001D6B99"/>
    <w:rsid w:val="001D6E95"/>
    <w:rsid w:val="001D7211"/>
    <w:rsid w:val="001E002A"/>
    <w:rsid w:val="001E0F47"/>
    <w:rsid w:val="001E184B"/>
    <w:rsid w:val="001E2408"/>
    <w:rsid w:val="001E3564"/>
    <w:rsid w:val="001E4549"/>
    <w:rsid w:val="001E4901"/>
    <w:rsid w:val="001E4B76"/>
    <w:rsid w:val="001E6B7F"/>
    <w:rsid w:val="001E6C66"/>
    <w:rsid w:val="001E7DBB"/>
    <w:rsid w:val="001E7F12"/>
    <w:rsid w:val="001F0B99"/>
    <w:rsid w:val="001F0D20"/>
    <w:rsid w:val="001F13B5"/>
    <w:rsid w:val="001F1AB3"/>
    <w:rsid w:val="001F1DDA"/>
    <w:rsid w:val="001F223F"/>
    <w:rsid w:val="001F3009"/>
    <w:rsid w:val="001F468E"/>
    <w:rsid w:val="001F47BE"/>
    <w:rsid w:val="001F7758"/>
    <w:rsid w:val="001F7BC3"/>
    <w:rsid w:val="002014D3"/>
    <w:rsid w:val="002017C2"/>
    <w:rsid w:val="00201C77"/>
    <w:rsid w:val="00202B36"/>
    <w:rsid w:val="00203139"/>
    <w:rsid w:val="0020332A"/>
    <w:rsid w:val="00203479"/>
    <w:rsid w:val="002035B2"/>
    <w:rsid w:val="00203A11"/>
    <w:rsid w:val="00204451"/>
    <w:rsid w:val="0020501F"/>
    <w:rsid w:val="0020526D"/>
    <w:rsid w:val="00206168"/>
    <w:rsid w:val="00207270"/>
    <w:rsid w:val="00210B36"/>
    <w:rsid w:val="00211D14"/>
    <w:rsid w:val="00212490"/>
    <w:rsid w:val="0021250D"/>
    <w:rsid w:val="00212E84"/>
    <w:rsid w:val="002140A1"/>
    <w:rsid w:val="00214B74"/>
    <w:rsid w:val="00214C10"/>
    <w:rsid w:val="0021558B"/>
    <w:rsid w:val="00215646"/>
    <w:rsid w:val="00217583"/>
    <w:rsid w:val="00217D7F"/>
    <w:rsid w:val="00217EAC"/>
    <w:rsid w:val="00220375"/>
    <w:rsid w:val="00220876"/>
    <w:rsid w:val="002208AD"/>
    <w:rsid w:val="00222583"/>
    <w:rsid w:val="00222BD1"/>
    <w:rsid w:val="00223A24"/>
    <w:rsid w:val="002245BB"/>
    <w:rsid w:val="00224620"/>
    <w:rsid w:val="002246DD"/>
    <w:rsid w:val="002253AA"/>
    <w:rsid w:val="00225946"/>
    <w:rsid w:val="002259F8"/>
    <w:rsid w:val="00225AA2"/>
    <w:rsid w:val="00225FCA"/>
    <w:rsid w:val="00227A3A"/>
    <w:rsid w:val="00227B06"/>
    <w:rsid w:val="00230527"/>
    <w:rsid w:val="002307EA"/>
    <w:rsid w:val="002310DD"/>
    <w:rsid w:val="002327BB"/>
    <w:rsid w:val="00232D13"/>
    <w:rsid w:val="002341B8"/>
    <w:rsid w:val="00234622"/>
    <w:rsid w:val="002354A4"/>
    <w:rsid w:val="00235C0D"/>
    <w:rsid w:val="0023625F"/>
    <w:rsid w:val="002374E2"/>
    <w:rsid w:val="00237947"/>
    <w:rsid w:val="00237F69"/>
    <w:rsid w:val="0024041B"/>
    <w:rsid w:val="0024169A"/>
    <w:rsid w:val="00241991"/>
    <w:rsid w:val="00241AAF"/>
    <w:rsid w:val="00241CCB"/>
    <w:rsid w:val="00241EF5"/>
    <w:rsid w:val="00243AAC"/>
    <w:rsid w:val="00243CAB"/>
    <w:rsid w:val="00245848"/>
    <w:rsid w:val="00247A30"/>
    <w:rsid w:val="00247DD5"/>
    <w:rsid w:val="00251D15"/>
    <w:rsid w:val="00252055"/>
    <w:rsid w:val="0025206B"/>
    <w:rsid w:val="002521B7"/>
    <w:rsid w:val="002531F0"/>
    <w:rsid w:val="0025385D"/>
    <w:rsid w:val="00254746"/>
    <w:rsid w:val="002549C3"/>
    <w:rsid w:val="002553EB"/>
    <w:rsid w:val="002560F7"/>
    <w:rsid w:val="00261FA0"/>
    <w:rsid w:val="002625F3"/>
    <w:rsid w:val="002627B3"/>
    <w:rsid w:val="0026297A"/>
    <w:rsid w:val="002644D4"/>
    <w:rsid w:val="00264B9F"/>
    <w:rsid w:val="00264CEA"/>
    <w:rsid w:val="00264E19"/>
    <w:rsid w:val="00265139"/>
    <w:rsid w:val="00266E21"/>
    <w:rsid w:val="00267E57"/>
    <w:rsid w:val="00270108"/>
    <w:rsid w:val="00270744"/>
    <w:rsid w:val="00270A23"/>
    <w:rsid w:val="002722A7"/>
    <w:rsid w:val="002728C5"/>
    <w:rsid w:val="00273A9C"/>
    <w:rsid w:val="0027416D"/>
    <w:rsid w:val="00274293"/>
    <w:rsid w:val="00275956"/>
    <w:rsid w:val="00275EC1"/>
    <w:rsid w:val="00277AFE"/>
    <w:rsid w:val="00277F10"/>
    <w:rsid w:val="0028042B"/>
    <w:rsid w:val="00280E39"/>
    <w:rsid w:val="00280F31"/>
    <w:rsid w:val="00281CB1"/>
    <w:rsid w:val="0028209D"/>
    <w:rsid w:val="0028230D"/>
    <w:rsid w:val="00282B0E"/>
    <w:rsid w:val="00282F1F"/>
    <w:rsid w:val="0028314F"/>
    <w:rsid w:val="0028424E"/>
    <w:rsid w:val="002848FA"/>
    <w:rsid w:val="00285197"/>
    <w:rsid w:val="00285319"/>
    <w:rsid w:val="00285E4E"/>
    <w:rsid w:val="0028600C"/>
    <w:rsid w:val="00286550"/>
    <w:rsid w:val="00286887"/>
    <w:rsid w:val="002868D6"/>
    <w:rsid w:val="00286A29"/>
    <w:rsid w:val="002874B2"/>
    <w:rsid w:val="002874EE"/>
    <w:rsid w:val="00287640"/>
    <w:rsid w:val="00290B6B"/>
    <w:rsid w:val="00290E55"/>
    <w:rsid w:val="00290E94"/>
    <w:rsid w:val="00292A20"/>
    <w:rsid w:val="00292BA6"/>
    <w:rsid w:val="00294663"/>
    <w:rsid w:val="00295075"/>
    <w:rsid w:val="00295697"/>
    <w:rsid w:val="00295B81"/>
    <w:rsid w:val="00295B85"/>
    <w:rsid w:val="0029689E"/>
    <w:rsid w:val="00296D7C"/>
    <w:rsid w:val="00296E3B"/>
    <w:rsid w:val="00297519"/>
    <w:rsid w:val="00297B5A"/>
    <w:rsid w:val="00297DED"/>
    <w:rsid w:val="002A042C"/>
    <w:rsid w:val="002A07FE"/>
    <w:rsid w:val="002A0E2E"/>
    <w:rsid w:val="002A0F6A"/>
    <w:rsid w:val="002A1472"/>
    <w:rsid w:val="002A1A26"/>
    <w:rsid w:val="002A1AAB"/>
    <w:rsid w:val="002A1B06"/>
    <w:rsid w:val="002A3C42"/>
    <w:rsid w:val="002A41A5"/>
    <w:rsid w:val="002A547E"/>
    <w:rsid w:val="002A5D78"/>
    <w:rsid w:val="002A65AC"/>
    <w:rsid w:val="002A75CF"/>
    <w:rsid w:val="002A7D07"/>
    <w:rsid w:val="002B16D1"/>
    <w:rsid w:val="002B18EF"/>
    <w:rsid w:val="002B1A87"/>
    <w:rsid w:val="002B3BDD"/>
    <w:rsid w:val="002B3D2D"/>
    <w:rsid w:val="002B4B9B"/>
    <w:rsid w:val="002B5B8F"/>
    <w:rsid w:val="002B6556"/>
    <w:rsid w:val="002B7F0A"/>
    <w:rsid w:val="002C0EEC"/>
    <w:rsid w:val="002C2226"/>
    <w:rsid w:val="002C3527"/>
    <w:rsid w:val="002C589E"/>
    <w:rsid w:val="002C6147"/>
    <w:rsid w:val="002C656A"/>
    <w:rsid w:val="002C6883"/>
    <w:rsid w:val="002C6919"/>
    <w:rsid w:val="002C6A30"/>
    <w:rsid w:val="002C729F"/>
    <w:rsid w:val="002D063A"/>
    <w:rsid w:val="002D1294"/>
    <w:rsid w:val="002D1B15"/>
    <w:rsid w:val="002D259B"/>
    <w:rsid w:val="002D2D2F"/>
    <w:rsid w:val="002D31AF"/>
    <w:rsid w:val="002D38DC"/>
    <w:rsid w:val="002D3BE5"/>
    <w:rsid w:val="002D3C81"/>
    <w:rsid w:val="002D465E"/>
    <w:rsid w:val="002D4F47"/>
    <w:rsid w:val="002D538B"/>
    <w:rsid w:val="002D5586"/>
    <w:rsid w:val="002D5B3D"/>
    <w:rsid w:val="002D724F"/>
    <w:rsid w:val="002D7ADC"/>
    <w:rsid w:val="002E0C52"/>
    <w:rsid w:val="002E131C"/>
    <w:rsid w:val="002E1548"/>
    <w:rsid w:val="002E1CF6"/>
    <w:rsid w:val="002E1DE8"/>
    <w:rsid w:val="002E27A4"/>
    <w:rsid w:val="002E28FD"/>
    <w:rsid w:val="002E3CE7"/>
    <w:rsid w:val="002E40C2"/>
    <w:rsid w:val="002E75F4"/>
    <w:rsid w:val="002E7B15"/>
    <w:rsid w:val="002E7C80"/>
    <w:rsid w:val="002F014F"/>
    <w:rsid w:val="002F1E20"/>
    <w:rsid w:val="002F2207"/>
    <w:rsid w:val="002F3F3D"/>
    <w:rsid w:val="002F476D"/>
    <w:rsid w:val="002F53B0"/>
    <w:rsid w:val="002F6002"/>
    <w:rsid w:val="002F7D45"/>
    <w:rsid w:val="00300B54"/>
    <w:rsid w:val="00300C4C"/>
    <w:rsid w:val="00300CA5"/>
    <w:rsid w:val="00300DAB"/>
    <w:rsid w:val="00301687"/>
    <w:rsid w:val="003029A2"/>
    <w:rsid w:val="00302A36"/>
    <w:rsid w:val="003030D7"/>
    <w:rsid w:val="00303164"/>
    <w:rsid w:val="003040D8"/>
    <w:rsid w:val="0030565A"/>
    <w:rsid w:val="0030587F"/>
    <w:rsid w:val="00305F0C"/>
    <w:rsid w:val="003064FE"/>
    <w:rsid w:val="003074D8"/>
    <w:rsid w:val="003077B3"/>
    <w:rsid w:val="00307B01"/>
    <w:rsid w:val="00307B4A"/>
    <w:rsid w:val="00311A67"/>
    <w:rsid w:val="00311FA9"/>
    <w:rsid w:val="003126AE"/>
    <w:rsid w:val="00312C1D"/>
    <w:rsid w:val="00312E3F"/>
    <w:rsid w:val="0031350B"/>
    <w:rsid w:val="00313587"/>
    <w:rsid w:val="003142FD"/>
    <w:rsid w:val="003146B0"/>
    <w:rsid w:val="003146D6"/>
    <w:rsid w:val="00314966"/>
    <w:rsid w:val="00314BE0"/>
    <w:rsid w:val="00314F1F"/>
    <w:rsid w:val="0031631B"/>
    <w:rsid w:val="00316533"/>
    <w:rsid w:val="00317ED1"/>
    <w:rsid w:val="003209BB"/>
    <w:rsid w:val="003215E0"/>
    <w:rsid w:val="003220BD"/>
    <w:rsid w:val="003226F0"/>
    <w:rsid w:val="0032285D"/>
    <w:rsid w:val="00322D2F"/>
    <w:rsid w:val="0032331B"/>
    <w:rsid w:val="00323932"/>
    <w:rsid w:val="00325675"/>
    <w:rsid w:val="00325F86"/>
    <w:rsid w:val="003269F0"/>
    <w:rsid w:val="003278EB"/>
    <w:rsid w:val="00327C93"/>
    <w:rsid w:val="00330401"/>
    <w:rsid w:val="00330A46"/>
    <w:rsid w:val="0033263C"/>
    <w:rsid w:val="00332F79"/>
    <w:rsid w:val="00333688"/>
    <w:rsid w:val="00333A35"/>
    <w:rsid w:val="00334B36"/>
    <w:rsid w:val="003356DC"/>
    <w:rsid w:val="00335CCC"/>
    <w:rsid w:val="00335F35"/>
    <w:rsid w:val="003363F3"/>
    <w:rsid w:val="00336859"/>
    <w:rsid w:val="00336944"/>
    <w:rsid w:val="003372AB"/>
    <w:rsid w:val="00337545"/>
    <w:rsid w:val="0033783D"/>
    <w:rsid w:val="003406AB"/>
    <w:rsid w:val="00341F54"/>
    <w:rsid w:val="00342039"/>
    <w:rsid w:val="00342091"/>
    <w:rsid w:val="00342913"/>
    <w:rsid w:val="0034466B"/>
    <w:rsid w:val="00344804"/>
    <w:rsid w:val="00346EFA"/>
    <w:rsid w:val="00350F89"/>
    <w:rsid w:val="003529D4"/>
    <w:rsid w:val="003535CE"/>
    <w:rsid w:val="003541CB"/>
    <w:rsid w:val="0036034D"/>
    <w:rsid w:val="00360C14"/>
    <w:rsid w:val="0036168A"/>
    <w:rsid w:val="00362B9A"/>
    <w:rsid w:val="00362EE3"/>
    <w:rsid w:val="003645BC"/>
    <w:rsid w:val="003648C3"/>
    <w:rsid w:val="00364A17"/>
    <w:rsid w:val="00364EE5"/>
    <w:rsid w:val="00365E7B"/>
    <w:rsid w:val="0036630B"/>
    <w:rsid w:val="0036772D"/>
    <w:rsid w:val="00370021"/>
    <w:rsid w:val="00370067"/>
    <w:rsid w:val="00370FE4"/>
    <w:rsid w:val="003712DE"/>
    <w:rsid w:val="003718DB"/>
    <w:rsid w:val="00372093"/>
    <w:rsid w:val="003736DE"/>
    <w:rsid w:val="003738F1"/>
    <w:rsid w:val="00375393"/>
    <w:rsid w:val="003759FA"/>
    <w:rsid w:val="00375EDD"/>
    <w:rsid w:val="00376FA2"/>
    <w:rsid w:val="00377122"/>
    <w:rsid w:val="003777B5"/>
    <w:rsid w:val="0038000A"/>
    <w:rsid w:val="0038007F"/>
    <w:rsid w:val="00380B8A"/>
    <w:rsid w:val="00380E38"/>
    <w:rsid w:val="00380E48"/>
    <w:rsid w:val="0038188B"/>
    <w:rsid w:val="00381BDE"/>
    <w:rsid w:val="00381CCA"/>
    <w:rsid w:val="00383DE7"/>
    <w:rsid w:val="00384F9F"/>
    <w:rsid w:val="0038579F"/>
    <w:rsid w:val="00385874"/>
    <w:rsid w:val="0038597F"/>
    <w:rsid w:val="003909A2"/>
    <w:rsid w:val="00391EB5"/>
    <w:rsid w:val="00392265"/>
    <w:rsid w:val="00392AC6"/>
    <w:rsid w:val="00393A15"/>
    <w:rsid w:val="00393DEA"/>
    <w:rsid w:val="003946E6"/>
    <w:rsid w:val="00394EE4"/>
    <w:rsid w:val="00396814"/>
    <w:rsid w:val="00396D0C"/>
    <w:rsid w:val="00397151"/>
    <w:rsid w:val="00397B01"/>
    <w:rsid w:val="00397FD1"/>
    <w:rsid w:val="003A0553"/>
    <w:rsid w:val="003A0926"/>
    <w:rsid w:val="003A1FAA"/>
    <w:rsid w:val="003A1FFA"/>
    <w:rsid w:val="003A444E"/>
    <w:rsid w:val="003A58E9"/>
    <w:rsid w:val="003A78A7"/>
    <w:rsid w:val="003A79FB"/>
    <w:rsid w:val="003B0585"/>
    <w:rsid w:val="003B066E"/>
    <w:rsid w:val="003B0F3B"/>
    <w:rsid w:val="003B14F6"/>
    <w:rsid w:val="003B1A72"/>
    <w:rsid w:val="003B2353"/>
    <w:rsid w:val="003B2FBC"/>
    <w:rsid w:val="003B3FE2"/>
    <w:rsid w:val="003B42D8"/>
    <w:rsid w:val="003B4B60"/>
    <w:rsid w:val="003B5AED"/>
    <w:rsid w:val="003B7E64"/>
    <w:rsid w:val="003B7EE8"/>
    <w:rsid w:val="003C18CE"/>
    <w:rsid w:val="003C237E"/>
    <w:rsid w:val="003C323A"/>
    <w:rsid w:val="003C3D28"/>
    <w:rsid w:val="003C455F"/>
    <w:rsid w:val="003C4CED"/>
    <w:rsid w:val="003C5A64"/>
    <w:rsid w:val="003C750E"/>
    <w:rsid w:val="003C7907"/>
    <w:rsid w:val="003C7F17"/>
    <w:rsid w:val="003D03AE"/>
    <w:rsid w:val="003D0460"/>
    <w:rsid w:val="003D04A0"/>
    <w:rsid w:val="003D070F"/>
    <w:rsid w:val="003D09D8"/>
    <w:rsid w:val="003D1089"/>
    <w:rsid w:val="003D1633"/>
    <w:rsid w:val="003D1D73"/>
    <w:rsid w:val="003D357E"/>
    <w:rsid w:val="003D46F1"/>
    <w:rsid w:val="003D5569"/>
    <w:rsid w:val="003D6513"/>
    <w:rsid w:val="003E00FA"/>
    <w:rsid w:val="003E083A"/>
    <w:rsid w:val="003E1C2A"/>
    <w:rsid w:val="003E3CDD"/>
    <w:rsid w:val="003E4726"/>
    <w:rsid w:val="003E4DBD"/>
    <w:rsid w:val="003E6317"/>
    <w:rsid w:val="003E71B7"/>
    <w:rsid w:val="003E7B60"/>
    <w:rsid w:val="003E7ED3"/>
    <w:rsid w:val="003E7F6D"/>
    <w:rsid w:val="003F0272"/>
    <w:rsid w:val="003F031F"/>
    <w:rsid w:val="003F08C1"/>
    <w:rsid w:val="003F0AD7"/>
    <w:rsid w:val="003F2BA8"/>
    <w:rsid w:val="003F4118"/>
    <w:rsid w:val="003F4499"/>
    <w:rsid w:val="003F5554"/>
    <w:rsid w:val="003F57D2"/>
    <w:rsid w:val="00401169"/>
    <w:rsid w:val="00401365"/>
    <w:rsid w:val="00401A85"/>
    <w:rsid w:val="00403465"/>
    <w:rsid w:val="00406903"/>
    <w:rsid w:val="0040767C"/>
    <w:rsid w:val="00407CFA"/>
    <w:rsid w:val="004101F1"/>
    <w:rsid w:val="00410F68"/>
    <w:rsid w:val="0041101A"/>
    <w:rsid w:val="00411B7C"/>
    <w:rsid w:val="004151E5"/>
    <w:rsid w:val="00415641"/>
    <w:rsid w:val="00415C72"/>
    <w:rsid w:val="00417747"/>
    <w:rsid w:val="00417B69"/>
    <w:rsid w:val="00417BBC"/>
    <w:rsid w:val="004209F6"/>
    <w:rsid w:val="00420CA6"/>
    <w:rsid w:val="00421470"/>
    <w:rsid w:val="00421A67"/>
    <w:rsid w:val="004226A8"/>
    <w:rsid w:val="00422E27"/>
    <w:rsid w:val="00423A83"/>
    <w:rsid w:val="004241F2"/>
    <w:rsid w:val="00427072"/>
    <w:rsid w:val="00427D12"/>
    <w:rsid w:val="00430C9D"/>
    <w:rsid w:val="00431303"/>
    <w:rsid w:val="00431605"/>
    <w:rsid w:val="004317E7"/>
    <w:rsid w:val="00431BD7"/>
    <w:rsid w:val="0043259D"/>
    <w:rsid w:val="004326CB"/>
    <w:rsid w:val="0043364E"/>
    <w:rsid w:val="004337CA"/>
    <w:rsid w:val="004339F5"/>
    <w:rsid w:val="00434DB0"/>
    <w:rsid w:val="0043521F"/>
    <w:rsid w:val="004369E9"/>
    <w:rsid w:val="00437FB0"/>
    <w:rsid w:val="00440A9B"/>
    <w:rsid w:val="00441CB7"/>
    <w:rsid w:val="00442959"/>
    <w:rsid w:val="00442B95"/>
    <w:rsid w:val="00443E05"/>
    <w:rsid w:val="004440BA"/>
    <w:rsid w:val="004450FB"/>
    <w:rsid w:val="00445797"/>
    <w:rsid w:val="00445F7F"/>
    <w:rsid w:val="0044721A"/>
    <w:rsid w:val="00447302"/>
    <w:rsid w:val="0044758E"/>
    <w:rsid w:val="004476CA"/>
    <w:rsid w:val="00447F3E"/>
    <w:rsid w:val="004504D9"/>
    <w:rsid w:val="00451AAB"/>
    <w:rsid w:val="0045391C"/>
    <w:rsid w:val="00453DFE"/>
    <w:rsid w:val="00454592"/>
    <w:rsid w:val="00455971"/>
    <w:rsid w:val="00456CD2"/>
    <w:rsid w:val="00457209"/>
    <w:rsid w:val="00457EE1"/>
    <w:rsid w:val="004600C7"/>
    <w:rsid w:val="0046037D"/>
    <w:rsid w:val="004607EA"/>
    <w:rsid w:val="004610B6"/>
    <w:rsid w:val="004638B4"/>
    <w:rsid w:val="00463D21"/>
    <w:rsid w:val="00463E85"/>
    <w:rsid w:val="00465181"/>
    <w:rsid w:val="004656EA"/>
    <w:rsid w:val="00465FAF"/>
    <w:rsid w:val="00466B16"/>
    <w:rsid w:val="00466CA2"/>
    <w:rsid w:val="00467E83"/>
    <w:rsid w:val="00470778"/>
    <w:rsid w:val="00470B22"/>
    <w:rsid w:val="004716E4"/>
    <w:rsid w:val="0047269D"/>
    <w:rsid w:val="00472728"/>
    <w:rsid w:val="00472B29"/>
    <w:rsid w:val="00472DC5"/>
    <w:rsid w:val="00473003"/>
    <w:rsid w:val="00473333"/>
    <w:rsid w:val="0047337D"/>
    <w:rsid w:val="00473D73"/>
    <w:rsid w:val="004743FF"/>
    <w:rsid w:val="00474913"/>
    <w:rsid w:val="00474C3C"/>
    <w:rsid w:val="00475D28"/>
    <w:rsid w:val="004762C9"/>
    <w:rsid w:val="00476368"/>
    <w:rsid w:val="004776FB"/>
    <w:rsid w:val="004779D6"/>
    <w:rsid w:val="00480FE5"/>
    <w:rsid w:val="00481EE3"/>
    <w:rsid w:val="004822D6"/>
    <w:rsid w:val="0048348C"/>
    <w:rsid w:val="0048387A"/>
    <w:rsid w:val="00483D06"/>
    <w:rsid w:val="004841C3"/>
    <w:rsid w:val="004843C9"/>
    <w:rsid w:val="0048441B"/>
    <w:rsid w:val="00486346"/>
    <w:rsid w:val="004876BB"/>
    <w:rsid w:val="00487B5D"/>
    <w:rsid w:val="00487D04"/>
    <w:rsid w:val="004901C9"/>
    <w:rsid w:val="00490B2D"/>
    <w:rsid w:val="00491411"/>
    <w:rsid w:val="00491706"/>
    <w:rsid w:val="00493AC3"/>
    <w:rsid w:val="00493E36"/>
    <w:rsid w:val="00495E53"/>
    <w:rsid w:val="00496279"/>
    <w:rsid w:val="004962D2"/>
    <w:rsid w:val="00496518"/>
    <w:rsid w:val="00496A6E"/>
    <w:rsid w:val="004977DA"/>
    <w:rsid w:val="004A016E"/>
    <w:rsid w:val="004A09AB"/>
    <w:rsid w:val="004A1372"/>
    <w:rsid w:val="004A170F"/>
    <w:rsid w:val="004A2A82"/>
    <w:rsid w:val="004A4DB0"/>
    <w:rsid w:val="004A519B"/>
    <w:rsid w:val="004A53E7"/>
    <w:rsid w:val="004A5A3E"/>
    <w:rsid w:val="004A7F7B"/>
    <w:rsid w:val="004A7FBC"/>
    <w:rsid w:val="004B18EA"/>
    <w:rsid w:val="004B1D4D"/>
    <w:rsid w:val="004B350E"/>
    <w:rsid w:val="004B37DE"/>
    <w:rsid w:val="004B4871"/>
    <w:rsid w:val="004B5059"/>
    <w:rsid w:val="004B5B91"/>
    <w:rsid w:val="004B5DF7"/>
    <w:rsid w:val="004B5EFA"/>
    <w:rsid w:val="004B6026"/>
    <w:rsid w:val="004B6861"/>
    <w:rsid w:val="004B7990"/>
    <w:rsid w:val="004B7CF2"/>
    <w:rsid w:val="004C0279"/>
    <w:rsid w:val="004C036D"/>
    <w:rsid w:val="004C0B6E"/>
    <w:rsid w:val="004C1340"/>
    <w:rsid w:val="004C1FE4"/>
    <w:rsid w:val="004C2F84"/>
    <w:rsid w:val="004C3887"/>
    <w:rsid w:val="004C38BD"/>
    <w:rsid w:val="004C3D5D"/>
    <w:rsid w:val="004C3EBD"/>
    <w:rsid w:val="004C44E8"/>
    <w:rsid w:val="004C498E"/>
    <w:rsid w:val="004C4F6F"/>
    <w:rsid w:val="004C5885"/>
    <w:rsid w:val="004C6DDA"/>
    <w:rsid w:val="004C6F15"/>
    <w:rsid w:val="004D13E4"/>
    <w:rsid w:val="004D1EFB"/>
    <w:rsid w:val="004D3490"/>
    <w:rsid w:val="004D499C"/>
    <w:rsid w:val="004D55EA"/>
    <w:rsid w:val="004D716B"/>
    <w:rsid w:val="004D759F"/>
    <w:rsid w:val="004D7C05"/>
    <w:rsid w:val="004E006F"/>
    <w:rsid w:val="004E06C3"/>
    <w:rsid w:val="004E0F3C"/>
    <w:rsid w:val="004E1549"/>
    <w:rsid w:val="004E16E6"/>
    <w:rsid w:val="004E38B3"/>
    <w:rsid w:val="004E39F3"/>
    <w:rsid w:val="004E3AA1"/>
    <w:rsid w:val="004E3BEC"/>
    <w:rsid w:val="004E58E5"/>
    <w:rsid w:val="004E6304"/>
    <w:rsid w:val="004E64F0"/>
    <w:rsid w:val="004E6833"/>
    <w:rsid w:val="004E6FA6"/>
    <w:rsid w:val="004E723F"/>
    <w:rsid w:val="004E7A20"/>
    <w:rsid w:val="004F0CA6"/>
    <w:rsid w:val="004F1C58"/>
    <w:rsid w:val="004F1E5E"/>
    <w:rsid w:val="004F2478"/>
    <w:rsid w:val="004F2E12"/>
    <w:rsid w:val="004F3262"/>
    <w:rsid w:val="004F332B"/>
    <w:rsid w:val="004F3330"/>
    <w:rsid w:val="004F36A2"/>
    <w:rsid w:val="004F3E69"/>
    <w:rsid w:val="004F40F4"/>
    <w:rsid w:val="004F41D3"/>
    <w:rsid w:val="004F4C4D"/>
    <w:rsid w:val="004F4EBC"/>
    <w:rsid w:val="004F57F1"/>
    <w:rsid w:val="004F5A8B"/>
    <w:rsid w:val="004F5D28"/>
    <w:rsid w:val="004F6376"/>
    <w:rsid w:val="004F7CB6"/>
    <w:rsid w:val="004F7F18"/>
    <w:rsid w:val="00500140"/>
    <w:rsid w:val="00500BE7"/>
    <w:rsid w:val="00500F3F"/>
    <w:rsid w:val="00501280"/>
    <w:rsid w:val="00501308"/>
    <w:rsid w:val="00502292"/>
    <w:rsid w:val="00502897"/>
    <w:rsid w:val="00503AE4"/>
    <w:rsid w:val="00503D99"/>
    <w:rsid w:val="005045BA"/>
    <w:rsid w:val="00505213"/>
    <w:rsid w:val="0050552F"/>
    <w:rsid w:val="00505661"/>
    <w:rsid w:val="00505AA2"/>
    <w:rsid w:val="005062F4"/>
    <w:rsid w:val="00510435"/>
    <w:rsid w:val="00510FA6"/>
    <w:rsid w:val="005119D2"/>
    <w:rsid w:val="00512AB0"/>
    <w:rsid w:val="005131D8"/>
    <w:rsid w:val="00514976"/>
    <w:rsid w:val="00516177"/>
    <w:rsid w:val="00520E52"/>
    <w:rsid w:val="00520FC7"/>
    <w:rsid w:val="005227BB"/>
    <w:rsid w:val="0052307E"/>
    <w:rsid w:val="00523642"/>
    <w:rsid w:val="00524110"/>
    <w:rsid w:val="005256F9"/>
    <w:rsid w:val="00526B7C"/>
    <w:rsid w:val="00527B5D"/>
    <w:rsid w:val="00527D60"/>
    <w:rsid w:val="00531720"/>
    <w:rsid w:val="0053254B"/>
    <w:rsid w:val="00532DDD"/>
    <w:rsid w:val="0053308B"/>
    <w:rsid w:val="005343D5"/>
    <w:rsid w:val="00534F88"/>
    <w:rsid w:val="00536087"/>
    <w:rsid w:val="00537779"/>
    <w:rsid w:val="00542E4A"/>
    <w:rsid w:val="00543083"/>
    <w:rsid w:val="005434E7"/>
    <w:rsid w:val="005440A1"/>
    <w:rsid w:val="00544FD6"/>
    <w:rsid w:val="0054651E"/>
    <w:rsid w:val="005500BE"/>
    <w:rsid w:val="005500FD"/>
    <w:rsid w:val="00550355"/>
    <w:rsid w:val="0055091D"/>
    <w:rsid w:val="0055158B"/>
    <w:rsid w:val="0055176C"/>
    <w:rsid w:val="00552259"/>
    <w:rsid w:val="00552BCF"/>
    <w:rsid w:val="005533A6"/>
    <w:rsid w:val="00553431"/>
    <w:rsid w:val="00555475"/>
    <w:rsid w:val="005559FD"/>
    <w:rsid w:val="00555CF2"/>
    <w:rsid w:val="00556014"/>
    <w:rsid w:val="005568CE"/>
    <w:rsid w:val="0055724C"/>
    <w:rsid w:val="00560012"/>
    <w:rsid w:val="005604C8"/>
    <w:rsid w:val="005605CF"/>
    <w:rsid w:val="00560A49"/>
    <w:rsid w:val="00560F93"/>
    <w:rsid w:val="00561556"/>
    <w:rsid w:val="00561FD6"/>
    <w:rsid w:val="00562A0C"/>
    <w:rsid w:val="0056623A"/>
    <w:rsid w:val="00566C79"/>
    <w:rsid w:val="0056769E"/>
    <w:rsid w:val="005719A9"/>
    <w:rsid w:val="00571A07"/>
    <w:rsid w:val="0057219F"/>
    <w:rsid w:val="00573AF6"/>
    <w:rsid w:val="00573EFB"/>
    <w:rsid w:val="00574E7D"/>
    <w:rsid w:val="00575028"/>
    <w:rsid w:val="005767DF"/>
    <w:rsid w:val="00577E7F"/>
    <w:rsid w:val="00580397"/>
    <w:rsid w:val="00580E33"/>
    <w:rsid w:val="00580FA1"/>
    <w:rsid w:val="00580FB2"/>
    <w:rsid w:val="00581EB5"/>
    <w:rsid w:val="00582355"/>
    <w:rsid w:val="00582D45"/>
    <w:rsid w:val="005836A3"/>
    <w:rsid w:val="00583FC8"/>
    <w:rsid w:val="00584AA2"/>
    <w:rsid w:val="00584BFE"/>
    <w:rsid w:val="00584C0C"/>
    <w:rsid w:val="005859CD"/>
    <w:rsid w:val="00585CCD"/>
    <w:rsid w:val="005862F9"/>
    <w:rsid w:val="005867AE"/>
    <w:rsid w:val="00586A6E"/>
    <w:rsid w:val="00587EE0"/>
    <w:rsid w:val="00590CBE"/>
    <w:rsid w:val="00591070"/>
    <w:rsid w:val="00591ADA"/>
    <w:rsid w:val="00594704"/>
    <w:rsid w:val="00594978"/>
    <w:rsid w:val="00594EFF"/>
    <w:rsid w:val="0059543C"/>
    <w:rsid w:val="00596664"/>
    <w:rsid w:val="00597FD4"/>
    <w:rsid w:val="005A1713"/>
    <w:rsid w:val="005A1A36"/>
    <w:rsid w:val="005A1B0A"/>
    <w:rsid w:val="005A1D3F"/>
    <w:rsid w:val="005A1FAA"/>
    <w:rsid w:val="005A30EB"/>
    <w:rsid w:val="005A365F"/>
    <w:rsid w:val="005A3ADD"/>
    <w:rsid w:val="005A5BB5"/>
    <w:rsid w:val="005A5DD5"/>
    <w:rsid w:val="005A6500"/>
    <w:rsid w:val="005A6820"/>
    <w:rsid w:val="005A7CE5"/>
    <w:rsid w:val="005B0A3B"/>
    <w:rsid w:val="005B14FD"/>
    <w:rsid w:val="005B1604"/>
    <w:rsid w:val="005B21CB"/>
    <w:rsid w:val="005B26BF"/>
    <w:rsid w:val="005B2B9A"/>
    <w:rsid w:val="005B336A"/>
    <w:rsid w:val="005B33E8"/>
    <w:rsid w:val="005B3BC9"/>
    <w:rsid w:val="005B3D4D"/>
    <w:rsid w:val="005B685E"/>
    <w:rsid w:val="005B6963"/>
    <w:rsid w:val="005B7F51"/>
    <w:rsid w:val="005C0117"/>
    <w:rsid w:val="005C04D7"/>
    <w:rsid w:val="005C6417"/>
    <w:rsid w:val="005C7568"/>
    <w:rsid w:val="005D2499"/>
    <w:rsid w:val="005D46EA"/>
    <w:rsid w:val="005D4FAA"/>
    <w:rsid w:val="005D566E"/>
    <w:rsid w:val="005E0302"/>
    <w:rsid w:val="005E0886"/>
    <w:rsid w:val="005E243B"/>
    <w:rsid w:val="005E3253"/>
    <w:rsid w:val="005E368E"/>
    <w:rsid w:val="005E3881"/>
    <w:rsid w:val="005E3A20"/>
    <w:rsid w:val="005E4EAB"/>
    <w:rsid w:val="005E5788"/>
    <w:rsid w:val="005E5E8B"/>
    <w:rsid w:val="005E73DF"/>
    <w:rsid w:val="005E7678"/>
    <w:rsid w:val="005E77ED"/>
    <w:rsid w:val="005F36F0"/>
    <w:rsid w:val="005F4DFE"/>
    <w:rsid w:val="005F665A"/>
    <w:rsid w:val="005F66C8"/>
    <w:rsid w:val="005F6B69"/>
    <w:rsid w:val="005F6E87"/>
    <w:rsid w:val="005F7CD3"/>
    <w:rsid w:val="005F7CDC"/>
    <w:rsid w:val="00601843"/>
    <w:rsid w:val="0060267D"/>
    <w:rsid w:val="00603941"/>
    <w:rsid w:val="00603A4A"/>
    <w:rsid w:val="00604600"/>
    <w:rsid w:val="00605731"/>
    <w:rsid w:val="00605D18"/>
    <w:rsid w:val="006065CD"/>
    <w:rsid w:val="0060733E"/>
    <w:rsid w:val="0060746E"/>
    <w:rsid w:val="00607800"/>
    <w:rsid w:val="00607A7E"/>
    <w:rsid w:val="0061122C"/>
    <w:rsid w:val="0061137F"/>
    <w:rsid w:val="0061279E"/>
    <w:rsid w:val="00612904"/>
    <w:rsid w:val="00612C03"/>
    <w:rsid w:val="00614034"/>
    <w:rsid w:val="00614057"/>
    <w:rsid w:val="006146AA"/>
    <w:rsid w:val="00614D50"/>
    <w:rsid w:val="00615240"/>
    <w:rsid w:val="00617459"/>
    <w:rsid w:val="00620628"/>
    <w:rsid w:val="00620942"/>
    <w:rsid w:val="006214DA"/>
    <w:rsid w:val="006221C0"/>
    <w:rsid w:val="00622294"/>
    <w:rsid w:val="0062411A"/>
    <w:rsid w:val="006246C9"/>
    <w:rsid w:val="0062475A"/>
    <w:rsid w:val="006259BB"/>
    <w:rsid w:val="00626322"/>
    <w:rsid w:val="006268F3"/>
    <w:rsid w:val="00626ABB"/>
    <w:rsid w:val="006276AC"/>
    <w:rsid w:val="006304DE"/>
    <w:rsid w:val="00630676"/>
    <w:rsid w:val="006308E8"/>
    <w:rsid w:val="00630A8A"/>
    <w:rsid w:val="00630FE5"/>
    <w:rsid w:val="0063276D"/>
    <w:rsid w:val="00632EAA"/>
    <w:rsid w:val="00634070"/>
    <w:rsid w:val="00634756"/>
    <w:rsid w:val="0063675E"/>
    <w:rsid w:val="00636DBE"/>
    <w:rsid w:val="00637ABC"/>
    <w:rsid w:val="00640BE3"/>
    <w:rsid w:val="006423D9"/>
    <w:rsid w:val="00642548"/>
    <w:rsid w:val="00642FD9"/>
    <w:rsid w:val="00643A42"/>
    <w:rsid w:val="00644819"/>
    <w:rsid w:val="00644A7E"/>
    <w:rsid w:val="006457E1"/>
    <w:rsid w:val="0064584B"/>
    <w:rsid w:val="00645C55"/>
    <w:rsid w:val="00645D15"/>
    <w:rsid w:val="00645DBD"/>
    <w:rsid w:val="00647B03"/>
    <w:rsid w:val="006501EE"/>
    <w:rsid w:val="0065022E"/>
    <w:rsid w:val="00650944"/>
    <w:rsid w:val="0065216A"/>
    <w:rsid w:val="00652A4F"/>
    <w:rsid w:val="00653E9B"/>
    <w:rsid w:val="0065478C"/>
    <w:rsid w:val="00655260"/>
    <w:rsid w:val="006553A2"/>
    <w:rsid w:val="00656486"/>
    <w:rsid w:val="00660339"/>
    <w:rsid w:val="00660A4C"/>
    <w:rsid w:val="00662C6F"/>
    <w:rsid w:val="00663451"/>
    <w:rsid w:val="0066396D"/>
    <w:rsid w:val="00665757"/>
    <w:rsid w:val="00666F8E"/>
    <w:rsid w:val="00670279"/>
    <w:rsid w:val="006707A1"/>
    <w:rsid w:val="00671ADF"/>
    <w:rsid w:val="00671C09"/>
    <w:rsid w:val="006725C1"/>
    <w:rsid w:val="006728FE"/>
    <w:rsid w:val="00672F9F"/>
    <w:rsid w:val="00673D83"/>
    <w:rsid w:val="00674865"/>
    <w:rsid w:val="006751A5"/>
    <w:rsid w:val="00675412"/>
    <w:rsid w:val="006765E9"/>
    <w:rsid w:val="00676B7D"/>
    <w:rsid w:val="00676C52"/>
    <w:rsid w:val="00676CDC"/>
    <w:rsid w:val="0067732F"/>
    <w:rsid w:val="00677367"/>
    <w:rsid w:val="00680351"/>
    <w:rsid w:val="006805D5"/>
    <w:rsid w:val="00681486"/>
    <w:rsid w:val="00681783"/>
    <w:rsid w:val="00682B47"/>
    <w:rsid w:val="00682B87"/>
    <w:rsid w:val="00682DA4"/>
    <w:rsid w:val="00683E1A"/>
    <w:rsid w:val="006853BD"/>
    <w:rsid w:val="00685B2F"/>
    <w:rsid w:val="0068688D"/>
    <w:rsid w:val="00686E49"/>
    <w:rsid w:val="00687C5A"/>
    <w:rsid w:val="00690174"/>
    <w:rsid w:val="00690588"/>
    <w:rsid w:val="0069110E"/>
    <w:rsid w:val="00692029"/>
    <w:rsid w:val="00693354"/>
    <w:rsid w:val="0069353B"/>
    <w:rsid w:val="006936D5"/>
    <w:rsid w:val="00693AAB"/>
    <w:rsid w:val="00693B45"/>
    <w:rsid w:val="00694CCE"/>
    <w:rsid w:val="0069536D"/>
    <w:rsid w:val="00695883"/>
    <w:rsid w:val="00695C08"/>
    <w:rsid w:val="0069605C"/>
    <w:rsid w:val="00696B95"/>
    <w:rsid w:val="00697748"/>
    <w:rsid w:val="00697925"/>
    <w:rsid w:val="00697F17"/>
    <w:rsid w:val="006A26ED"/>
    <w:rsid w:val="006A288A"/>
    <w:rsid w:val="006A2991"/>
    <w:rsid w:val="006A389B"/>
    <w:rsid w:val="006A39F1"/>
    <w:rsid w:val="006A45A7"/>
    <w:rsid w:val="006A476A"/>
    <w:rsid w:val="006A49D8"/>
    <w:rsid w:val="006A5421"/>
    <w:rsid w:val="006A559E"/>
    <w:rsid w:val="006A64A1"/>
    <w:rsid w:val="006A6BA0"/>
    <w:rsid w:val="006B0B94"/>
    <w:rsid w:val="006B0BB7"/>
    <w:rsid w:val="006B19D3"/>
    <w:rsid w:val="006B1A82"/>
    <w:rsid w:val="006B1BD4"/>
    <w:rsid w:val="006B203F"/>
    <w:rsid w:val="006B257F"/>
    <w:rsid w:val="006B313B"/>
    <w:rsid w:val="006B49EC"/>
    <w:rsid w:val="006B4E7B"/>
    <w:rsid w:val="006B5D1B"/>
    <w:rsid w:val="006B5FD8"/>
    <w:rsid w:val="006B61E7"/>
    <w:rsid w:val="006B76F2"/>
    <w:rsid w:val="006B77EE"/>
    <w:rsid w:val="006B7918"/>
    <w:rsid w:val="006C09CB"/>
    <w:rsid w:val="006C139C"/>
    <w:rsid w:val="006C1614"/>
    <w:rsid w:val="006C3F55"/>
    <w:rsid w:val="006C4E9E"/>
    <w:rsid w:val="006C598B"/>
    <w:rsid w:val="006C613E"/>
    <w:rsid w:val="006C64AA"/>
    <w:rsid w:val="006C6659"/>
    <w:rsid w:val="006C751A"/>
    <w:rsid w:val="006C7BDE"/>
    <w:rsid w:val="006D0305"/>
    <w:rsid w:val="006D0AEC"/>
    <w:rsid w:val="006D188E"/>
    <w:rsid w:val="006D2ACD"/>
    <w:rsid w:val="006D2B74"/>
    <w:rsid w:val="006D5356"/>
    <w:rsid w:val="006D58CE"/>
    <w:rsid w:val="006D68F1"/>
    <w:rsid w:val="006D7065"/>
    <w:rsid w:val="006E2E53"/>
    <w:rsid w:val="006E31D9"/>
    <w:rsid w:val="006E57D3"/>
    <w:rsid w:val="006E5B89"/>
    <w:rsid w:val="006E5CEC"/>
    <w:rsid w:val="006E64E2"/>
    <w:rsid w:val="006E7A68"/>
    <w:rsid w:val="006E7D6C"/>
    <w:rsid w:val="006F086B"/>
    <w:rsid w:val="006F103D"/>
    <w:rsid w:val="006F161D"/>
    <w:rsid w:val="006F1B13"/>
    <w:rsid w:val="006F31B9"/>
    <w:rsid w:val="006F4F52"/>
    <w:rsid w:val="006F5310"/>
    <w:rsid w:val="006F5843"/>
    <w:rsid w:val="006F6C83"/>
    <w:rsid w:val="006F783B"/>
    <w:rsid w:val="006F7BE3"/>
    <w:rsid w:val="0070113E"/>
    <w:rsid w:val="0070150F"/>
    <w:rsid w:val="00701DDD"/>
    <w:rsid w:val="007026D3"/>
    <w:rsid w:val="0070283B"/>
    <w:rsid w:val="00702DF3"/>
    <w:rsid w:val="00703052"/>
    <w:rsid w:val="00703ABB"/>
    <w:rsid w:val="00704642"/>
    <w:rsid w:val="007049B7"/>
    <w:rsid w:val="0070562F"/>
    <w:rsid w:val="007060AB"/>
    <w:rsid w:val="007066F4"/>
    <w:rsid w:val="00706749"/>
    <w:rsid w:val="007068C8"/>
    <w:rsid w:val="0070719A"/>
    <w:rsid w:val="007076B3"/>
    <w:rsid w:val="00707F3F"/>
    <w:rsid w:val="00710372"/>
    <w:rsid w:val="00710B2F"/>
    <w:rsid w:val="00710F02"/>
    <w:rsid w:val="007116B2"/>
    <w:rsid w:val="00711992"/>
    <w:rsid w:val="0071273C"/>
    <w:rsid w:val="00715717"/>
    <w:rsid w:val="00716A2C"/>
    <w:rsid w:val="00717026"/>
    <w:rsid w:val="00717C7B"/>
    <w:rsid w:val="00717DAD"/>
    <w:rsid w:val="007205E8"/>
    <w:rsid w:val="00720E51"/>
    <w:rsid w:val="007214B7"/>
    <w:rsid w:val="00723162"/>
    <w:rsid w:val="007233A8"/>
    <w:rsid w:val="00724FE4"/>
    <w:rsid w:val="00725D1A"/>
    <w:rsid w:val="00730E88"/>
    <w:rsid w:val="007323CD"/>
    <w:rsid w:val="00733B24"/>
    <w:rsid w:val="007340EE"/>
    <w:rsid w:val="00734C38"/>
    <w:rsid w:val="00734C7D"/>
    <w:rsid w:val="007365F0"/>
    <w:rsid w:val="00736A6E"/>
    <w:rsid w:val="00737D18"/>
    <w:rsid w:val="007424C3"/>
    <w:rsid w:val="00742CA2"/>
    <w:rsid w:val="00742DE8"/>
    <w:rsid w:val="00742E73"/>
    <w:rsid w:val="00743D96"/>
    <w:rsid w:val="007444E6"/>
    <w:rsid w:val="007469DD"/>
    <w:rsid w:val="00746F03"/>
    <w:rsid w:val="00751FB3"/>
    <w:rsid w:val="0075261C"/>
    <w:rsid w:val="007528F3"/>
    <w:rsid w:val="00753018"/>
    <w:rsid w:val="00753E76"/>
    <w:rsid w:val="007544EA"/>
    <w:rsid w:val="007548A8"/>
    <w:rsid w:val="00754B0A"/>
    <w:rsid w:val="00754BE8"/>
    <w:rsid w:val="00754D34"/>
    <w:rsid w:val="00755002"/>
    <w:rsid w:val="0075573A"/>
    <w:rsid w:val="007574C4"/>
    <w:rsid w:val="00757660"/>
    <w:rsid w:val="00757754"/>
    <w:rsid w:val="007607D7"/>
    <w:rsid w:val="007608DE"/>
    <w:rsid w:val="0076121E"/>
    <w:rsid w:val="00761F10"/>
    <w:rsid w:val="00762457"/>
    <w:rsid w:val="00763AE2"/>
    <w:rsid w:val="007643D9"/>
    <w:rsid w:val="00765C23"/>
    <w:rsid w:val="007662FC"/>
    <w:rsid w:val="00766326"/>
    <w:rsid w:val="00766511"/>
    <w:rsid w:val="00766CC0"/>
    <w:rsid w:val="00770327"/>
    <w:rsid w:val="0077161C"/>
    <w:rsid w:val="007720E1"/>
    <w:rsid w:val="00772677"/>
    <w:rsid w:val="00772D3E"/>
    <w:rsid w:val="007733D0"/>
    <w:rsid w:val="0077356F"/>
    <w:rsid w:val="007744E8"/>
    <w:rsid w:val="00775069"/>
    <w:rsid w:val="007754DF"/>
    <w:rsid w:val="00775979"/>
    <w:rsid w:val="007764BA"/>
    <w:rsid w:val="00776E2F"/>
    <w:rsid w:val="00780696"/>
    <w:rsid w:val="007807A9"/>
    <w:rsid w:val="007809AF"/>
    <w:rsid w:val="00780D4D"/>
    <w:rsid w:val="00781158"/>
    <w:rsid w:val="00781446"/>
    <w:rsid w:val="007828F3"/>
    <w:rsid w:val="00783809"/>
    <w:rsid w:val="00783DE6"/>
    <w:rsid w:val="0079006D"/>
    <w:rsid w:val="0079022D"/>
    <w:rsid w:val="00790CEB"/>
    <w:rsid w:val="0079106D"/>
    <w:rsid w:val="00791612"/>
    <w:rsid w:val="00791C24"/>
    <w:rsid w:val="0079256D"/>
    <w:rsid w:val="00793177"/>
    <w:rsid w:val="0079326E"/>
    <w:rsid w:val="007935A5"/>
    <w:rsid w:val="00794408"/>
    <w:rsid w:val="00794CBE"/>
    <w:rsid w:val="00795A0C"/>
    <w:rsid w:val="00797428"/>
    <w:rsid w:val="00797622"/>
    <w:rsid w:val="007977FD"/>
    <w:rsid w:val="007979C7"/>
    <w:rsid w:val="00797D46"/>
    <w:rsid w:val="00797ECF"/>
    <w:rsid w:val="007A2179"/>
    <w:rsid w:val="007A25FA"/>
    <w:rsid w:val="007A2B0B"/>
    <w:rsid w:val="007A2B84"/>
    <w:rsid w:val="007A37F7"/>
    <w:rsid w:val="007A550B"/>
    <w:rsid w:val="007A55CC"/>
    <w:rsid w:val="007A5E95"/>
    <w:rsid w:val="007A60F5"/>
    <w:rsid w:val="007A793E"/>
    <w:rsid w:val="007A7EE8"/>
    <w:rsid w:val="007A7EF6"/>
    <w:rsid w:val="007B04D6"/>
    <w:rsid w:val="007B15E1"/>
    <w:rsid w:val="007B1E0D"/>
    <w:rsid w:val="007B3263"/>
    <w:rsid w:val="007B4141"/>
    <w:rsid w:val="007B41B2"/>
    <w:rsid w:val="007B56EE"/>
    <w:rsid w:val="007B5C3C"/>
    <w:rsid w:val="007B727B"/>
    <w:rsid w:val="007B744D"/>
    <w:rsid w:val="007B7954"/>
    <w:rsid w:val="007B7B8F"/>
    <w:rsid w:val="007B7D3C"/>
    <w:rsid w:val="007C0473"/>
    <w:rsid w:val="007C0D92"/>
    <w:rsid w:val="007C1BAB"/>
    <w:rsid w:val="007C25F3"/>
    <w:rsid w:val="007C37C5"/>
    <w:rsid w:val="007C43F6"/>
    <w:rsid w:val="007C620E"/>
    <w:rsid w:val="007C6E4E"/>
    <w:rsid w:val="007D02E4"/>
    <w:rsid w:val="007D0FDE"/>
    <w:rsid w:val="007D157B"/>
    <w:rsid w:val="007D1E0C"/>
    <w:rsid w:val="007D1FD9"/>
    <w:rsid w:val="007D24D1"/>
    <w:rsid w:val="007D27C1"/>
    <w:rsid w:val="007D294D"/>
    <w:rsid w:val="007D4746"/>
    <w:rsid w:val="007D52D0"/>
    <w:rsid w:val="007D5F61"/>
    <w:rsid w:val="007D6625"/>
    <w:rsid w:val="007D7D7A"/>
    <w:rsid w:val="007E008D"/>
    <w:rsid w:val="007E0128"/>
    <w:rsid w:val="007E07AB"/>
    <w:rsid w:val="007E1406"/>
    <w:rsid w:val="007E19E6"/>
    <w:rsid w:val="007E24B1"/>
    <w:rsid w:val="007E2CD0"/>
    <w:rsid w:val="007E4034"/>
    <w:rsid w:val="007E414C"/>
    <w:rsid w:val="007E523C"/>
    <w:rsid w:val="007E5D77"/>
    <w:rsid w:val="007E5E42"/>
    <w:rsid w:val="007E6CF6"/>
    <w:rsid w:val="007E7882"/>
    <w:rsid w:val="007E7943"/>
    <w:rsid w:val="007F078C"/>
    <w:rsid w:val="007F0FD1"/>
    <w:rsid w:val="007F23FE"/>
    <w:rsid w:val="007F30CD"/>
    <w:rsid w:val="007F31B8"/>
    <w:rsid w:val="007F3608"/>
    <w:rsid w:val="007F4289"/>
    <w:rsid w:val="007F4FB1"/>
    <w:rsid w:val="007F5105"/>
    <w:rsid w:val="007F5115"/>
    <w:rsid w:val="007F5EAD"/>
    <w:rsid w:val="007F6CCD"/>
    <w:rsid w:val="007F6DE0"/>
    <w:rsid w:val="007F7674"/>
    <w:rsid w:val="007F7D36"/>
    <w:rsid w:val="00800693"/>
    <w:rsid w:val="008007BB"/>
    <w:rsid w:val="00800B51"/>
    <w:rsid w:val="00802366"/>
    <w:rsid w:val="00803359"/>
    <w:rsid w:val="00803587"/>
    <w:rsid w:val="00803A8E"/>
    <w:rsid w:val="008043AF"/>
    <w:rsid w:val="0080521F"/>
    <w:rsid w:val="00805810"/>
    <w:rsid w:val="00805C01"/>
    <w:rsid w:val="00806006"/>
    <w:rsid w:val="00806070"/>
    <w:rsid w:val="0080662B"/>
    <w:rsid w:val="00806C33"/>
    <w:rsid w:val="00807368"/>
    <w:rsid w:val="008118FC"/>
    <w:rsid w:val="00811998"/>
    <w:rsid w:val="00811BD3"/>
    <w:rsid w:val="00814B48"/>
    <w:rsid w:val="00815001"/>
    <w:rsid w:val="00815481"/>
    <w:rsid w:val="00815B6D"/>
    <w:rsid w:val="008160EB"/>
    <w:rsid w:val="00820C60"/>
    <w:rsid w:val="00820EBC"/>
    <w:rsid w:val="0082117A"/>
    <w:rsid w:val="00821B48"/>
    <w:rsid w:val="00822D80"/>
    <w:rsid w:val="00822F6F"/>
    <w:rsid w:val="00823448"/>
    <w:rsid w:val="008236E7"/>
    <w:rsid w:val="0082609A"/>
    <w:rsid w:val="0082744B"/>
    <w:rsid w:val="00827D32"/>
    <w:rsid w:val="00830734"/>
    <w:rsid w:val="00831B03"/>
    <w:rsid w:val="00831E6A"/>
    <w:rsid w:val="00831F4D"/>
    <w:rsid w:val="00833000"/>
    <w:rsid w:val="008338CD"/>
    <w:rsid w:val="0083487D"/>
    <w:rsid w:val="00834B4C"/>
    <w:rsid w:val="00834E29"/>
    <w:rsid w:val="008350DF"/>
    <w:rsid w:val="00835B02"/>
    <w:rsid w:val="00835C2A"/>
    <w:rsid w:val="00835EC1"/>
    <w:rsid w:val="00836122"/>
    <w:rsid w:val="00837BA5"/>
    <w:rsid w:val="00841641"/>
    <w:rsid w:val="008422BB"/>
    <w:rsid w:val="008422E8"/>
    <w:rsid w:val="008433D2"/>
    <w:rsid w:val="00845A6F"/>
    <w:rsid w:val="008476FE"/>
    <w:rsid w:val="008500E9"/>
    <w:rsid w:val="00850279"/>
    <w:rsid w:val="00850D35"/>
    <w:rsid w:val="0085244A"/>
    <w:rsid w:val="00852797"/>
    <w:rsid w:val="00852D8F"/>
    <w:rsid w:val="00853C57"/>
    <w:rsid w:val="00853DA9"/>
    <w:rsid w:val="00854EE3"/>
    <w:rsid w:val="00855D78"/>
    <w:rsid w:val="0085793B"/>
    <w:rsid w:val="00857E4A"/>
    <w:rsid w:val="008603D1"/>
    <w:rsid w:val="008606BD"/>
    <w:rsid w:val="008625D6"/>
    <w:rsid w:val="00862F82"/>
    <w:rsid w:val="008635F0"/>
    <w:rsid w:val="00863EA7"/>
    <w:rsid w:val="00864409"/>
    <w:rsid w:val="0086443E"/>
    <w:rsid w:val="00864A9D"/>
    <w:rsid w:val="008650C0"/>
    <w:rsid w:val="0086514D"/>
    <w:rsid w:val="008656DC"/>
    <w:rsid w:val="008661C0"/>
    <w:rsid w:val="00866DF1"/>
    <w:rsid w:val="00867075"/>
    <w:rsid w:val="008677D7"/>
    <w:rsid w:val="0087027E"/>
    <w:rsid w:val="00871515"/>
    <w:rsid w:val="008731AA"/>
    <w:rsid w:val="00874AD5"/>
    <w:rsid w:val="00874EAB"/>
    <w:rsid w:val="008753FE"/>
    <w:rsid w:val="0087647C"/>
    <w:rsid w:val="0088077B"/>
    <w:rsid w:val="008819FF"/>
    <w:rsid w:val="00881A4C"/>
    <w:rsid w:val="00881F4A"/>
    <w:rsid w:val="008820C4"/>
    <w:rsid w:val="008824AD"/>
    <w:rsid w:val="0088339E"/>
    <w:rsid w:val="0088377D"/>
    <w:rsid w:val="00883B72"/>
    <w:rsid w:val="0088426D"/>
    <w:rsid w:val="008854E9"/>
    <w:rsid w:val="00886133"/>
    <w:rsid w:val="0088715C"/>
    <w:rsid w:val="00887E62"/>
    <w:rsid w:val="00891168"/>
    <w:rsid w:val="0089250D"/>
    <w:rsid w:val="008939D0"/>
    <w:rsid w:val="008945C5"/>
    <w:rsid w:val="008949EB"/>
    <w:rsid w:val="00894CEE"/>
    <w:rsid w:val="00894E16"/>
    <w:rsid w:val="00897163"/>
    <w:rsid w:val="0089724A"/>
    <w:rsid w:val="008972A9"/>
    <w:rsid w:val="008974EA"/>
    <w:rsid w:val="008A0307"/>
    <w:rsid w:val="008A0374"/>
    <w:rsid w:val="008A0A6F"/>
    <w:rsid w:val="008A0E2E"/>
    <w:rsid w:val="008A0EF3"/>
    <w:rsid w:val="008A2EEA"/>
    <w:rsid w:val="008A3CBA"/>
    <w:rsid w:val="008A4603"/>
    <w:rsid w:val="008A4BC3"/>
    <w:rsid w:val="008A6C40"/>
    <w:rsid w:val="008A6D5C"/>
    <w:rsid w:val="008A6EFF"/>
    <w:rsid w:val="008A7DF8"/>
    <w:rsid w:val="008B0559"/>
    <w:rsid w:val="008B0825"/>
    <w:rsid w:val="008B0A3D"/>
    <w:rsid w:val="008B10DC"/>
    <w:rsid w:val="008B111B"/>
    <w:rsid w:val="008B145D"/>
    <w:rsid w:val="008B21F5"/>
    <w:rsid w:val="008B245B"/>
    <w:rsid w:val="008B27DF"/>
    <w:rsid w:val="008B404A"/>
    <w:rsid w:val="008B4C58"/>
    <w:rsid w:val="008B5313"/>
    <w:rsid w:val="008B591F"/>
    <w:rsid w:val="008B6FD0"/>
    <w:rsid w:val="008B710E"/>
    <w:rsid w:val="008B7446"/>
    <w:rsid w:val="008C1109"/>
    <w:rsid w:val="008C33D9"/>
    <w:rsid w:val="008C3604"/>
    <w:rsid w:val="008C3946"/>
    <w:rsid w:val="008C43C2"/>
    <w:rsid w:val="008C45C4"/>
    <w:rsid w:val="008C69A4"/>
    <w:rsid w:val="008D0F6F"/>
    <w:rsid w:val="008D1209"/>
    <w:rsid w:val="008D304D"/>
    <w:rsid w:val="008D4799"/>
    <w:rsid w:val="008D4B0B"/>
    <w:rsid w:val="008D4E19"/>
    <w:rsid w:val="008D588A"/>
    <w:rsid w:val="008D5990"/>
    <w:rsid w:val="008D692A"/>
    <w:rsid w:val="008D6A61"/>
    <w:rsid w:val="008D6C3E"/>
    <w:rsid w:val="008D711D"/>
    <w:rsid w:val="008D7717"/>
    <w:rsid w:val="008E02F1"/>
    <w:rsid w:val="008E0923"/>
    <w:rsid w:val="008E0AEA"/>
    <w:rsid w:val="008E1EAD"/>
    <w:rsid w:val="008E2933"/>
    <w:rsid w:val="008E2D35"/>
    <w:rsid w:val="008E30B5"/>
    <w:rsid w:val="008E3FF3"/>
    <w:rsid w:val="008E4993"/>
    <w:rsid w:val="008E4E32"/>
    <w:rsid w:val="008E4F59"/>
    <w:rsid w:val="008E59A2"/>
    <w:rsid w:val="008E59EC"/>
    <w:rsid w:val="008E5AC3"/>
    <w:rsid w:val="008E6960"/>
    <w:rsid w:val="008E6AA2"/>
    <w:rsid w:val="008E7A60"/>
    <w:rsid w:val="008F1013"/>
    <w:rsid w:val="008F1EDA"/>
    <w:rsid w:val="008F34AB"/>
    <w:rsid w:val="008F3E68"/>
    <w:rsid w:val="008F4C3B"/>
    <w:rsid w:val="008F5F69"/>
    <w:rsid w:val="008F61CD"/>
    <w:rsid w:val="008F6825"/>
    <w:rsid w:val="00900A58"/>
    <w:rsid w:val="00901601"/>
    <w:rsid w:val="0090275B"/>
    <w:rsid w:val="00903B1F"/>
    <w:rsid w:val="00903B87"/>
    <w:rsid w:val="009045A9"/>
    <w:rsid w:val="0090475A"/>
    <w:rsid w:val="00904B14"/>
    <w:rsid w:val="00904BF3"/>
    <w:rsid w:val="00904C74"/>
    <w:rsid w:val="00906BDA"/>
    <w:rsid w:val="009074D0"/>
    <w:rsid w:val="009102FA"/>
    <w:rsid w:val="00910D2C"/>
    <w:rsid w:val="0091119B"/>
    <w:rsid w:val="00911397"/>
    <w:rsid w:val="00911DD0"/>
    <w:rsid w:val="00912783"/>
    <w:rsid w:val="00913DA3"/>
    <w:rsid w:val="00913F6F"/>
    <w:rsid w:val="00914820"/>
    <w:rsid w:val="00914873"/>
    <w:rsid w:val="00914988"/>
    <w:rsid w:val="00914EB6"/>
    <w:rsid w:val="00915498"/>
    <w:rsid w:val="00916AB9"/>
    <w:rsid w:val="00920C78"/>
    <w:rsid w:val="00920EA3"/>
    <w:rsid w:val="00921249"/>
    <w:rsid w:val="009217A7"/>
    <w:rsid w:val="00921E73"/>
    <w:rsid w:val="00922D30"/>
    <w:rsid w:val="0092570D"/>
    <w:rsid w:val="00926193"/>
    <w:rsid w:val="009269E0"/>
    <w:rsid w:val="00927B9B"/>
    <w:rsid w:val="009306A2"/>
    <w:rsid w:val="00931A4B"/>
    <w:rsid w:val="00931D67"/>
    <w:rsid w:val="00932038"/>
    <w:rsid w:val="00932533"/>
    <w:rsid w:val="00933066"/>
    <w:rsid w:val="00933449"/>
    <w:rsid w:val="009340BE"/>
    <w:rsid w:val="00934D31"/>
    <w:rsid w:val="009367B5"/>
    <w:rsid w:val="00936BF7"/>
    <w:rsid w:val="00937309"/>
    <w:rsid w:val="0093745D"/>
    <w:rsid w:val="00941C5A"/>
    <w:rsid w:val="009420EF"/>
    <w:rsid w:val="00943896"/>
    <w:rsid w:val="009448A7"/>
    <w:rsid w:val="00944CAB"/>
    <w:rsid w:val="009454A0"/>
    <w:rsid w:val="00945C34"/>
    <w:rsid w:val="00945C75"/>
    <w:rsid w:val="00945DE2"/>
    <w:rsid w:val="009466A0"/>
    <w:rsid w:val="00946A9A"/>
    <w:rsid w:val="00950965"/>
    <w:rsid w:val="00951433"/>
    <w:rsid w:val="00952765"/>
    <w:rsid w:val="009529F5"/>
    <w:rsid w:val="009554C0"/>
    <w:rsid w:val="009567A0"/>
    <w:rsid w:val="00956934"/>
    <w:rsid w:val="00960241"/>
    <w:rsid w:val="009608AF"/>
    <w:rsid w:val="0096380E"/>
    <w:rsid w:val="00964EEA"/>
    <w:rsid w:val="009651B1"/>
    <w:rsid w:val="00965924"/>
    <w:rsid w:val="009661C7"/>
    <w:rsid w:val="00966305"/>
    <w:rsid w:val="0096658C"/>
    <w:rsid w:val="00967268"/>
    <w:rsid w:val="0096743A"/>
    <w:rsid w:val="0097205F"/>
    <w:rsid w:val="0097259C"/>
    <w:rsid w:val="00972808"/>
    <w:rsid w:val="009731CC"/>
    <w:rsid w:val="009747B8"/>
    <w:rsid w:val="00975CDF"/>
    <w:rsid w:val="009767A2"/>
    <w:rsid w:val="00980293"/>
    <w:rsid w:val="00980E7B"/>
    <w:rsid w:val="00981742"/>
    <w:rsid w:val="0098177B"/>
    <w:rsid w:val="00981F2B"/>
    <w:rsid w:val="009826A9"/>
    <w:rsid w:val="00982ADE"/>
    <w:rsid w:val="00982EA9"/>
    <w:rsid w:val="009830F6"/>
    <w:rsid w:val="00983CC1"/>
    <w:rsid w:val="00984DA0"/>
    <w:rsid w:val="00985066"/>
    <w:rsid w:val="00985140"/>
    <w:rsid w:val="00986E28"/>
    <w:rsid w:val="00990011"/>
    <w:rsid w:val="009904EA"/>
    <w:rsid w:val="00990986"/>
    <w:rsid w:val="00990ED2"/>
    <w:rsid w:val="0099150C"/>
    <w:rsid w:val="00991BBB"/>
    <w:rsid w:val="00992762"/>
    <w:rsid w:val="00992A12"/>
    <w:rsid w:val="009931FA"/>
    <w:rsid w:val="00993245"/>
    <w:rsid w:val="00994B69"/>
    <w:rsid w:val="009951ED"/>
    <w:rsid w:val="0099622A"/>
    <w:rsid w:val="00997AA0"/>
    <w:rsid w:val="00997B73"/>
    <w:rsid w:val="00997F98"/>
    <w:rsid w:val="009A0355"/>
    <w:rsid w:val="009A03B9"/>
    <w:rsid w:val="009A074D"/>
    <w:rsid w:val="009A0F2F"/>
    <w:rsid w:val="009A1543"/>
    <w:rsid w:val="009A1C12"/>
    <w:rsid w:val="009A1D02"/>
    <w:rsid w:val="009A2706"/>
    <w:rsid w:val="009A294C"/>
    <w:rsid w:val="009A2F21"/>
    <w:rsid w:val="009A3C16"/>
    <w:rsid w:val="009A4281"/>
    <w:rsid w:val="009A5290"/>
    <w:rsid w:val="009A5307"/>
    <w:rsid w:val="009A67B7"/>
    <w:rsid w:val="009A6C73"/>
    <w:rsid w:val="009A6CC5"/>
    <w:rsid w:val="009B12AF"/>
    <w:rsid w:val="009B1CFE"/>
    <w:rsid w:val="009B3564"/>
    <w:rsid w:val="009B44AA"/>
    <w:rsid w:val="009B5C64"/>
    <w:rsid w:val="009B5EC4"/>
    <w:rsid w:val="009B607D"/>
    <w:rsid w:val="009B668C"/>
    <w:rsid w:val="009B704E"/>
    <w:rsid w:val="009B78C8"/>
    <w:rsid w:val="009B799A"/>
    <w:rsid w:val="009C1ED8"/>
    <w:rsid w:val="009C233A"/>
    <w:rsid w:val="009C332B"/>
    <w:rsid w:val="009C3EA5"/>
    <w:rsid w:val="009C4139"/>
    <w:rsid w:val="009C5848"/>
    <w:rsid w:val="009C60A0"/>
    <w:rsid w:val="009C6464"/>
    <w:rsid w:val="009C64AA"/>
    <w:rsid w:val="009D0D40"/>
    <w:rsid w:val="009D1CC7"/>
    <w:rsid w:val="009D2000"/>
    <w:rsid w:val="009D2706"/>
    <w:rsid w:val="009D2BE4"/>
    <w:rsid w:val="009D4882"/>
    <w:rsid w:val="009D4FFE"/>
    <w:rsid w:val="009D5328"/>
    <w:rsid w:val="009D621D"/>
    <w:rsid w:val="009D6BAE"/>
    <w:rsid w:val="009D7709"/>
    <w:rsid w:val="009D7B49"/>
    <w:rsid w:val="009E0115"/>
    <w:rsid w:val="009E0C72"/>
    <w:rsid w:val="009E158B"/>
    <w:rsid w:val="009E256A"/>
    <w:rsid w:val="009E2BD7"/>
    <w:rsid w:val="009E3D7C"/>
    <w:rsid w:val="009E49CA"/>
    <w:rsid w:val="009E5751"/>
    <w:rsid w:val="009E5C3D"/>
    <w:rsid w:val="009E7243"/>
    <w:rsid w:val="009F06F0"/>
    <w:rsid w:val="009F308D"/>
    <w:rsid w:val="009F3199"/>
    <w:rsid w:val="009F321D"/>
    <w:rsid w:val="009F3EEB"/>
    <w:rsid w:val="009F4509"/>
    <w:rsid w:val="009F5E81"/>
    <w:rsid w:val="009F7D83"/>
    <w:rsid w:val="009F7DB3"/>
    <w:rsid w:val="009F7F73"/>
    <w:rsid w:val="00A016E0"/>
    <w:rsid w:val="00A023CB"/>
    <w:rsid w:val="00A024F6"/>
    <w:rsid w:val="00A02747"/>
    <w:rsid w:val="00A02D55"/>
    <w:rsid w:val="00A04BCE"/>
    <w:rsid w:val="00A04E7B"/>
    <w:rsid w:val="00A05BF7"/>
    <w:rsid w:val="00A0652E"/>
    <w:rsid w:val="00A06926"/>
    <w:rsid w:val="00A06EC0"/>
    <w:rsid w:val="00A07E09"/>
    <w:rsid w:val="00A1062C"/>
    <w:rsid w:val="00A108FB"/>
    <w:rsid w:val="00A10B60"/>
    <w:rsid w:val="00A10EBB"/>
    <w:rsid w:val="00A11BC0"/>
    <w:rsid w:val="00A121D5"/>
    <w:rsid w:val="00A12F8E"/>
    <w:rsid w:val="00A13CBA"/>
    <w:rsid w:val="00A1464A"/>
    <w:rsid w:val="00A14EE7"/>
    <w:rsid w:val="00A178E6"/>
    <w:rsid w:val="00A17A02"/>
    <w:rsid w:val="00A17E48"/>
    <w:rsid w:val="00A21225"/>
    <w:rsid w:val="00A215B4"/>
    <w:rsid w:val="00A22A37"/>
    <w:rsid w:val="00A24749"/>
    <w:rsid w:val="00A252D0"/>
    <w:rsid w:val="00A26E24"/>
    <w:rsid w:val="00A27029"/>
    <w:rsid w:val="00A27BE2"/>
    <w:rsid w:val="00A3030F"/>
    <w:rsid w:val="00A3059C"/>
    <w:rsid w:val="00A3074A"/>
    <w:rsid w:val="00A33990"/>
    <w:rsid w:val="00A340E2"/>
    <w:rsid w:val="00A34699"/>
    <w:rsid w:val="00A355CE"/>
    <w:rsid w:val="00A35C8F"/>
    <w:rsid w:val="00A36D16"/>
    <w:rsid w:val="00A36E5D"/>
    <w:rsid w:val="00A3727B"/>
    <w:rsid w:val="00A40AFC"/>
    <w:rsid w:val="00A40E02"/>
    <w:rsid w:val="00A411CA"/>
    <w:rsid w:val="00A42319"/>
    <w:rsid w:val="00A44438"/>
    <w:rsid w:val="00A458CE"/>
    <w:rsid w:val="00A46682"/>
    <w:rsid w:val="00A46C82"/>
    <w:rsid w:val="00A473F3"/>
    <w:rsid w:val="00A47695"/>
    <w:rsid w:val="00A516F2"/>
    <w:rsid w:val="00A52EAC"/>
    <w:rsid w:val="00A52F65"/>
    <w:rsid w:val="00A53814"/>
    <w:rsid w:val="00A540FF"/>
    <w:rsid w:val="00A54743"/>
    <w:rsid w:val="00A5499F"/>
    <w:rsid w:val="00A55058"/>
    <w:rsid w:val="00A56393"/>
    <w:rsid w:val="00A56DF5"/>
    <w:rsid w:val="00A56E1B"/>
    <w:rsid w:val="00A57738"/>
    <w:rsid w:val="00A600A6"/>
    <w:rsid w:val="00A60545"/>
    <w:rsid w:val="00A6154E"/>
    <w:rsid w:val="00A61596"/>
    <w:rsid w:val="00A61BD3"/>
    <w:rsid w:val="00A63AEE"/>
    <w:rsid w:val="00A64040"/>
    <w:rsid w:val="00A651C1"/>
    <w:rsid w:val="00A6572A"/>
    <w:rsid w:val="00A66605"/>
    <w:rsid w:val="00A711CC"/>
    <w:rsid w:val="00A71D73"/>
    <w:rsid w:val="00A724EF"/>
    <w:rsid w:val="00A72CB4"/>
    <w:rsid w:val="00A73F02"/>
    <w:rsid w:val="00A76435"/>
    <w:rsid w:val="00A76B91"/>
    <w:rsid w:val="00A7720F"/>
    <w:rsid w:val="00A77C33"/>
    <w:rsid w:val="00A77F87"/>
    <w:rsid w:val="00A81E65"/>
    <w:rsid w:val="00A824E2"/>
    <w:rsid w:val="00A82F7F"/>
    <w:rsid w:val="00A838E4"/>
    <w:rsid w:val="00A84237"/>
    <w:rsid w:val="00A842DE"/>
    <w:rsid w:val="00A84645"/>
    <w:rsid w:val="00A846F2"/>
    <w:rsid w:val="00A85C51"/>
    <w:rsid w:val="00A86086"/>
    <w:rsid w:val="00A864AD"/>
    <w:rsid w:val="00A86B5A"/>
    <w:rsid w:val="00A87A00"/>
    <w:rsid w:val="00A87DF3"/>
    <w:rsid w:val="00A87DF6"/>
    <w:rsid w:val="00A9076F"/>
    <w:rsid w:val="00A90D32"/>
    <w:rsid w:val="00A9173C"/>
    <w:rsid w:val="00A95A09"/>
    <w:rsid w:val="00A95C73"/>
    <w:rsid w:val="00A971FF"/>
    <w:rsid w:val="00A976E5"/>
    <w:rsid w:val="00AA16B7"/>
    <w:rsid w:val="00AA19F5"/>
    <w:rsid w:val="00AA1EBA"/>
    <w:rsid w:val="00AA26BA"/>
    <w:rsid w:val="00AA295B"/>
    <w:rsid w:val="00AA2D25"/>
    <w:rsid w:val="00AA3683"/>
    <w:rsid w:val="00AA387D"/>
    <w:rsid w:val="00AA3B21"/>
    <w:rsid w:val="00AA4DC6"/>
    <w:rsid w:val="00AA504B"/>
    <w:rsid w:val="00AA74A1"/>
    <w:rsid w:val="00AA784A"/>
    <w:rsid w:val="00AB0413"/>
    <w:rsid w:val="00AB066E"/>
    <w:rsid w:val="00AB31FF"/>
    <w:rsid w:val="00AB3CE7"/>
    <w:rsid w:val="00AB476A"/>
    <w:rsid w:val="00AB49CD"/>
    <w:rsid w:val="00AB5115"/>
    <w:rsid w:val="00AB543F"/>
    <w:rsid w:val="00AB5DAD"/>
    <w:rsid w:val="00AB6187"/>
    <w:rsid w:val="00AC0BFD"/>
    <w:rsid w:val="00AC2DB5"/>
    <w:rsid w:val="00AC3036"/>
    <w:rsid w:val="00AC31CE"/>
    <w:rsid w:val="00AC54F3"/>
    <w:rsid w:val="00AC6E0E"/>
    <w:rsid w:val="00AC7253"/>
    <w:rsid w:val="00AC7426"/>
    <w:rsid w:val="00AD009B"/>
    <w:rsid w:val="00AD08CD"/>
    <w:rsid w:val="00AD17E4"/>
    <w:rsid w:val="00AD265B"/>
    <w:rsid w:val="00AD3032"/>
    <w:rsid w:val="00AD34A3"/>
    <w:rsid w:val="00AD3556"/>
    <w:rsid w:val="00AD56C9"/>
    <w:rsid w:val="00AD618D"/>
    <w:rsid w:val="00AD7402"/>
    <w:rsid w:val="00AD76A3"/>
    <w:rsid w:val="00AE1551"/>
    <w:rsid w:val="00AE210A"/>
    <w:rsid w:val="00AE24F1"/>
    <w:rsid w:val="00AE3580"/>
    <w:rsid w:val="00AE4FBF"/>
    <w:rsid w:val="00AE513C"/>
    <w:rsid w:val="00AE5CFA"/>
    <w:rsid w:val="00AE684E"/>
    <w:rsid w:val="00AE6879"/>
    <w:rsid w:val="00AE739F"/>
    <w:rsid w:val="00AE788C"/>
    <w:rsid w:val="00AE78A3"/>
    <w:rsid w:val="00AF00FB"/>
    <w:rsid w:val="00AF43FE"/>
    <w:rsid w:val="00AF4D0C"/>
    <w:rsid w:val="00AF4DCB"/>
    <w:rsid w:val="00AF4FA4"/>
    <w:rsid w:val="00AF5026"/>
    <w:rsid w:val="00AF51BD"/>
    <w:rsid w:val="00AF5E3D"/>
    <w:rsid w:val="00AF6ADE"/>
    <w:rsid w:val="00B0374D"/>
    <w:rsid w:val="00B04D09"/>
    <w:rsid w:val="00B064D0"/>
    <w:rsid w:val="00B10F46"/>
    <w:rsid w:val="00B117B8"/>
    <w:rsid w:val="00B12C7C"/>
    <w:rsid w:val="00B1486D"/>
    <w:rsid w:val="00B1564E"/>
    <w:rsid w:val="00B16446"/>
    <w:rsid w:val="00B1676B"/>
    <w:rsid w:val="00B171CD"/>
    <w:rsid w:val="00B17853"/>
    <w:rsid w:val="00B17957"/>
    <w:rsid w:val="00B17EA6"/>
    <w:rsid w:val="00B20A41"/>
    <w:rsid w:val="00B20BB7"/>
    <w:rsid w:val="00B210D3"/>
    <w:rsid w:val="00B210F3"/>
    <w:rsid w:val="00B21E9C"/>
    <w:rsid w:val="00B2401D"/>
    <w:rsid w:val="00B2558C"/>
    <w:rsid w:val="00B2722E"/>
    <w:rsid w:val="00B27664"/>
    <w:rsid w:val="00B27CEE"/>
    <w:rsid w:val="00B30066"/>
    <w:rsid w:val="00B31D1C"/>
    <w:rsid w:val="00B326A6"/>
    <w:rsid w:val="00B32BF8"/>
    <w:rsid w:val="00B33E0E"/>
    <w:rsid w:val="00B347D3"/>
    <w:rsid w:val="00B368F3"/>
    <w:rsid w:val="00B36BEA"/>
    <w:rsid w:val="00B371BB"/>
    <w:rsid w:val="00B3723A"/>
    <w:rsid w:val="00B37258"/>
    <w:rsid w:val="00B379EF"/>
    <w:rsid w:val="00B41ACB"/>
    <w:rsid w:val="00B41E37"/>
    <w:rsid w:val="00B43AB8"/>
    <w:rsid w:val="00B44D78"/>
    <w:rsid w:val="00B46C10"/>
    <w:rsid w:val="00B470E5"/>
    <w:rsid w:val="00B47420"/>
    <w:rsid w:val="00B50570"/>
    <w:rsid w:val="00B50E30"/>
    <w:rsid w:val="00B520AB"/>
    <w:rsid w:val="00B52A70"/>
    <w:rsid w:val="00B53093"/>
    <w:rsid w:val="00B54013"/>
    <w:rsid w:val="00B546AD"/>
    <w:rsid w:val="00B54865"/>
    <w:rsid w:val="00B549B8"/>
    <w:rsid w:val="00B562D8"/>
    <w:rsid w:val="00B56780"/>
    <w:rsid w:val="00B572EB"/>
    <w:rsid w:val="00B578F2"/>
    <w:rsid w:val="00B60346"/>
    <w:rsid w:val="00B60561"/>
    <w:rsid w:val="00B6060A"/>
    <w:rsid w:val="00B607A6"/>
    <w:rsid w:val="00B61BB1"/>
    <w:rsid w:val="00B61DE9"/>
    <w:rsid w:val="00B62160"/>
    <w:rsid w:val="00B62266"/>
    <w:rsid w:val="00B63ED9"/>
    <w:rsid w:val="00B642DA"/>
    <w:rsid w:val="00B65502"/>
    <w:rsid w:val="00B65509"/>
    <w:rsid w:val="00B655A1"/>
    <w:rsid w:val="00B66873"/>
    <w:rsid w:val="00B66A05"/>
    <w:rsid w:val="00B66E42"/>
    <w:rsid w:val="00B67A5D"/>
    <w:rsid w:val="00B7072B"/>
    <w:rsid w:val="00B70FFF"/>
    <w:rsid w:val="00B716B9"/>
    <w:rsid w:val="00B71B14"/>
    <w:rsid w:val="00B731B1"/>
    <w:rsid w:val="00B73D47"/>
    <w:rsid w:val="00B7421F"/>
    <w:rsid w:val="00B74715"/>
    <w:rsid w:val="00B7487F"/>
    <w:rsid w:val="00B75397"/>
    <w:rsid w:val="00B75F08"/>
    <w:rsid w:val="00B760F0"/>
    <w:rsid w:val="00B761C0"/>
    <w:rsid w:val="00B76244"/>
    <w:rsid w:val="00B76675"/>
    <w:rsid w:val="00B770A8"/>
    <w:rsid w:val="00B77D93"/>
    <w:rsid w:val="00B80B5F"/>
    <w:rsid w:val="00B80F2C"/>
    <w:rsid w:val="00B82040"/>
    <w:rsid w:val="00B8238C"/>
    <w:rsid w:val="00B8284A"/>
    <w:rsid w:val="00B831D2"/>
    <w:rsid w:val="00B83E60"/>
    <w:rsid w:val="00B85018"/>
    <w:rsid w:val="00B856F0"/>
    <w:rsid w:val="00B87E00"/>
    <w:rsid w:val="00B90297"/>
    <w:rsid w:val="00B915C4"/>
    <w:rsid w:val="00B92A6A"/>
    <w:rsid w:val="00B94396"/>
    <w:rsid w:val="00B9448E"/>
    <w:rsid w:val="00B949BD"/>
    <w:rsid w:val="00B953E6"/>
    <w:rsid w:val="00B957AE"/>
    <w:rsid w:val="00B95C13"/>
    <w:rsid w:val="00B95C1C"/>
    <w:rsid w:val="00B96125"/>
    <w:rsid w:val="00B961D0"/>
    <w:rsid w:val="00B9644F"/>
    <w:rsid w:val="00B96910"/>
    <w:rsid w:val="00B97019"/>
    <w:rsid w:val="00B977CE"/>
    <w:rsid w:val="00B97A31"/>
    <w:rsid w:val="00B97E6C"/>
    <w:rsid w:val="00BA019C"/>
    <w:rsid w:val="00BA080B"/>
    <w:rsid w:val="00BA1394"/>
    <w:rsid w:val="00BA20C9"/>
    <w:rsid w:val="00BA3E77"/>
    <w:rsid w:val="00BA46A7"/>
    <w:rsid w:val="00BA522B"/>
    <w:rsid w:val="00BB08CC"/>
    <w:rsid w:val="00BB0A16"/>
    <w:rsid w:val="00BB0C41"/>
    <w:rsid w:val="00BB0C66"/>
    <w:rsid w:val="00BB1591"/>
    <w:rsid w:val="00BB2A95"/>
    <w:rsid w:val="00BB2CA6"/>
    <w:rsid w:val="00BB30A9"/>
    <w:rsid w:val="00BB32E5"/>
    <w:rsid w:val="00BB4A0F"/>
    <w:rsid w:val="00BB5026"/>
    <w:rsid w:val="00BB50A0"/>
    <w:rsid w:val="00BB516D"/>
    <w:rsid w:val="00BB5D9B"/>
    <w:rsid w:val="00BB60E8"/>
    <w:rsid w:val="00BB6E0A"/>
    <w:rsid w:val="00BB7978"/>
    <w:rsid w:val="00BB7EDB"/>
    <w:rsid w:val="00BC0DC1"/>
    <w:rsid w:val="00BC134F"/>
    <w:rsid w:val="00BC31FB"/>
    <w:rsid w:val="00BC34EE"/>
    <w:rsid w:val="00BC36F0"/>
    <w:rsid w:val="00BC3A62"/>
    <w:rsid w:val="00BC3A85"/>
    <w:rsid w:val="00BC45FB"/>
    <w:rsid w:val="00BC4F58"/>
    <w:rsid w:val="00BC7ACC"/>
    <w:rsid w:val="00BD3463"/>
    <w:rsid w:val="00BD3F01"/>
    <w:rsid w:val="00BD429D"/>
    <w:rsid w:val="00BD45DD"/>
    <w:rsid w:val="00BD5622"/>
    <w:rsid w:val="00BD642B"/>
    <w:rsid w:val="00BD6AEC"/>
    <w:rsid w:val="00BD7126"/>
    <w:rsid w:val="00BD7150"/>
    <w:rsid w:val="00BD7D72"/>
    <w:rsid w:val="00BE0AC1"/>
    <w:rsid w:val="00BE1634"/>
    <w:rsid w:val="00BE1C83"/>
    <w:rsid w:val="00BE3ABC"/>
    <w:rsid w:val="00BE49FE"/>
    <w:rsid w:val="00BE5F97"/>
    <w:rsid w:val="00BE65AE"/>
    <w:rsid w:val="00BF0436"/>
    <w:rsid w:val="00BF0F65"/>
    <w:rsid w:val="00BF24AD"/>
    <w:rsid w:val="00BF3B06"/>
    <w:rsid w:val="00BF473D"/>
    <w:rsid w:val="00BF5666"/>
    <w:rsid w:val="00C000A6"/>
    <w:rsid w:val="00C00B03"/>
    <w:rsid w:val="00C00C66"/>
    <w:rsid w:val="00C01C74"/>
    <w:rsid w:val="00C01EB0"/>
    <w:rsid w:val="00C030F8"/>
    <w:rsid w:val="00C042F7"/>
    <w:rsid w:val="00C0433E"/>
    <w:rsid w:val="00C0483B"/>
    <w:rsid w:val="00C04E82"/>
    <w:rsid w:val="00C05726"/>
    <w:rsid w:val="00C05A2E"/>
    <w:rsid w:val="00C06054"/>
    <w:rsid w:val="00C060B8"/>
    <w:rsid w:val="00C06379"/>
    <w:rsid w:val="00C06E6E"/>
    <w:rsid w:val="00C07447"/>
    <w:rsid w:val="00C075CC"/>
    <w:rsid w:val="00C101A8"/>
    <w:rsid w:val="00C1052E"/>
    <w:rsid w:val="00C13BD0"/>
    <w:rsid w:val="00C146FC"/>
    <w:rsid w:val="00C154D2"/>
    <w:rsid w:val="00C156CC"/>
    <w:rsid w:val="00C15794"/>
    <w:rsid w:val="00C15D66"/>
    <w:rsid w:val="00C16190"/>
    <w:rsid w:val="00C17090"/>
    <w:rsid w:val="00C177EA"/>
    <w:rsid w:val="00C17EE2"/>
    <w:rsid w:val="00C20C27"/>
    <w:rsid w:val="00C21452"/>
    <w:rsid w:val="00C23903"/>
    <w:rsid w:val="00C23B36"/>
    <w:rsid w:val="00C24343"/>
    <w:rsid w:val="00C26A49"/>
    <w:rsid w:val="00C26C4E"/>
    <w:rsid w:val="00C27401"/>
    <w:rsid w:val="00C27B81"/>
    <w:rsid w:val="00C306BB"/>
    <w:rsid w:val="00C327E9"/>
    <w:rsid w:val="00C3335C"/>
    <w:rsid w:val="00C36027"/>
    <w:rsid w:val="00C361D3"/>
    <w:rsid w:val="00C36469"/>
    <w:rsid w:val="00C37D02"/>
    <w:rsid w:val="00C4035B"/>
    <w:rsid w:val="00C440ED"/>
    <w:rsid w:val="00C45A59"/>
    <w:rsid w:val="00C45B4D"/>
    <w:rsid w:val="00C46105"/>
    <w:rsid w:val="00C46D19"/>
    <w:rsid w:val="00C4705D"/>
    <w:rsid w:val="00C4776D"/>
    <w:rsid w:val="00C51939"/>
    <w:rsid w:val="00C51E21"/>
    <w:rsid w:val="00C52DE6"/>
    <w:rsid w:val="00C537F3"/>
    <w:rsid w:val="00C54589"/>
    <w:rsid w:val="00C56A6E"/>
    <w:rsid w:val="00C5718C"/>
    <w:rsid w:val="00C57679"/>
    <w:rsid w:val="00C578BB"/>
    <w:rsid w:val="00C57D46"/>
    <w:rsid w:val="00C611FC"/>
    <w:rsid w:val="00C61469"/>
    <w:rsid w:val="00C625B1"/>
    <w:rsid w:val="00C63B14"/>
    <w:rsid w:val="00C64542"/>
    <w:rsid w:val="00C64D26"/>
    <w:rsid w:val="00C6545E"/>
    <w:rsid w:val="00C65A42"/>
    <w:rsid w:val="00C669EA"/>
    <w:rsid w:val="00C66D77"/>
    <w:rsid w:val="00C67DB5"/>
    <w:rsid w:val="00C67F85"/>
    <w:rsid w:val="00C70BCA"/>
    <w:rsid w:val="00C71EF8"/>
    <w:rsid w:val="00C72882"/>
    <w:rsid w:val="00C72F34"/>
    <w:rsid w:val="00C7364A"/>
    <w:rsid w:val="00C73A67"/>
    <w:rsid w:val="00C750B9"/>
    <w:rsid w:val="00C75A54"/>
    <w:rsid w:val="00C7608B"/>
    <w:rsid w:val="00C770F3"/>
    <w:rsid w:val="00C8294F"/>
    <w:rsid w:val="00C82CC5"/>
    <w:rsid w:val="00C832A5"/>
    <w:rsid w:val="00C8336F"/>
    <w:rsid w:val="00C84705"/>
    <w:rsid w:val="00C8622B"/>
    <w:rsid w:val="00C864D0"/>
    <w:rsid w:val="00C8783C"/>
    <w:rsid w:val="00C90171"/>
    <w:rsid w:val="00C90604"/>
    <w:rsid w:val="00C9067A"/>
    <w:rsid w:val="00C90D7E"/>
    <w:rsid w:val="00C90EDF"/>
    <w:rsid w:val="00C90F2D"/>
    <w:rsid w:val="00C911AC"/>
    <w:rsid w:val="00C91714"/>
    <w:rsid w:val="00C91ED3"/>
    <w:rsid w:val="00C92E8A"/>
    <w:rsid w:val="00C93C81"/>
    <w:rsid w:val="00C96E61"/>
    <w:rsid w:val="00CA0032"/>
    <w:rsid w:val="00CA0AAA"/>
    <w:rsid w:val="00CA1261"/>
    <w:rsid w:val="00CA1455"/>
    <w:rsid w:val="00CA1E8E"/>
    <w:rsid w:val="00CA304A"/>
    <w:rsid w:val="00CA3472"/>
    <w:rsid w:val="00CA5DEA"/>
    <w:rsid w:val="00CA609F"/>
    <w:rsid w:val="00CA6E68"/>
    <w:rsid w:val="00CA74DB"/>
    <w:rsid w:val="00CA7646"/>
    <w:rsid w:val="00CB1055"/>
    <w:rsid w:val="00CB10E9"/>
    <w:rsid w:val="00CB1950"/>
    <w:rsid w:val="00CB2145"/>
    <w:rsid w:val="00CB2254"/>
    <w:rsid w:val="00CB27C8"/>
    <w:rsid w:val="00CB2BD7"/>
    <w:rsid w:val="00CB3CC8"/>
    <w:rsid w:val="00CB412E"/>
    <w:rsid w:val="00CB4C03"/>
    <w:rsid w:val="00CB5011"/>
    <w:rsid w:val="00CB5083"/>
    <w:rsid w:val="00CB5ABA"/>
    <w:rsid w:val="00CB6104"/>
    <w:rsid w:val="00CB7DC2"/>
    <w:rsid w:val="00CB7EE9"/>
    <w:rsid w:val="00CC0071"/>
    <w:rsid w:val="00CC06D0"/>
    <w:rsid w:val="00CC0BFC"/>
    <w:rsid w:val="00CC0DD3"/>
    <w:rsid w:val="00CC1188"/>
    <w:rsid w:val="00CC16D5"/>
    <w:rsid w:val="00CC1786"/>
    <w:rsid w:val="00CC180C"/>
    <w:rsid w:val="00CC2970"/>
    <w:rsid w:val="00CC3512"/>
    <w:rsid w:val="00CC427C"/>
    <w:rsid w:val="00CC7151"/>
    <w:rsid w:val="00CC767C"/>
    <w:rsid w:val="00CC784C"/>
    <w:rsid w:val="00CD01D0"/>
    <w:rsid w:val="00CD050B"/>
    <w:rsid w:val="00CD1231"/>
    <w:rsid w:val="00CD1822"/>
    <w:rsid w:val="00CD2634"/>
    <w:rsid w:val="00CD2A1B"/>
    <w:rsid w:val="00CD3B19"/>
    <w:rsid w:val="00CD3EDA"/>
    <w:rsid w:val="00CD777D"/>
    <w:rsid w:val="00CE30FC"/>
    <w:rsid w:val="00CE48EB"/>
    <w:rsid w:val="00CE51A6"/>
    <w:rsid w:val="00CE5548"/>
    <w:rsid w:val="00CE573C"/>
    <w:rsid w:val="00CE5EA4"/>
    <w:rsid w:val="00CE669C"/>
    <w:rsid w:val="00CE68F8"/>
    <w:rsid w:val="00CE7A69"/>
    <w:rsid w:val="00CF2131"/>
    <w:rsid w:val="00CF2A23"/>
    <w:rsid w:val="00CF3562"/>
    <w:rsid w:val="00CF3974"/>
    <w:rsid w:val="00CF45FC"/>
    <w:rsid w:val="00CF51FC"/>
    <w:rsid w:val="00CF5656"/>
    <w:rsid w:val="00CF6123"/>
    <w:rsid w:val="00CF6536"/>
    <w:rsid w:val="00CF70B6"/>
    <w:rsid w:val="00D00003"/>
    <w:rsid w:val="00D001B5"/>
    <w:rsid w:val="00D003F0"/>
    <w:rsid w:val="00D018DF"/>
    <w:rsid w:val="00D01D45"/>
    <w:rsid w:val="00D01EBC"/>
    <w:rsid w:val="00D0304C"/>
    <w:rsid w:val="00D04F67"/>
    <w:rsid w:val="00D0541D"/>
    <w:rsid w:val="00D06202"/>
    <w:rsid w:val="00D077AA"/>
    <w:rsid w:val="00D07888"/>
    <w:rsid w:val="00D10809"/>
    <w:rsid w:val="00D1081F"/>
    <w:rsid w:val="00D10BDC"/>
    <w:rsid w:val="00D1172F"/>
    <w:rsid w:val="00D11B40"/>
    <w:rsid w:val="00D16180"/>
    <w:rsid w:val="00D1675A"/>
    <w:rsid w:val="00D203EB"/>
    <w:rsid w:val="00D20C37"/>
    <w:rsid w:val="00D211D3"/>
    <w:rsid w:val="00D21D5A"/>
    <w:rsid w:val="00D21E63"/>
    <w:rsid w:val="00D2277D"/>
    <w:rsid w:val="00D227F2"/>
    <w:rsid w:val="00D2687D"/>
    <w:rsid w:val="00D27441"/>
    <w:rsid w:val="00D3057D"/>
    <w:rsid w:val="00D30834"/>
    <w:rsid w:val="00D308A5"/>
    <w:rsid w:val="00D30B51"/>
    <w:rsid w:val="00D312C4"/>
    <w:rsid w:val="00D3229F"/>
    <w:rsid w:val="00D33D7E"/>
    <w:rsid w:val="00D347A8"/>
    <w:rsid w:val="00D347F4"/>
    <w:rsid w:val="00D34ABC"/>
    <w:rsid w:val="00D35D30"/>
    <w:rsid w:val="00D36307"/>
    <w:rsid w:val="00D37040"/>
    <w:rsid w:val="00D37309"/>
    <w:rsid w:val="00D37811"/>
    <w:rsid w:val="00D4038F"/>
    <w:rsid w:val="00D415D5"/>
    <w:rsid w:val="00D424E4"/>
    <w:rsid w:val="00D42F1C"/>
    <w:rsid w:val="00D431D3"/>
    <w:rsid w:val="00D433FF"/>
    <w:rsid w:val="00D44332"/>
    <w:rsid w:val="00D45A06"/>
    <w:rsid w:val="00D462EB"/>
    <w:rsid w:val="00D4723A"/>
    <w:rsid w:val="00D50666"/>
    <w:rsid w:val="00D5089E"/>
    <w:rsid w:val="00D511BD"/>
    <w:rsid w:val="00D5399F"/>
    <w:rsid w:val="00D53BF4"/>
    <w:rsid w:val="00D53C49"/>
    <w:rsid w:val="00D54031"/>
    <w:rsid w:val="00D54F40"/>
    <w:rsid w:val="00D55908"/>
    <w:rsid w:val="00D566AF"/>
    <w:rsid w:val="00D57012"/>
    <w:rsid w:val="00D60776"/>
    <w:rsid w:val="00D61030"/>
    <w:rsid w:val="00D614E7"/>
    <w:rsid w:val="00D61CBD"/>
    <w:rsid w:val="00D61D0E"/>
    <w:rsid w:val="00D62B10"/>
    <w:rsid w:val="00D6337A"/>
    <w:rsid w:val="00D64AB6"/>
    <w:rsid w:val="00D64D7F"/>
    <w:rsid w:val="00D65C03"/>
    <w:rsid w:val="00D65E7A"/>
    <w:rsid w:val="00D66259"/>
    <w:rsid w:val="00D70C7C"/>
    <w:rsid w:val="00D716E1"/>
    <w:rsid w:val="00D71BD1"/>
    <w:rsid w:val="00D7400D"/>
    <w:rsid w:val="00D752DA"/>
    <w:rsid w:val="00D76E8E"/>
    <w:rsid w:val="00D77B47"/>
    <w:rsid w:val="00D80A86"/>
    <w:rsid w:val="00D80FAF"/>
    <w:rsid w:val="00D81560"/>
    <w:rsid w:val="00D83EA7"/>
    <w:rsid w:val="00D8471C"/>
    <w:rsid w:val="00D85522"/>
    <w:rsid w:val="00D855CF"/>
    <w:rsid w:val="00D90697"/>
    <w:rsid w:val="00D90EA3"/>
    <w:rsid w:val="00D91282"/>
    <w:rsid w:val="00D92A24"/>
    <w:rsid w:val="00D9347C"/>
    <w:rsid w:val="00D93667"/>
    <w:rsid w:val="00D94B69"/>
    <w:rsid w:val="00D95379"/>
    <w:rsid w:val="00D95494"/>
    <w:rsid w:val="00D95923"/>
    <w:rsid w:val="00D96047"/>
    <w:rsid w:val="00DA030C"/>
    <w:rsid w:val="00DA12C8"/>
    <w:rsid w:val="00DA1EFA"/>
    <w:rsid w:val="00DA1F04"/>
    <w:rsid w:val="00DA2565"/>
    <w:rsid w:val="00DA3207"/>
    <w:rsid w:val="00DA3753"/>
    <w:rsid w:val="00DA5AC6"/>
    <w:rsid w:val="00DA65F0"/>
    <w:rsid w:val="00DA74FF"/>
    <w:rsid w:val="00DA7D20"/>
    <w:rsid w:val="00DB0043"/>
    <w:rsid w:val="00DB0EF2"/>
    <w:rsid w:val="00DB1B5B"/>
    <w:rsid w:val="00DB1F80"/>
    <w:rsid w:val="00DB2DB9"/>
    <w:rsid w:val="00DB2F7B"/>
    <w:rsid w:val="00DB3FB3"/>
    <w:rsid w:val="00DB436D"/>
    <w:rsid w:val="00DB4CF5"/>
    <w:rsid w:val="00DB531B"/>
    <w:rsid w:val="00DB54C5"/>
    <w:rsid w:val="00DB5886"/>
    <w:rsid w:val="00DB6187"/>
    <w:rsid w:val="00DB62DE"/>
    <w:rsid w:val="00DB645F"/>
    <w:rsid w:val="00DB7C20"/>
    <w:rsid w:val="00DC076F"/>
    <w:rsid w:val="00DC15C6"/>
    <w:rsid w:val="00DC2289"/>
    <w:rsid w:val="00DC22E6"/>
    <w:rsid w:val="00DC3464"/>
    <w:rsid w:val="00DC37FB"/>
    <w:rsid w:val="00DC569C"/>
    <w:rsid w:val="00DC5A40"/>
    <w:rsid w:val="00DC70CC"/>
    <w:rsid w:val="00DC7404"/>
    <w:rsid w:val="00DC7690"/>
    <w:rsid w:val="00DC78B9"/>
    <w:rsid w:val="00DD02A2"/>
    <w:rsid w:val="00DD07F4"/>
    <w:rsid w:val="00DD08B3"/>
    <w:rsid w:val="00DD0D6B"/>
    <w:rsid w:val="00DD0E5B"/>
    <w:rsid w:val="00DD1088"/>
    <w:rsid w:val="00DD2431"/>
    <w:rsid w:val="00DD2503"/>
    <w:rsid w:val="00DD418D"/>
    <w:rsid w:val="00DD4343"/>
    <w:rsid w:val="00DD4A6A"/>
    <w:rsid w:val="00DD4B6C"/>
    <w:rsid w:val="00DD5C50"/>
    <w:rsid w:val="00DD5DFF"/>
    <w:rsid w:val="00DD6A3C"/>
    <w:rsid w:val="00DD6A93"/>
    <w:rsid w:val="00DD72CF"/>
    <w:rsid w:val="00DD7625"/>
    <w:rsid w:val="00DE0FA5"/>
    <w:rsid w:val="00DE106B"/>
    <w:rsid w:val="00DE2DEF"/>
    <w:rsid w:val="00DE3045"/>
    <w:rsid w:val="00DE327E"/>
    <w:rsid w:val="00DE4BA5"/>
    <w:rsid w:val="00DE70D5"/>
    <w:rsid w:val="00DE728A"/>
    <w:rsid w:val="00DE73FD"/>
    <w:rsid w:val="00DE7437"/>
    <w:rsid w:val="00DF2D6C"/>
    <w:rsid w:val="00DF31BA"/>
    <w:rsid w:val="00DF3469"/>
    <w:rsid w:val="00DF34EC"/>
    <w:rsid w:val="00DF3F0C"/>
    <w:rsid w:val="00DF4F8C"/>
    <w:rsid w:val="00DF5283"/>
    <w:rsid w:val="00DF5D64"/>
    <w:rsid w:val="00DF7238"/>
    <w:rsid w:val="00DF7C56"/>
    <w:rsid w:val="00E00039"/>
    <w:rsid w:val="00E001A6"/>
    <w:rsid w:val="00E0117D"/>
    <w:rsid w:val="00E01215"/>
    <w:rsid w:val="00E02EE5"/>
    <w:rsid w:val="00E038C4"/>
    <w:rsid w:val="00E03B84"/>
    <w:rsid w:val="00E04516"/>
    <w:rsid w:val="00E06013"/>
    <w:rsid w:val="00E067FC"/>
    <w:rsid w:val="00E06ECD"/>
    <w:rsid w:val="00E0752F"/>
    <w:rsid w:val="00E07960"/>
    <w:rsid w:val="00E07C37"/>
    <w:rsid w:val="00E10C55"/>
    <w:rsid w:val="00E10E87"/>
    <w:rsid w:val="00E110BC"/>
    <w:rsid w:val="00E11172"/>
    <w:rsid w:val="00E1140D"/>
    <w:rsid w:val="00E11C82"/>
    <w:rsid w:val="00E141AC"/>
    <w:rsid w:val="00E142E7"/>
    <w:rsid w:val="00E14ECC"/>
    <w:rsid w:val="00E1534B"/>
    <w:rsid w:val="00E158E2"/>
    <w:rsid w:val="00E15A33"/>
    <w:rsid w:val="00E1632D"/>
    <w:rsid w:val="00E16407"/>
    <w:rsid w:val="00E20104"/>
    <w:rsid w:val="00E24416"/>
    <w:rsid w:val="00E25684"/>
    <w:rsid w:val="00E2709D"/>
    <w:rsid w:val="00E27736"/>
    <w:rsid w:val="00E27E7C"/>
    <w:rsid w:val="00E300F2"/>
    <w:rsid w:val="00E301F3"/>
    <w:rsid w:val="00E303CC"/>
    <w:rsid w:val="00E3048A"/>
    <w:rsid w:val="00E3167B"/>
    <w:rsid w:val="00E323EE"/>
    <w:rsid w:val="00E32B7A"/>
    <w:rsid w:val="00E32DAB"/>
    <w:rsid w:val="00E33EC6"/>
    <w:rsid w:val="00E35A02"/>
    <w:rsid w:val="00E36282"/>
    <w:rsid w:val="00E3696E"/>
    <w:rsid w:val="00E36C85"/>
    <w:rsid w:val="00E37B7B"/>
    <w:rsid w:val="00E40848"/>
    <w:rsid w:val="00E40C54"/>
    <w:rsid w:val="00E4232F"/>
    <w:rsid w:val="00E428BE"/>
    <w:rsid w:val="00E44627"/>
    <w:rsid w:val="00E44900"/>
    <w:rsid w:val="00E4506F"/>
    <w:rsid w:val="00E4519C"/>
    <w:rsid w:val="00E455DD"/>
    <w:rsid w:val="00E45DBA"/>
    <w:rsid w:val="00E46C51"/>
    <w:rsid w:val="00E473FD"/>
    <w:rsid w:val="00E47DF0"/>
    <w:rsid w:val="00E50028"/>
    <w:rsid w:val="00E51D95"/>
    <w:rsid w:val="00E51EAD"/>
    <w:rsid w:val="00E52127"/>
    <w:rsid w:val="00E53E66"/>
    <w:rsid w:val="00E56117"/>
    <w:rsid w:val="00E573F0"/>
    <w:rsid w:val="00E6031F"/>
    <w:rsid w:val="00E60DE1"/>
    <w:rsid w:val="00E61F74"/>
    <w:rsid w:val="00E622A9"/>
    <w:rsid w:val="00E62AFF"/>
    <w:rsid w:val="00E62B6A"/>
    <w:rsid w:val="00E62E6A"/>
    <w:rsid w:val="00E630A8"/>
    <w:rsid w:val="00E631A4"/>
    <w:rsid w:val="00E635F4"/>
    <w:rsid w:val="00E63CD6"/>
    <w:rsid w:val="00E63E9C"/>
    <w:rsid w:val="00E6449D"/>
    <w:rsid w:val="00E64CB2"/>
    <w:rsid w:val="00E656FF"/>
    <w:rsid w:val="00E66156"/>
    <w:rsid w:val="00E66D21"/>
    <w:rsid w:val="00E6747A"/>
    <w:rsid w:val="00E67986"/>
    <w:rsid w:val="00E67C4E"/>
    <w:rsid w:val="00E7027B"/>
    <w:rsid w:val="00E707CD"/>
    <w:rsid w:val="00E71BA9"/>
    <w:rsid w:val="00E71F99"/>
    <w:rsid w:val="00E72A7E"/>
    <w:rsid w:val="00E741A9"/>
    <w:rsid w:val="00E75D23"/>
    <w:rsid w:val="00E76BD1"/>
    <w:rsid w:val="00E77118"/>
    <w:rsid w:val="00E807A6"/>
    <w:rsid w:val="00E82C05"/>
    <w:rsid w:val="00E832B2"/>
    <w:rsid w:val="00E83F64"/>
    <w:rsid w:val="00E848DB"/>
    <w:rsid w:val="00E84D43"/>
    <w:rsid w:val="00E858B6"/>
    <w:rsid w:val="00E85BC2"/>
    <w:rsid w:val="00E860D6"/>
    <w:rsid w:val="00E86C0C"/>
    <w:rsid w:val="00E86F19"/>
    <w:rsid w:val="00E86FEC"/>
    <w:rsid w:val="00E90799"/>
    <w:rsid w:val="00E94025"/>
    <w:rsid w:val="00E943F3"/>
    <w:rsid w:val="00E95888"/>
    <w:rsid w:val="00E95A29"/>
    <w:rsid w:val="00E963CE"/>
    <w:rsid w:val="00E96988"/>
    <w:rsid w:val="00E974F6"/>
    <w:rsid w:val="00EA0374"/>
    <w:rsid w:val="00EA128F"/>
    <w:rsid w:val="00EA1EBA"/>
    <w:rsid w:val="00EA26FE"/>
    <w:rsid w:val="00EA2C67"/>
    <w:rsid w:val="00EA3680"/>
    <w:rsid w:val="00EA39C7"/>
    <w:rsid w:val="00EA3FB0"/>
    <w:rsid w:val="00EA4232"/>
    <w:rsid w:val="00EA56CE"/>
    <w:rsid w:val="00EA60D0"/>
    <w:rsid w:val="00EA679A"/>
    <w:rsid w:val="00EA77C3"/>
    <w:rsid w:val="00EA7B5C"/>
    <w:rsid w:val="00EB003D"/>
    <w:rsid w:val="00EB151B"/>
    <w:rsid w:val="00EB1B90"/>
    <w:rsid w:val="00EB35C1"/>
    <w:rsid w:val="00EB3A97"/>
    <w:rsid w:val="00EB3E3E"/>
    <w:rsid w:val="00EB404F"/>
    <w:rsid w:val="00EB4194"/>
    <w:rsid w:val="00EB41A8"/>
    <w:rsid w:val="00EB4B38"/>
    <w:rsid w:val="00EB66B8"/>
    <w:rsid w:val="00EB6C91"/>
    <w:rsid w:val="00EB769F"/>
    <w:rsid w:val="00EB7868"/>
    <w:rsid w:val="00EB790D"/>
    <w:rsid w:val="00EC0778"/>
    <w:rsid w:val="00EC1B74"/>
    <w:rsid w:val="00EC1FE1"/>
    <w:rsid w:val="00EC2353"/>
    <w:rsid w:val="00EC345A"/>
    <w:rsid w:val="00EC3AE0"/>
    <w:rsid w:val="00EC40CD"/>
    <w:rsid w:val="00EC456A"/>
    <w:rsid w:val="00EC46E9"/>
    <w:rsid w:val="00EC5136"/>
    <w:rsid w:val="00EC65BB"/>
    <w:rsid w:val="00EC6FF6"/>
    <w:rsid w:val="00EC7289"/>
    <w:rsid w:val="00EC753C"/>
    <w:rsid w:val="00EC78A0"/>
    <w:rsid w:val="00EC7AE7"/>
    <w:rsid w:val="00ED03E1"/>
    <w:rsid w:val="00ED24AC"/>
    <w:rsid w:val="00ED2CE0"/>
    <w:rsid w:val="00ED355F"/>
    <w:rsid w:val="00ED4BAE"/>
    <w:rsid w:val="00ED62E3"/>
    <w:rsid w:val="00ED645C"/>
    <w:rsid w:val="00ED6E2D"/>
    <w:rsid w:val="00ED7094"/>
    <w:rsid w:val="00ED74C8"/>
    <w:rsid w:val="00ED78BA"/>
    <w:rsid w:val="00ED78EC"/>
    <w:rsid w:val="00ED7FE9"/>
    <w:rsid w:val="00EE13BD"/>
    <w:rsid w:val="00EE1EE6"/>
    <w:rsid w:val="00EE1EEA"/>
    <w:rsid w:val="00EE1EF7"/>
    <w:rsid w:val="00EE23DF"/>
    <w:rsid w:val="00EE4CDF"/>
    <w:rsid w:val="00EE51C1"/>
    <w:rsid w:val="00EE6934"/>
    <w:rsid w:val="00EE79C2"/>
    <w:rsid w:val="00EF009C"/>
    <w:rsid w:val="00EF0151"/>
    <w:rsid w:val="00EF03D6"/>
    <w:rsid w:val="00EF0463"/>
    <w:rsid w:val="00EF0693"/>
    <w:rsid w:val="00EF0AF3"/>
    <w:rsid w:val="00EF0D50"/>
    <w:rsid w:val="00EF257A"/>
    <w:rsid w:val="00EF38AE"/>
    <w:rsid w:val="00EF52F8"/>
    <w:rsid w:val="00EF55F3"/>
    <w:rsid w:val="00EF5DEA"/>
    <w:rsid w:val="00EF677A"/>
    <w:rsid w:val="00EF6DA1"/>
    <w:rsid w:val="00EF759A"/>
    <w:rsid w:val="00F00D72"/>
    <w:rsid w:val="00F00F7A"/>
    <w:rsid w:val="00F0209D"/>
    <w:rsid w:val="00F023E0"/>
    <w:rsid w:val="00F02558"/>
    <w:rsid w:val="00F03B5C"/>
    <w:rsid w:val="00F03CD4"/>
    <w:rsid w:val="00F04075"/>
    <w:rsid w:val="00F05606"/>
    <w:rsid w:val="00F0750F"/>
    <w:rsid w:val="00F075B7"/>
    <w:rsid w:val="00F07901"/>
    <w:rsid w:val="00F07999"/>
    <w:rsid w:val="00F1007A"/>
    <w:rsid w:val="00F109F5"/>
    <w:rsid w:val="00F113C9"/>
    <w:rsid w:val="00F11858"/>
    <w:rsid w:val="00F132FA"/>
    <w:rsid w:val="00F143B3"/>
    <w:rsid w:val="00F14E25"/>
    <w:rsid w:val="00F15F5B"/>
    <w:rsid w:val="00F1642A"/>
    <w:rsid w:val="00F2064F"/>
    <w:rsid w:val="00F21A01"/>
    <w:rsid w:val="00F22A44"/>
    <w:rsid w:val="00F2396A"/>
    <w:rsid w:val="00F240E9"/>
    <w:rsid w:val="00F250D7"/>
    <w:rsid w:val="00F25545"/>
    <w:rsid w:val="00F2568F"/>
    <w:rsid w:val="00F263B2"/>
    <w:rsid w:val="00F26968"/>
    <w:rsid w:val="00F269BC"/>
    <w:rsid w:val="00F27D8C"/>
    <w:rsid w:val="00F30743"/>
    <w:rsid w:val="00F30938"/>
    <w:rsid w:val="00F31D36"/>
    <w:rsid w:val="00F326EF"/>
    <w:rsid w:val="00F330F9"/>
    <w:rsid w:val="00F33676"/>
    <w:rsid w:val="00F33F67"/>
    <w:rsid w:val="00F3457C"/>
    <w:rsid w:val="00F367D7"/>
    <w:rsid w:val="00F40B08"/>
    <w:rsid w:val="00F40E2B"/>
    <w:rsid w:val="00F411B9"/>
    <w:rsid w:val="00F41C8E"/>
    <w:rsid w:val="00F425A7"/>
    <w:rsid w:val="00F42C18"/>
    <w:rsid w:val="00F431C8"/>
    <w:rsid w:val="00F434B8"/>
    <w:rsid w:val="00F4440E"/>
    <w:rsid w:val="00F44C73"/>
    <w:rsid w:val="00F44F6E"/>
    <w:rsid w:val="00F45171"/>
    <w:rsid w:val="00F45FA4"/>
    <w:rsid w:val="00F460BB"/>
    <w:rsid w:val="00F4612A"/>
    <w:rsid w:val="00F471EA"/>
    <w:rsid w:val="00F5013F"/>
    <w:rsid w:val="00F50419"/>
    <w:rsid w:val="00F5071C"/>
    <w:rsid w:val="00F50FEB"/>
    <w:rsid w:val="00F518EF"/>
    <w:rsid w:val="00F540D5"/>
    <w:rsid w:val="00F54611"/>
    <w:rsid w:val="00F548DF"/>
    <w:rsid w:val="00F55010"/>
    <w:rsid w:val="00F55135"/>
    <w:rsid w:val="00F5633C"/>
    <w:rsid w:val="00F57A07"/>
    <w:rsid w:val="00F623F0"/>
    <w:rsid w:val="00F627B5"/>
    <w:rsid w:val="00F629DF"/>
    <w:rsid w:val="00F63069"/>
    <w:rsid w:val="00F65BC8"/>
    <w:rsid w:val="00F65F24"/>
    <w:rsid w:val="00F66DE5"/>
    <w:rsid w:val="00F67315"/>
    <w:rsid w:val="00F67C54"/>
    <w:rsid w:val="00F71007"/>
    <w:rsid w:val="00F7114A"/>
    <w:rsid w:val="00F727EA"/>
    <w:rsid w:val="00F74382"/>
    <w:rsid w:val="00F762EA"/>
    <w:rsid w:val="00F76FF6"/>
    <w:rsid w:val="00F7742A"/>
    <w:rsid w:val="00F77447"/>
    <w:rsid w:val="00F813B2"/>
    <w:rsid w:val="00F81B8A"/>
    <w:rsid w:val="00F826A1"/>
    <w:rsid w:val="00F82764"/>
    <w:rsid w:val="00F83C33"/>
    <w:rsid w:val="00F8429B"/>
    <w:rsid w:val="00F84BF2"/>
    <w:rsid w:val="00F86255"/>
    <w:rsid w:val="00F87B55"/>
    <w:rsid w:val="00F87EB9"/>
    <w:rsid w:val="00F87FA5"/>
    <w:rsid w:val="00F90687"/>
    <w:rsid w:val="00F91584"/>
    <w:rsid w:val="00F92BE3"/>
    <w:rsid w:val="00F92ED6"/>
    <w:rsid w:val="00F9345E"/>
    <w:rsid w:val="00F93D29"/>
    <w:rsid w:val="00F93ED3"/>
    <w:rsid w:val="00F94583"/>
    <w:rsid w:val="00F959E9"/>
    <w:rsid w:val="00F9657C"/>
    <w:rsid w:val="00F96649"/>
    <w:rsid w:val="00F9700A"/>
    <w:rsid w:val="00F979E0"/>
    <w:rsid w:val="00FA0033"/>
    <w:rsid w:val="00FA0D6F"/>
    <w:rsid w:val="00FA1B26"/>
    <w:rsid w:val="00FA1FF3"/>
    <w:rsid w:val="00FA2A53"/>
    <w:rsid w:val="00FA2E7B"/>
    <w:rsid w:val="00FA385E"/>
    <w:rsid w:val="00FA3FF2"/>
    <w:rsid w:val="00FA4280"/>
    <w:rsid w:val="00FA4500"/>
    <w:rsid w:val="00FA56D1"/>
    <w:rsid w:val="00FA56FC"/>
    <w:rsid w:val="00FA6926"/>
    <w:rsid w:val="00FA726F"/>
    <w:rsid w:val="00FA79BC"/>
    <w:rsid w:val="00FA7B50"/>
    <w:rsid w:val="00FA7ECA"/>
    <w:rsid w:val="00FB0292"/>
    <w:rsid w:val="00FB03A4"/>
    <w:rsid w:val="00FB1266"/>
    <w:rsid w:val="00FB144C"/>
    <w:rsid w:val="00FB1815"/>
    <w:rsid w:val="00FB274A"/>
    <w:rsid w:val="00FB2F37"/>
    <w:rsid w:val="00FB31AF"/>
    <w:rsid w:val="00FB342A"/>
    <w:rsid w:val="00FB3787"/>
    <w:rsid w:val="00FB399A"/>
    <w:rsid w:val="00FB52F7"/>
    <w:rsid w:val="00FB56B8"/>
    <w:rsid w:val="00FB5D98"/>
    <w:rsid w:val="00FB5F9C"/>
    <w:rsid w:val="00FB68EC"/>
    <w:rsid w:val="00FC2950"/>
    <w:rsid w:val="00FC3ABE"/>
    <w:rsid w:val="00FC3DAC"/>
    <w:rsid w:val="00FC49C3"/>
    <w:rsid w:val="00FC5B9F"/>
    <w:rsid w:val="00FC5C23"/>
    <w:rsid w:val="00FC6765"/>
    <w:rsid w:val="00FC6ABB"/>
    <w:rsid w:val="00FC7B29"/>
    <w:rsid w:val="00FD1F22"/>
    <w:rsid w:val="00FD26F4"/>
    <w:rsid w:val="00FD2832"/>
    <w:rsid w:val="00FD4AFE"/>
    <w:rsid w:val="00FD5AB1"/>
    <w:rsid w:val="00FD67F1"/>
    <w:rsid w:val="00FD6A9C"/>
    <w:rsid w:val="00FD6AFE"/>
    <w:rsid w:val="00FD6F5B"/>
    <w:rsid w:val="00FD6FBD"/>
    <w:rsid w:val="00FD76DC"/>
    <w:rsid w:val="00FE0E79"/>
    <w:rsid w:val="00FE10C5"/>
    <w:rsid w:val="00FE2140"/>
    <w:rsid w:val="00FE26FF"/>
    <w:rsid w:val="00FE279D"/>
    <w:rsid w:val="00FE3479"/>
    <w:rsid w:val="00FE348B"/>
    <w:rsid w:val="00FE34C8"/>
    <w:rsid w:val="00FE4023"/>
    <w:rsid w:val="00FE42AA"/>
    <w:rsid w:val="00FE4F89"/>
    <w:rsid w:val="00FE50F2"/>
    <w:rsid w:val="00FE67E1"/>
    <w:rsid w:val="00FE79D5"/>
    <w:rsid w:val="00FF023F"/>
    <w:rsid w:val="00FF0330"/>
    <w:rsid w:val="00FF132B"/>
    <w:rsid w:val="00FF1B7D"/>
    <w:rsid w:val="00FF26D4"/>
    <w:rsid w:val="00FF56F5"/>
    <w:rsid w:val="00FF776E"/>
    <w:rsid w:val="01C628A7"/>
    <w:rsid w:val="02ED4364"/>
    <w:rsid w:val="07163955"/>
    <w:rsid w:val="0722305D"/>
    <w:rsid w:val="09622C8A"/>
    <w:rsid w:val="09F47D86"/>
    <w:rsid w:val="0AA07F0D"/>
    <w:rsid w:val="0BA81E6F"/>
    <w:rsid w:val="162F7630"/>
    <w:rsid w:val="17765669"/>
    <w:rsid w:val="1B0C6A6D"/>
    <w:rsid w:val="1C4A1885"/>
    <w:rsid w:val="26002BA6"/>
    <w:rsid w:val="27BC6008"/>
    <w:rsid w:val="28377363"/>
    <w:rsid w:val="2AC5334C"/>
    <w:rsid w:val="303669B7"/>
    <w:rsid w:val="30662FB5"/>
    <w:rsid w:val="30C16364"/>
    <w:rsid w:val="326A2EF0"/>
    <w:rsid w:val="32A2377B"/>
    <w:rsid w:val="335C4819"/>
    <w:rsid w:val="33CA11F3"/>
    <w:rsid w:val="37857677"/>
    <w:rsid w:val="3C44609B"/>
    <w:rsid w:val="3E09134A"/>
    <w:rsid w:val="3EDF3E59"/>
    <w:rsid w:val="40061FE5"/>
    <w:rsid w:val="40381A70"/>
    <w:rsid w:val="403E572C"/>
    <w:rsid w:val="405415CD"/>
    <w:rsid w:val="4070745F"/>
    <w:rsid w:val="446A2417"/>
    <w:rsid w:val="45DB35CC"/>
    <w:rsid w:val="45E561F9"/>
    <w:rsid w:val="48A4239B"/>
    <w:rsid w:val="48E00EFA"/>
    <w:rsid w:val="49C12F91"/>
    <w:rsid w:val="49E527DC"/>
    <w:rsid w:val="4AD176AA"/>
    <w:rsid w:val="4B1D7612"/>
    <w:rsid w:val="501F649A"/>
    <w:rsid w:val="522D0144"/>
    <w:rsid w:val="53B53885"/>
    <w:rsid w:val="59CB2B77"/>
    <w:rsid w:val="5AF867F1"/>
    <w:rsid w:val="5B2033A8"/>
    <w:rsid w:val="5D5B561E"/>
    <w:rsid w:val="5D8A15D3"/>
    <w:rsid w:val="5D9562FF"/>
    <w:rsid w:val="5F9231C3"/>
    <w:rsid w:val="622D6B06"/>
    <w:rsid w:val="638D4FDB"/>
    <w:rsid w:val="65D35C16"/>
    <w:rsid w:val="66B07D06"/>
    <w:rsid w:val="66B635AD"/>
    <w:rsid w:val="682B1D3A"/>
    <w:rsid w:val="69FA7CAF"/>
    <w:rsid w:val="6A702F86"/>
    <w:rsid w:val="6C1D7BEB"/>
    <w:rsid w:val="71720395"/>
    <w:rsid w:val="79F71EE9"/>
    <w:rsid w:val="7A872F5D"/>
    <w:rsid w:val="7BC63DFB"/>
    <w:rsid w:val="7D666E7F"/>
    <w:rsid w:val="7E1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unhideWhenUsed/>
    <w:qFormat/>
    <w:uiPriority w:val="99"/>
    <w:rPr>
      <w:rFonts w:ascii="宋体" w:hAnsi="Courier New" w:eastAsia="宋体" w:cs="Courier New"/>
      <w:szCs w:val="2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纯文本 Char"/>
    <w:basedOn w:val="6"/>
    <w:link w:val="2"/>
    <w:qFormat/>
    <w:uiPriority w:val="99"/>
    <w:rPr>
      <w:rFonts w:ascii="宋体" w:hAnsi="Courier New" w:eastAsia="宋体" w:cs="Courier New"/>
      <w:szCs w:val="21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97197-6AE1-4BD7-87E7-A2F1A04024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122</Pages>
  <Words>33</Words>
  <Characters>123</Characters>
  <Lines>1</Lines>
  <Paragraphs>1</Paragraphs>
  <TotalTime>2176</TotalTime>
  <ScaleCrop>false</ScaleCrop>
  <LinksUpToDate>false</LinksUpToDate>
  <CharactersWithSpaces>131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2025-10-11T03:52:00Z</dcterms:created>
  <dc:creator>bnds</dc:creator>
  <cp:lastModifiedBy>朱晓丽</cp:lastModifiedBy>
  <dcterms:modified xsi:type="dcterms:W3CDTF">2026-09-21T14:08:42Z</dcterms:modified>
  <cp:revision>398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eyJoZGlkIjoiMzYwOTRkYTgyYmFkYWY1OGIzMTE1N2NiY2ZlNjY2NzMiLCJ1c2VySWQiOiI1NDAxMTY4MjQifQ==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82B916CFBC064D65A86BB70ACDA89DE5_12</vt:lpwstr>
  </property>
</Properties>
</file>