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85D74">
      <w:pPr>
        <w:spacing w:line="360" w:lineRule="auto"/>
        <w:jc w:val="center"/>
        <w:rPr>
          <w:rFonts w:ascii="宋体" w:hAnsi="宋体" w:eastAsia="宋体" w:cs="宋体"/>
          <w:b/>
          <w:color w:val="000000"/>
          <w:sz w:val="28"/>
          <w:szCs w:val="28"/>
        </w:rPr>
      </w:pPr>
      <w:r>
        <w:rPr>
          <w:rFonts w:hint="eastAsia" w:ascii="宋体" w:hAnsi="宋体" w:eastAsia="宋体" w:cs="宋体"/>
          <w:b/>
          <w:color w:val="000000"/>
          <w:sz w:val="28"/>
          <w:szCs w:val="28"/>
        </w:rPr>
        <w:t>202</w:t>
      </w:r>
      <w:r>
        <w:rPr>
          <w:rFonts w:ascii="宋体" w:hAnsi="宋体" w:eastAsia="宋体" w:cs="宋体"/>
          <w:b/>
          <w:color w:val="000000"/>
          <w:sz w:val="28"/>
          <w:szCs w:val="28"/>
        </w:rPr>
        <w:t>6</w:t>
      </w:r>
      <w:r>
        <w:rPr>
          <w:rFonts w:hint="eastAsia" w:ascii="宋体" w:hAnsi="宋体" w:eastAsia="宋体" w:cs="宋体"/>
          <w:b/>
          <w:color w:val="000000"/>
          <w:sz w:val="28"/>
          <w:szCs w:val="28"/>
        </w:rPr>
        <w:t>年第</w:t>
      </w:r>
      <w:r>
        <w:rPr>
          <w:rFonts w:ascii="宋体" w:hAnsi="宋体" w:eastAsia="宋体" w:cs="宋体"/>
          <w:b/>
          <w:color w:val="000000"/>
          <w:sz w:val="28"/>
          <w:szCs w:val="28"/>
        </w:rPr>
        <w:t>3</w:t>
      </w:r>
      <w:r>
        <w:rPr>
          <w:rFonts w:hint="eastAsia" w:ascii="宋体" w:hAnsi="宋体" w:eastAsia="宋体" w:cs="宋体"/>
          <w:b/>
          <w:color w:val="000000"/>
          <w:sz w:val="28"/>
          <w:szCs w:val="28"/>
          <w:lang w:val="en-US" w:eastAsia="zh-CN"/>
        </w:rPr>
        <w:t>7</w:t>
      </w:r>
      <w:r>
        <w:rPr>
          <w:rFonts w:hint="eastAsia" w:ascii="宋体" w:hAnsi="宋体" w:eastAsia="宋体" w:cs="宋体"/>
          <w:b/>
          <w:color w:val="000000"/>
          <w:sz w:val="28"/>
          <w:szCs w:val="28"/>
        </w:rPr>
        <w:t>周</w:t>
      </w:r>
    </w:p>
    <w:p w14:paraId="3ED8B6E5">
      <w:pPr>
        <w:spacing w:line="360" w:lineRule="auto"/>
        <w:jc w:val="center"/>
        <w:rPr>
          <w:rFonts w:ascii="宋体" w:hAnsi="宋体" w:eastAsia="宋体" w:cs="宋体"/>
          <w:b/>
          <w:color w:val="000000"/>
          <w:sz w:val="28"/>
          <w:szCs w:val="28"/>
        </w:rPr>
      </w:pPr>
      <w:r>
        <w:rPr>
          <w:rFonts w:hint="eastAsia" w:ascii="宋体" w:hAnsi="宋体" w:eastAsia="宋体" w:cs="宋体"/>
          <w:b/>
          <w:color w:val="000000"/>
          <w:sz w:val="28"/>
          <w:szCs w:val="28"/>
        </w:rPr>
        <w:t>境外学者发表的结核病英文文章摘要</w:t>
      </w:r>
    </w:p>
    <w:p w14:paraId="2D072865">
      <w:pPr>
        <w:spacing w:line="360" w:lineRule="auto"/>
        <w:jc w:val="center"/>
        <w:rPr>
          <w:rFonts w:ascii="宋体" w:hAnsi="宋体" w:eastAsia="宋体" w:cs="宋体"/>
          <w:b/>
          <w:color w:val="000000"/>
          <w:sz w:val="28"/>
          <w:szCs w:val="28"/>
        </w:rPr>
      </w:pPr>
      <w:r>
        <w:rPr>
          <w:rFonts w:hint="eastAsia" w:ascii="宋体" w:hAnsi="宋体" w:eastAsia="宋体" w:cs="宋体"/>
          <w:b/>
          <w:color w:val="000000"/>
          <w:sz w:val="28"/>
          <w:szCs w:val="28"/>
        </w:rPr>
        <w:t>（</w:t>
      </w:r>
      <w:r>
        <w:rPr>
          <w:rFonts w:hint="eastAsia" w:ascii="宋体" w:hAnsi="宋体" w:eastAsia="宋体" w:cs="宋体"/>
          <w:b/>
          <w:color w:val="000000"/>
          <w:sz w:val="28"/>
          <w:szCs w:val="28"/>
          <w:lang w:val="en-US" w:eastAsia="zh-CN"/>
        </w:rPr>
        <w:t>83</w:t>
      </w:r>
      <w:r>
        <w:rPr>
          <w:rFonts w:hint="eastAsia" w:ascii="宋体" w:hAnsi="宋体" w:eastAsia="宋体" w:cs="宋体"/>
          <w:b/>
          <w:color w:val="000000"/>
          <w:sz w:val="28"/>
          <w:szCs w:val="28"/>
        </w:rPr>
        <w:t>篇）</w:t>
      </w:r>
    </w:p>
    <w:p w14:paraId="305CA2EB">
      <w:pPr>
        <w:jc w:val="left"/>
        <w:rPr>
          <w:rFonts w:ascii="宋体" w:hAnsi="宋体" w:eastAsia="宋体" w:cs="宋体"/>
          <w:b/>
          <w:color w:val="FF0000"/>
          <w:szCs w:val="24"/>
        </w:rPr>
      </w:pPr>
    </w:p>
    <w:p w14:paraId="190FEF94">
      <w:pPr>
        <w:jc w:val="left"/>
        <w:rPr>
          <w:rFonts w:hint="default" w:ascii="宋体" w:hAnsi="宋体" w:eastAsia="宋体" w:cs="宋体"/>
          <w:b/>
          <w:color w:val="FF0000"/>
          <w:szCs w:val="24"/>
          <w:lang w:val="en-US" w:eastAsia="zh-CN"/>
        </w:rPr>
      </w:pPr>
      <w:r>
        <w:rPr>
          <w:rFonts w:hint="eastAsia" w:ascii="宋体" w:hAnsi="宋体" w:eastAsia="宋体" w:cs="宋体"/>
          <w:b/>
          <w:color w:val="FF0000"/>
          <w:szCs w:val="24"/>
        </w:rPr>
        <w:t>PubMed  Publication date: 202</w:t>
      </w:r>
      <w:r>
        <w:rPr>
          <w:rFonts w:ascii="宋体" w:hAnsi="宋体" w:eastAsia="宋体" w:cs="宋体"/>
          <w:b/>
          <w:color w:val="FF0000"/>
          <w:szCs w:val="24"/>
        </w:rPr>
        <w:t>6</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9</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7</w:t>
      </w:r>
      <w:r>
        <w:rPr>
          <w:rFonts w:ascii="宋体" w:hAnsi="宋体" w:eastAsia="宋体" w:cs="宋体"/>
          <w:b/>
          <w:color w:val="FF0000"/>
          <w:szCs w:val="24"/>
        </w:rPr>
        <w:t xml:space="preserve"> </w:t>
      </w:r>
      <w:r>
        <w:rPr>
          <w:rFonts w:hint="eastAsia" w:ascii="宋体" w:hAnsi="宋体" w:eastAsia="宋体" w:cs="宋体"/>
          <w:b/>
          <w:color w:val="FF0000"/>
          <w:szCs w:val="24"/>
        </w:rPr>
        <w:t>---</w:t>
      </w:r>
      <w:r>
        <w:rPr>
          <w:rFonts w:ascii="宋体" w:hAnsi="宋体" w:eastAsia="宋体" w:cs="宋体"/>
          <w:b/>
          <w:color w:val="FF0000"/>
          <w:szCs w:val="24"/>
        </w:rPr>
        <w:t xml:space="preserve"> </w:t>
      </w:r>
      <w:r>
        <w:rPr>
          <w:rFonts w:hint="eastAsia" w:ascii="宋体" w:hAnsi="宋体" w:eastAsia="宋体" w:cs="宋体"/>
          <w:b/>
          <w:color w:val="FF0000"/>
          <w:szCs w:val="24"/>
        </w:rPr>
        <w:t>202</w:t>
      </w:r>
      <w:r>
        <w:rPr>
          <w:rFonts w:ascii="宋体" w:hAnsi="宋体" w:eastAsia="宋体" w:cs="宋体"/>
          <w:b/>
          <w:color w:val="FF0000"/>
          <w:szCs w:val="24"/>
        </w:rPr>
        <w:t>6</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9</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13</w:t>
      </w:r>
    </w:p>
    <w:p w14:paraId="2F519DAD">
      <w:pPr>
        <w:rPr>
          <w:rFonts w:ascii="宋体" w:hAnsi="宋体" w:eastAsia="宋体" w:cs="宋体"/>
          <w:b/>
          <w:color w:val="FF0000"/>
          <w:szCs w:val="24"/>
        </w:rPr>
      </w:pPr>
      <w:r>
        <w:rPr>
          <w:rFonts w:hint="eastAsia" w:ascii="宋体" w:hAnsi="宋体" w:eastAsia="宋体" w:cs="宋体"/>
          <w:b/>
          <w:color w:val="FF0000"/>
          <w:szCs w:val="24"/>
        </w:rPr>
        <w:t>(tuberculosis[Title/Abstract]) AND (English[Language])</w:t>
      </w:r>
    </w:p>
    <w:p w14:paraId="1A1A09D3">
      <w:pPr>
        <w:rPr>
          <w:rFonts w:ascii="宋体" w:hAnsi="宋体" w:eastAsia="宋体" w:cs="宋体"/>
          <w:b/>
          <w:color w:val="FF0000"/>
          <w:szCs w:val="24"/>
        </w:rPr>
      </w:pPr>
    </w:p>
    <w:p w14:paraId="37362627">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w:t>
      </w:r>
      <w:r>
        <w:rPr>
          <w:rFonts w:hint="eastAsia" w:ascii="宋体" w:hAnsi="宋体" w:eastAsia="宋体" w:cs="宋体"/>
          <w:b/>
          <w:bCs w:val="0"/>
          <w:color w:val="FF0000"/>
          <w:szCs w:val="24"/>
        </w:rPr>
        <w:t>. Ann Glob Health. 2026 Sep 7;92(1):89. doi: 10.5334/aogh.5343. eCollection 2026.</w:t>
      </w:r>
    </w:p>
    <w:p w14:paraId="2B96A3DF">
      <w:pPr>
        <w:rPr>
          <w:rFonts w:hint="eastAsia" w:ascii="宋体" w:hAnsi="宋体" w:eastAsia="宋体" w:cs="宋体"/>
          <w:b w:val="0"/>
          <w:bCs/>
          <w:color w:val="auto"/>
          <w:szCs w:val="24"/>
        </w:rPr>
      </w:pPr>
    </w:p>
    <w:p w14:paraId="4E2CF7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Does Periodontal Disease Influence Tuberculosis Outcomes? Insights from a </w:t>
      </w:r>
    </w:p>
    <w:p w14:paraId="63A9AEF9">
      <w:pPr>
        <w:rPr>
          <w:rFonts w:hint="eastAsia" w:ascii="宋体" w:hAnsi="宋体" w:eastAsia="宋体" w:cs="宋体"/>
          <w:b w:val="0"/>
          <w:bCs/>
          <w:color w:val="auto"/>
          <w:szCs w:val="24"/>
        </w:rPr>
      </w:pPr>
      <w:r>
        <w:rPr>
          <w:rFonts w:hint="eastAsia" w:ascii="宋体" w:hAnsi="宋体" w:eastAsia="宋体" w:cs="宋体"/>
          <w:b w:val="0"/>
          <w:bCs/>
          <w:color w:val="auto"/>
          <w:szCs w:val="24"/>
        </w:rPr>
        <w:t>Scoping Review.</w:t>
      </w:r>
    </w:p>
    <w:p w14:paraId="7E81117C">
      <w:pPr>
        <w:rPr>
          <w:rFonts w:hint="eastAsia" w:ascii="宋体" w:hAnsi="宋体" w:eastAsia="宋体" w:cs="宋体"/>
          <w:b w:val="0"/>
          <w:bCs/>
          <w:color w:val="auto"/>
          <w:szCs w:val="24"/>
        </w:rPr>
      </w:pPr>
    </w:p>
    <w:p w14:paraId="48A82FB1">
      <w:pPr>
        <w:rPr>
          <w:rFonts w:hint="eastAsia" w:ascii="宋体" w:hAnsi="宋体" w:eastAsia="宋体" w:cs="宋体"/>
          <w:b w:val="0"/>
          <w:bCs/>
          <w:color w:val="auto"/>
          <w:szCs w:val="24"/>
        </w:rPr>
      </w:pPr>
      <w:r>
        <w:rPr>
          <w:rFonts w:hint="eastAsia" w:ascii="宋体" w:hAnsi="宋体" w:eastAsia="宋体" w:cs="宋体"/>
          <w:b w:val="0"/>
          <w:bCs/>
          <w:color w:val="auto"/>
          <w:szCs w:val="24"/>
        </w:rPr>
        <w:t>Hirkane P(1), Verma AK(2), Verma UP(1), Singh A(3).</w:t>
      </w:r>
    </w:p>
    <w:p w14:paraId="3B323EF9">
      <w:pPr>
        <w:rPr>
          <w:rFonts w:hint="eastAsia" w:ascii="宋体" w:hAnsi="宋体" w:eastAsia="宋体" w:cs="宋体"/>
          <w:b w:val="0"/>
          <w:bCs/>
          <w:color w:val="auto"/>
          <w:szCs w:val="24"/>
        </w:rPr>
      </w:pPr>
    </w:p>
    <w:p w14:paraId="1C722B0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B6947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Periodontology, Faculty of Dental Sciences, King George's </w:t>
      </w:r>
    </w:p>
    <w:p w14:paraId="0F16FB17">
      <w:pPr>
        <w:rPr>
          <w:rFonts w:hint="eastAsia" w:ascii="宋体" w:hAnsi="宋体" w:eastAsia="宋体" w:cs="宋体"/>
          <w:b w:val="0"/>
          <w:bCs/>
          <w:color w:val="auto"/>
          <w:szCs w:val="24"/>
        </w:rPr>
      </w:pPr>
      <w:r>
        <w:rPr>
          <w:rFonts w:hint="eastAsia" w:ascii="宋体" w:hAnsi="宋体" w:eastAsia="宋体" w:cs="宋体"/>
          <w:b w:val="0"/>
          <w:bCs/>
          <w:color w:val="auto"/>
          <w:szCs w:val="24"/>
        </w:rPr>
        <w:t>Medical University, Uttar Pradesh, Lucknow, India.</w:t>
      </w:r>
    </w:p>
    <w:p w14:paraId="322955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Respiratory Medicine, Dr Ram Manohar Lohiya Institute of </w:t>
      </w:r>
    </w:p>
    <w:p w14:paraId="1966AE9B">
      <w:pPr>
        <w:rPr>
          <w:rFonts w:hint="eastAsia" w:ascii="宋体" w:hAnsi="宋体" w:eastAsia="宋体" w:cs="宋体"/>
          <w:b w:val="0"/>
          <w:bCs/>
          <w:color w:val="auto"/>
          <w:szCs w:val="24"/>
        </w:rPr>
      </w:pPr>
      <w:r>
        <w:rPr>
          <w:rFonts w:hint="eastAsia" w:ascii="宋体" w:hAnsi="宋体" w:eastAsia="宋体" w:cs="宋体"/>
          <w:b w:val="0"/>
          <w:bCs/>
          <w:color w:val="auto"/>
          <w:szCs w:val="24"/>
        </w:rPr>
        <w:t>Medical Sciences, Gomti Nagar, Lucknow, India.</w:t>
      </w:r>
    </w:p>
    <w:p w14:paraId="2927DD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Pharmacology, Dr Ram Manohar Lohiya Institute of Medical </w:t>
      </w:r>
    </w:p>
    <w:p w14:paraId="2AFD359D">
      <w:pPr>
        <w:rPr>
          <w:rFonts w:hint="eastAsia" w:ascii="宋体" w:hAnsi="宋体" w:eastAsia="宋体" w:cs="宋体"/>
          <w:b w:val="0"/>
          <w:bCs/>
          <w:color w:val="auto"/>
          <w:szCs w:val="24"/>
        </w:rPr>
      </w:pPr>
      <w:r>
        <w:rPr>
          <w:rFonts w:hint="eastAsia" w:ascii="宋体" w:hAnsi="宋体" w:eastAsia="宋体" w:cs="宋体"/>
          <w:b w:val="0"/>
          <w:bCs/>
          <w:color w:val="auto"/>
          <w:szCs w:val="24"/>
        </w:rPr>
        <w:t>Sciences, Gomti Nagar, Lucknow, India.</w:t>
      </w:r>
    </w:p>
    <w:p w14:paraId="4833FDFF">
      <w:pPr>
        <w:rPr>
          <w:rFonts w:hint="eastAsia" w:ascii="宋体" w:hAnsi="宋体" w:eastAsia="宋体" w:cs="宋体"/>
          <w:b w:val="0"/>
          <w:bCs/>
          <w:color w:val="auto"/>
          <w:szCs w:val="24"/>
        </w:rPr>
      </w:pPr>
    </w:p>
    <w:p w14:paraId="42F60B6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Periodontitis and tuberculosis (TB) are common chronic infections </w:t>
      </w:r>
    </w:p>
    <w:p w14:paraId="0B635B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disproportionately affecting disadvantaged groups. They share behavioural, </w:t>
      </w:r>
    </w:p>
    <w:p w14:paraId="09F83B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environmental, and immunological risk factors. Emerging evidence suggests a </w:t>
      </w:r>
    </w:p>
    <w:p w14:paraId="4A36F9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bidirectional relationship, with TB patients often exhibiting poorer periodontal </w:t>
      </w:r>
    </w:p>
    <w:p w14:paraId="7DB76B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health and periodontal inflammation potentially exacerbating systemic TB. </w:t>
      </w:r>
    </w:p>
    <w:p w14:paraId="5DCB3BD4">
      <w:pPr>
        <w:rPr>
          <w:rFonts w:hint="eastAsia" w:ascii="宋体" w:hAnsi="宋体" w:eastAsia="宋体" w:cs="宋体"/>
          <w:b w:val="0"/>
          <w:bCs/>
          <w:color w:val="auto"/>
          <w:szCs w:val="24"/>
        </w:rPr>
      </w:pPr>
      <w:r>
        <w:rPr>
          <w:rFonts w:hint="eastAsia" w:ascii="宋体" w:hAnsi="宋体" w:eastAsia="宋体" w:cs="宋体"/>
          <w:b/>
          <w:bCs w:val="0"/>
          <w:color w:val="auto"/>
          <w:szCs w:val="24"/>
        </w:rPr>
        <w:t>Objective:</w:t>
      </w:r>
      <w:r>
        <w:rPr>
          <w:rFonts w:hint="eastAsia" w:ascii="宋体" w:hAnsi="宋体" w:eastAsia="宋体" w:cs="宋体"/>
          <w:b w:val="0"/>
          <w:bCs/>
          <w:color w:val="auto"/>
          <w:szCs w:val="24"/>
        </w:rPr>
        <w:t xml:space="preserve"> To comprehensively map and evaluate the existing evidence regarding </w:t>
      </w:r>
    </w:p>
    <w:p w14:paraId="2A2E40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association between periodontal disease and TB outcomes, and to explore the </w:t>
      </w:r>
    </w:p>
    <w:p w14:paraId="7D5B67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potential influence of periodontal status on TB progression, treatment response, </w:t>
      </w:r>
    </w:p>
    <w:p w14:paraId="6EFBC3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overall disease outcomes through a scoping review. Methods: This scoping </w:t>
      </w:r>
    </w:p>
    <w:p w14:paraId="50A58A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review examined human studies assessing periodontal status in TB patients, </w:t>
      </w:r>
    </w:p>
    <w:p w14:paraId="04CE857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observational studies, clinical trials, and reviews. Searches were </w:t>
      </w:r>
    </w:p>
    <w:p w14:paraId="70EB0B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in PubMed, Scopus, and Google Scholar, complemented by reference </w:t>
      </w:r>
    </w:p>
    <w:p w14:paraId="140A1B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Two independent reviewers applied inclusion criteria, extracted data, </w:t>
      </w:r>
    </w:p>
    <w:p w14:paraId="40863E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narratively synthesised the findings due to methodological diversity. </w:t>
      </w:r>
    </w:p>
    <w:p w14:paraId="3303C8B9">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Out of 1,129 records screened, 8 studies met the inclusion criteria. </w:t>
      </w:r>
    </w:p>
    <w:p w14:paraId="19BB8F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majority of observational studies demonstrated a significantly higher </w:t>
      </w:r>
    </w:p>
    <w:p w14:paraId="606D5E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prevalence and severity of periodontitis in TB patients relative to controls, </w:t>
      </w:r>
    </w:p>
    <w:p w14:paraId="690AC9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characterised by increased probing pocket depths and elevated bleeding on </w:t>
      </w:r>
    </w:p>
    <w:p w14:paraId="78751C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probing. Complementary evidence from recent reviews and microbiome analyses </w:t>
      </w:r>
    </w:p>
    <w:p w14:paraId="44CB82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highlights shared inflammatory mediators, immune dysregulation, and alterations </w:t>
      </w:r>
    </w:p>
    <w:p w14:paraId="2A85AA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oral microbial communities as potential mechanistic pathways underpinning the </w:t>
      </w:r>
    </w:p>
    <w:p w14:paraId="3A0A4A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association between TB and periodontal tissue destruction. </w:t>
      </w:r>
    </w:p>
    <w:p w14:paraId="508A7804">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Current evidence supports a consistent but preliminary association between TB and deteriorated periodontal health, indicating complex bidirectional interactions rather than confirmed causality. Routine periodontal screening and oral health counselling integrated into TB management, along with heightened clinical vigilance for TB in unusual periodontal cases, may improve care. Further </w:t>
      </w:r>
    </w:p>
    <w:p w14:paraId="124FAA0C">
      <w:pPr>
        <w:rPr>
          <w:rFonts w:hint="eastAsia" w:ascii="宋体" w:hAnsi="宋体" w:eastAsia="宋体" w:cs="宋体"/>
          <w:b w:val="0"/>
          <w:bCs/>
          <w:color w:val="auto"/>
          <w:szCs w:val="24"/>
        </w:rPr>
      </w:pPr>
      <w:r>
        <w:rPr>
          <w:rFonts w:hint="eastAsia" w:ascii="宋体" w:hAnsi="宋体" w:eastAsia="宋体" w:cs="宋体"/>
          <w:b w:val="0"/>
          <w:bCs/>
          <w:color w:val="auto"/>
          <w:szCs w:val="24"/>
        </w:rPr>
        <w:t>longitudinal and mechanistic studies are needed to clarify these relationships.</w:t>
      </w:r>
    </w:p>
    <w:p w14:paraId="280EE3B1">
      <w:pPr>
        <w:rPr>
          <w:rFonts w:hint="eastAsia" w:ascii="宋体" w:hAnsi="宋体" w:eastAsia="宋体" w:cs="宋体"/>
          <w:b w:val="0"/>
          <w:bCs/>
          <w:color w:val="auto"/>
          <w:szCs w:val="24"/>
        </w:rPr>
      </w:pPr>
    </w:p>
    <w:p w14:paraId="41B318FA">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w:t>
      </w:r>
    </w:p>
    <w:p w14:paraId="41FDEAAF">
      <w:pPr>
        <w:rPr>
          <w:rFonts w:hint="eastAsia" w:ascii="宋体" w:hAnsi="宋体" w:eastAsia="宋体" w:cs="宋体"/>
          <w:b w:val="0"/>
          <w:bCs/>
          <w:color w:val="auto"/>
          <w:szCs w:val="24"/>
        </w:rPr>
      </w:pPr>
    </w:p>
    <w:p w14:paraId="06B1ABA2">
      <w:pPr>
        <w:rPr>
          <w:rFonts w:hint="eastAsia" w:ascii="宋体" w:hAnsi="宋体" w:eastAsia="宋体" w:cs="宋体"/>
          <w:b w:val="0"/>
          <w:bCs/>
          <w:color w:val="auto"/>
          <w:szCs w:val="24"/>
        </w:rPr>
      </w:pPr>
      <w:r>
        <w:rPr>
          <w:rFonts w:hint="eastAsia" w:ascii="宋体" w:hAnsi="宋体" w:eastAsia="宋体" w:cs="宋体"/>
          <w:b w:val="0"/>
          <w:bCs/>
          <w:color w:val="auto"/>
          <w:szCs w:val="24"/>
        </w:rPr>
        <w:t>DOI: 10.5334/aogh.5343</w:t>
      </w:r>
    </w:p>
    <w:p w14:paraId="63C34AB8">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PMC13564984</w:t>
      </w:r>
    </w:p>
    <w:p w14:paraId="67E2A9FC">
      <w:pPr>
        <w:rPr>
          <w:rFonts w:hint="eastAsia" w:ascii="宋体" w:hAnsi="宋体" w:eastAsia="宋体" w:cs="宋体"/>
          <w:b w:val="0"/>
          <w:bCs/>
          <w:color w:val="auto"/>
          <w:szCs w:val="24"/>
        </w:rPr>
      </w:pPr>
      <w:r>
        <w:rPr>
          <w:rFonts w:hint="eastAsia" w:ascii="宋体" w:hAnsi="宋体" w:eastAsia="宋体" w:cs="宋体"/>
          <w:b w:val="0"/>
          <w:bCs/>
          <w:color w:val="auto"/>
          <w:szCs w:val="24"/>
        </w:rPr>
        <w:t>PMID: 42730360 [Indexed for MEDLINE]</w:t>
      </w:r>
    </w:p>
    <w:p w14:paraId="5ED89974">
      <w:pPr>
        <w:rPr>
          <w:rFonts w:hint="eastAsia" w:ascii="宋体" w:hAnsi="宋体" w:eastAsia="宋体" w:cs="宋体"/>
          <w:b w:val="0"/>
          <w:bCs/>
          <w:color w:val="auto"/>
          <w:szCs w:val="24"/>
        </w:rPr>
      </w:pPr>
    </w:p>
    <w:p w14:paraId="756074D3">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w:t>
      </w:r>
      <w:r>
        <w:rPr>
          <w:rFonts w:hint="eastAsia" w:ascii="宋体" w:hAnsi="宋体" w:eastAsia="宋体" w:cs="宋体"/>
          <w:b/>
          <w:bCs w:val="0"/>
          <w:color w:val="FF0000"/>
          <w:szCs w:val="24"/>
        </w:rPr>
        <w:t>. Trop Med Int Health. 2026 Sep 11. doi: 10.1111/tmi.70226. Online ahead of print.</w:t>
      </w:r>
    </w:p>
    <w:p w14:paraId="24A04CA9">
      <w:pPr>
        <w:rPr>
          <w:rFonts w:hint="eastAsia" w:ascii="宋体" w:hAnsi="宋体" w:eastAsia="宋体" w:cs="宋体"/>
          <w:b w:val="0"/>
          <w:bCs/>
          <w:color w:val="auto"/>
          <w:szCs w:val="24"/>
        </w:rPr>
      </w:pPr>
    </w:p>
    <w:p w14:paraId="4EFE0E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Changes in Tuberculosis Incidence and Mortality Following the End TB Strategy </w:t>
      </w:r>
    </w:p>
    <w:p w14:paraId="72E6C1D6">
      <w:pPr>
        <w:rPr>
          <w:rFonts w:hint="eastAsia" w:ascii="宋体" w:hAnsi="宋体" w:eastAsia="宋体" w:cs="宋体"/>
          <w:b w:val="0"/>
          <w:bCs/>
          <w:color w:val="auto"/>
          <w:szCs w:val="24"/>
        </w:rPr>
      </w:pPr>
      <w:r>
        <w:rPr>
          <w:rFonts w:hint="eastAsia" w:ascii="宋体" w:hAnsi="宋体" w:eastAsia="宋体" w:cs="宋体"/>
          <w:b w:val="0"/>
          <w:bCs/>
          <w:color w:val="auto"/>
          <w:szCs w:val="24"/>
        </w:rPr>
        <w:t>and the COVID-19 Pandemic in Brazil: An Interrupted Time-Series Analysis.</w:t>
      </w:r>
    </w:p>
    <w:p w14:paraId="5223BA3A">
      <w:pPr>
        <w:rPr>
          <w:rFonts w:hint="eastAsia" w:ascii="宋体" w:hAnsi="宋体" w:eastAsia="宋体" w:cs="宋体"/>
          <w:b w:val="0"/>
          <w:bCs/>
          <w:color w:val="auto"/>
          <w:szCs w:val="24"/>
        </w:rPr>
      </w:pPr>
    </w:p>
    <w:p w14:paraId="44CB70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Cabral BVB(1)(2), Sousa GJB(2)(3), Garcês TS(3), Arroyo LH(2), de Vasconcelos </w:t>
      </w:r>
    </w:p>
    <w:p w14:paraId="4281844E">
      <w:pPr>
        <w:rPr>
          <w:rFonts w:hint="eastAsia" w:ascii="宋体" w:hAnsi="宋体" w:eastAsia="宋体" w:cs="宋体"/>
          <w:b w:val="0"/>
          <w:bCs/>
          <w:color w:val="auto"/>
          <w:szCs w:val="24"/>
        </w:rPr>
      </w:pPr>
      <w:r>
        <w:rPr>
          <w:rFonts w:hint="eastAsia" w:ascii="宋体" w:hAnsi="宋体" w:eastAsia="宋体" w:cs="宋体"/>
          <w:b w:val="0"/>
          <w:bCs/>
          <w:color w:val="auto"/>
          <w:szCs w:val="24"/>
        </w:rPr>
        <w:t>MN(3), Pereira MLD(3).</w:t>
      </w:r>
    </w:p>
    <w:p w14:paraId="135FDB99">
      <w:pPr>
        <w:rPr>
          <w:rFonts w:hint="eastAsia" w:ascii="宋体" w:hAnsi="宋体" w:eastAsia="宋体" w:cs="宋体"/>
          <w:b w:val="0"/>
          <w:bCs/>
          <w:color w:val="auto"/>
          <w:szCs w:val="24"/>
        </w:rPr>
      </w:pPr>
    </w:p>
    <w:p w14:paraId="6A4C132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57D735C">
      <w:pPr>
        <w:rPr>
          <w:rFonts w:hint="eastAsia" w:ascii="宋体" w:hAnsi="宋体" w:eastAsia="宋体" w:cs="宋体"/>
          <w:b w:val="0"/>
          <w:bCs/>
          <w:color w:val="auto"/>
          <w:szCs w:val="24"/>
        </w:rPr>
      </w:pPr>
      <w:r>
        <w:rPr>
          <w:rFonts w:hint="eastAsia" w:ascii="宋体" w:hAnsi="宋体" w:eastAsia="宋体" w:cs="宋体"/>
          <w:b w:val="0"/>
          <w:bCs/>
          <w:color w:val="auto"/>
          <w:szCs w:val="24"/>
        </w:rPr>
        <w:t>(1)University of Brasília, Brasília, Brazil.</w:t>
      </w:r>
    </w:p>
    <w:p w14:paraId="4BFFE87D">
      <w:pPr>
        <w:rPr>
          <w:rFonts w:hint="eastAsia" w:ascii="宋体" w:hAnsi="宋体" w:eastAsia="宋体" w:cs="宋体"/>
          <w:b w:val="0"/>
          <w:bCs/>
          <w:color w:val="auto"/>
          <w:szCs w:val="24"/>
        </w:rPr>
      </w:pPr>
      <w:r>
        <w:rPr>
          <w:rFonts w:hint="eastAsia" w:ascii="宋体" w:hAnsi="宋体" w:eastAsia="宋体" w:cs="宋体"/>
          <w:b w:val="0"/>
          <w:bCs/>
          <w:color w:val="auto"/>
          <w:szCs w:val="24"/>
        </w:rPr>
        <w:t>(2)Ministry of Health, Brasília, Brazil.</w:t>
      </w:r>
    </w:p>
    <w:p w14:paraId="266A97B5">
      <w:pPr>
        <w:rPr>
          <w:rFonts w:hint="eastAsia" w:ascii="宋体" w:hAnsi="宋体" w:eastAsia="宋体" w:cs="宋体"/>
          <w:b w:val="0"/>
          <w:bCs/>
          <w:color w:val="auto"/>
          <w:szCs w:val="24"/>
        </w:rPr>
      </w:pPr>
      <w:r>
        <w:rPr>
          <w:rFonts w:hint="eastAsia" w:ascii="宋体" w:hAnsi="宋体" w:eastAsia="宋体" w:cs="宋体"/>
          <w:b w:val="0"/>
          <w:bCs/>
          <w:color w:val="auto"/>
          <w:szCs w:val="24"/>
        </w:rPr>
        <w:t>(3)State University of Ceará, Fortaleza, Brazil.</w:t>
      </w:r>
    </w:p>
    <w:p w14:paraId="66B6B338">
      <w:pPr>
        <w:rPr>
          <w:rFonts w:hint="eastAsia" w:ascii="宋体" w:hAnsi="宋体" w:eastAsia="宋体" w:cs="宋体"/>
          <w:b w:val="0"/>
          <w:bCs/>
          <w:color w:val="auto"/>
          <w:szCs w:val="24"/>
        </w:rPr>
      </w:pPr>
    </w:p>
    <w:p w14:paraId="3E689C97">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Tuberculosis remains a major global public health challenge, </w:t>
      </w:r>
    </w:p>
    <w:p w14:paraId="43F7AE0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particularly in high-burden countries such as Brazil. The End TB Strategy and </w:t>
      </w:r>
    </w:p>
    <w:p w14:paraId="4812D93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COVID-19 pandemic represent key events associated with changes in </w:t>
      </w:r>
    </w:p>
    <w:p w14:paraId="7F8C27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incidence and mortality, although their temporal patterns and </w:t>
      </w:r>
    </w:p>
    <w:p w14:paraId="7DDA988E">
      <w:pPr>
        <w:rPr>
          <w:rFonts w:hint="eastAsia" w:ascii="宋体" w:hAnsi="宋体" w:eastAsia="宋体" w:cs="宋体"/>
          <w:b w:val="0"/>
          <w:bCs/>
          <w:color w:val="auto"/>
          <w:szCs w:val="24"/>
        </w:rPr>
      </w:pPr>
      <w:r>
        <w:rPr>
          <w:rFonts w:hint="eastAsia" w:ascii="宋体" w:hAnsi="宋体" w:eastAsia="宋体" w:cs="宋体"/>
          <w:b w:val="0"/>
          <w:bCs/>
          <w:color w:val="auto"/>
          <w:szCs w:val="24"/>
        </w:rPr>
        <w:t>combined effects remain insufficiently explored.</w:t>
      </w:r>
    </w:p>
    <w:p w14:paraId="188F0BD2">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An ecological study using interrupted time series analysis was </w:t>
      </w:r>
    </w:p>
    <w:p w14:paraId="5A4D38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with annual tuberculosis incidence and mortality rates in Brazil from </w:t>
      </w:r>
    </w:p>
    <w:p w14:paraId="79A8955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2001 to 2024. Prais-Winsten regression with logarithmic transformation was </w:t>
      </w:r>
    </w:p>
    <w:p w14:paraId="1ADA26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applied to estimate level and trend changes, considering 2015 and 2020 as </w:t>
      </w:r>
    </w:p>
    <w:p w14:paraId="18B3F06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interruption points within the same analytical model. Model fit was assessed </w:t>
      </w:r>
    </w:p>
    <w:p w14:paraId="34DCF97B">
      <w:pPr>
        <w:rPr>
          <w:rFonts w:hint="eastAsia" w:ascii="宋体" w:hAnsi="宋体" w:eastAsia="宋体" w:cs="宋体"/>
          <w:b w:val="0"/>
          <w:bCs/>
          <w:color w:val="auto"/>
          <w:szCs w:val="24"/>
        </w:rPr>
      </w:pPr>
      <w:r>
        <w:rPr>
          <w:rFonts w:hint="eastAsia" w:ascii="宋体" w:hAnsi="宋体" w:eastAsia="宋体" w:cs="宋体"/>
          <w:b w:val="0"/>
          <w:bCs/>
          <w:color w:val="auto"/>
          <w:szCs w:val="24"/>
        </w:rPr>
        <w:t>using the Durbin-Watson test and adjusted R2.</w:t>
      </w:r>
    </w:p>
    <w:p w14:paraId="536A7EF5">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In the combined two-intervention model, TB incidence showed no </w:t>
      </w:r>
    </w:p>
    <w:p w14:paraId="6B7F48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immediate change following the End TB Strategy but increased by 3.8% </w:t>
      </w:r>
    </w:p>
    <w:p w14:paraId="4DF722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 year (95% CI: 2.1; 5.6; p &lt; 0.001) between 2015 and 2020. Following the </w:t>
      </w:r>
    </w:p>
    <w:p w14:paraId="67D1A3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onset of the COVID-19 pandemic, incidence decreased immediately by 15.2% (95% </w:t>
      </w:r>
    </w:p>
    <w:p w14:paraId="3EA2C5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CI: -20.6; -9.6; p &lt; 0.001), followed by an annual increase of 3.1% (95% CI: </w:t>
      </w:r>
    </w:p>
    <w:p w14:paraId="369E08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0.6; 5.6; p = 0.07). Mortality showed no significant immediate changes </w:t>
      </w:r>
    </w:p>
    <w:p w14:paraId="5E072B3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either interruption but increased by 5.6% per year after 2020 </w:t>
      </w:r>
    </w:p>
    <w:p w14:paraId="02BF2CFB">
      <w:pPr>
        <w:rPr>
          <w:rFonts w:hint="eastAsia" w:ascii="宋体" w:hAnsi="宋体" w:eastAsia="宋体" w:cs="宋体"/>
          <w:b w:val="0"/>
          <w:bCs/>
          <w:color w:val="auto"/>
          <w:szCs w:val="24"/>
        </w:rPr>
      </w:pPr>
      <w:r>
        <w:rPr>
          <w:rFonts w:hint="eastAsia" w:ascii="宋体" w:hAnsi="宋体" w:eastAsia="宋体" w:cs="宋体"/>
          <w:b w:val="0"/>
          <w:bCs/>
          <w:color w:val="auto"/>
          <w:szCs w:val="24"/>
        </w:rPr>
        <w:t>(95% CI: 3.0; 8.2; p &lt; 0.001).</w:t>
      </w:r>
    </w:p>
    <w:p w14:paraId="7C67572A">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Changes in TB incidence and mortality were temporally associated </w:t>
      </w:r>
    </w:p>
    <w:p w14:paraId="432EC3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the selected interruption points, including an increase in incidence </w:t>
      </w:r>
    </w:p>
    <w:p w14:paraId="4E04D1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2015 and 2020 and a marked decline following the onset of the COVID-19 </w:t>
      </w:r>
    </w:p>
    <w:p w14:paraId="094747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pandemic. However, causal attribution is limited by the ecological design, </w:t>
      </w:r>
    </w:p>
    <w:p w14:paraId="613CEF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absence of a control group and the small number of observations between </w:t>
      </w:r>
    </w:p>
    <w:p w14:paraId="5E96278C">
      <w:pPr>
        <w:rPr>
          <w:rFonts w:hint="eastAsia" w:ascii="宋体" w:hAnsi="宋体" w:eastAsia="宋体" w:cs="宋体"/>
          <w:b w:val="0"/>
          <w:bCs/>
          <w:color w:val="auto"/>
          <w:szCs w:val="24"/>
        </w:rPr>
      </w:pPr>
      <w:r>
        <w:rPr>
          <w:rFonts w:hint="eastAsia" w:ascii="宋体" w:hAnsi="宋体" w:eastAsia="宋体" w:cs="宋体"/>
          <w:b w:val="0"/>
          <w:bCs/>
          <w:color w:val="auto"/>
          <w:szCs w:val="24"/>
        </w:rPr>
        <w:t>intervention points and after 2020.</w:t>
      </w:r>
    </w:p>
    <w:p w14:paraId="038218EC">
      <w:pPr>
        <w:rPr>
          <w:rFonts w:hint="eastAsia" w:ascii="宋体" w:hAnsi="宋体" w:eastAsia="宋体" w:cs="宋体"/>
          <w:b w:val="0"/>
          <w:bCs/>
          <w:color w:val="auto"/>
          <w:szCs w:val="24"/>
        </w:rPr>
      </w:pPr>
    </w:p>
    <w:p w14:paraId="063F77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Tropical Medicine &amp; International Health published by John </w:t>
      </w:r>
    </w:p>
    <w:p w14:paraId="481F67B3">
      <w:pPr>
        <w:rPr>
          <w:rFonts w:hint="eastAsia" w:ascii="宋体" w:hAnsi="宋体" w:eastAsia="宋体" w:cs="宋体"/>
          <w:b w:val="0"/>
          <w:bCs/>
          <w:color w:val="auto"/>
          <w:szCs w:val="24"/>
        </w:rPr>
      </w:pPr>
      <w:r>
        <w:rPr>
          <w:rFonts w:hint="eastAsia" w:ascii="宋体" w:hAnsi="宋体" w:eastAsia="宋体" w:cs="宋体"/>
          <w:b w:val="0"/>
          <w:bCs/>
          <w:color w:val="auto"/>
          <w:szCs w:val="24"/>
        </w:rPr>
        <w:t>Wiley &amp; Sons Ltd.</w:t>
      </w:r>
    </w:p>
    <w:p w14:paraId="3F295D51">
      <w:pPr>
        <w:rPr>
          <w:rFonts w:hint="eastAsia" w:ascii="宋体" w:hAnsi="宋体" w:eastAsia="宋体" w:cs="宋体"/>
          <w:b w:val="0"/>
          <w:bCs/>
          <w:color w:val="auto"/>
          <w:szCs w:val="24"/>
        </w:rPr>
      </w:pPr>
    </w:p>
    <w:p w14:paraId="7D60D074">
      <w:pPr>
        <w:rPr>
          <w:rFonts w:hint="eastAsia" w:ascii="宋体" w:hAnsi="宋体" w:eastAsia="宋体" w:cs="宋体"/>
          <w:b w:val="0"/>
          <w:bCs/>
          <w:color w:val="auto"/>
          <w:szCs w:val="24"/>
        </w:rPr>
      </w:pPr>
      <w:r>
        <w:rPr>
          <w:rFonts w:hint="eastAsia" w:ascii="宋体" w:hAnsi="宋体" w:eastAsia="宋体" w:cs="宋体"/>
          <w:b w:val="0"/>
          <w:bCs/>
          <w:color w:val="auto"/>
          <w:szCs w:val="24"/>
        </w:rPr>
        <w:t>DOI: 10.1111/tmi.70226</w:t>
      </w:r>
    </w:p>
    <w:p w14:paraId="07743593">
      <w:pPr>
        <w:rPr>
          <w:rFonts w:hint="eastAsia" w:ascii="宋体" w:hAnsi="宋体" w:eastAsia="宋体" w:cs="宋体"/>
          <w:b w:val="0"/>
          <w:bCs/>
          <w:color w:val="auto"/>
          <w:szCs w:val="24"/>
        </w:rPr>
      </w:pPr>
      <w:r>
        <w:rPr>
          <w:rFonts w:hint="eastAsia" w:ascii="宋体" w:hAnsi="宋体" w:eastAsia="宋体" w:cs="宋体"/>
          <w:b w:val="0"/>
          <w:bCs/>
          <w:color w:val="auto"/>
          <w:szCs w:val="24"/>
        </w:rPr>
        <w:t>PMID: 42728222</w:t>
      </w:r>
    </w:p>
    <w:p w14:paraId="5D348343">
      <w:pPr>
        <w:rPr>
          <w:rFonts w:hint="eastAsia" w:ascii="宋体" w:hAnsi="宋体" w:eastAsia="宋体" w:cs="宋体"/>
          <w:b w:val="0"/>
          <w:bCs/>
          <w:color w:val="auto"/>
          <w:szCs w:val="24"/>
        </w:rPr>
      </w:pPr>
    </w:p>
    <w:p w14:paraId="794C0C31">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 BMJ Case Rep. 2026 Sep 11;19(9):e275440. doi: 10.1136/bcr-2026-275440.</w:t>
      </w:r>
    </w:p>
    <w:p w14:paraId="5533A746">
      <w:pPr>
        <w:rPr>
          <w:rFonts w:hint="eastAsia" w:ascii="宋体" w:hAnsi="宋体" w:eastAsia="宋体" w:cs="宋体"/>
          <w:b w:val="0"/>
          <w:bCs/>
          <w:color w:val="auto"/>
          <w:szCs w:val="24"/>
        </w:rPr>
      </w:pPr>
    </w:p>
    <w:p w14:paraId="153726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Beyond the pill count: unmasking the pharmacokinetic drivers of recurrent </w:t>
      </w:r>
    </w:p>
    <w:p w14:paraId="4D89F557">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w:t>
      </w:r>
    </w:p>
    <w:p w14:paraId="757A23CF">
      <w:pPr>
        <w:rPr>
          <w:rFonts w:hint="eastAsia" w:ascii="宋体" w:hAnsi="宋体" w:eastAsia="宋体" w:cs="宋体"/>
          <w:b w:val="0"/>
          <w:bCs/>
          <w:color w:val="auto"/>
          <w:szCs w:val="24"/>
        </w:rPr>
      </w:pPr>
    </w:p>
    <w:p w14:paraId="05425641">
      <w:pPr>
        <w:rPr>
          <w:rFonts w:hint="eastAsia" w:ascii="宋体" w:hAnsi="宋体" w:eastAsia="宋体" w:cs="宋体"/>
          <w:b w:val="0"/>
          <w:bCs/>
          <w:color w:val="auto"/>
          <w:szCs w:val="24"/>
        </w:rPr>
      </w:pPr>
      <w:r>
        <w:rPr>
          <w:rFonts w:hint="eastAsia" w:ascii="宋体" w:hAnsi="宋体" w:eastAsia="宋体" w:cs="宋体"/>
          <w:b w:val="0"/>
          <w:bCs/>
          <w:color w:val="auto"/>
          <w:szCs w:val="24"/>
        </w:rPr>
        <w:t>Shah AD(1), Garg N(2), Patel BM(2), Chakravarti CH(2).</w:t>
      </w:r>
    </w:p>
    <w:p w14:paraId="6CF81451">
      <w:pPr>
        <w:rPr>
          <w:rFonts w:hint="eastAsia" w:ascii="宋体" w:hAnsi="宋体" w:eastAsia="宋体" w:cs="宋体"/>
          <w:b w:val="0"/>
          <w:bCs/>
          <w:color w:val="auto"/>
          <w:szCs w:val="24"/>
        </w:rPr>
      </w:pPr>
    </w:p>
    <w:p w14:paraId="77C7D94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971E7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(1)Respiratory Medicine, Sumandeep Vidyapeeth Deemed to be University, Vadodara, </w:t>
      </w:r>
    </w:p>
    <w:p w14:paraId="6185FE05">
      <w:pPr>
        <w:rPr>
          <w:rFonts w:hint="eastAsia" w:ascii="宋体" w:hAnsi="宋体" w:eastAsia="宋体" w:cs="宋体"/>
          <w:b w:val="0"/>
          <w:bCs/>
          <w:color w:val="auto"/>
          <w:szCs w:val="24"/>
        </w:rPr>
      </w:pPr>
      <w:r>
        <w:rPr>
          <w:rFonts w:hint="eastAsia" w:ascii="宋体" w:hAnsi="宋体" w:eastAsia="宋体" w:cs="宋体"/>
          <w:b w:val="0"/>
          <w:bCs/>
          <w:color w:val="auto"/>
          <w:szCs w:val="24"/>
        </w:rPr>
        <w:t>Gujarat, India artidhawal76@gmail.com.</w:t>
      </w:r>
    </w:p>
    <w:p w14:paraId="4BFF5A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(2)Respiratory Medicine, Sumandeep Vidyapeeth Deemed to be University, Vadodara, </w:t>
      </w:r>
    </w:p>
    <w:p w14:paraId="233EFEC8">
      <w:pPr>
        <w:rPr>
          <w:rFonts w:hint="eastAsia" w:ascii="宋体" w:hAnsi="宋体" w:eastAsia="宋体" w:cs="宋体"/>
          <w:b w:val="0"/>
          <w:bCs/>
          <w:color w:val="auto"/>
          <w:szCs w:val="24"/>
        </w:rPr>
      </w:pPr>
      <w:r>
        <w:rPr>
          <w:rFonts w:hint="eastAsia" w:ascii="宋体" w:hAnsi="宋体" w:eastAsia="宋体" w:cs="宋体"/>
          <w:b w:val="0"/>
          <w:bCs/>
          <w:color w:val="auto"/>
          <w:szCs w:val="24"/>
        </w:rPr>
        <w:t>Gujarat, India.</w:t>
      </w:r>
    </w:p>
    <w:p w14:paraId="7CD4C3D8">
      <w:pPr>
        <w:rPr>
          <w:rFonts w:hint="eastAsia" w:ascii="宋体" w:hAnsi="宋体" w:eastAsia="宋体" w:cs="宋体"/>
          <w:b w:val="0"/>
          <w:bCs/>
          <w:color w:val="auto"/>
          <w:szCs w:val="24"/>
        </w:rPr>
      </w:pPr>
    </w:p>
    <w:p w14:paraId="67916E1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young adult female presented with recurrent sputum smear-positive pulmonary </w:t>
      </w:r>
    </w:p>
    <w:p w14:paraId="0D9B1A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despite completing four prior courses of standard first-line </w:t>
      </w:r>
    </w:p>
    <w:p w14:paraId="38D184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anti-tubercular therapy. She presented with progressive breathlessness, </w:t>
      </w:r>
    </w:p>
    <w:p w14:paraId="4886F0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productive cough and intermittent fever. Imaging revealed bilateral upper lobe </w:t>
      </w:r>
    </w:p>
    <w:p w14:paraId="27965D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fibrocavitary disease with cystic bronchiectasis. Repeated molecular testing </w:t>
      </w:r>
    </w:p>
    <w:p w14:paraId="73B31D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confirmed Mycobacterium tuberculosis without rifampicin or isoniazid resistance. </w:t>
      </w:r>
    </w:p>
    <w:p w14:paraId="76515D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Therapeutic drug monitoring (TDM), though not routinely recommended in TB </w:t>
      </w:r>
    </w:p>
    <w:p w14:paraId="5710E2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management, was undertaken in view of recurrent disease and showed undetectable </w:t>
      </w:r>
    </w:p>
    <w:p w14:paraId="243C86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rifampicin and subtherapeutic isoniazid concentrations, pointing towards </w:t>
      </w:r>
    </w:p>
    <w:p w14:paraId="1C831E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impaired absorption or altered pharmacokinetics as the likely cause of </w:t>
      </w:r>
    </w:p>
    <w:p w14:paraId="03010A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recurrence. The patient was treated with a higher-dose fixed-dose combination </w:t>
      </w:r>
    </w:p>
    <w:p w14:paraId="06BF9D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regimen supplemented with pyridoxine, probiotics, vitamin D and nutritional </w:t>
      </w:r>
    </w:p>
    <w:p w14:paraId="77E366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support. After 6 months, she showed symptomatic improvement, weight gain, sputum </w:t>
      </w:r>
    </w:p>
    <w:p w14:paraId="2C1CA7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conversion and reduced respiratory symptoms. This case emphasises the importance </w:t>
      </w:r>
    </w:p>
    <w:p w14:paraId="3A6651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identifying alternative causes of recurrence and supports the role of TDM in </w:t>
      </w:r>
    </w:p>
    <w:p w14:paraId="7088E410">
      <w:pPr>
        <w:rPr>
          <w:rFonts w:hint="eastAsia" w:ascii="宋体" w:hAnsi="宋体" w:eastAsia="宋体" w:cs="宋体"/>
          <w:b w:val="0"/>
          <w:bCs/>
          <w:color w:val="auto"/>
          <w:szCs w:val="24"/>
        </w:rPr>
      </w:pPr>
      <w:r>
        <w:rPr>
          <w:rFonts w:hint="eastAsia" w:ascii="宋体" w:hAnsi="宋体" w:eastAsia="宋体" w:cs="宋体"/>
          <w:b w:val="0"/>
          <w:bCs/>
          <w:color w:val="auto"/>
          <w:szCs w:val="24"/>
        </w:rPr>
        <w:t>patients with recurrent drug-sensitive TB.</w:t>
      </w:r>
    </w:p>
    <w:p w14:paraId="7CD2EAAB">
      <w:pPr>
        <w:rPr>
          <w:rFonts w:hint="eastAsia" w:ascii="宋体" w:hAnsi="宋体" w:eastAsia="宋体" w:cs="宋体"/>
          <w:b w:val="0"/>
          <w:bCs/>
          <w:color w:val="auto"/>
          <w:szCs w:val="24"/>
        </w:rPr>
      </w:pPr>
    </w:p>
    <w:p w14:paraId="48045C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BMJ Publishing Group Limited 2026. No commercial re-use. See rights and </w:t>
      </w:r>
    </w:p>
    <w:p w14:paraId="17925018">
      <w:pPr>
        <w:rPr>
          <w:rFonts w:hint="eastAsia" w:ascii="宋体" w:hAnsi="宋体" w:eastAsia="宋体" w:cs="宋体"/>
          <w:b w:val="0"/>
          <w:bCs/>
          <w:color w:val="auto"/>
          <w:szCs w:val="24"/>
        </w:rPr>
      </w:pPr>
      <w:r>
        <w:rPr>
          <w:rFonts w:hint="eastAsia" w:ascii="宋体" w:hAnsi="宋体" w:eastAsia="宋体" w:cs="宋体"/>
          <w:b w:val="0"/>
          <w:bCs/>
          <w:color w:val="auto"/>
          <w:szCs w:val="24"/>
        </w:rPr>
        <w:t>permissions. Published by BMJ Group.</w:t>
      </w:r>
    </w:p>
    <w:p w14:paraId="2F93F9F6">
      <w:pPr>
        <w:rPr>
          <w:rFonts w:hint="eastAsia" w:ascii="宋体" w:hAnsi="宋体" w:eastAsia="宋体" w:cs="宋体"/>
          <w:b w:val="0"/>
          <w:bCs/>
          <w:color w:val="auto"/>
          <w:szCs w:val="24"/>
        </w:rPr>
      </w:pPr>
    </w:p>
    <w:p w14:paraId="55CCF6A4">
      <w:pPr>
        <w:rPr>
          <w:rFonts w:hint="eastAsia" w:ascii="宋体" w:hAnsi="宋体" w:eastAsia="宋体" w:cs="宋体"/>
          <w:b w:val="0"/>
          <w:bCs/>
          <w:color w:val="auto"/>
          <w:szCs w:val="24"/>
        </w:rPr>
      </w:pPr>
      <w:r>
        <w:rPr>
          <w:rFonts w:hint="eastAsia" w:ascii="宋体" w:hAnsi="宋体" w:eastAsia="宋体" w:cs="宋体"/>
          <w:b w:val="0"/>
          <w:bCs/>
          <w:color w:val="auto"/>
          <w:szCs w:val="24"/>
        </w:rPr>
        <w:t>DOI: 10.1136/bcr-2026-275440</w:t>
      </w:r>
    </w:p>
    <w:p w14:paraId="4283B106">
      <w:pPr>
        <w:rPr>
          <w:rFonts w:hint="eastAsia" w:ascii="宋体" w:hAnsi="宋体" w:eastAsia="宋体" w:cs="宋体"/>
          <w:b w:val="0"/>
          <w:bCs/>
          <w:color w:val="auto"/>
          <w:szCs w:val="24"/>
        </w:rPr>
      </w:pPr>
      <w:r>
        <w:rPr>
          <w:rFonts w:hint="eastAsia" w:ascii="宋体" w:hAnsi="宋体" w:eastAsia="宋体" w:cs="宋体"/>
          <w:b w:val="0"/>
          <w:bCs/>
          <w:color w:val="auto"/>
          <w:szCs w:val="24"/>
        </w:rPr>
        <w:t>PMID: 42728078 [Indexed for MEDLINE]</w:t>
      </w:r>
    </w:p>
    <w:p w14:paraId="5ACB378B">
      <w:pPr>
        <w:rPr>
          <w:rFonts w:hint="eastAsia" w:ascii="宋体" w:hAnsi="宋体" w:eastAsia="宋体" w:cs="宋体"/>
          <w:b w:val="0"/>
          <w:bCs/>
          <w:color w:val="auto"/>
          <w:szCs w:val="24"/>
        </w:rPr>
      </w:pPr>
    </w:p>
    <w:p w14:paraId="3DC0D8EE">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w:t>
      </w:r>
      <w:r>
        <w:rPr>
          <w:rFonts w:hint="eastAsia" w:ascii="宋体" w:hAnsi="宋体" w:eastAsia="宋体" w:cs="宋体"/>
          <w:b/>
          <w:bCs w:val="0"/>
          <w:color w:val="FF0000"/>
          <w:szCs w:val="24"/>
        </w:rPr>
        <w:t>. BMJ Glob Health. 2026 Sep 10;11(9):e019948. doi: 10.1136/bmjgh-2025-019948.</w:t>
      </w:r>
    </w:p>
    <w:p w14:paraId="3CA7B4D8">
      <w:pPr>
        <w:rPr>
          <w:rFonts w:hint="eastAsia" w:ascii="宋体" w:hAnsi="宋体" w:eastAsia="宋体" w:cs="宋体"/>
          <w:b w:val="0"/>
          <w:bCs/>
          <w:color w:val="auto"/>
          <w:szCs w:val="24"/>
        </w:rPr>
      </w:pPr>
    </w:p>
    <w:p w14:paraId="1B7912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Uptake and feasibility of task-shifting of Xpert MTB/RIF Ultra testing from </w:t>
      </w:r>
    </w:p>
    <w:p w14:paraId="156642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laboratory technicians to nurses to increase access and reduce time to results: </w:t>
      </w:r>
    </w:p>
    <w:p w14:paraId="2462970A">
      <w:pPr>
        <w:rPr>
          <w:rFonts w:hint="eastAsia" w:ascii="宋体" w:hAnsi="宋体" w:eastAsia="宋体" w:cs="宋体"/>
          <w:b w:val="0"/>
          <w:bCs/>
          <w:color w:val="auto"/>
          <w:szCs w:val="24"/>
        </w:rPr>
      </w:pPr>
      <w:r>
        <w:rPr>
          <w:rFonts w:hint="eastAsia" w:ascii="宋体" w:hAnsi="宋体" w:eastAsia="宋体" w:cs="宋体"/>
          <w:b w:val="0"/>
          <w:bCs/>
          <w:color w:val="auto"/>
          <w:szCs w:val="24"/>
        </w:rPr>
        <w:t>a multicountry mixed method research.</w:t>
      </w:r>
    </w:p>
    <w:p w14:paraId="28061247">
      <w:pPr>
        <w:rPr>
          <w:rFonts w:hint="eastAsia" w:ascii="宋体" w:hAnsi="宋体" w:eastAsia="宋体" w:cs="宋体"/>
          <w:b w:val="0"/>
          <w:bCs/>
          <w:color w:val="auto"/>
          <w:szCs w:val="24"/>
        </w:rPr>
      </w:pPr>
    </w:p>
    <w:p w14:paraId="70C6C2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Ngu EM(1)(2), Basant J(3), Bhatta B(3), Huyen Ton Nu Nguyet M(3), Lounnas M(4), </w:t>
      </w:r>
    </w:p>
    <w:p w14:paraId="21CB1E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Kaitano RM(5), N'Guessan MS(6), Kasakwa KM(7), Manhiça EMA(8), Yin S(9), Mugisha </w:t>
      </w:r>
    </w:p>
    <w:p w14:paraId="081821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JR(10), Ouassa TD(6), Taguebue JV(11), Moh R(12), Breton G(10), Mwanga-Amumpere </w:t>
      </w:r>
    </w:p>
    <w:p w14:paraId="2922C5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J(5), Borand L(9)(13), Chabala C(14)(15), Khosa C(16), Wobudeya E(17), Marcy </w:t>
      </w:r>
    </w:p>
    <w:p w14:paraId="79D709EB">
      <w:pPr>
        <w:rPr>
          <w:rFonts w:hint="eastAsia" w:ascii="宋体" w:hAnsi="宋体" w:eastAsia="宋体" w:cs="宋体"/>
          <w:b w:val="0"/>
          <w:bCs/>
          <w:color w:val="auto"/>
          <w:szCs w:val="24"/>
        </w:rPr>
      </w:pPr>
      <w:r>
        <w:rPr>
          <w:rFonts w:hint="eastAsia" w:ascii="宋体" w:hAnsi="宋体" w:eastAsia="宋体" w:cs="宋体"/>
          <w:b w:val="0"/>
          <w:bCs/>
          <w:color w:val="auto"/>
          <w:szCs w:val="24"/>
        </w:rPr>
        <w:t>O(3), Orne-Gliemann J(3), Bonnet M(18); TB Speed study group.</w:t>
      </w:r>
    </w:p>
    <w:p w14:paraId="4DB45ABE">
      <w:pPr>
        <w:rPr>
          <w:rFonts w:hint="eastAsia" w:ascii="宋体" w:hAnsi="宋体" w:eastAsia="宋体" w:cs="宋体"/>
          <w:b w:val="0"/>
          <w:bCs/>
          <w:color w:val="auto"/>
          <w:szCs w:val="24"/>
        </w:rPr>
      </w:pPr>
    </w:p>
    <w:p w14:paraId="61EB6B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Collaborators: Graham S, Hesseling A, Cuevas L, Delacourt C, Verkuijl S, Musoke </w:t>
      </w:r>
    </w:p>
    <w:p w14:paraId="3B6BACF1">
      <w:pPr>
        <w:rPr>
          <w:rFonts w:hint="eastAsia" w:ascii="宋体" w:hAnsi="宋体" w:eastAsia="宋体" w:cs="宋体"/>
          <w:b w:val="0"/>
          <w:bCs/>
          <w:color w:val="auto"/>
          <w:szCs w:val="24"/>
        </w:rPr>
      </w:pPr>
      <w:r>
        <w:rPr>
          <w:rFonts w:hint="eastAsia" w:ascii="宋体" w:hAnsi="宋体" w:eastAsia="宋体" w:cs="宋体"/>
          <w:b w:val="0"/>
          <w:bCs/>
          <w:color w:val="auto"/>
          <w:szCs w:val="24"/>
        </w:rPr>
        <w:t>P, Maleche-Obimbo E, Eang MT.</w:t>
      </w:r>
    </w:p>
    <w:p w14:paraId="6AB1BD19">
      <w:pPr>
        <w:rPr>
          <w:rFonts w:hint="eastAsia" w:ascii="宋体" w:hAnsi="宋体" w:eastAsia="宋体" w:cs="宋体"/>
          <w:b w:val="0"/>
          <w:bCs/>
          <w:color w:val="auto"/>
          <w:szCs w:val="24"/>
        </w:rPr>
      </w:pPr>
    </w:p>
    <w:p w14:paraId="384DC453">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B8CD1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(1)University of Montpellier, TransVIHMI, INSERM, Institut de Recherche pour le </w:t>
      </w:r>
    </w:p>
    <w:p w14:paraId="513F24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Developpement Delegation Regionale Occitanie, Montpellier, Occitanie, France </w:t>
      </w:r>
    </w:p>
    <w:p w14:paraId="33316FC3">
      <w:pPr>
        <w:rPr>
          <w:rFonts w:hint="eastAsia" w:ascii="宋体" w:hAnsi="宋体" w:eastAsia="宋体" w:cs="宋体"/>
          <w:b w:val="0"/>
          <w:bCs/>
          <w:color w:val="auto"/>
          <w:szCs w:val="24"/>
        </w:rPr>
      </w:pPr>
      <w:r>
        <w:rPr>
          <w:rFonts w:hint="eastAsia" w:ascii="宋体" w:hAnsi="宋体" w:eastAsia="宋体" w:cs="宋体"/>
          <w:b w:val="0"/>
          <w:bCs/>
          <w:color w:val="auto"/>
          <w:szCs w:val="24"/>
        </w:rPr>
        <w:t>edenngu@gmail.com.</w:t>
      </w:r>
    </w:p>
    <w:p w14:paraId="1F8539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(2)Mycobacteriology, Centre Pasteur du Cameroun, Yaoundé, Centre Region, </w:t>
      </w:r>
    </w:p>
    <w:p w14:paraId="45E9BDA9">
      <w:pPr>
        <w:rPr>
          <w:rFonts w:hint="eastAsia" w:ascii="宋体" w:hAnsi="宋体" w:eastAsia="宋体" w:cs="宋体"/>
          <w:b w:val="0"/>
          <w:bCs/>
          <w:color w:val="auto"/>
          <w:szCs w:val="24"/>
        </w:rPr>
      </w:pPr>
      <w:r>
        <w:rPr>
          <w:rFonts w:hint="eastAsia" w:ascii="宋体" w:hAnsi="宋体" w:eastAsia="宋体" w:cs="宋体"/>
          <w:b w:val="0"/>
          <w:bCs/>
          <w:color w:val="auto"/>
          <w:szCs w:val="24"/>
        </w:rPr>
        <w:t>Cameroon.</w:t>
      </w:r>
    </w:p>
    <w:p w14:paraId="395C9C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(3)National Institute for Health and Medical Research (INSERM) U1219, Research </w:t>
      </w:r>
    </w:p>
    <w:p w14:paraId="2B5707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Institute for Sustainable Development (IRD) EMR 271, University of Bordeaux, </w:t>
      </w:r>
    </w:p>
    <w:p w14:paraId="03F2E6E4">
      <w:pPr>
        <w:rPr>
          <w:rFonts w:hint="eastAsia" w:ascii="宋体" w:hAnsi="宋体" w:eastAsia="宋体" w:cs="宋体"/>
          <w:b w:val="0"/>
          <w:bCs/>
          <w:color w:val="auto"/>
          <w:szCs w:val="24"/>
        </w:rPr>
      </w:pPr>
      <w:r>
        <w:rPr>
          <w:rFonts w:hint="eastAsia" w:ascii="宋体" w:hAnsi="宋体" w:eastAsia="宋体" w:cs="宋体"/>
          <w:b w:val="0"/>
          <w:bCs/>
          <w:color w:val="auto"/>
          <w:szCs w:val="24"/>
        </w:rPr>
        <w:t>Talence, Nouvelle-Aquitaine, France.</w:t>
      </w:r>
    </w:p>
    <w:p w14:paraId="7BA2EF0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(4)University of Montpellier, UMR MIVEGEC, Institut de Recherche pour le </w:t>
      </w:r>
    </w:p>
    <w:p w14:paraId="6538C5D0">
      <w:pPr>
        <w:rPr>
          <w:rFonts w:hint="eastAsia" w:ascii="宋体" w:hAnsi="宋体" w:eastAsia="宋体" w:cs="宋体"/>
          <w:b w:val="0"/>
          <w:bCs/>
          <w:color w:val="auto"/>
          <w:szCs w:val="24"/>
        </w:rPr>
      </w:pPr>
      <w:r>
        <w:rPr>
          <w:rFonts w:hint="eastAsia" w:ascii="宋体" w:hAnsi="宋体" w:eastAsia="宋体" w:cs="宋体"/>
          <w:b w:val="0"/>
          <w:bCs/>
          <w:color w:val="auto"/>
          <w:szCs w:val="24"/>
        </w:rPr>
        <w:t>Developpement Delegation Regionale Occitanie, Montpellier, Occitanie, France.</w:t>
      </w:r>
    </w:p>
    <w:p w14:paraId="112B26DC">
      <w:pPr>
        <w:rPr>
          <w:rFonts w:hint="eastAsia" w:ascii="宋体" w:hAnsi="宋体" w:eastAsia="宋体" w:cs="宋体"/>
          <w:b w:val="0"/>
          <w:bCs/>
          <w:color w:val="auto"/>
          <w:szCs w:val="24"/>
        </w:rPr>
      </w:pPr>
      <w:r>
        <w:rPr>
          <w:rFonts w:hint="eastAsia" w:ascii="宋体" w:hAnsi="宋体" w:eastAsia="宋体" w:cs="宋体"/>
          <w:b w:val="0"/>
          <w:bCs/>
          <w:color w:val="auto"/>
          <w:szCs w:val="24"/>
        </w:rPr>
        <w:t>(5)EPICENTRE Mbarara Research centre, Mbarara, Uganda.</w:t>
      </w:r>
    </w:p>
    <w:p w14:paraId="11D04D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(6)Mycobacteriology Unit/CeDReS, Centre Hospitalier Universitaire de </w:t>
      </w:r>
    </w:p>
    <w:p w14:paraId="40601127">
      <w:pPr>
        <w:rPr>
          <w:rFonts w:hint="eastAsia" w:ascii="宋体" w:hAnsi="宋体" w:eastAsia="宋体" w:cs="宋体"/>
          <w:b w:val="0"/>
          <w:bCs/>
          <w:color w:val="auto"/>
          <w:szCs w:val="24"/>
        </w:rPr>
      </w:pPr>
      <w:r>
        <w:rPr>
          <w:rFonts w:hint="eastAsia" w:ascii="宋体" w:hAnsi="宋体" w:eastAsia="宋体" w:cs="宋体"/>
          <w:b w:val="0"/>
          <w:bCs/>
          <w:color w:val="auto"/>
          <w:szCs w:val="24"/>
        </w:rPr>
        <w:t>Treichville, Abidjan, Abidjan Autonomous District, Côte d'Ivoire.</w:t>
      </w:r>
    </w:p>
    <w:p w14:paraId="32880F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(7)Pathology and Microbiology, University of Zambia University Teaching </w:t>
      </w:r>
    </w:p>
    <w:p w14:paraId="0467F1DA">
      <w:pPr>
        <w:rPr>
          <w:rFonts w:hint="eastAsia" w:ascii="宋体" w:hAnsi="宋体" w:eastAsia="宋体" w:cs="宋体"/>
          <w:b w:val="0"/>
          <w:bCs/>
          <w:color w:val="auto"/>
          <w:szCs w:val="24"/>
        </w:rPr>
      </w:pPr>
      <w:r>
        <w:rPr>
          <w:rFonts w:hint="eastAsia" w:ascii="宋体" w:hAnsi="宋体" w:eastAsia="宋体" w:cs="宋体"/>
          <w:b w:val="0"/>
          <w:bCs/>
          <w:color w:val="auto"/>
          <w:szCs w:val="24"/>
        </w:rPr>
        <w:t>Hospital, Lusaka, Lusaka Province, Zambia.</w:t>
      </w:r>
    </w:p>
    <w:p w14:paraId="7EDA633E">
      <w:pPr>
        <w:rPr>
          <w:rFonts w:hint="eastAsia" w:ascii="宋体" w:hAnsi="宋体" w:eastAsia="宋体" w:cs="宋体"/>
          <w:b w:val="0"/>
          <w:bCs/>
          <w:color w:val="auto"/>
          <w:szCs w:val="24"/>
        </w:rPr>
      </w:pPr>
      <w:r>
        <w:rPr>
          <w:rFonts w:hint="eastAsia" w:ascii="宋体" w:hAnsi="宋体" w:eastAsia="宋体" w:cs="宋体"/>
          <w:b w:val="0"/>
          <w:bCs/>
          <w:color w:val="auto"/>
          <w:szCs w:val="24"/>
        </w:rPr>
        <w:t>(8)Laboratory, Instituto Nacional de Saúde, Maputo, Maputo City, Mozambique.</w:t>
      </w:r>
    </w:p>
    <w:p w14:paraId="05D372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(9)Clinical Research Group, Epidemiology and Public Health Unit, Institut </w:t>
      </w:r>
    </w:p>
    <w:p w14:paraId="1ECB7E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Pasteur in Cambodia, Institut Pasteur du Cambodge, Phnom Penh, Phnom Penh, </w:t>
      </w:r>
    </w:p>
    <w:p w14:paraId="7958BC86">
      <w:pPr>
        <w:rPr>
          <w:rFonts w:hint="eastAsia" w:ascii="宋体" w:hAnsi="宋体" w:eastAsia="宋体" w:cs="宋体"/>
          <w:b w:val="0"/>
          <w:bCs/>
          <w:color w:val="auto"/>
          <w:szCs w:val="24"/>
        </w:rPr>
      </w:pPr>
      <w:r>
        <w:rPr>
          <w:rFonts w:hint="eastAsia" w:ascii="宋体" w:hAnsi="宋体" w:eastAsia="宋体" w:cs="宋体"/>
          <w:b w:val="0"/>
          <w:bCs/>
          <w:color w:val="auto"/>
          <w:szCs w:val="24"/>
        </w:rPr>
        <w:t>Cambodia.</w:t>
      </w:r>
    </w:p>
    <w:p w14:paraId="75EA1336">
      <w:pPr>
        <w:rPr>
          <w:rFonts w:hint="eastAsia" w:ascii="宋体" w:hAnsi="宋体" w:eastAsia="宋体" w:cs="宋体"/>
          <w:b w:val="0"/>
          <w:bCs/>
          <w:color w:val="auto"/>
          <w:szCs w:val="24"/>
        </w:rPr>
      </w:pPr>
      <w:r>
        <w:rPr>
          <w:rFonts w:hint="eastAsia" w:ascii="宋体" w:hAnsi="宋体" w:eastAsia="宋体" w:cs="宋体"/>
          <w:b w:val="0"/>
          <w:bCs/>
          <w:color w:val="auto"/>
          <w:szCs w:val="24"/>
        </w:rPr>
        <w:t>(10)SOLTHIS, Freetown, Sierra Leone.</w:t>
      </w:r>
    </w:p>
    <w:p w14:paraId="308B9799">
      <w:pPr>
        <w:rPr>
          <w:rFonts w:hint="eastAsia" w:ascii="宋体" w:hAnsi="宋体" w:eastAsia="宋体" w:cs="宋体"/>
          <w:b w:val="0"/>
          <w:bCs/>
          <w:color w:val="auto"/>
          <w:szCs w:val="24"/>
        </w:rPr>
      </w:pPr>
      <w:r>
        <w:rPr>
          <w:rFonts w:hint="eastAsia" w:ascii="宋体" w:hAnsi="宋体" w:eastAsia="宋体" w:cs="宋体"/>
          <w:b w:val="0"/>
          <w:bCs/>
          <w:color w:val="auto"/>
          <w:szCs w:val="24"/>
        </w:rPr>
        <w:t>(11)Centre Mere et Enfant, Chantal Biya Foundation, Yaounde, Cameroon.</w:t>
      </w:r>
    </w:p>
    <w:p w14:paraId="14113B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(12)Teaching Unit of Dermatology and Infectiology, UFR of Medical Sciences, </w:t>
      </w:r>
    </w:p>
    <w:p w14:paraId="34BCB4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Felix-Houphou et Boigny University, Programme PAC-CI CHU de Treichville, Centre </w:t>
      </w:r>
    </w:p>
    <w:p w14:paraId="78107D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Hospitalier Universitaire de Treichville, Abidjan, Abidjan Autonomous District, </w:t>
      </w:r>
    </w:p>
    <w:p w14:paraId="5EDDF91C">
      <w:pPr>
        <w:rPr>
          <w:rFonts w:hint="eastAsia" w:ascii="宋体" w:hAnsi="宋体" w:eastAsia="宋体" w:cs="宋体"/>
          <w:b w:val="0"/>
          <w:bCs/>
          <w:color w:val="auto"/>
          <w:szCs w:val="24"/>
        </w:rPr>
      </w:pPr>
      <w:r>
        <w:rPr>
          <w:rFonts w:hint="eastAsia" w:ascii="宋体" w:hAnsi="宋体" w:eastAsia="宋体" w:cs="宋体"/>
          <w:b w:val="0"/>
          <w:bCs/>
          <w:color w:val="auto"/>
          <w:szCs w:val="24"/>
        </w:rPr>
        <w:t>Côte d'Ivoire.</w:t>
      </w:r>
    </w:p>
    <w:p w14:paraId="33AF41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(13)Center for Tuberculosis Research, Division of Infectious Diseases, Johns </w:t>
      </w:r>
    </w:p>
    <w:p w14:paraId="44516C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Hopkins University School of Medicine, Johns Hopkins University School of </w:t>
      </w:r>
    </w:p>
    <w:p w14:paraId="28CCC2C4">
      <w:pPr>
        <w:rPr>
          <w:rFonts w:hint="eastAsia" w:ascii="宋体" w:hAnsi="宋体" w:eastAsia="宋体" w:cs="宋体"/>
          <w:b w:val="0"/>
          <w:bCs/>
          <w:color w:val="auto"/>
          <w:szCs w:val="24"/>
        </w:rPr>
      </w:pPr>
      <w:r>
        <w:rPr>
          <w:rFonts w:hint="eastAsia" w:ascii="宋体" w:hAnsi="宋体" w:eastAsia="宋体" w:cs="宋体"/>
          <w:b w:val="0"/>
          <w:bCs/>
          <w:color w:val="auto"/>
          <w:szCs w:val="24"/>
        </w:rPr>
        <w:t>Medicine Center for Musculoskeletal Research, Baltimore, Maryland, USA.</w:t>
      </w:r>
    </w:p>
    <w:p w14:paraId="7774B1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(14)University of Zambia University Teaching Hospital, Lusaka, Lusaka Province, </w:t>
      </w:r>
    </w:p>
    <w:p w14:paraId="0E76D4A4">
      <w:pPr>
        <w:rPr>
          <w:rFonts w:hint="eastAsia" w:ascii="宋体" w:hAnsi="宋体" w:eastAsia="宋体" w:cs="宋体"/>
          <w:b w:val="0"/>
          <w:bCs/>
          <w:color w:val="auto"/>
          <w:szCs w:val="24"/>
        </w:rPr>
      </w:pPr>
      <w:r>
        <w:rPr>
          <w:rFonts w:hint="eastAsia" w:ascii="宋体" w:hAnsi="宋体" w:eastAsia="宋体" w:cs="宋体"/>
          <w:b w:val="0"/>
          <w:bCs/>
          <w:color w:val="auto"/>
          <w:szCs w:val="24"/>
        </w:rPr>
        <w:t>Zambia.</w:t>
      </w:r>
    </w:p>
    <w:p w14:paraId="577B9686">
      <w:pPr>
        <w:rPr>
          <w:rFonts w:hint="eastAsia" w:ascii="宋体" w:hAnsi="宋体" w:eastAsia="宋体" w:cs="宋体"/>
          <w:b w:val="0"/>
          <w:bCs/>
          <w:color w:val="auto"/>
          <w:szCs w:val="24"/>
        </w:rPr>
      </w:pPr>
      <w:r>
        <w:rPr>
          <w:rFonts w:hint="eastAsia" w:ascii="宋体" w:hAnsi="宋体" w:eastAsia="宋体" w:cs="宋体"/>
          <w:b w:val="0"/>
          <w:bCs/>
          <w:color w:val="auto"/>
          <w:szCs w:val="24"/>
        </w:rPr>
        <w:t>(15)School of Medicine, Lusaka, Zambia.</w:t>
      </w:r>
    </w:p>
    <w:p w14:paraId="5DB72F65">
      <w:pPr>
        <w:rPr>
          <w:rFonts w:hint="eastAsia" w:ascii="宋体" w:hAnsi="宋体" w:eastAsia="宋体" w:cs="宋体"/>
          <w:b w:val="0"/>
          <w:bCs/>
          <w:color w:val="auto"/>
          <w:szCs w:val="24"/>
        </w:rPr>
      </w:pPr>
      <w:r>
        <w:rPr>
          <w:rFonts w:hint="eastAsia" w:ascii="宋体" w:hAnsi="宋体" w:eastAsia="宋体" w:cs="宋体"/>
          <w:b w:val="0"/>
          <w:bCs/>
          <w:color w:val="auto"/>
          <w:szCs w:val="24"/>
        </w:rPr>
        <w:t>(16)Instituto Nacional de Saúde, Maputo, Maputo City, Mozambique.</w:t>
      </w:r>
    </w:p>
    <w:p w14:paraId="7DA1ADD2">
      <w:pPr>
        <w:rPr>
          <w:rFonts w:hint="eastAsia" w:ascii="宋体" w:hAnsi="宋体" w:eastAsia="宋体" w:cs="宋体"/>
          <w:b w:val="0"/>
          <w:bCs/>
          <w:color w:val="auto"/>
          <w:szCs w:val="24"/>
        </w:rPr>
      </w:pPr>
      <w:r>
        <w:rPr>
          <w:rFonts w:hint="eastAsia" w:ascii="宋体" w:hAnsi="宋体" w:eastAsia="宋体" w:cs="宋体"/>
          <w:b w:val="0"/>
          <w:bCs/>
          <w:color w:val="auto"/>
          <w:szCs w:val="24"/>
        </w:rPr>
        <w:t>(17)MU-JHU Research Collaboration, MU-JHU Care, Kampala, Central Region, Uganda.</w:t>
      </w:r>
    </w:p>
    <w:p w14:paraId="476F6E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(18)University of Montpellier, TransVIHMI, INSERM, Institut de Recherche pour le </w:t>
      </w:r>
    </w:p>
    <w:p w14:paraId="3F63F40B">
      <w:pPr>
        <w:rPr>
          <w:rFonts w:hint="eastAsia" w:ascii="宋体" w:hAnsi="宋体" w:eastAsia="宋体" w:cs="宋体"/>
          <w:b w:val="0"/>
          <w:bCs/>
          <w:color w:val="auto"/>
          <w:szCs w:val="24"/>
        </w:rPr>
      </w:pPr>
      <w:r>
        <w:rPr>
          <w:rFonts w:hint="eastAsia" w:ascii="宋体" w:hAnsi="宋体" w:eastAsia="宋体" w:cs="宋体"/>
          <w:b w:val="0"/>
          <w:bCs/>
          <w:color w:val="auto"/>
          <w:szCs w:val="24"/>
        </w:rPr>
        <w:t>Developpement Delegation Regionale Occitanie, Montpellier, Occitanie, France.</w:t>
      </w:r>
    </w:p>
    <w:p w14:paraId="73EAAB11">
      <w:pPr>
        <w:rPr>
          <w:rFonts w:hint="eastAsia" w:ascii="宋体" w:hAnsi="宋体" w:eastAsia="宋体" w:cs="宋体"/>
          <w:b w:val="0"/>
          <w:bCs/>
          <w:color w:val="auto"/>
          <w:szCs w:val="24"/>
        </w:rPr>
      </w:pPr>
    </w:p>
    <w:p w14:paraId="7C200461">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INTRODUCTION: </w:t>
      </w:r>
      <w:r>
        <w:rPr>
          <w:rFonts w:hint="eastAsia" w:ascii="宋体" w:hAnsi="宋体" w:eastAsia="宋体" w:cs="宋体"/>
          <w:b w:val="0"/>
          <w:bCs/>
          <w:color w:val="auto"/>
          <w:szCs w:val="24"/>
        </w:rPr>
        <w:t xml:space="preserve">Task-shifting tuberculosis (TB) rapid molecular testing from </w:t>
      </w:r>
    </w:p>
    <w:p w14:paraId="579D4EE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laboratory technicians to nurses could help decentralise TB diagnosis at primary </w:t>
      </w:r>
    </w:p>
    <w:p w14:paraId="5DB4AE6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health centres (PHCs) and allow in-ward testing to shorten treatment decision </w:t>
      </w:r>
    </w:p>
    <w:p w14:paraId="5E8613A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very sick patients. We assessed the feasibility of Xpert MTB/RIF Ultra </w:t>
      </w:r>
    </w:p>
    <w:p w14:paraId="4E30F6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(Ultra) testing on nasopharyngeal aspirate (NPA) by nurses in children with </w:t>
      </w:r>
    </w:p>
    <w:p w14:paraId="4F40AE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presumptive TB at PHCs and in hospitalised children with severe pneumonia within </w:t>
      </w:r>
    </w:p>
    <w:p w14:paraId="3EF3A685">
      <w:pPr>
        <w:rPr>
          <w:rFonts w:hint="eastAsia" w:ascii="宋体" w:hAnsi="宋体" w:eastAsia="宋体" w:cs="宋体"/>
          <w:b w:val="0"/>
          <w:bCs/>
          <w:color w:val="auto"/>
          <w:szCs w:val="24"/>
        </w:rPr>
      </w:pPr>
      <w:r>
        <w:rPr>
          <w:rFonts w:hint="eastAsia" w:ascii="宋体" w:hAnsi="宋体" w:eastAsia="宋体" w:cs="宋体"/>
          <w:b w:val="0"/>
          <w:bCs/>
          <w:color w:val="auto"/>
          <w:szCs w:val="24"/>
        </w:rPr>
        <w:t>the TB-Speed project in seven countries.</w:t>
      </w:r>
    </w:p>
    <w:p w14:paraId="4E9236F6">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Of 23 PHCs and 15 paediatric wards, 9 and 4 respectively had nurses </w:t>
      </w:r>
    </w:p>
    <w:p w14:paraId="6548F7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trained to perform Ultra using the battery-operated GeneXpert Edge. Laboratory </w:t>
      </w:r>
    </w:p>
    <w:p w14:paraId="6F81AD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technicians performed testing in the other sites. We compared the proportion of </w:t>
      </w:r>
    </w:p>
    <w:p w14:paraId="137DEE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samples tested, invalid or error results, TB detection yield, turnaround time </w:t>
      </w:r>
    </w:p>
    <w:p w14:paraId="5BCC6D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(TAT) between sample reception and result at PHC and time to clinician between </w:t>
      </w:r>
    </w:p>
    <w:p w14:paraId="4D6171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sample collection and result delivery to clinicians in paediatric wards between </w:t>
      </w:r>
    </w:p>
    <w:p w14:paraId="6C2C73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nurses and laboratory technicians. External quality assessment (EQA) and site </w:t>
      </w:r>
    </w:p>
    <w:p w14:paraId="1BD738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support supervision assessed performance. Self-administered questionnaire and </w:t>
      </w:r>
    </w:p>
    <w:p w14:paraId="12D955C0">
      <w:pPr>
        <w:rPr>
          <w:rFonts w:hint="eastAsia" w:ascii="宋体" w:hAnsi="宋体" w:eastAsia="宋体" w:cs="宋体"/>
          <w:b w:val="0"/>
          <w:bCs/>
          <w:color w:val="auto"/>
          <w:szCs w:val="24"/>
        </w:rPr>
      </w:pPr>
      <w:r>
        <w:rPr>
          <w:rFonts w:hint="eastAsia" w:ascii="宋体" w:hAnsi="宋体" w:eastAsia="宋体" w:cs="宋体"/>
          <w:b w:val="0"/>
          <w:bCs/>
          <w:color w:val="auto"/>
          <w:szCs w:val="24"/>
        </w:rPr>
        <w:t>semistructured individual interviews assessed nurses' perceptions.</w:t>
      </w:r>
    </w:p>
    <w:p w14:paraId="751C42E0">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Ultra was done in 253/254 (99.6%) and 258/258 (100%) samples for PHC </w:t>
      </w:r>
    </w:p>
    <w:p w14:paraId="4A4690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hospital nurses versus 895/897 (99.8%) and 874/874 (100%) for laboratory </w:t>
      </w:r>
    </w:p>
    <w:p w14:paraId="30B6ED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technicians, respectively. At PHC, TAT was below 1 hour 30 min for 158/252 </w:t>
      </w:r>
    </w:p>
    <w:p w14:paraId="7AB192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(62.7%) samples tested by nurses versus 677/893 (75.8%) by laboratory </w:t>
      </w:r>
    </w:p>
    <w:p w14:paraId="2F85BB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technicians, p&lt;0.001. Ultra results were available to clinicians within 3 hours </w:t>
      </w:r>
    </w:p>
    <w:p w14:paraId="3CC630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201/258 (77.9%) samples for nurses versus 464/874 (53.1%) for laboratory </w:t>
      </w:r>
    </w:p>
    <w:p w14:paraId="096BCF7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technicians in hospitals, p&lt;0.001. EQA results &lt;87.5% was more common for PHC </w:t>
      </w:r>
    </w:p>
    <w:p w14:paraId="6D5751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nurses than PHC laboratory technicians or hospital nurses. Technical </w:t>
      </w:r>
    </w:p>
    <w:p w14:paraId="6FADAC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difficulties, lack of practice and workload were the main challenges, and </w:t>
      </w:r>
    </w:p>
    <w:p w14:paraId="7D766D8B">
      <w:pPr>
        <w:rPr>
          <w:rFonts w:hint="eastAsia" w:ascii="宋体" w:hAnsi="宋体" w:eastAsia="宋体" w:cs="宋体"/>
          <w:b w:val="0"/>
          <w:bCs/>
          <w:color w:val="auto"/>
          <w:szCs w:val="24"/>
        </w:rPr>
      </w:pPr>
      <w:r>
        <w:rPr>
          <w:rFonts w:hint="eastAsia" w:ascii="宋体" w:hAnsi="宋体" w:eastAsia="宋体" w:cs="宋体"/>
          <w:b w:val="0"/>
          <w:bCs/>
          <w:color w:val="auto"/>
          <w:szCs w:val="24"/>
        </w:rPr>
        <w:t>training and supervision the main facilitators reported by nurses.</w:t>
      </w:r>
    </w:p>
    <w:p w14:paraId="1ACEB972">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Task shifting of Ultra testing from laboratory technicians to nurses </w:t>
      </w:r>
    </w:p>
    <w:p w14:paraId="64FC6D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close supervision could support decentralisation of TB diagnosis and </w:t>
      </w:r>
    </w:p>
    <w:p w14:paraId="27C6167A">
      <w:pPr>
        <w:rPr>
          <w:rFonts w:hint="eastAsia" w:ascii="宋体" w:hAnsi="宋体" w:eastAsia="宋体" w:cs="宋体"/>
          <w:b w:val="0"/>
          <w:bCs/>
          <w:color w:val="auto"/>
          <w:szCs w:val="24"/>
        </w:rPr>
      </w:pPr>
      <w:r>
        <w:rPr>
          <w:rFonts w:hint="eastAsia" w:ascii="宋体" w:hAnsi="宋体" w:eastAsia="宋体" w:cs="宋体"/>
          <w:b w:val="0"/>
          <w:bCs/>
          <w:color w:val="auto"/>
          <w:szCs w:val="24"/>
        </w:rPr>
        <w:t>shorten time to treatment decision for very sick patients.</w:t>
      </w:r>
    </w:p>
    <w:p w14:paraId="42B6C4A2">
      <w:pPr>
        <w:rPr>
          <w:rFonts w:hint="eastAsia" w:ascii="宋体" w:hAnsi="宋体" w:eastAsia="宋体" w:cs="宋体"/>
          <w:b w:val="0"/>
          <w:bCs/>
          <w:color w:val="auto"/>
          <w:szCs w:val="24"/>
        </w:rPr>
      </w:pPr>
    </w:p>
    <w:p w14:paraId="3AFD2F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Author(s) (or their employer(s)) 2026. Re-use permitted under CC BY-NC. No </w:t>
      </w:r>
    </w:p>
    <w:p w14:paraId="0B78C259">
      <w:pPr>
        <w:rPr>
          <w:rFonts w:hint="eastAsia" w:ascii="宋体" w:hAnsi="宋体" w:eastAsia="宋体" w:cs="宋体"/>
          <w:b w:val="0"/>
          <w:bCs/>
          <w:color w:val="auto"/>
          <w:szCs w:val="24"/>
        </w:rPr>
      </w:pPr>
      <w:r>
        <w:rPr>
          <w:rFonts w:hint="eastAsia" w:ascii="宋体" w:hAnsi="宋体" w:eastAsia="宋体" w:cs="宋体"/>
          <w:b w:val="0"/>
          <w:bCs/>
          <w:color w:val="auto"/>
          <w:szCs w:val="24"/>
        </w:rPr>
        <w:t>commercial re-use. See rights and permissions. Published by BMJ Group.</w:t>
      </w:r>
    </w:p>
    <w:p w14:paraId="6D5131F6">
      <w:pPr>
        <w:rPr>
          <w:rFonts w:hint="eastAsia" w:ascii="宋体" w:hAnsi="宋体" w:eastAsia="宋体" w:cs="宋体"/>
          <w:b w:val="0"/>
          <w:bCs/>
          <w:color w:val="auto"/>
          <w:szCs w:val="24"/>
        </w:rPr>
      </w:pPr>
    </w:p>
    <w:p w14:paraId="06B05E03">
      <w:pPr>
        <w:rPr>
          <w:rFonts w:hint="eastAsia" w:ascii="宋体" w:hAnsi="宋体" w:eastAsia="宋体" w:cs="宋体"/>
          <w:b w:val="0"/>
          <w:bCs/>
          <w:color w:val="auto"/>
          <w:szCs w:val="24"/>
        </w:rPr>
      </w:pPr>
      <w:r>
        <w:rPr>
          <w:rFonts w:hint="eastAsia" w:ascii="宋体" w:hAnsi="宋体" w:eastAsia="宋体" w:cs="宋体"/>
          <w:b w:val="0"/>
          <w:bCs/>
          <w:color w:val="auto"/>
          <w:szCs w:val="24"/>
        </w:rPr>
        <w:t>DOI: 10.1136/bmjgh-2025-019948</w:t>
      </w:r>
    </w:p>
    <w:p w14:paraId="7C134D0D">
      <w:pPr>
        <w:rPr>
          <w:rFonts w:hint="eastAsia" w:ascii="宋体" w:hAnsi="宋体" w:eastAsia="宋体" w:cs="宋体"/>
          <w:b w:val="0"/>
          <w:bCs/>
          <w:color w:val="auto"/>
          <w:szCs w:val="24"/>
        </w:rPr>
      </w:pPr>
      <w:r>
        <w:rPr>
          <w:rFonts w:hint="eastAsia" w:ascii="宋体" w:hAnsi="宋体" w:eastAsia="宋体" w:cs="宋体"/>
          <w:b w:val="0"/>
          <w:bCs/>
          <w:color w:val="auto"/>
          <w:szCs w:val="24"/>
        </w:rPr>
        <w:t>PMID: 42727954 [Indexed for MEDLINE]</w:t>
      </w:r>
    </w:p>
    <w:p w14:paraId="64CF2DD2">
      <w:pPr>
        <w:rPr>
          <w:rFonts w:hint="eastAsia" w:ascii="宋体" w:hAnsi="宋体" w:eastAsia="宋体" w:cs="宋体"/>
          <w:b w:val="0"/>
          <w:bCs/>
          <w:color w:val="auto"/>
          <w:szCs w:val="24"/>
        </w:rPr>
      </w:pPr>
    </w:p>
    <w:p w14:paraId="3AD10B2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w:t>
      </w:r>
      <w:r>
        <w:rPr>
          <w:rFonts w:hint="eastAsia" w:ascii="宋体" w:hAnsi="宋体" w:eastAsia="宋体" w:cs="宋体"/>
          <w:b/>
          <w:bCs w:val="0"/>
          <w:color w:val="FF0000"/>
          <w:szCs w:val="24"/>
        </w:rPr>
        <w:t xml:space="preserve">. Int J Infect Dis. 2026 Sep 11:109113. doi: 10.1016/j.ijid.2026.109113. Online </w:t>
      </w:r>
    </w:p>
    <w:p w14:paraId="10A0383E">
      <w:pPr>
        <w:rPr>
          <w:rFonts w:hint="eastAsia" w:ascii="宋体" w:hAnsi="宋体" w:eastAsia="宋体" w:cs="宋体"/>
          <w:b/>
          <w:bCs w:val="0"/>
          <w:color w:val="FF0000"/>
          <w:szCs w:val="24"/>
        </w:rPr>
      </w:pPr>
      <w:r>
        <w:rPr>
          <w:rFonts w:hint="eastAsia" w:ascii="宋体" w:hAnsi="宋体" w:eastAsia="宋体" w:cs="宋体"/>
          <w:b/>
          <w:bCs w:val="0"/>
          <w:color w:val="FF0000"/>
          <w:szCs w:val="24"/>
        </w:rPr>
        <w:t>ahead of print.</w:t>
      </w:r>
    </w:p>
    <w:p w14:paraId="58EC6016">
      <w:pPr>
        <w:rPr>
          <w:rFonts w:hint="eastAsia" w:ascii="宋体" w:hAnsi="宋体" w:eastAsia="宋体" w:cs="宋体"/>
          <w:b w:val="0"/>
          <w:bCs/>
          <w:color w:val="auto"/>
          <w:szCs w:val="24"/>
        </w:rPr>
      </w:pPr>
    </w:p>
    <w:p w14:paraId="06DED7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Cerebral tuberculosis among elderly patients with miliary tuberculosis </w:t>
      </w:r>
    </w:p>
    <w:p w14:paraId="578C2029">
      <w:pPr>
        <w:rPr>
          <w:rFonts w:hint="eastAsia" w:ascii="宋体" w:hAnsi="宋体" w:eastAsia="宋体" w:cs="宋体"/>
          <w:b w:val="0"/>
          <w:bCs/>
          <w:color w:val="auto"/>
          <w:szCs w:val="24"/>
        </w:rPr>
      </w:pPr>
      <w:r>
        <w:rPr>
          <w:rFonts w:hint="eastAsia" w:ascii="宋体" w:hAnsi="宋体" w:eastAsia="宋体" w:cs="宋体"/>
          <w:b w:val="0"/>
          <w:bCs/>
          <w:color w:val="auto"/>
          <w:szCs w:val="24"/>
        </w:rPr>
        <w:t>undergoing brain MRI: a retrospective observational study.</w:t>
      </w:r>
    </w:p>
    <w:p w14:paraId="5D46AA60">
      <w:pPr>
        <w:rPr>
          <w:rFonts w:hint="eastAsia" w:ascii="宋体" w:hAnsi="宋体" w:eastAsia="宋体" w:cs="宋体"/>
          <w:b w:val="0"/>
          <w:bCs/>
          <w:color w:val="auto"/>
          <w:szCs w:val="24"/>
        </w:rPr>
      </w:pPr>
    </w:p>
    <w:p w14:paraId="0BF606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Wakamatsu K(1), Nagata N(2), Katsuki K(3), Kumazoe H(4), Kawamoto S(3), Kawano </w:t>
      </w:r>
    </w:p>
    <w:p w14:paraId="040E8061">
      <w:pPr>
        <w:rPr>
          <w:rFonts w:hint="eastAsia" w:ascii="宋体" w:hAnsi="宋体" w:eastAsia="宋体" w:cs="宋体"/>
          <w:b w:val="0"/>
          <w:bCs/>
          <w:color w:val="auto"/>
          <w:szCs w:val="24"/>
        </w:rPr>
      </w:pPr>
      <w:r>
        <w:rPr>
          <w:rFonts w:hint="eastAsia" w:ascii="宋体" w:hAnsi="宋体" w:eastAsia="宋体" w:cs="宋体"/>
          <w:b w:val="0"/>
          <w:bCs/>
          <w:color w:val="auto"/>
          <w:szCs w:val="24"/>
        </w:rPr>
        <w:t>D(4), Kiyotani R(4), Nagasawa Z(5), Asai S(6), Yamada H(7).</w:t>
      </w:r>
    </w:p>
    <w:p w14:paraId="3D533BAD">
      <w:pPr>
        <w:rPr>
          <w:rFonts w:hint="eastAsia" w:ascii="宋体" w:hAnsi="宋体" w:eastAsia="宋体" w:cs="宋体"/>
          <w:b w:val="0"/>
          <w:bCs/>
          <w:color w:val="auto"/>
          <w:szCs w:val="24"/>
        </w:rPr>
      </w:pPr>
    </w:p>
    <w:p w14:paraId="4BB32BF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77D93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Respiratory Medicine, National Hospital Organization Omuta </w:t>
      </w:r>
    </w:p>
    <w:p w14:paraId="5221C0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National Hospital, Omuta, Fukuoka, Japan. Electronic address: </w:t>
      </w:r>
    </w:p>
    <w:p w14:paraId="0EF4B217">
      <w:pPr>
        <w:rPr>
          <w:rFonts w:hint="eastAsia" w:ascii="宋体" w:hAnsi="宋体" w:eastAsia="宋体" w:cs="宋体"/>
          <w:b w:val="0"/>
          <w:bCs/>
          <w:color w:val="auto"/>
          <w:szCs w:val="24"/>
        </w:rPr>
      </w:pPr>
      <w:r>
        <w:rPr>
          <w:rFonts w:hint="eastAsia" w:ascii="宋体" w:hAnsi="宋体" w:eastAsia="宋体" w:cs="宋体"/>
          <w:b w:val="0"/>
          <w:bCs/>
          <w:color w:val="auto"/>
          <w:szCs w:val="24"/>
        </w:rPr>
        <w:t>wakamatsu.kentaro@outlook.jp.</w:t>
      </w:r>
    </w:p>
    <w:p w14:paraId="40DDC1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Respiratory Medicine, Fukuoka Megumi Hospital, Koga, Fukuoka, </w:t>
      </w:r>
    </w:p>
    <w:p w14:paraId="52B06404">
      <w:pPr>
        <w:rPr>
          <w:rFonts w:hint="eastAsia" w:ascii="宋体" w:hAnsi="宋体" w:eastAsia="宋体" w:cs="宋体"/>
          <w:b w:val="0"/>
          <w:bCs/>
          <w:color w:val="auto"/>
          <w:szCs w:val="24"/>
        </w:rPr>
      </w:pPr>
      <w:r>
        <w:rPr>
          <w:rFonts w:hint="eastAsia" w:ascii="宋体" w:hAnsi="宋体" w:eastAsia="宋体" w:cs="宋体"/>
          <w:b w:val="0"/>
          <w:bCs/>
          <w:color w:val="auto"/>
          <w:szCs w:val="24"/>
        </w:rPr>
        <w:t>Japan.</w:t>
      </w:r>
    </w:p>
    <w:p w14:paraId="11E47C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Clinical Laboratory, National Hospital Organization Omuta </w:t>
      </w:r>
    </w:p>
    <w:p w14:paraId="49B10E23">
      <w:pPr>
        <w:rPr>
          <w:rFonts w:hint="eastAsia" w:ascii="宋体" w:hAnsi="宋体" w:eastAsia="宋体" w:cs="宋体"/>
          <w:b w:val="0"/>
          <w:bCs/>
          <w:color w:val="auto"/>
          <w:szCs w:val="24"/>
        </w:rPr>
      </w:pPr>
      <w:r>
        <w:rPr>
          <w:rFonts w:hint="eastAsia" w:ascii="宋体" w:hAnsi="宋体" w:eastAsia="宋体" w:cs="宋体"/>
          <w:b w:val="0"/>
          <w:bCs/>
          <w:color w:val="auto"/>
          <w:szCs w:val="24"/>
        </w:rPr>
        <w:t>National Hospital, Omuta, Fukuoka, Japan.</w:t>
      </w:r>
    </w:p>
    <w:p w14:paraId="31D0CB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Respiratory Medicine, National Hospital Organization Omuta </w:t>
      </w:r>
    </w:p>
    <w:p w14:paraId="239AC8E7">
      <w:pPr>
        <w:rPr>
          <w:rFonts w:hint="eastAsia" w:ascii="宋体" w:hAnsi="宋体" w:eastAsia="宋体" w:cs="宋体"/>
          <w:b w:val="0"/>
          <w:bCs/>
          <w:color w:val="auto"/>
          <w:szCs w:val="24"/>
        </w:rPr>
      </w:pPr>
      <w:r>
        <w:rPr>
          <w:rFonts w:hint="eastAsia" w:ascii="宋体" w:hAnsi="宋体" w:eastAsia="宋体" w:cs="宋体"/>
          <w:b w:val="0"/>
          <w:bCs/>
          <w:color w:val="auto"/>
          <w:szCs w:val="24"/>
        </w:rPr>
        <w:t>National Hospital, Omuta, Fukuoka, Japan.</w:t>
      </w:r>
    </w:p>
    <w:p w14:paraId="3FC5FB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Medical Technology and Science, Faculty of Fukuoka Health Care, </w:t>
      </w:r>
    </w:p>
    <w:p w14:paraId="57D93ABA">
      <w:pPr>
        <w:rPr>
          <w:rFonts w:hint="eastAsia" w:ascii="宋体" w:hAnsi="宋体" w:eastAsia="宋体" w:cs="宋体"/>
          <w:b w:val="0"/>
          <w:bCs/>
          <w:color w:val="auto"/>
          <w:szCs w:val="24"/>
        </w:rPr>
      </w:pPr>
      <w:r>
        <w:rPr>
          <w:rFonts w:hint="eastAsia" w:ascii="宋体" w:hAnsi="宋体" w:eastAsia="宋体" w:cs="宋体"/>
          <w:b w:val="0"/>
          <w:bCs/>
          <w:color w:val="auto"/>
          <w:szCs w:val="24"/>
        </w:rPr>
        <w:t>International University of Health and Welfare, Okawa, Fukuoka, Japan.</w:t>
      </w:r>
    </w:p>
    <w:p w14:paraId="2DCD99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Laboratory Medicine, Tokai University School of Medicine, </w:t>
      </w:r>
    </w:p>
    <w:p w14:paraId="1FC561F8">
      <w:pPr>
        <w:rPr>
          <w:rFonts w:hint="eastAsia" w:ascii="宋体" w:hAnsi="宋体" w:eastAsia="宋体" w:cs="宋体"/>
          <w:b w:val="0"/>
          <w:bCs/>
          <w:color w:val="auto"/>
          <w:szCs w:val="24"/>
        </w:rPr>
      </w:pPr>
      <w:r>
        <w:rPr>
          <w:rFonts w:hint="eastAsia" w:ascii="宋体" w:hAnsi="宋体" w:eastAsia="宋体" w:cs="宋体"/>
          <w:b w:val="0"/>
          <w:bCs/>
          <w:color w:val="auto"/>
          <w:szCs w:val="24"/>
        </w:rPr>
        <w:t>Isehara, Kanagawa, Japan.</w:t>
      </w:r>
    </w:p>
    <w:p w14:paraId="1428D9B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Respiratory Medicine, Keitendo Koga Hospital, Kouhoku, Kisima, </w:t>
      </w:r>
    </w:p>
    <w:p w14:paraId="58A72EB4">
      <w:pPr>
        <w:rPr>
          <w:rFonts w:hint="eastAsia" w:ascii="宋体" w:hAnsi="宋体" w:eastAsia="宋体" w:cs="宋体"/>
          <w:b w:val="0"/>
          <w:bCs/>
          <w:color w:val="auto"/>
          <w:szCs w:val="24"/>
        </w:rPr>
      </w:pPr>
      <w:r>
        <w:rPr>
          <w:rFonts w:hint="eastAsia" w:ascii="宋体" w:hAnsi="宋体" w:eastAsia="宋体" w:cs="宋体"/>
          <w:b w:val="0"/>
          <w:bCs/>
          <w:color w:val="auto"/>
          <w:szCs w:val="24"/>
        </w:rPr>
        <w:t>Saga, Japan.</w:t>
      </w:r>
    </w:p>
    <w:p w14:paraId="5B4CB0EB">
      <w:pPr>
        <w:rPr>
          <w:rFonts w:hint="eastAsia" w:ascii="宋体" w:hAnsi="宋体" w:eastAsia="宋体" w:cs="宋体"/>
          <w:b w:val="0"/>
          <w:bCs/>
          <w:color w:val="auto"/>
          <w:szCs w:val="24"/>
        </w:rPr>
      </w:pPr>
    </w:p>
    <w:p w14:paraId="499C5070">
      <w:pPr>
        <w:rPr>
          <w:rFonts w:hint="eastAsia" w:ascii="宋体" w:hAnsi="宋体" w:eastAsia="宋体" w:cs="宋体"/>
          <w:b w:val="0"/>
          <w:bCs/>
          <w:color w:val="auto"/>
          <w:szCs w:val="24"/>
        </w:rPr>
      </w:pPr>
      <w:r>
        <w:rPr>
          <w:rFonts w:hint="eastAsia" w:ascii="宋体" w:hAnsi="宋体" w:eastAsia="宋体" w:cs="宋体"/>
          <w:b/>
          <w:bCs w:val="0"/>
          <w:color w:val="auto"/>
          <w:szCs w:val="24"/>
        </w:rPr>
        <w:t>OBJECTIVE:</w:t>
      </w:r>
      <w:r>
        <w:rPr>
          <w:rFonts w:hint="eastAsia" w:ascii="宋体" w:hAnsi="宋体" w:eastAsia="宋体" w:cs="宋体"/>
          <w:b w:val="0"/>
          <w:bCs/>
          <w:color w:val="auto"/>
          <w:szCs w:val="24"/>
        </w:rPr>
        <w:t xml:space="preserve"> To determine the frequency and clinical characteristics of cerebral </w:t>
      </w:r>
    </w:p>
    <w:p w14:paraId="2B380A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among elderly patients with miliary tuberculosis undergoing brain </w:t>
      </w:r>
    </w:p>
    <w:p w14:paraId="2D96B2FB">
      <w:pPr>
        <w:rPr>
          <w:rFonts w:hint="eastAsia" w:ascii="宋体" w:hAnsi="宋体" w:eastAsia="宋体" w:cs="宋体"/>
          <w:b w:val="0"/>
          <w:bCs/>
          <w:color w:val="auto"/>
          <w:szCs w:val="24"/>
        </w:rPr>
      </w:pPr>
      <w:r>
        <w:rPr>
          <w:rFonts w:hint="eastAsia" w:ascii="宋体" w:hAnsi="宋体" w:eastAsia="宋体" w:cs="宋体"/>
          <w:b w:val="0"/>
          <w:bCs/>
          <w:color w:val="auto"/>
          <w:szCs w:val="24"/>
        </w:rPr>
        <w:t>magnetic resonance imaging (MRI).</w:t>
      </w:r>
    </w:p>
    <w:p w14:paraId="3F3C89A9">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We retrospectively reviewed 71 consecutive patients with miliary </w:t>
      </w:r>
    </w:p>
    <w:p w14:paraId="379F92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admitted to a Japanese tertiary hospital between 2006 and 2024. </w:t>
      </w:r>
    </w:p>
    <w:p w14:paraId="173E4C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Brain MRI was performed in 31 patients (43.7%) at the discretion of attending </w:t>
      </w:r>
    </w:p>
    <w:p w14:paraId="0F8BE66B">
      <w:pPr>
        <w:rPr>
          <w:rFonts w:hint="eastAsia" w:ascii="宋体" w:hAnsi="宋体" w:eastAsia="宋体" w:cs="宋体"/>
          <w:b w:val="0"/>
          <w:bCs/>
          <w:color w:val="auto"/>
          <w:szCs w:val="24"/>
        </w:rPr>
      </w:pPr>
      <w:r>
        <w:rPr>
          <w:rFonts w:hint="eastAsia" w:ascii="宋体" w:hAnsi="宋体" w:eastAsia="宋体" w:cs="宋体"/>
          <w:b w:val="0"/>
          <w:bCs/>
          <w:color w:val="auto"/>
          <w:szCs w:val="24"/>
        </w:rPr>
        <w:t>physicians.</w:t>
      </w:r>
    </w:p>
    <w:p w14:paraId="73A0837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Cerebral tuberculosis was clinically and radiologically diagnosed in 19 </w:t>
      </w:r>
    </w:p>
    <w:p w14:paraId="392C4D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31 patients (61.3%) undergoing MRI. Routine clinical, laboratory, and </w:t>
      </w:r>
    </w:p>
    <w:p w14:paraId="2BEA0F0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microbiological findings did not reliably distinguish cerebral involvement. All </w:t>
      </w:r>
    </w:p>
    <w:p w14:paraId="72B8DA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19 patients had multiple supratentorial and infratentorial lesions. MRI was </w:t>
      </w:r>
    </w:p>
    <w:p w14:paraId="534EF9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preferentially performed in patients with better performance status, lower </w:t>
      </w:r>
    </w:p>
    <w:p w14:paraId="40D03B0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Sequential Organ Failure Assessment scores, and less dementia, suggesting a </w:t>
      </w:r>
    </w:p>
    <w:p w14:paraId="49C11561">
      <w:pPr>
        <w:rPr>
          <w:rFonts w:hint="eastAsia" w:ascii="宋体" w:hAnsi="宋体" w:eastAsia="宋体" w:cs="宋体"/>
          <w:b w:val="0"/>
          <w:bCs/>
          <w:color w:val="auto"/>
          <w:szCs w:val="24"/>
        </w:rPr>
      </w:pPr>
      <w:r>
        <w:rPr>
          <w:rFonts w:hint="eastAsia" w:ascii="宋体" w:hAnsi="宋体" w:eastAsia="宋体" w:cs="宋体"/>
          <w:b w:val="0"/>
          <w:bCs/>
          <w:color w:val="auto"/>
          <w:szCs w:val="24"/>
        </w:rPr>
        <w:t>selected population.</w:t>
      </w:r>
    </w:p>
    <w:p w14:paraId="29993835">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w:t>
      </w:r>
      <w:r>
        <w:rPr>
          <w:rFonts w:hint="eastAsia" w:ascii="宋体" w:hAnsi="宋体" w:eastAsia="宋体" w:cs="宋体"/>
          <w:b w:val="0"/>
          <w:bCs/>
          <w:color w:val="auto"/>
          <w:szCs w:val="24"/>
        </w:rPr>
        <w:t xml:space="preserve"> Cerebral tuberculosis was frequently identified among patients </w:t>
      </w:r>
    </w:p>
    <w:p w14:paraId="7D566D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undergoing MRI but was not reliably distinguishable from routine findings. </w:t>
      </w:r>
    </w:p>
    <w:p w14:paraId="0B14BD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Although this frequency cannot be extrapolated to all patients with miliary </w:t>
      </w:r>
    </w:p>
    <w:p w14:paraId="39470A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clinically unrecognized cerebral involvement may be more common </w:t>
      </w:r>
    </w:p>
    <w:p w14:paraId="2EA2B1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than generally appreciated. In elderly patients, MRI may be difficult because of </w:t>
      </w:r>
    </w:p>
    <w:p w14:paraId="7B4C91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poor general condition, dementia, or other age-related limitations. When MRI </w:t>
      </w:r>
    </w:p>
    <w:p w14:paraId="446071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cannot be performed, possible cerebral involvement should remain a clinical </w:t>
      </w:r>
    </w:p>
    <w:p w14:paraId="0C9B567B">
      <w:pPr>
        <w:rPr>
          <w:rFonts w:hint="eastAsia" w:ascii="宋体" w:hAnsi="宋体" w:eastAsia="宋体" w:cs="宋体"/>
          <w:b w:val="0"/>
          <w:bCs/>
          <w:color w:val="auto"/>
          <w:szCs w:val="24"/>
        </w:rPr>
      </w:pPr>
      <w:r>
        <w:rPr>
          <w:rFonts w:hint="eastAsia" w:ascii="宋体" w:hAnsi="宋体" w:eastAsia="宋体" w:cs="宋体"/>
          <w:b w:val="0"/>
          <w:bCs/>
          <w:color w:val="auto"/>
          <w:szCs w:val="24"/>
        </w:rPr>
        <w:t>consideration and may be relevant when selecting antituberculous therapy.</w:t>
      </w:r>
    </w:p>
    <w:p w14:paraId="132E9345">
      <w:pPr>
        <w:rPr>
          <w:rFonts w:hint="eastAsia" w:ascii="宋体" w:hAnsi="宋体" w:eastAsia="宋体" w:cs="宋体"/>
          <w:b w:val="0"/>
          <w:bCs/>
          <w:color w:val="auto"/>
          <w:szCs w:val="24"/>
        </w:rPr>
      </w:pPr>
    </w:p>
    <w:p w14:paraId="1912D20C">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 Published by Elsevier Ltd.. All rights reserved.</w:t>
      </w:r>
    </w:p>
    <w:p w14:paraId="57347F94">
      <w:pPr>
        <w:rPr>
          <w:rFonts w:hint="eastAsia" w:ascii="宋体" w:hAnsi="宋体" w:eastAsia="宋体" w:cs="宋体"/>
          <w:b w:val="0"/>
          <w:bCs/>
          <w:color w:val="auto"/>
          <w:szCs w:val="24"/>
        </w:rPr>
      </w:pPr>
    </w:p>
    <w:p w14:paraId="7372B75E">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10.1016/j.ijid.2026.109113</w:t>
      </w:r>
    </w:p>
    <w:p w14:paraId="6179885C">
      <w:pPr>
        <w:rPr>
          <w:rFonts w:hint="eastAsia" w:ascii="宋体" w:hAnsi="宋体" w:eastAsia="宋体" w:cs="宋体"/>
          <w:b w:val="0"/>
          <w:bCs/>
          <w:color w:val="auto"/>
          <w:szCs w:val="24"/>
        </w:rPr>
      </w:pPr>
      <w:r>
        <w:rPr>
          <w:rFonts w:hint="eastAsia" w:ascii="宋体" w:hAnsi="宋体" w:eastAsia="宋体" w:cs="宋体"/>
          <w:b w:val="0"/>
          <w:bCs/>
          <w:color w:val="auto"/>
          <w:szCs w:val="24"/>
        </w:rPr>
        <w:t>PMID: 42727680</w:t>
      </w:r>
    </w:p>
    <w:p w14:paraId="124F733B">
      <w:pPr>
        <w:rPr>
          <w:rFonts w:hint="eastAsia" w:ascii="宋体" w:hAnsi="宋体" w:eastAsia="宋体" w:cs="宋体"/>
          <w:b w:val="0"/>
          <w:bCs/>
          <w:color w:val="auto"/>
          <w:szCs w:val="24"/>
        </w:rPr>
      </w:pPr>
    </w:p>
    <w:p w14:paraId="5E208D8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w:t>
      </w:r>
      <w:r>
        <w:rPr>
          <w:rFonts w:hint="eastAsia" w:ascii="宋体" w:hAnsi="宋体" w:eastAsia="宋体" w:cs="宋体"/>
          <w:b/>
          <w:bCs w:val="0"/>
          <w:color w:val="FF0000"/>
          <w:szCs w:val="24"/>
        </w:rPr>
        <w:t xml:space="preserve">. Lancet Respir Med. 2026 Sep 11:S2213-2600(26)00285-7. doi: </w:t>
      </w:r>
    </w:p>
    <w:p w14:paraId="56694130">
      <w:pPr>
        <w:rPr>
          <w:rFonts w:hint="eastAsia" w:ascii="宋体" w:hAnsi="宋体" w:eastAsia="宋体" w:cs="宋体"/>
          <w:b/>
          <w:bCs w:val="0"/>
          <w:color w:val="FF0000"/>
          <w:szCs w:val="24"/>
        </w:rPr>
      </w:pPr>
      <w:r>
        <w:rPr>
          <w:rFonts w:hint="eastAsia" w:ascii="宋体" w:hAnsi="宋体" w:eastAsia="宋体" w:cs="宋体"/>
          <w:b/>
          <w:bCs w:val="0"/>
          <w:color w:val="FF0000"/>
          <w:szCs w:val="24"/>
        </w:rPr>
        <w:t>10.1016/S2213-2600(26)00285-7. Online ahead of print.</w:t>
      </w:r>
    </w:p>
    <w:p w14:paraId="202A5204">
      <w:pPr>
        <w:rPr>
          <w:rFonts w:hint="eastAsia" w:ascii="宋体" w:hAnsi="宋体" w:eastAsia="宋体" w:cs="宋体"/>
          <w:b w:val="0"/>
          <w:bCs/>
          <w:color w:val="auto"/>
          <w:szCs w:val="24"/>
        </w:rPr>
      </w:pPr>
    </w:p>
    <w:p w14:paraId="27C384B4">
      <w:pPr>
        <w:rPr>
          <w:rFonts w:hint="eastAsia" w:ascii="宋体" w:hAnsi="宋体" w:eastAsia="宋体" w:cs="宋体"/>
          <w:b w:val="0"/>
          <w:bCs/>
          <w:color w:val="auto"/>
          <w:szCs w:val="24"/>
        </w:rPr>
      </w:pPr>
      <w:r>
        <w:rPr>
          <w:rFonts w:hint="eastAsia" w:ascii="宋体" w:hAnsi="宋体" w:eastAsia="宋体" w:cs="宋体"/>
          <w:b w:val="0"/>
          <w:bCs/>
          <w:color w:val="auto"/>
          <w:szCs w:val="24"/>
        </w:rPr>
        <w:t>Unravelling of tuberculosis control in Ukraine.</w:t>
      </w:r>
    </w:p>
    <w:p w14:paraId="37489AC9">
      <w:pPr>
        <w:rPr>
          <w:rFonts w:hint="eastAsia" w:ascii="宋体" w:hAnsi="宋体" w:eastAsia="宋体" w:cs="宋体"/>
          <w:b w:val="0"/>
          <w:bCs/>
          <w:color w:val="auto"/>
          <w:szCs w:val="24"/>
        </w:rPr>
      </w:pPr>
    </w:p>
    <w:p w14:paraId="51B77ADC">
      <w:pPr>
        <w:rPr>
          <w:rFonts w:hint="eastAsia" w:ascii="宋体" w:hAnsi="宋体" w:eastAsia="宋体" w:cs="宋体"/>
          <w:b w:val="0"/>
          <w:bCs/>
          <w:color w:val="auto"/>
          <w:szCs w:val="24"/>
        </w:rPr>
      </w:pPr>
      <w:r>
        <w:rPr>
          <w:rFonts w:hint="eastAsia" w:ascii="宋体" w:hAnsi="宋体" w:eastAsia="宋体" w:cs="宋体"/>
          <w:b w:val="0"/>
          <w:bCs/>
          <w:color w:val="auto"/>
          <w:szCs w:val="24"/>
        </w:rPr>
        <w:t>Burki T.</w:t>
      </w:r>
    </w:p>
    <w:p w14:paraId="43928C0E">
      <w:pPr>
        <w:rPr>
          <w:rFonts w:hint="eastAsia" w:ascii="宋体" w:hAnsi="宋体" w:eastAsia="宋体" w:cs="宋体"/>
          <w:b w:val="0"/>
          <w:bCs/>
          <w:color w:val="auto"/>
          <w:szCs w:val="24"/>
        </w:rPr>
      </w:pPr>
    </w:p>
    <w:p w14:paraId="25A22A80">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10.1016/S2213-2600(26)00285-7</w:t>
      </w:r>
    </w:p>
    <w:p w14:paraId="612F2EDB">
      <w:pPr>
        <w:rPr>
          <w:rFonts w:hint="eastAsia" w:ascii="宋体" w:hAnsi="宋体" w:eastAsia="宋体" w:cs="宋体"/>
          <w:b w:val="0"/>
          <w:bCs/>
          <w:color w:val="auto"/>
          <w:szCs w:val="24"/>
        </w:rPr>
      </w:pPr>
      <w:r>
        <w:rPr>
          <w:rFonts w:hint="eastAsia" w:ascii="宋体" w:hAnsi="宋体" w:eastAsia="宋体" w:cs="宋体"/>
          <w:b w:val="0"/>
          <w:bCs/>
          <w:color w:val="auto"/>
          <w:szCs w:val="24"/>
        </w:rPr>
        <w:t>PMID: 42727589</w:t>
      </w:r>
    </w:p>
    <w:p w14:paraId="77D9D035">
      <w:pPr>
        <w:rPr>
          <w:rFonts w:hint="eastAsia" w:ascii="宋体" w:hAnsi="宋体" w:eastAsia="宋体" w:cs="宋体"/>
          <w:b w:val="0"/>
          <w:bCs/>
          <w:color w:val="auto"/>
          <w:szCs w:val="24"/>
        </w:rPr>
      </w:pPr>
    </w:p>
    <w:p w14:paraId="108734D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w:t>
      </w:r>
      <w:r>
        <w:rPr>
          <w:rFonts w:hint="eastAsia" w:ascii="宋体" w:hAnsi="宋体" w:eastAsia="宋体" w:cs="宋体"/>
          <w:b/>
          <w:bCs w:val="0"/>
          <w:color w:val="FF0000"/>
          <w:szCs w:val="24"/>
        </w:rPr>
        <w:t xml:space="preserve">. PLOS Glob Public Health. 2026 Sep 11;6(9):e0006738. doi: </w:t>
      </w:r>
    </w:p>
    <w:p w14:paraId="41C2D13E">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10.1371/journal.pgph.0006738. eCollection 2026.</w:t>
      </w:r>
    </w:p>
    <w:p w14:paraId="33FFB354">
      <w:pPr>
        <w:rPr>
          <w:rFonts w:hint="eastAsia" w:ascii="宋体" w:hAnsi="宋体" w:eastAsia="宋体" w:cs="宋体"/>
          <w:b w:val="0"/>
          <w:bCs/>
          <w:color w:val="auto"/>
          <w:szCs w:val="24"/>
        </w:rPr>
      </w:pPr>
    </w:p>
    <w:p w14:paraId="3EB4BE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Projected population level impact and cost-effectiveness of clinic and </w:t>
      </w:r>
    </w:p>
    <w:p w14:paraId="4F2EC012">
      <w:pPr>
        <w:rPr>
          <w:rFonts w:hint="eastAsia" w:ascii="宋体" w:hAnsi="宋体" w:eastAsia="宋体" w:cs="宋体"/>
          <w:b w:val="0"/>
          <w:bCs/>
          <w:color w:val="auto"/>
          <w:szCs w:val="24"/>
        </w:rPr>
      </w:pPr>
      <w:r>
        <w:rPr>
          <w:rFonts w:hint="eastAsia" w:ascii="宋体" w:hAnsi="宋体" w:eastAsia="宋体" w:cs="宋体"/>
          <w:b w:val="0"/>
          <w:bCs/>
          <w:color w:val="auto"/>
          <w:szCs w:val="24"/>
        </w:rPr>
        <w:t>community-based tuberculosis screening approaches.</w:t>
      </w:r>
    </w:p>
    <w:p w14:paraId="02AE019E">
      <w:pPr>
        <w:rPr>
          <w:rFonts w:hint="eastAsia" w:ascii="宋体" w:hAnsi="宋体" w:eastAsia="宋体" w:cs="宋体"/>
          <w:b w:val="0"/>
          <w:bCs/>
          <w:color w:val="auto"/>
          <w:szCs w:val="24"/>
        </w:rPr>
      </w:pPr>
    </w:p>
    <w:p w14:paraId="672AC6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McCreesh N(1), Khan PY(1)(2), Yoon I(1), Govender I(1)(2), Sithole M(2), Houben </w:t>
      </w:r>
    </w:p>
    <w:p w14:paraId="45214BDB">
      <w:pPr>
        <w:rPr>
          <w:rFonts w:hint="eastAsia" w:ascii="宋体" w:hAnsi="宋体" w:eastAsia="宋体" w:cs="宋体"/>
          <w:b w:val="0"/>
          <w:bCs/>
          <w:color w:val="auto"/>
          <w:szCs w:val="24"/>
        </w:rPr>
      </w:pPr>
      <w:r>
        <w:rPr>
          <w:rFonts w:hint="eastAsia" w:ascii="宋体" w:hAnsi="宋体" w:eastAsia="宋体" w:cs="宋体"/>
          <w:b w:val="0"/>
          <w:bCs/>
          <w:color w:val="auto"/>
          <w:szCs w:val="24"/>
        </w:rPr>
        <w:t>RMGJ(1), White RG(1), Grant AD(1)(2)(3), Sweeney S(1).</w:t>
      </w:r>
    </w:p>
    <w:p w14:paraId="32CCCEAA">
      <w:pPr>
        <w:rPr>
          <w:rFonts w:hint="eastAsia" w:ascii="宋体" w:hAnsi="宋体" w:eastAsia="宋体" w:cs="宋体"/>
          <w:b w:val="0"/>
          <w:bCs/>
          <w:color w:val="auto"/>
          <w:szCs w:val="24"/>
        </w:rPr>
      </w:pPr>
    </w:p>
    <w:p w14:paraId="0C4F8B1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454BC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(1)TB Centre, London School of Hygiene and Tropical Medicine, London, United </w:t>
      </w:r>
    </w:p>
    <w:p w14:paraId="3FBC5CFE">
      <w:pPr>
        <w:rPr>
          <w:rFonts w:hint="eastAsia" w:ascii="宋体" w:hAnsi="宋体" w:eastAsia="宋体" w:cs="宋体"/>
          <w:b w:val="0"/>
          <w:bCs/>
          <w:color w:val="auto"/>
          <w:szCs w:val="24"/>
        </w:rPr>
      </w:pPr>
      <w:r>
        <w:rPr>
          <w:rFonts w:hint="eastAsia" w:ascii="宋体" w:hAnsi="宋体" w:eastAsia="宋体" w:cs="宋体"/>
          <w:b w:val="0"/>
          <w:bCs/>
          <w:color w:val="auto"/>
          <w:szCs w:val="24"/>
        </w:rPr>
        <w:t>Kingdom.</w:t>
      </w:r>
    </w:p>
    <w:p w14:paraId="6CF9A0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(2)Clinical Research Department, Africa Health Research Institute, Somkhele, </w:t>
      </w:r>
    </w:p>
    <w:p w14:paraId="002680F7">
      <w:pPr>
        <w:rPr>
          <w:rFonts w:hint="eastAsia" w:ascii="宋体" w:hAnsi="宋体" w:eastAsia="宋体" w:cs="宋体"/>
          <w:b w:val="0"/>
          <w:bCs/>
          <w:color w:val="auto"/>
          <w:szCs w:val="24"/>
        </w:rPr>
      </w:pPr>
      <w:r>
        <w:rPr>
          <w:rFonts w:hint="eastAsia" w:ascii="宋体" w:hAnsi="宋体" w:eastAsia="宋体" w:cs="宋体"/>
          <w:b w:val="0"/>
          <w:bCs/>
          <w:color w:val="auto"/>
          <w:szCs w:val="24"/>
        </w:rPr>
        <w:t>South Africa.</w:t>
      </w:r>
    </w:p>
    <w:p w14:paraId="2B8234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(3)School of Laboratory Medicine and Medical Sciences, College of Health </w:t>
      </w:r>
    </w:p>
    <w:p w14:paraId="1D75124D">
      <w:pPr>
        <w:rPr>
          <w:rFonts w:hint="eastAsia" w:ascii="宋体" w:hAnsi="宋体" w:eastAsia="宋体" w:cs="宋体"/>
          <w:b w:val="0"/>
          <w:bCs/>
          <w:color w:val="auto"/>
          <w:szCs w:val="24"/>
        </w:rPr>
      </w:pPr>
      <w:r>
        <w:rPr>
          <w:rFonts w:hint="eastAsia" w:ascii="宋体" w:hAnsi="宋体" w:eastAsia="宋体" w:cs="宋体"/>
          <w:b w:val="0"/>
          <w:bCs/>
          <w:color w:val="auto"/>
          <w:szCs w:val="24"/>
        </w:rPr>
        <w:t>Sciences, University of KwaZulu-Natal, Durban, South Africa.</w:t>
      </w:r>
    </w:p>
    <w:p w14:paraId="1F553ED1">
      <w:pPr>
        <w:rPr>
          <w:rFonts w:hint="eastAsia" w:ascii="宋体" w:hAnsi="宋体" w:eastAsia="宋体" w:cs="宋体"/>
          <w:b w:val="0"/>
          <w:bCs/>
          <w:color w:val="auto"/>
          <w:szCs w:val="24"/>
        </w:rPr>
      </w:pPr>
    </w:p>
    <w:p w14:paraId="77E434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South African National Department of Health have set ambitious targets to </w:t>
      </w:r>
    </w:p>
    <w:p w14:paraId="5DCE5C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scale up TB testing, focusing primarily on clinic attendees. In the context of </w:t>
      </w:r>
    </w:p>
    <w:p w14:paraId="2B882E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declining funding for TB care and prevention, the most cost-effective approaches </w:t>
      </w:r>
    </w:p>
    <w:p w14:paraId="256670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targeting testing should be identified. We developed a mathematical model of </w:t>
      </w:r>
    </w:p>
    <w:p w14:paraId="550AE1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in South Africa, explicitly incorporating clinic attendance by sex and </w:t>
      </w:r>
    </w:p>
    <w:p w14:paraId="2A4605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HIV/ART status. We simulated six screening approaches over 2026-2035 </w:t>
      </w:r>
    </w:p>
    <w:p w14:paraId="586952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(individually and in combination): three clinic-based (symptom screening, </w:t>
      </w:r>
    </w:p>
    <w:p w14:paraId="6E83B9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intensified targeted universal TB testing [TUTT, symptom-agnostic sputum testing </w:t>
      </w:r>
    </w:p>
    <w:p w14:paraId="2A1CDC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clinic attendees in key risk groups], and intensified TUTT allowing saliva </w:t>
      </w:r>
    </w:p>
    <w:p w14:paraId="2D5364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samples) and three targeted community-based (community radiographic screening, </w:t>
      </w:r>
    </w:p>
    <w:p w14:paraId="424E10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symptom screening, and universal Xpert Ultra testing), each implemented at a </w:t>
      </w:r>
    </w:p>
    <w:p w14:paraId="280152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range of coverage levels. Model outputs were combined with a mechanistic cost </w:t>
      </w:r>
    </w:p>
    <w:p w14:paraId="54A764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function to estimate potential impact and cost-effectiveness from a societal </w:t>
      </w:r>
    </w:p>
    <w:p w14:paraId="56565F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perspective. The most cost-effective standalone approach was community </w:t>
      </w:r>
    </w:p>
    <w:p w14:paraId="5660AC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radiographic screening at 10% annual population coverage, with an incremental </w:t>
      </w:r>
    </w:p>
    <w:p w14:paraId="3DE423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cost-effectiveness ratio (ICER) of $421 per disability-adjusted life year (DALY) </w:t>
      </w:r>
    </w:p>
    <w:p w14:paraId="3AA6F8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averted. 10/11 scenarios along the expansion path included community </w:t>
      </w:r>
    </w:p>
    <w:p w14:paraId="79F31F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radiographic screening at progressively higher coverage, combined with a </w:t>
      </w:r>
    </w:p>
    <w:p w14:paraId="16C2A1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clinic-based approach. Combining complementary approaches to reach both groups </w:t>
      </w:r>
    </w:p>
    <w:p w14:paraId="449064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 increased risk of TB (e.g., clinic-based screening) and groups with lower </w:t>
      </w:r>
    </w:p>
    <w:p w14:paraId="7F6924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coverage (e.g., community-based screening) may increase </w:t>
      </w:r>
    </w:p>
    <w:p w14:paraId="2E69FE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cost-effectiveness of TB screening, compared to standalone approaches. When </w:t>
      </w:r>
    </w:p>
    <w:p w14:paraId="40BEB0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designing TB screening strategies, both population risk and existing screening </w:t>
      </w:r>
    </w:p>
    <w:p w14:paraId="11117BDC">
      <w:pPr>
        <w:rPr>
          <w:rFonts w:hint="eastAsia" w:ascii="宋体" w:hAnsi="宋体" w:eastAsia="宋体" w:cs="宋体"/>
          <w:b w:val="0"/>
          <w:bCs/>
          <w:color w:val="auto"/>
          <w:szCs w:val="24"/>
        </w:rPr>
      </w:pPr>
      <w:r>
        <w:rPr>
          <w:rFonts w:hint="eastAsia" w:ascii="宋体" w:hAnsi="宋体" w:eastAsia="宋体" w:cs="宋体"/>
          <w:b w:val="0"/>
          <w:bCs/>
          <w:color w:val="auto"/>
          <w:szCs w:val="24"/>
        </w:rPr>
        <w:t>coverage should be considered.</w:t>
      </w:r>
    </w:p>
    <w:p w14:paraId="3927767C">
      <w:pPr>
        <w:rPr>
          <w:rFonts w:hint="eastAsia" w:ascii="宋体" w:hAnsi="宋体" w:eastAsia="宋体" w:cs="宋体"/>
          <w:b w:val="0"/>
          <w:bCs/>
          <w:color w:val="auto"/>
          <w:szCs w:val="24"/>
        </w:rPr>
      </w:pPr>
    </w:p>
    <w:p w14:paraId="1F37AA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McCreesh et al. This is an open access article distributed </w:t>
      </w:r>
    </w:p>
    <w:p w14:paraId="68596E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the terms of the Creative Commons Attribution License, which permits </w:t>
      </w:r>
    </w:p>
    <w:p w14:paraId="2BDE54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2497C6D0">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18E4E31E">
      <w:pPr>
        <w:rPr>
          <w:rFonts w:hint="eastAsia" w:ascii="宋体" w:hAnsi="宋体" w:eastAsia="宋体" w:cs="宋体"/>
          <w:b w:val="0"/>
          <w:bCs/>
          <w:color w:val="auto"/>
          <w:szCs w:val="24"/>
        </w:rPr>
      </w:pPr>
    </w:p>
    <w:p w14:paraId="7047C912">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10.1371/journal.pgph.0006738</w:t>
      </w:r>
    </w:p>
    <w:p w14:paraId="3EB39B7E">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PMC13567835</w:t>
      </w:r>
    </w:p>
    <w:p w14:paraId="3033737D">
      <w:pPr>
        <w:rPr>
          <w:rFonts w:hint="eastAsia" w:ascii="宋体" w:hAnsi="宋体" w:eastAsia="宋体" w:cs="宋体"/>
          <w:b w:val="0"/>
          <w:bCs/>
          <w:color w:val="auto"/>
          <w:szCs w:val="24"/>
        </w:rPr>
      </w:pPr>
      <w:r>
        <w:rPr>
          <w:rFonts w:hint="eastAsia" w:ascii="宋体" w:hAnsi="宋体" w:eastAsia="宋体" w:cs="宋体"/>
          <w:b w:val="0"/>
          <w:bCs/>
          <w:color w:val="auto"/>
          <w:szCs w:val="24"/>
        </w:rPr>
        <w:t>PMID: 42726721</w:t>
      </w:r>
    </w:p>
    <w:p w14:paraId="5543EF72">
      <w:pPr>
        <w:rPr>
          <w:rFonts w:hint="eastAsia" w:ascii="宋体" w:hAnsi="宋体" w:eastAsia="宋体" w:cs="宋体"/>
          <w:b w:val="0"/>
          <w:bCs/>
          <w:color w:val="auto"/>
          <w:szCs w:val="24"/>
        </w:rPr>
      </w:pPr>
    </w:p>
    <w:p w14:paraId="77A10F68">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8</w:t>
      </w:r>
      <w:r>
        <w:rPr>
          <w:rFonts w:hint="eastAsia" w:ascii="宋体" w:hAnsi="宋体" w:eastAsia="宋体" w:cs="宋体"/>
          <w:b/>
          <w:bCs w:val="0"/>
          <w:color w:val="FF0000"/>
          <w:szCs w:val="24"/>
        </w:rPr>
        <w:t>. ACS Infect Dis. 2026 Sep 11;12(9):3191-3203. doi: 10.1021/acsinfecdis.6c00420.</w:t>
      </w:r>
    </w:p>
    <w:p w14:paraId="0989FA87">
      <w:pPr>
        <w:rPr>
          <w:rFonts w:hint="eastAsia" w:ascii="宋体" w:hAnsi="宋体" w:eastAsia="宋体" w:cs="宋体"/>
          <w:b w:val="0"/>
          <w:bCs/>
          <w:color w:val="auto"/>
          <w:szCs w:val="24"/>
        </w:rPr>
      </w:pPr>
    </w:p>
    <w:p w14:paraId="581C57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5-Carboxamide-Substituted Barbituric Acids: Promising Scaffolds for Drug </w:t>
      </w:r>
    </w:p>
    <w:p w14:paraId="4FFDEA11">
      <w:pPr>
        <w:rPr>
          <w:rFonts w:hint="eastAsia" w:ascii="宋体" w:hAnsi="宋体" w:eastAsia="宋体" w:cs="宋体"/>
          <w:b w:val="0"/>
          <w:bCs/>
          <w:color w:val="auto"/>
          <w:szCs w:val="24"/>
        </w:rPr>
      </w:pPr>
      <w:r>
        <w:rPr>
          <w:rFonts w:hint="eastAsia" w:ascii="宋体" w:hAnsi="宋体" w:eastAsia="宋体" w:cs="宋体"/>
          <w:b w:val="0"/>
          <w:bCs/>
          <w:color w:val="auto"/>
          <w:szCs w:val="24"/>
        </w:rPr>
        <w:t>Development against Mycobacterium tuberculosis.</w:t>
      </w:r>
    </w:p>
    <w:p w14:paraId="11F3D333">
      <w:pPr>
        <w:rPr>
          <w:rFonts w:hint="eastAsia" w:ascii="宋体" w:hAnsi="宋体" w:eastAsia="宋体" w:cs="宋体"/>
          <w:b w:val="0"/>
          <w:bCs/>
          <w:color w:val="auto"/>
          <w:szCs w:val="24"/>
        </w:rPr>
      </w:pPr>
    </w:p>
    <w:p w14:paraId="289393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Sahile HA(1), Awasthi B(2), Olsen JE(2), Afshar H(3), Kim SW(2), Amrom I(3), </w:t>
      </w:r>
    </w:p>
    <w:p w14:paraId="5642F3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Nikjo Z(3), Rankine-Wilson L(3), Law WWH(4), Vimalanathan S(3), Tsui CKM(5)(6), </w:t>
      </w:r>
    </w:p>
    <w:p w14:paraId="651C1AE9">
      <w:pPr>
        <w:rPr>
          <w:rFonts w:hint="eastAsia" w:ascii="宋体" w:hAnsi="宋体" w:eastAsia="宋体" w:cs="宋体"/>
          <w:b w:val="0"/>
          <w:bCs/>
          <w:color w:val="auto"/>
          <w:szCs w:val="24"/>
        </w:rPr>
      </w:pPr>
      <w:r>
        <w:rPr>
          <w:rFonts w:hint="eastAsia" w:ascii="宋体" w:hAnsi="宋体" w:eastAsia="宋体" w:cs="宋体"/>
          <w:b w:val="0"/>
          <w:bCs/>
          <w:color w:val="auto"/>
          <w:szCs w:val="24"/>
        </w:rPr>
        <w:t>Rubinstein JL(4)(7)(8), Page BDG(2), Av-Gay Y(1)(3).</w:t>
      </w:r>
    </w:p>
    <w:p w14:paraId="6EEA5D28">
      <w:pPr>
        <w:rPr>
          <w:rFonts w:hint="eastAsia" w:ascii="宋体" w:hAnsi="宋体" w:eastAsia="宋体" w:cs="宋体"/>
          <w:b w:val="0"/>
          <w:bCs/>
          <w:color w:val="auto"/>
          <w:szCs w:val="24"/>
        </w:rPr>
      </w:pPr>
    </w:p>
    <w:p w14:paraId="3C9D667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B8FE5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Medicine, Life Sciences Institute, University of British </w:t>
      </w:r>
    </w:p>
    <w:p w14:paraId="493CF7AB">
      <w:pPr>
        <w:rPr>
          <w:rFonts w:hint="eastAsia" w:ascii="宋体" w:hAnsi="宋体" w:eastAsia="宋体" w:cs="宋体"/>
          <w:b w:val="0"/>
          <w:bCs/>
          <w:color w:val="auto"/>
          <w:szCs w:val="24"/>
        </w:rPr>
      </w:pPr>
      <w:r>
        <w:rPr>
          <w:rFonts w:hint="eastAsia" w:ascii="宋体" w:hAnsi="宋体" w:eastAsia="宋体" w:cs="宋体"/>
          <w:b w:val="0"/>
          <w:bCs/>
          <w:color w:val="auto"/>
          <w:szCs w:val="24"/>
        </w:rPr>
        <w:t>Columbia, 2350 Health Sciences Mall, VancouverV6T 1Z3, Canada.</w:t>
      </w:r>
    </w:p>
    <w:p w14:paraId="445506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(2)Faculty of Pharmaceutical Sciences, University of British Columbia, 2405 </w:t>
      </w:r>
    </w:p>
    <w:p w14:paraId="0A37A352">
      <w:pPr>
        <w:rPr>
          <w:rFonts w:hint="eastAsia" w:ascii="宋体" w:hAnsi="宋体" w:eastAsia="宋体" w:cs="宋体"/>
          <w:b w:val="0"/>
          <w:bCs/>
          <w:color w:val="auto"/>
          <w:szCs w:val="24"/>
        </w:rPr>
      </w:pPr>
      <w:r>
        <w:rPr>
          <w:rFonts w:hint="eastAsia" w:ascii="宋体" w:hAnsi="宋体" w:eastAsia="宋体" w:cs="宋体"/>
          <w:b w:val="0"/>
          <w:bCs/>
          <w:color w:val="auto"/>
          <w:szCs w:val="24"/>
        </w:rPr>
        <w:t>Wesbrook Mall, VancouverV6T 1Z3, Canada.</w:t>
      </w:r>
    </w:p>
    <w:p w14:paraId="5D1381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Microbiology and Immunology, Life Sciences Institute, </w:t>
      </w:r>
    </w:p>
    <w:p w14:paraId="7D228D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University of British Columbia, 2350 Health Sciences Mall, VancouverV6T 1Z3, </w:t>
      </w:r>
    </w:p>
    <w:p w14:paraId="4E98798A">
      <w:pPr>
        <w:rPr>
          <w:rFonts w:hint="eastAsia" w:ascii="宋体" w:hAnsi="宋体" w:eastAsia="宋体" w:cs="宋体"/>
          <w:b w:val="0"/>
          <w:bCs/>
          <w:color w:val="auto"/>
          <w:szCs w:val="24"/>
        </w:rPr>
      </w:pPr>
      <w:r>
        <w:rPr>
          <w:rFonts w:hint="eastAsia" w:ascii="宋体" w:hAnsi="宋体" w:eastAsia="宋体" w:cs="宋体"/>
          <w:b w:val="0"/>
          <w:bCs/>
          <w:color w:val="auto"/>
          <w:szCs w:val="24"/>
        </w:rPr>
        <w:t>Canada.</w:t>
      </w:r>
    </w:p>
    <w:p w14:paraId="6C69E2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(4)Molecular Medicine Program, the Hospital for Sick Children, University of </w:t>
      </w:r>
    </w:p>
    <w:p w14:paraId="47DAD8E1">
      <w:pPr>
        <w:rPr>
          <w:rFonts w:hint="eastAsia" w:ascii="宋体" w:hAnsi="宋体" w:eastAsia="宋体" w:cs="宋体"/>
          <w:b w:val="0"/>
          <w:bCs/>
          <w:color w:val="auto"/>
          <w:szCs w:val="24"/>
        </w:rPr>
      </w:pPr>
      <w:r>
        <w:rPr>
          <w:rFonts w:hint="eastAsia" w:ascii="宋体" w:hAnsi="宋体" w:eastAsia="宋体" w:cs="宋体"/>
          <w:b w:val="0"/>
          <w:bCs/>
          <w:color w:val="auto"/>
          <w:szCs w:val="24"/>
        </w:rPr>
        <w:t>Toronto, 686 Bay Street, Rm. 20-9705, TorontoM5G 0A4, Canada.</w:t>
      </w:r>
    </w:p>
    <w:p w14:paraId="1034EA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(5)Infectious Disease Research Laboratory, National Centre for Infectious </w:t>
      </w:r>
    </w:p>
    <w:p w14:paraId="4759ABBE">
      <w:pPr>
        <w:rPr>
          <w:rFonts w:hint="eastAsia" w:ascii="宋体" w:hAnsi="宋体" w:eastAsia="宋体" w:cs="宋体"/>
          <w:b w:val="0"/>
          <w:bCs/>
          <w:color w:val="auto"/>
          <w:szCs w:val="24"/>
        </w:rPr>
      </w:pPr>
      <w:r>
        <w:rPr>
          <w:rFonts w:hint="eastAsia" w:ascii="宋体" w:hAnsi="宋体" w:eastAsia="宋体" w:cs="宋体"/>
          <w:b w:val="0"/>
          <w:bCs/>
          <w:color w:val="auto"/>
          <w:szCs w:val="24"/>
        </w:rPr>
        <w:t>Diseases, Singapore308442, Singapore.</w:t>
      </w:r>
    </w:p>
    <w:p w14:paraId="5E4D60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Medicine, University of British Columbia, VancouverV6T 1Z3, </w:t>
      </w:r>
    </w:p>
    <w:p w14:paraId="3907D06D">
      <w:pPr>
        <w:rPr>
          <w:rFonts w:hint="eastAsia" w:ascii="宋体" w:hAnsi="宋体" w:eastAsia="宋体" w:cs="宋体"/>
          <w:b w:val="0"/>
          <w:bCs/>
          <w:color w:val="auto"/>
          <w:szCs w:val="24"/>
        </w:rPr>
      </w:pPr>
      <w:r>
        <w:rPr>
          <w:rFonts w:hint="eastAsia" w:ascii="宋体" w:hAnsi="宋体" w:eastAsia="宋体" w:cs="宋体"/>
          <w:b w:val="0"/>
          <w:bCs/>
          <w:color w:val="auto"/>
          <w:szCs w:val="24"/>
        </w:rPr>
        <w:t>Canada.</w:t>
      </w:r>
    </w:p>
    <w:p w14:paraId="5C3C9E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Biochemistry, The University of Toronto, 1 King's College </w:t>
      </w:r>
    </w:p>
    <w:p w14:paraId="3E6D7F1C">
      <w:pPr>
        <w:rPr>
          <w:rFonts w:hint="eastAsia" w:ascii="宋体" w:hAnsi="宋体" w:eastAsia="宋体" w:cs="宋体"/>
          <w:b w:val="0"/>
          <w:bCs/>
          <w:color w:val="auto"/>
          <w:szCs w:val="24"/>
        </w:rPr>
      </w:pPr>
      <w:r>
        <w:rPr>
          <w:rFonts w:hint="eastAsia" w:ascii="宋体" w:hAnsi="宋体" w:eastAsia="宋体" w:cs="宋体"/>
          <w:b w:val="0"/>
          <w:bCs/>
          <w:color w:val="auto"/>
          <w:szCs w:val="24"/>
        </w:rPr>
        <w:t>Circle Room 5207, TorontoM5S 1A8, Canada.</w:t>
      </w:r>
    </w:p>
    <w:p w14:paraId="33D835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Medical Biophysics, The University of Toronto, 101 College St </w:t>
      </w:r>
    </w:p>
    <w:p w14:paraId="42680399">
      <w:pPr>
        <w:rPr>
          <w:rFonts w:hint="eastAsia" w:ascii="宋体" w:hAnsi="宋体" w:eastAsia="宋体" w:cs="宋体"/>
          <w:b w:val="0"/>
          <w:bCs/>
          <w:color w:val="auto"/>
          <w:szCs w:val="24"/>
        </w:rPr>
      </w:pPr>
      <w:r>
        <w:rPr>
          <w:rFonts w:hint="eastAsia" w:ascii="宋体" w:hAnsi="宋体" w:eastAsia="宋体" w:cs="宋体"/>
          <w:b w:val="0"/>
          <w:bCs/>
          <w:color w:val="auto"/>
          <w:szCs w:val="24"/>
        </w:rPr>
        <w:t>Suite 15-701, TorontoM5G 2C4, Canada.</w:t>
      </w:r>
    </w:p>
    <w:p w14:paraId="157035C6">
      <w:pPr>
        <w:rPr>
          <w:rFonts w:hint="eastAsia" w:ascii="宋体" w:hAnsi="宋体" w:eastAsia="宋体" w:cs="宋体"/>
          <w:b w:val="0"/>
          <w:bCs/>
          <w:color w:val="auto"/>
          <w:szCs w:val="24"/>
        </w:rPr>
      </w:pPr>
    </w:p>
    <w:p w14:paraId="77B2CE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continued spread of drug-resistant Mycobacterium tuberculosis (Mtb) </w:t>
      </w:r>
    </w:p>
    <w:p w14:paraId="49CC610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necessitates the development of new chemotypes with novel modes of action. Here, </w:t>
      </w:r>
    </w:p>
    <w:p w14:paraId="752C88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 report 5-carboxamide-substituted barbituric acid as a promising scaffold for </w:t>
      </w:r>
    </w:p>
    <w:p w14:paraId="601BE8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developing new drugs against Mtb. Fenoxacrim, the initial hit compound </w:t>
      </w:r>
    </w:p>
    <w:p w14:paraId="5C00CC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identified through phenotypic screening, demonstrated potent activity against </w:t>
      </w:r>
    </w:p>
    <w:p w14:paraId="1DC751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Mtb. It is active against drug-susceptible and multidrug-resistant clinical Mtb </w:t>
      </w:r>
    </w:p>
    <w:p w14:paraId="0E547B3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isolates as well as against intracellular Mtb in infected THP-1 derived </w:t>
      </w:r>
    </w:p>
    <w:p w14:paraId="6993608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macrophages. Fenoxacrim demonstrates high selectivity (&gt;73-fold) for the </w:t>
      </w:r>
    </w:p>
    <w:p w14:paraId="3492EB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pathogen over several tested mammalian cell lines. Other than Mtb, fenoxacrim </w:t>
      </w:r>
    </w:p>
    <w:p w14:paraId="5F5036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exhibits strong bactericidal activity against several Gram-positive pathogens, </w:t>
      </w:r>
    </w:p>
    <w:p w14:paraId="6445AD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methicillin-resistantStaphylococcus aureus (MRSA), with in vitro </w:t>
      </w:r>
    </w:p>
    <w:p w14:paraId="35D659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potency comparable to, or exceeding several clinically used antibiotics. </w:t>
      </w:r>
    </w:p>
    <w:p w14:paraId="4850B5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Medicinal chemistry optimization efforts yielded new fenoxacrim analogues with </w:t>
      </w:r>
    </w:p>
    <w:p w14:paraId="538F78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improved Mtb specificity, enhanced potency, and reduced cytotoxicity. </w:t>
      </w:r>
    </w:p>
    <w:p w14:paraId="3D6CCC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Mode-of-action studies suggest that fenoxacrim inhibits undecaprenyl </w:t>
      </w:r>
    </w:p>
    <w:p w14:paraId="2E2AB8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pyrophosphate synthase (UPPS) and dissipates the bacterial membrane potential. </w:t>
      </w:r>
    </w:p>
    <w:p w14:paraId="5ACAE7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Together, these findings highlight the potential of 5-carboxamidebarbituric acid </w:t>
      </w:r>
    </w:p>
    <w:p w14:paraId="75E714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derivatives as a foundation for developing new antibacterial agents with novel </w:t>
      </w:r>
    </w:p>
    <w:p w14:paraId="3D7CBF6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modes of action for the treatment of tuberculosis and other drug-resistant </w:t>
      </w:r>
    </w:p>
    <w:p w14:paraId="139F65FC">
      <w:pPr>
        <w:rPr>
          <w:rFonts w:hint="eastAsia" w:ascii="宋体" w:hAnsi="宋体" w:eastAsia="宋体" w:cs="宋体"/>
          <w:b w:val="0"/>
          <w:bCs/>
          <w:color w:val="auto"/>
          <w:szCs w:val="24"/>
        </w:rPr>
      </w:pPr>
      <w:r>
        <w:rPr>
          <w:rFonts w:hint="eastAsia" w:ascii="宋体" w:hAnsi="宋体" w:eastAsia="宋体" w:cs="宋体"/>
          <w:b w:val="0"/>
          <w:bCs/>
          <w:color w:val="auto"/>
          <w:szCs w:val="24"/>
        </w:rPr>
        <w:t>bacterial infections.</w:t>
      </w:r>
    </w:p>
    <w:p w14:paraId="1AF821BA">
      <w:pPr>
        <w:rPr>
          <w:rFonts w:hint="eastAsia" w:ascii="宋体" w:hAnsi="宋体" w:eastAsia="宋体" w:cs="宋体"/>
          <w:b w:val="0"/>
          <w:bCs/>
          <w:color w:val="auto"/>
          <w:szCs w:val="24"/>
        </w:rPr>
      </w:pPr>
    </w:p>
    <w:p w14:paraId="4210902B">
      <w:pPr>
        <w:rPr>
          <w:rFonts w:hint="eastAsia" w:ascii="宋体" w:hAnsi="宋体" w:eastAsia="宋体" w:cs="宋体"/>
          <w:b w:val="0"/>
          <w:bCs/>
          <w:color w:val="auto"/>
          <w:szCs w:val="24"/>
        </w:rPr>
      </w:pPr>
      <w:r>
        <w:rPr>
          <w:rFonts w:hint="eastAsia" w:ascii="宋体" w:hAnsi="宋体" w:eastAsia="宋体" w:cs="宋体"/>
          <w:b w:val="0"/>
          <w:bCs/>
          <w:color w:val="auto"/>
          <w:szCs w:val="24"/>
        </w:rPr>
        <w:t>© 2026 American Chemical Society.</w:t>
      </w:r>
    </w:p>
    <w:p w14:paraId="1EB800AA">
      <w:pPr>
        <w:rPr>
          <w:rFonts w:hint="eastAsia" w:ascii="宋体" w:hAnsi="宋体" w:eastAsia="宋体" w:cs="宋体"/>
          <w:b w:val="0"/>
          <w:bCs/>
          <w:color w:val="auto"/>
          <w:szCs w:val="24"/>
        </w:rPr>
      </w:pPr>
    </w:p>
    <w:p w14:paraId="4FAB519E">
      <w:pPr>
        <w:rPr>
          <w:rFonts w:hint="eastAsia" w:ascii="宋体" w:hAnsi="宋体" w:eastAsia="宋体" w:cs="宋体"/>
          <w:b w:val="0"/>
          <w:bCs/>
          <w:color w:val="auto"/>
          <w:szCs w:val="24"/>
        </w:rPr>
      </w:pPr>
      <w:r>
        <w:rPr>
          <w:rFonts w:hint="eastAsia" w:ascii="宋体" w:hAnsi="宋体" w:eastAsia="宋体" w:cs="宋体"/>
          <w:b w:val="0"/>
          <w:bCs/>
          <w:color w:val="auto"/>
          <w:szCs w:val="24"/>
        </w:rPr>
        <w:t>DOI: 10.1021/acsinfecdis.6c00420</w:t>
      </w:r>
    </w:p>
    <w:p w14:paraId="7DE97F39">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42725973 [Indexed for MEDLINE]</w:t>
      </w:r>
    </w:p>
    <w:p w14:paraId="47121028">
      <w:pPr>
        <w:rPr>
          <w:rFonts w:hint="eastAsia" w:ascii="宋体" w:hAnsi="宋体" w:eastAsia="宋体" w:cs="宋体"/>
          <w:b w:val="0"/>
          <w:bCs/>
          <w:color w:val="auto"/>
          <w:szCs w:val="24"/>
        </w:rPr>
      </w:pPr>
    </w:p>
    <w:p w14:paraId="77E2261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9</w:t>
      </w:r>
      <w:r>
        <w:rPr>
          <w:rFonts w:hint="eastAsia" w:ascii="宋体" w:hAnsi="宋体" w:eastAsia="宋体" w:cs="宋体"/>
          <w:b/>
          <w:bCs w:val="0"/>
          <w:color w:val="FF0000"/>
          <w:szCs w:val="24"/>
        </w:rPr>
        <w:t>. Bull Math Biol. 2026 Sep 10;88(10):179. doi: 10.1007/s11538-026-01734-z.</w:t>
      </w:r>
    </w:p>
    <w:p w14:paraId="180D14C8">
      <w:pPr>
        <w:rPr>
          <w:rFonts w:hint="eastAsia" w:ascii="宋体" w:hAnsi="宋体" w:eastAsia="宋体" w:cs="宋体"/>
          <w:b w:val="0"/>
          <w:bCs/>
          <w:color w:val="auto"/>
          <w:szCs w:val="24"/>
        </w:rPr>
      </w:pPr>
    </w:p>
    <w:p w14:paraId="011D5B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 Agent-Based Modelling Approach to Investigate the Impact of Sex and Gender on </w:t>
      </w:r>
    </w:p>
    <w:p w14:paraId="1ABC1F7C">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Transmission: A Case Study of Kampala, Uganda.</w:t>
      </w:r>
    </w:p>
    <w:p w14:paraId="6E84E870">
      <w:pPr>
        <w:rPr>
          <w:rFonts w:hint="eastAsia" w:ascii="宋体" w:hAnsi="宋体" w:eastAsia="宋体" w:cs="宋体"/>
          <w:b w:val="0"/>
          <w:bCs/>
          <w:color w:val="auto"/>
          <w:szCs w:val="24"/>
        </w:rPr>
      </w:pPr>
    </w:p>
    <w:p w14:paraId="0F4B36D0">
      <w:pPr>
        <w:rPr>
          <w:rFonts w:hint="eastAsia" w:ascii="宋体" w:hAnsi="宋体" w:eastAsia="宋体" w:cs="宋体"/>
          <w:b w:val="0"/>
          <w:bCs/>
          <w:color w:val="auto"/>
          <w:szCs w:val="24"/>
        </w:rPr>
      </w:pPr>
      <w:r>
        <w:rPr>
          <w:rFonts w:hint="eastAsia" w:ascii="宋体" w:hAnsi="宋体" w:eastAsia="宋体" w:cs="宋体"/>
          <w:b w:val="0"/>
          <w:bCs/>
          <w:color w:val="auto"/>
          <w:szCs w:val="24"/>
        </w:rPr>
        <w:t>Doran JWG(1), Mujuni D(2)(3), Gallagher K(4)(5), Yates CA(6), Bowness R(6).</w:t>
      </w:r>
    </w:p>
    <w:p w14:paraId="16BD7A33">
      <w:pPr>
        <w:rPr>
          <w:rFonts w:hint="eastAsia" w:ascii="宋体" w:hAnsi="宋体" w:eastAsia="宋体" w:cs="宋体"/>
          <w:b w:val="0"/>
          <w:bCs/>
          <w:color w:val="auto"/>
          <w:szCs w:val="24"/>
        </w:rPr>
      </w:pPr>
    </w:p>
    <w:p w14:paraId="0D35AD2A">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4BE0B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Mathematical Sciences, Centre for Mathematical Biology, </w:t>
      </w:r>
    </w:p>
    <w:p w14:paraId="1E0932E2">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Bath, Bath, BA2 7AY, UK. jd521@bath.ac.uk.</w:t>
      </w:r>
    </w:p>
    <w:p w14:paraId="6E9613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Research and Development, Alpha Biomedical Research and </w:t>
      </w:r>
    </w:p>
    <w:p w14:paraId="3DE9330D">
      <w:pPr>
        <w:rPr>
          <w:rFonts w:hint="eastAsia" w:ascii="宋体" w:hAnsi="宋体" w:eastAsia="宋体" w:cs="宋体"/>
          <w:b w:val="0"/>
          <w:bCs/>
          <w:color w:val="auto"/>
          <w:szCs w:val="24"/>
        </w:rPr>
      </w:pPr>
      <w:r>
        <w:rPr>
          <w:rFonts w:hint="eastAsia" w:ascii="宋体" w:hAnsi="宋体" w:eastAsia="宋体" w:cs="宋体"/>
          <w:b w:val="0"/>
          <w:bCs/>
          <w:color w:val="auto"/>
          <w:szCs w:val="24"/>
        </w:rPr>
        <w:t>Innovation Network, Kampala, Uganda.</w:t>
      </w:r>
    </w:p>
    <w:p w14:paraId="32B8361F">
      <w:pPr>
        <w:rPr>
          <w:rFonts w:hint="eastAsia" w:ascii="宋体" w:hAnsi="宋体" w:eastAsia="宋体" w:cs="宋体"/>
          <w:b w:val="0"/>
          <w:bCs/>
          <w:color w:val="auto"/>
          <w:szCs w:val="24"/>
        </w:rPr>
      </w:pPr>
      <w:r>
        <w:rPr>
          <w:rFonts w:hint="eastAsia" w:ascii="宋体" w:hAnsi="宋体" w:eastAsia="宋体" w:cs="宋体"/>
          <w:b w:val="0"/>
          <w:bCs/>
          <w:color w:val="auto"/>
          <w:szCs w:val="24"/>
        </w:rPr>
        <w:t>(3)Makerere University, College of Health Sciences, Kampala, Uganda.</w:t>
      </w:r>
    </w:p>
    <w:p w14:paraId="37C626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(4)Mathematical Institute, University of Oxford, Andrew Wiles Building, </w:t>
      </w:r>
    </w:p>
    <w:p w14:paraId="13257990">
      <w:pPr>
        <w:rPr>
          <w:rFonts w:hint="eastAsia" w:ascii="宋体" w:hAnsi="宋体" w:eastAsia="宋体" w:cs="宋体"/>
          <w:b w:val="0"/>
          <w:bCs/>
          <w:color w:val="auto"/>
          <w:szCs w:val="24"/>
        </w:rPr>
      </w:pPr>
      <w:r>
        <w:rPr>
          <w:rFonts w:hint="eastAsia" w:ascii="宋体" w:hAnsi="宋体" w:eastAsia="宋体" w:cs="宋体"/>
          <w:b w:val="0"/>
          <w:bCs/>
          <w:color w:val="auto"/>
          <w:szCs w:val="24"/>
        </w:rPr>
        <w:t>Radcliffe Observatory Quarter, Woodstock Road, OX2 6GG, Oxford, UK.</w:t>
      </w:r>
    </w:p>
    <w:p w14:paraId="562609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Pathology, Center for Cancer Research, Massachusetts General </w:t>
      </w:r>
    </w:p>
    <w:p w14:paraId="1956F129">
      <w:pPr>
        <w:rPr>
          <w:rFonts w:hint="eastAsia" w:ascii="宋体" w:hAnsi="宋体" w:eastAsia="宋体" w:cs="宋体"/>
          <w:b w:val="0"/>
          <w:bCs/>
          <w:color w:val="auto"/>
          <w:szCs w:val="24"/>
        </w:rPr>
      </w:pPr>
      <w:r>
        <w:rPr>
          <w:rFonts w:hint="eastAsia" w:ascii="宋体" w:hAnsi="宋体" w:eastAsia="宋体" w:cs="宋体"/>
          <w:b w:val="0"/>
          <w:bCs/>
          <w:color w:val="auto"/>
          <w:szCs w:val="24"/>
        </w:rPr>
        <w:t>Hospital and Harvard Medical School, Boston, MA, USA.</w:t>
      </w:r>
    </w:p>
    <w:p w14:paraId="5DC6D9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Mathematical Sciences, Centre for Mathematical Biology, </w:t>
      </w:r>
    </w:p>
    <w:p w14:paraId="320D3262">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Bath, Bath, BA2 7AY, UK.</w:t>
      </w:r>
    </w:p>
    <w:p w14:paraId="0020E49D">
      <w:pPr>
        <w:rPr>
          <w:rFonts w:hint="eastAsia" w:ascii="宋体" w:hAnsi="宋体" w:eastAsia="宋体" w:cs="宋体"/>
          <w:b w:val="0"/>
          <w:bCs/>
          <w:color w:val="auto"/>
          <w:szCs w:val="24"/>
        </w:rPr>
      </w:pPr>
    </w:p>
    <w:p w14:paraId="3F57F9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is an airborne disease caused by the pathogen Mycobacterium </w:t>
      </w:r>
    </w:p>
    <w:p w14:paraId="14885B9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In 2023, it returned to being the leading cause of death from an </w:t>
      </w:r>
    </w:p>
    <w:p w14:paraId="3DB560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infectious agent globally, replacing COVID-19. More than 10 million people are </w:t>
      </w:r>
    </w:p>
    <w:p w14:paraId="341996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diagnosed with TB every year. The majority of cases in adults occur in males </w:t>
      </w:r>
    </w:p>
    <w:p w14:paraId="6CDC02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(62.5% of all global adult cases in 2023, compared to 37.5% in females). The </w:t>
      </w:r>
    </w:p>
    <w:p w14:paraId="6E1AC5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main reasons for males suffering from a higher burden of global TB cases, </w:t>
      </w:r>
    </w:p>
    <w:p w14:paraId="58527C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compared to females, may be in large part due to population-scale factors, such </w:t>
      </w:r>
    </w:p>
    <w:p w14:paraId="3AFF62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 employment type, the quantity and type of social contacts they make, and </w:t>
      </w:r>
    </w:p>
    <w:p w14:paraId="17C0F1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their health-seeking behaviours. To investigate which population-scale factors </w:t>
      </w:r>
    </w:p>
    <w:p w14:paraId="3E7DF5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are most important in determining this higher TB burden in males, we have </w:t>
      </w:r>
    </w:p>
    <w:p w14:paraId="0C1E8AF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developed an age- and sex/gender-stratified, spatially heterogeneous </w:t>
      </w:r>
    </w:p>
    <w:p w14:paraId="61CB43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epidemiological agent-based model. We have focused specifically on Kampala, the </w:t>
      </w:r>
    </w:p>
    <w:p w14:paraId="135C4F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capital of Uganda, which is a high-burden TB country. We considered </w:t>
      </w:r>
    </w:p>
    <w:p w14:paraId="43E4FB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counterfactual scenarios to elucidate the impact of sex and gender on the </w:t>
      </w:r>
    </w:p>
    <w:p w14:paraId="0A2F9E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epidemiology of TB, in order to deduce which factors have greater explanatory </w:t>
      </w:r>
    </w:p>
    <w:p w14:paraId="00ABF6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power in producing the observed differences between sexes/genders. Within-host </w:t>
      </w:r>
    </w:p>
    <w:p w14:paraId="084B4B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parameters had the largest effect on overall case numbers among the scenarios </w:t>
      </w:r>
    </w:p>
    <w:p w14:paraId="6AF0CA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considered. On the other hand, behavioural factors (particularly assortative </w:t>
      </w:r>
    </w:p>
    <w:p w14:paraId="03AB93D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mixing and gender-specific contact patterns) appear important in explaining the </w:t>
      </w:r>
    </w:p>
    <w:p w14:paraId="3640FD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elevated male-to-female case ratio. We also found that super-spreaders appear to </w:t>
      </w:r>
    </w:p>
    <w:p w14:paraId="631E83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cause a majority of infections, with males and individuals with cavitary TB </w:t>
      </w:r>
    </w:p>
    <w:p w14:paraId="42552A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causing more infections on average. Our model provides a proof-of-concept </w:t>
      </w:r>
    </w:p>
    <w:p w14:paraId="1E1A4AB6">
      <w:pPr>
        <w:rPr>
          <w:rFonts w:hint="eastAsia" w:ascii="宋体" w:hAnsi="宋体" w:eastAsia="宋体" w:cs="宋体"/>
          <w:b w:val="0"/>
          <w:bCs/>
          <w:color w:val="auto"/>
          <w:szCs w:val="24"/>
        </w:rPr>
      </w:pPr>
      <w:r>
        <w:rPr>
          <w:rFonts w:hint="eastAsia" w:ascii="宋体" w:hAnsi="宋体" w:eastAsia="宋体" w:cs="宋体"/>
          <w:b w:val="0"/>
          <w:bCs/>
          <w:color w:val="auto"/>
          <w:szCs w:val="24"/>
        </w:rPr>
        <w:t>framework that could help support public health policy after further validation.</w:t>
      </w:r>
    </w:p>
    <w:p w14:paraId="55D51799">
      <w:pPr>
        <w:rPr>
          <w:rFonts w:hint="eastAsia" w:ascii="宋体" w:hAnsi="宋体" w:eastAsia="宋体" w:cs="宋体"/>
          <w:b w:val="0"/>
          <w:bCs/>
          <w:color w:val="auto"/>
          <w:szCs w:val="24"/>
        </w:rPr>
      </w:pPr>
    </w:p>
    <w:p w14:paraId="42111526">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w:t>
      </w:r>
    </w:p>
    <w:p w14:paraId="7E1B3AE5">
      <w:pPr>
        <w:rPr>
          <w:rFonts w:hint="eastAsia" w:ascii="宋体" w:hAnsi="宋体" w:eastAsia="宋体" w:cs="宋体"/>
          <w:b w:val="0"/>
          <w:bCs/>
          <w:color w:val="auto"/>
          <w:szCs w:val="24"/>
        </w:rPr>
      </w:pPr>
    </w:p>
    <w:p w14:paraId="4A7FC47D">
      <w:pPr>
        <w:rPr>
          <w:rFonts w:hint="eastAsia" w:ascii="宋体" w:hAnsi="宋体" w:eastAsia="宋体" w:cs="宋体"/>
          <w:b w:val="0"/>
          <w:bCs/>
          <w:color w:val="auto"/>
          <w:szCs w:val="24"/>
        </w:rPr>
      </w:pPr>
      <w:r>
        <w:rPr>
          <w:rFonts w:hint="eastAsia" w:ascii="宋体" w:hAnsi="宋体" w:eastAsia="宋体" w:cs="宋体"/>
          <w:b w:val="0"/>
          <w:bCs/>
          <w:color w:val="auto"/>
          <w:szCs w:val="24"/>
        </w:rPr>
        <w:t>DOI: 10.1007/s11538-026-01734-z</w:t>
      </w:r>
    </w:p>
    <w:p w14:paraId="09B5BC8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PMC13562183</w:t>
      </w:r>
    </w:p>
    <w:p w14:paraId="308DABE7">
      <w:pPr>
        <w:rPr>
          <w:rFonts w:hint="eastAsia" w:ascii="宋体" w:hAnsi="宋体" w:eastAsia="宋体" w:cs="宋体"/>
          <w:b w:val="0"/>
          <w:bCs/>
          <w:color w:val="auto"/>
          <w:szCs w:val="24"/>
        </w:rPr>
      </w:pPr>
      <w:r>
        <w:rPr>
          <w:rFonts w:hint="eastAsia" w:ascii="宋体" w:hAnsi="宋体" w:eastAsia="宋体" w:cs="宋体"/>
          <w:b w:val="0"/>
          <w:bCs/>
          <w:color w:val="auto"/>
          <w:szCs w:val="24"/>
        </w:rPr>
        <w:t>PMID: 42722918 [Indexed for MEDLINE]</w:t>
      </w:r>
    </w:p>
    <w:p w14:paraId="4676786B">
      <w:pPr>
        <w:rPr>
          <w:rFonts w:hint="eastAsia" w:ascii="宋体" w:hAnsi="宋体" w:eastAsia="宋体" w:cs="宋体"/>
          <w:b w:val="0"/>
          <w:bCs/>
          <w:color w:val="auto"/>
          <w:szCs w:val="24"/>
        </w:rPr>
      </w:pPr>
    </w:p>
    <w:p w14:paraId="4BF3FE6F">
      <w:pPr>
        <w:rPr>
          <w:rFonts w:hint="eastAsia" w:ascii="宋体" w:hAnsi="宋体" w:eastAsia="宋体" w:cs="宋体"/>
          <w:b/>
          <w:bCs w:val="0"/>
          <w:color w:val="FF0000"/>
          <w:szCs w:val="24"/>
        </w:rPr>
      </w:pPr>
      <w:r>
        <w:rPr>
          <w:rFonts w:hint="eastAsia" w:ascii="宋体" w:hAnsi="宋体" w:eastAsia="宋体" w:cs="宋体"/>
          <w:b/>
          <w:bCs w:val="0"/>
          <w:color w:val="FF0000"/>
          <w:szCs w:val="24"/>
        </w:rPr>
        <w:t>1</w:t>
      </w:r>
      <w:r>
        <w:rPr>
          <w:rFonts w:hint="eastAsia" w:ascii="宋体" w:hAnsi="宋体" w:eastAsia="宋体" w:cs="宋体"/>
          <w:b/>
          <w:bCs w:val="0"/>
          <w:color w:val="FF0000"/>
          <w:szCs w:val="24"/>
          <w:lang w:val="en-US" w:eastAsia="zh-CN"/>
        </w:rPr>
        <w:t>0</w:t>
      </w:r>
      <w:r>
        <w:rPr>
          <w:rFonts w:hint="eastAsia" w:ascii="宋体" w:hAnsi="宋体" w:eastAsia="宋体" w:cs="宋体"/>
          <w:b/>
          <w:bCs w:val="0"/>
          <w:color w:val="FF0000"/>
          <w:szCs w:val="24"/>
        </w:rPr>
        <w:t>. Eur J Pediatr. 2026 Sep 10;185(10):738. doi: 10.1007/s00431-026-07378-4.</w:t>
      </w:r>
    </w:p>
    <w:p w14:paraId="503AEB42">
      <w:pPr>
        <w:rPr>
          <w:rFonts w:hint="eastAsia" w:ascii="宋体" w:hAnsi="宋体" w:eastAsia="宋体" w:cs="宋体"/>
          <w:b w:val="0"/>
          <w:bCs/>
          <w:color w:val="auto"/>
          <w:szCs w:val="24"/>
        </w:rPr>
      </w:pPr>
    </w:p>
    <w:p w14:paraId="078DE4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Changes in the incidence and profile of pediatric tuberculosis in France from </w:t>
      </w:r>
    </w:p>
    <w:p w14:paraId="15CD11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2014 to 2023: impact of COVID-19 non-pharmaceutical interventions implementation </w:t>
      </w:r>
    </w:p>
    <w:p w14:paraId="38B11456">
      <w:pPr>
        <w:rPr>
          <w:rFonts w:hint="eastAsia" w:ascii="宋体" w:hAnsi="宋体" w:eastAsia="宋体" w:cs="宋体"/>
          <w:b w:val="0"/>
          <w:bCs/>
          <w:color w:val="auto"/>
          <w:szCs w:val="24"/>
        </w:rPr>
      </w:pPr>
      <w:r>
        <w:rPr>
          <w:rFonts w:hint="eastAsia" w:ascii="宋体" w:hAnsi="宋体" w:eastAsia="宋体" w:cs="宋体"/>
          <w:b w:val="0"/>
          <w:bCs/>
          <w:color w:val="auto"/>
          <w:szCs w:val="24"/>
        </w:rPr>
        <w:t>and lifting.</w:t>
      </w:r>
    </w:p>
    <w:p w14:paraId="0EFB4317">
      <w:pPr>
        <w:rPr>
          <w:rFonts w:hint="eastAsia" w:ascii="宋体" w:hAnsi="宋体" w:eastAsia="宋体" w:cs="宋体"/>
          <w:b w:val="0"/>
          <w:bCs/>
          <w:color w:val="auto"/>
          <w:szCs w:val="24"/>
        </w:rPr>
      </w:pPr>
    </w:p>
    <w:p w14:paraId="243579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Castello G(1), Ouldali N(2)(3), Fafi I(2)(3)(4), Valtuille Z(3)(4), Laurent </w:t>
      </w:r>
    </w:p>
    <w:p w14:paraId="5A0B42EB">
      <w:pPr>
        <w:rPr>
          <w:rFonts w:hint="eastAsia" w:ascii="宋体" w:hAnsi="宋体" w:eastAsia="宋体" w:cs="宋体"/>
          <w:b w:val="0"/>
          <w:bCs/>
          <w:color w:val="auto"/>
          <w:szCs w:val="24"/>
        </w:rPr>
      </w:pPr>
      <w:r>
        <w:rPr>
          <w:rFonts w:hint="eastAsia" w:ascii="宋体" w:hAnsi="宋体" w:eastAsia="宋体" w:cs="宋体"/>
          <w:b w:val="0"/>
          <w:bCs/>
          <w:color w:val="auto"/>
          <w:szCs w:val="24"/>
        </w:rPr>
        <w:t>L(5), Basmaci R(3)(6), Goutines J(2), de Pontual L(7), Faye A(2)(8).</w:t>
      </w:r>
    </w:p>
    <w:p w14:paraId="597201FC">
      <w:pPr>
        <w:rPr>
          <w:rFonts w:hint="eastAsia" w:ascii="宋体" w:hAnsi="宋体" w:eastAsia="宋体" w:cs="宋体"/>
          <w:b w:val="0"/>
          <w:bCs/>
          <w:color w:val="auto"/>
          <w:szCs w:val="24"/>
        </w:rPr>
      </w:pPr>
    </w:p>
    <w:p w14:paraId="0D7BAA8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BF647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(1)General Pediatrics, Infectious Disease and Internal Medicine, Robert Debré </w:t>
      </w:r>
    </w:p>
    <w:p w14:paraId="0F269A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Hospital, Assistance Publique - Hôpitaux de Paris, Cité University Paris, 48 </w:t>
      </w:r>
    </w:p>
    <w:p w14:paraId="7059A446">
      <w:pPr>
        <w:rPr>
          <w:rFonts w:hint="eastAsia" w:ascii="宋体" w:hAnsi="宋体" w:eastAsia="宋体" w:cs="宋体"/>
          <w:b w:val="0"/>
          <w:bCs/>
          <w:color w:val="auto"/>
          <w:szCs w:val="24"/>
        </w:rPr>
      </w:pPr>
      <w:r>
        <w:rPr>
          <w:rFonts w:hint="eastAsia" w:ascii="宋体" w:hAnsi="宋体" w:eastAsia="宋体" w:cs="宋体"/>
          <w:b w:val="0"/>
          <w:bCs/>
          <w:color w:val="auto"/>
          <w:szCs w:val="24"/>
        </w:rPr>
        <w:t>Boulevard Serurier, Paris, 75019, France. gautier.castello@aphp.fr.</w:t>
      </w:r>
    </w:p>
    <w:p w14:paraId="7E5024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(2)General Pediatrics, Infectious Disease and Internal Medicine, Robert Debré </w:t>
      </w:r>
    </w:p>
    <w:p w14:paraId="065A6A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Hospital, Assistance Publique - Hôpitaux de Paris, Cité University Paris, 48 </w:t>
      </w:r>
    </w:p>
    <w:p w14:paraId="1C1B753A">
      <w:pPr>
        <w:rPr>
          <w:rFonts w:hint="eastAsia" w:ascii="宋体" w:hAnsi="宋体" w:eastAsia="宋体" w:cs="宋体"/>
          <w:b w:val="0"/>
          <w:bCs/>
          <w:color w:val="auto"/>
          <w:szCs w:val="24"/>
        </w:rPr>
      </w:pPr>
      <w:r>
        <w:rPr>
          <w:rFonts w:hint="eastAsia" w:ascii="宋体" w:hAnsi="宋体" w:eastAsia="宋体" w:cs="宋体"/>
          <w:b w:val="0"/>
          <w:bCs/>
          <w:color w:val="auto"/>
          <w:szCs w:val="24"/>
        </w:rPr>
        <w:t>Boulevard Serurier, Paris, 75019, France.</w:t>
      </w:r>
    </w:p>
    <w:p w14:paraId="4BAED2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(3)IAME (Infection, Antimicrobials, Modelling, Evolution), INSERM UMR 1137, </w:t>
      </w:r>
    </w:p>
    <w:p w14:paraId="4B4A0B16">
      <w:pPr>
        <w:rPr>
          <w:rFonts w:hint="eastAsia" w:ascii="宋体" w:hAnsi="宋体" w:eastAsia="宋体" w:cs="宋体"/>
          <w:b w:val="0"/>
          <w:bCs/>
          <w:color w:val="auto"/>
          <w:szCs w:val="24"/>
        </w:rPr>
      </w:pPr>
      <w:r>
        <w:rPr>
          <w:rFonts w:hint="eastAsia" w:ascii="宋体" w:hAnsi="宋体" w:eastAsia="宋体" w:cs="宋体"/>
          <w:b w:val="0"/>
          <w:bCs/>
          <w:color w:val="auto"/>
          <w:szCs w:val="24"/>
        </w:rPr>
        <w:t>Paris Cité University, Paris, France.</w:t>
      </w:r>
    </w:p>
    <w:p w14:paraId="7CA1AA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(4)Clinical Investigation Centre, INSERM CIC1426, Robert Debré University </w:t>
      </w:r>
    </w:p>
    <w:p w14:paraId="7759D9D2">
      <w:pPr>
        <w:rPr>
          <w:rFonts w:hint="eastAsia" w:ascii="宋体" w:hAnsi="宋体" w:eastAsia="宋体" w:cs="宋体"/>
          <w:b w:val="0"/>
          <w:bCs/>
          <w:color w:val="auto"/>
          <w:szCs w:val="24"/>
        </w:rPr>
      </w:pPr>
      <w:r>
        <w:rPr>
          <w:rFonts w:hint="eastAsia" w:ascii="宋体" w:hAnsi="宋体" w:eastAsia="宋体" w:cs="宋体"/>
          <w:b w:val="0"/>
          <w:bCs/>
          <w:color w:val="auto"/>
          <w:szCs w:val="24"/>
        </w:rPr>
        <w:t>Hospital, Assistance Publique-Hôpitaux de Paris, Paris, France.</w:t>
      </w:r>
    </w:p>
    <w:p w14:paraId="632B5234">
      <w:pPr>
        <w:rPr>
          <w:rFonts w:hint="eastAsia" w:ascii="宋体" w:hAnsi="宋体" w:eastAsia="宋体" w:cs="宋体"/>
          <w:b w:val="0"/>
          <w:bCs/>
          <w:color w:val="auto"/>
          <w:szCs w:val="24"/>
        </w:rPr>
      </w:pPr>
      <w:r>
        <w:rPr>
          <w:rFonts w:hint="eastAsia" w:ascii="宋体" w:hAnsi="宋体" w:eastAsia="宋体" w:cs="宋体"/>
          <w:b w:val="0"/>
          <w:bCs/>
          <w:color w:val="auto"/>
          <w:szCs w:val="24"/>
        </w:rPr>
        <w:t>(5)Institut Godinot, Department of Medical Oncology, Reims, France.</w:t>
      </w:r>
    </w:p>
    <w:p w14:paraId="7E139AE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(6)General Pediatrics, Louis Mourier Hospital, Assistance Publique - Hôpitaux de </w:t>
      </w:r>
    </w:p>
    <w:p w14:paraId="3D21C972">
      <w:pPr>
        <w:rPr>
          <w:rFonts w:hint="eastAsia" w:ascii="宋体" w:hAnsi="宋体" w:eastAsia="宋体" w:cs="宋体"/>
          <w:b w:val="0"/>
          <w:bCs/>
          <w:color w:val="auto"/>
          <w:szCs w:val="24"/>
        </w:rPr>
      </w:pPr>
      <w:r>
        <w:rPr>
          <w:rFonts w:hint="eastAsia" w:ascii="宋体" w:hAnsi="宋体" w:eastAsia="宋体" w:cs="宋体"/>
          <w:b w:val="0"/>
          <w:bCs/>
          <w:color w:val="auto"/>
          <w:szCs w:val="24"/>
        </w:rPr>
        <w:t>Paris, Colombes, France.</w:t>
      </w:r>
    </w:p>
    <w:p w14:paraId="003568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(7)General Pediatrics, Jean Verdier University Hospital, Assistance Publique - </w:t>
      </w:r>
    </w:p>
    <w:p w14:paraId="7FC4EEC0">
      <w:pPr>
        <w:rPr>
          <w:rFonts w:hint="eastAsia" w:ascii="宋体" w:hAnsi="宋体" w:eastAsia="宋体" w:cs="宋体"/>
          <w:b w:val="0"/>
          <w:bCs/>
          <w:color w:val="auto"/>
          <w:szCs w:val="24"/>
        </w:rPr>
      </w:pPr>
      <w:r>
        <w:rPr>
          <w:rFonts w:hint="eastAsia" w:ascii="宋体" w:hAnsi="宋体" w:eastAsia="宋体" w:cs="宋体"/>
          <w:b w:val="0"/>
          <w:bCs/>
          <w:color w:val="auto"/>
          <w:szCs w:val="24"/>
        </w:rPr>
        <w:t>Hôpitaux de Paris, Bondy, France.</w:t>
      </w:r>
    </w:p>
    <w:p w14:paraId="116E80BA">
      <w:pPr>
        <w:rPr>
          <w:rFonts w:hint="eastAsia" w:ascii="宋体" w:hAnsi="宋体" w:eastAsia="宋体" w:cs="宋体"/>
          <w:b w:val="0"/>
          <w:bCs/>
          <w:color w:val="auto"/>
          <w:szCs w:val="24"/>
        </w:rPr>
      </w:pPr>
      <w:r>
        <w:rPr>
          <w:rFonts w:hint="eastAsia" w:ascii="宋体" w:hAnsi="宋体" w:eastAsia="宋体" w:cs="宋体"/>
          <w:b w:val="0"/>
          <w:bCs/>
          <w:color w:val="auto"/>
          <w:szCs w:val="24"/>
        </w:rPr>
        <w:t>(8)Université de Paris Cité, Unité UMR 1123 ECEVE, INSERM, Paris, France.</w:t>
      </w:r>
    </w:p>
    <w:p w14:paraId="0AFCE067">
      <w:pPr>
        <w:rPr>
          <w:rFonts w:hint="eastAsia" w:ascii="宋体" w:hAnsi="宋体" w:eastAsia="宋体" w:cs="宋体"/>
          <w:b w:val="0"/>
          <w:bCs/>
          <w:color w:val="auto"/>
          <w:szCs w:val="24"/>
        </w:rPr>
      </w:pPr>
    </w:p>
    <w:p w14:paraId="32233D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While the COVID-19 pandemic led to important variations in numerous </w:t>
      </w:r>
    </w:p>
    <w:p w14:paraId="7DF1AC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community-acquired bacterial infections, very few data concerning pediatric </w:t>
      </w:r>
    </w:p>
    <w:p w14:paraId="7502E3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evolution during this period are available. We aimed to assess the </w:t>
      </w:r>
    </w:p>
    <w:p w14:paraId="3EE6A1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impact of COVID-19 related non-pharmaceuticals interventions (NPI) and their </w:t>
      </w:r>
    </w:p>
    <w:p w14:paraId="7236C9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lifting on the epidemiology of active tuberculosis in children in France. We </w:t>
      </w:r>
    </w:p>
    <w:p w14:paraId="7ACC09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a national, population-based surveillance study in France. All </w:t>
      </w:r>
    </w:p>
    <w:p w14:paraId="057D2F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under 18 years of age hospitalized for active TB between January 2014 </w:t>
      </w:r>
    </w:p>
    <w:p w14:paraId="388EB4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December 2023 were included. The primary outcome was the evolution of the </w:t>
      </w:r>
    </w:p>
    <w:p w14:paraId="6B51588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incidence of active TB in France, analyzed using a quasi-Poisson model. Over the </w:t>
      </w:r>
    </w:p>
    <w:p w14:paraId="1D7AF6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period, 8503 children were hospitalized for active TB in France. The </w:t>
      </w:r>
    </w:p>
    <w:p w14:paraId="5B994C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implementation of NPIs in March 2020 was associated with a significant decrease </w:t>
      </w:r>
    </w:p>
    <w:p w14:paraId="19C756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TB incidence (- 33.7%, 95% confidence interval [CI]: - 42.7 to - 24.7). This </w:t>
      </w:r>
    </w:p>
    <w:p w14:paraId="5FA2C4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decline was followed by a resurgence beginning in November 2022 (+ 22.9%, 95% </w:t>
      </w:r>
    </w:p>
    <w:p w14:paraId="3A9B7E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CI: 4.0 to 41.8). This resurgence was particularly pronounced for respiratory </w:t>
      </w:r>
    </w:p>
    <w:p w14:paraId="5C7D87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miliary TB (+ 31.6%, 95% CI: 11.4 to 51.9 and + 64.6%, 95% CI: 11.3 to 117.8 </w:t>
      </w:r>
    </w:p>
    <w:p w14:paraId="372976E4">
      <w:pPr>
        <w:rPr>
          <w:rFonts w:hint="eastAsia" w:ascii="宋体" w:hAnsi="宋体" w:eastAsia="宋体" w:cs="宋体"/>
          <w:b w:val="0"/>
          <w:bCs/>
          <w:color w:val="auto"/>
          <w:szCs w:val="24"/>
        </w:rPr>
      </w:pPr>
      <w:r>
        <w:rPr>
          <w:rFonts w:hint="eastAsia" w:ascii="宋体" w:hAnsi="宋体" w:eastAsia="宋体" w:cs="宋体"/>
          <w:b w:val="0"/>
          <w:bCs/>
          <w:color w:val="auto"/>
          <w:szCs w:val="24"/>
        </w:rPr>
        <w:t>respectively).</w:t>
      </w:r>
    </w:p>
    <w:p w14:paraId="316BBB35">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w:t>
      </w:r>
      <w:r>
        <w:rPr>
          <w:rFonts w:hint="eastAsia" w:ascii="宋体" w:hAnsi="宋体" w:eastAsia="宋体" w:cs="宋体"/>
          <w:b w:val="0"/>
          <w:bCs/>
          <w:color w:val="auto"/>
          <w:szCs w:val="24"/>
        </w:rPr>
        <w:t xml:space="preserve"> Our study highlights the impact of NPI implementation and </w:t>
      </w:r>
    </w:p>
    <w:p w14:paraId="58B816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subsequent lifting on the incidence of active TB in children, with changes in </w:t>
      </w:r>
    </w:p>
    <w:p w14:paraId="160013B8">
      <w:pPr>
        <w:rPr>
          <w:rFonts w:hint="eastAsia" w:ascii="宋体" w:hAnsi="宋体" w:eastAsia="宋体" w:cs="宋体"/>
          <w:b w:val="0"/>
          <w:bCs/>
          <w:color w:val="auto"/>
          <w:szCs w:val="24"/>
        </w:rPr>
      </w:pPr>
      <w:r>
        <w:rPr>
          <w:rFonts w:hint="eastAsia" w:ascii="宋体" w:hAnsi="宋体" w:eastAsia="宋体" w:cs="宋体"/>
          <w:b w:val="0"/>
          <w:bCs/>
          <w:color w:val="auto"/>
          <w:szCs w:val="24"/>
        </w:rPr>
        <w:t>the clinical spectrum of the disease.</w:t>
      </w:r>
    </w:p>
    <w:p w14:paraId="7EE4786F">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WHAT IS KNOWN: </w:t>
      </w:r>
      <w:r>
        <w:rPr>
          <w:rFonts w:hint="eastAsia" w:ascii="宋体" w:hAnsi="宋体" w:eastAsia="宋体" w:cs="宋体"/>
          <w:b w:val="0"/>
          <w:bCs/>
          <w:color w:val="auto"/>
          <w:szCs w:val="24"/>
        </w:rPr>
        <w:t xml:space="preserve">• The impact of COVID-19-related non-pharmaceutical interventions </w:t>
      </w:r>
    </w:p>
    <w:p w14:paraId="08B961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(NPIs) on tuberculosis epidemiology has been documented in adults, but data in </w:t>
      </w:r>
    </w:p>
    <w:p w14:paraId="48723109">
      <w:pPr>
        <w:rPr>
          <w:rFonts w:hint="eastAsia" w:ascii="宋体" w:hAnsi="宋体" w:eastAsia="宋体" w:cs="宋体"/>
          <w:b w:val="0"/>
          <w:bCs/>
          <w:color w:val="auto"/>
          <w:szCs w:val="24"/>
        </w:rPr>
      </w:pPr>
      <w:r>
        <w:rPr>
          <w:rFonts w:hint="eastAsia" w:ascii="宋体" w:hAnsi="宋体" w:eastAsia="宋体" w:cs="宋体"/>
          <w:b w:val="0"/>
          <w:bCs/>
          <w:color w:val="auto"/>
          <w:szCs w:val="24"/>
        </w:rPr>
        <w:t>children remain scarce.</w:t>
      </w:r>
    </w:p>
    <w:p w14:paraId="39059D80">
      <w:pPr>
        <w:rPr>
          <w:rFonts w:hint="eastAsia" w:ascii="宋体" w:hAnsi="宋体" w:eastAsia="宋体" w:cs="宋体"/>
          <w:b w:val="0"/>
          <w:bCs/>
          <w:color w:val="auto"/>
          <w:szCs w:val="24"/>
        </w:rPr>
      </w:pPr>
      <w:r>
        <w:rPr>
          <w:rFonts w:hint="eastAsia" w:ascii="宋体" w:hAnsi="宋体" w:eastAsia="宋体" w:cs="宋体"/>
          <w:b/>
          <w:bCs w:val="0"/>
          <w:color w:val="auto"/>
          <w:szCs w:val="24"/>
        </w:rPr>
        <w:t>WHAT IS NEW:</w:t>
      </w:r>
      <w:r>
        <w:rPr>
          <w:rFonts w:hint="eastAsia" w:ascii="宋体" w:hAnsi="宋体" w:eastAsia="宋体" w:cs="宋体"/>
          <w:b w:val="0"/>
          <w:bCs/>
          <w:color w:val="auto"/>
          <w:szCs w:val="24"/>
        </w:rPr>
        <w:t xml:space="preserve"> • This nationwide study shows changes in both the incidence and </w:t>
      </w:r>
    </w:p>
    <w:p w14:paraId="016ACD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presentation of childhood tuberculosis following the implementation and </w:t>
      </w:r>
    </w:p>
    <w:p w14:paraId="339340C0">
      <w:pPr>
        <w:rPr>
          <w:rFonts w:hint="eastAsia" w:ascii="宋体" w:hAnsi="宋体" w:eastAsia="宋体" w:cs="宋体"/>
          <w:b w:val="0"/>
          <w:bCs/>
          <w:color w:val="auto"/>
          <w:szCs w:val="24"/>
        </w:rPr>
      </w:pPr>
      <w:r>
        <w:rPr>
          <w:rFonts w:hint="eastAsia" w:ascii="宋体" w:hAnsi="宋体" w:eastAsia="宋体" w:cs="宋体"/>
          <w:b w:val="0"/>
          <w:bCs/>
          <w:color w:val="auto"/>
          <w:szCs w:val="24"/>
        </w:rPr>
        <w:t>subsequent lifting of COVID-19-related NPIs.</w:t>
      </w:r>
    </w:p>
    <w:p w14:paraId="7BE5A4BA">
      <w:pPr>
        <w:rPr>
          <w:rFonts w:hint="eastAsia" w:ascii="宋体" w:hAnsi="宋体" w:eastAsia="宋体" w:cs="宋体"/>
          <w:b w:val="0"/>
          <w:bCs/>
          <w:color w:val="auto"/>
          <w:szCs w:val="24"/>
        </w:rPr>
      </w:pPr>
    </w:p>
    <w:p w14:paraId="162025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under exclusive licence to Springer-Verlag GmbH Germany, </w:t>
      </w:r>
    </w:p>
    <w:p w14:paraId="2894423F">
      <w:pPr>
        <w:rPr>
          <w:rFonts w:hint="eastAsia" w:ascii="宋体" w:hAnsi="宋体" w:eastAsia="宋体" w:cs="宋体"/>
          <w:b w:val="0"/>
          <w:bCs/>
          <w:color w:val="auto"/>
          <w:szCs w:val="24"/>
        </w:rPr>
      </w:pPr>
      <w:r>
        <w:rPr>
          <w:rFonts w:hint="eastAsia" w:ascii="宋体" w:hAnsi="宋体" w:eastAsia="宋体" w:cs="宋体"/>
          <w:b w:val="0"/>
          <w:bCs/>
          <w:color w:val="auto"/>
          <w:szCs w:val="24"/>
        </w:rPr>
        <w:t>part of Springer Nature.</w:t>
      </w:r>
    </w:p>
    <w:p w14:paraId="6A773B6D">
      <w:pPr>
        <w:rPr>
          <w:rFonts w:hint="eastAsia" w:ascii="宋体" w:hAnsi="宋体" w:eastAsia="宋体" w:cs="宋体"/>
          <w:b w:val="0"/>
          <w:bCs/>
          <w:color w:val="auto"/>
          <w:szCs w:val="24"/>
        </w:rPr>
      </w:pPr>
    </w:p>
    <w:p w14:paraId="0261C522">
      <w:pPr>
        <w:rPr>
          <w:rFonts w:hint="eastAsia" w:ascii="宋体" w:hAnsi="宋体" w:eastAsia="宋体" w:cs="宋体"/>
          <w:b w:val="0"/>
          <w:bCs/>
          <w:color w:val="auto"/>
          <w:szCs w:val="24"/>
        </w:rPr>
      </w:pPr>
      <w:r>
        <w:rPr>
          <w:rFonts w:hint="eastAsia" w:ascii="宋体" w:hAnsi="宋体" w:eastAsia="宋体" w:cs="宋体"/>
          <w:b w:val="0"/>
          <w:bCs/>
          <w:color w:val="auto"/>
          <w:szCs w:val="24"/>
        </w:rPr>
        <w:t>DOI: 10.1007/s00431-026-07378-4</w:t>
      </w:r>
    </w:p>
    <w:p w14:paraId="70866FAE">
      <w:pPr>
        <w:rPr>
          <w:rFonts w:hint="eastAsia" w:ascii="宋体" w:hAnsi="宋体" w:eastAsia="宋体" w:cs="宋体"/>
          <w:b w:val="0"/>
          <w:bCs/>
          <w:color w:val="auto"/>
          <w:szCs w:val="24"/>
        </w:rPr>
      </w:pPr>
      <w:r>
        <w:rPr>
          <w:rFonts w:hint="eastAsia" w:ascii="宋体" w:hAnsi="宋体" w:eastAsia="宋体" w:cs="宋体"/>
          <w:b w:val="0"/>
          <w:bCs/>
          <w:color w:val="auto"/>
          <w:szCs w:val="24"/>
        </w:rPr>
        <w:t>PMID: 42722892 [Indexed for MEDLINE]</w:t>
      </w:r>
    </w:p>
    <w:p w14:paraId="1E781811">
      <w:pPr>
        <w:rPr>
          <w:rFonts w:hint="eastAsia" w:ascii="宋体" w:hAnsi="宋体" w:eastAsia="宋体" w:cs="宋体"/>
          <w:b w:val="0"/>
          <w:bCs/>
          <w:color w:val="auto"/>
          <w:szCs w:val="24"/>
        </w:rPr>
      </w:pPr>
    </w:p>
    <w:p w14:paraId="199E8528">
      <w:pPr>
        <w:rPr>
          <w:rFonts w:hint="eastAsia" w:ascii="宋体" w:hAnsi="宋体" w:eastAsia="宋体" w:cs="宋体"/>
          <w:b/>
          <w:bCs w:val="0"/>
          <w:color w:val="FF0000"/>
          <w:szCs w:val="24"/>
        </w:rPr>
      </w:pPr>
      <w:r>
        <w:rPr>
          <w:rFonts w:hint="eastAsia" w:ascii="宋体" w:hAnsi="宋体" w:eastAsia="宋体" w:cs="宋体"/>
          <w:b/>
          <w:bCs w:val="0"/>
          <w:color w:val="FF0000"/>
          <w:szCs w:val="24"/>
        </w:rPr>
        <w:t>1</w:t>
      </w:r>
      <w:r>
        <w:rPr>
          <w:rFonts w:hint="eastAsia" w:ascii="宋体" w:hAnsi="宋体" w:eastAsia="宋体" w:cs="宋体"/>
          <w:b/>
          <w:bCs w:val="0"/>
          <w:color w:val="FF0000"/>
          <w:szCs w:val="24"/>
          <w:lang w:val="en-US" w:eastAsia="zh-CN"/>
        </w:rPr>
        <w:t>1</w:t>
      </w:r>
      <w:r>
        <w:rPr>
          <w:rFonts w:hint="eastAsia" w:ascii="宋体" w:hAnsi="宋体" w:eastAsia="宋体" w:cs="宋体"/>
          <w:b/>
          <w:bCs w:val="0"/>
          <w:color w:val="FF0000"/>
          <w:szCs w:val="24"/>
        </w:rPr>
        <w:t>. Vaccine. 2026 Sep 10;92:129116. doi: 10.1016/j.vaccine.2026.129116. Online ahead of print.</w:t>
      </w:r>
    </w:p>
    <w:p w14:paraId="51CD7D4F">
      <w:pPr>
        <w:rPr>
          <w:rFonts w:hint="eastAsia" w:ascii="宋体" w:hAnsi="宋体" w:eastAsia="宋体" w:cs="宋体"/>
          <w:b w:val="0"/>
          <w:bCs/>
          <w:color w:val="auto"/>
          <w:szCs w:val="24"/>
        </w:rPr>
      </w:pPr>
    </w:p>
    <w:p w14:paraId="5DBBB0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Understanding pathogenesis of and BCG vaccine efficacy against high, moderate, </w:t>
      </w:r>
    </w:p>
    <w:p w14:paraId="51710B35">
      <w:pPr>
        <w:rPr>
          <w:rFonts w:hint="eastAsia" w:ascii="宋体" w:hAnsi="宋体" w:eastAsia="宋体" w:cs="宋体"/>
          <w:b w:val="0"/>
          <w:bCs/>
          <w:color w:val="auto"/>
          <w:szCs w:val="24"/>
        </w:rPr>
      </w:pPr>
      <w:r>
        <w:rPr>
          <w:rFonts w:hint="eastAsia" w:ascii="宋体" w:hAnsi="宋体" w:eastAsia="宋体" w:cs="宋体"/>
          <w:b w:val="0"/>
          <w:bCs/>
          <w:color w:val="auto"/>
          <w:szCs w:val="24"/>
        </w:rPr>
        <w:t>and low transmissible Mycobacterium tuberculosis strains in mice.</w:t>
      </w:r>
    </w:p>
    <w:p w14:paraId="00ABE2E2">
      <w:pPr>
        <w:rPr>
          <w:rFonts w:hint="eastAsia" w:ascii="宋体" w:hAnsi="宋体" w:eastAsia="宋体" w:cs="宋体"/>
          <w:b w:val="0"/>
          <w:bCs/>
          <w:color w:val="auto"/>
          <w:szCs w:val="24"/>
        </w:rPr>
      </w:pPr>
    </w:p>
    <w:p w14:paraId="216BB731">
      <w:pPr>
        <w:rPr>
          <w:rFonts w:hint="eastAsia" w:ascii="宋体" w:hAnsi="宋体" w:eastAsia="宋体" w:cs="宋体"/>
          <w:b w:val="0"/>
          <w:bCs/>
          <w:color w:val="auto"/>
          <w:szCs w:val="24"/>
        </w:rPr>
      </w:pPr>
      <w:r>
        <w:rPr>
          <w:rFonts w:hint="eastAsia" w:ascii="宋体" w:hAnsi="宋体" w:eastAsia="宋体" w:cs="宋体"/>
          <w:b w:val="0"/>
          <w:bCs/>
          <w:color w:val="auto"/>
          <w:szCs w:val="24"/>
        </w:rPr>
        <w:t>Khatri B(1), Salguero FJ(2), Goyal M(3), Dagg B(4), Wandiga S(5), Ho MM(4).</w:t>
      </w:r>
    </w:p>
    <w:p w14:paraId="306BE799">
      <w:pPr>
        <w:rPr>
          <w:rFonts w:hint="eastAsia" w:ascii="宋体" w:hAnsi="宋体" w:eastAsia="宋体" w:cs="宋体"/>
          <w:b w:val="0"/>
          <w:bCs/>
          <w:color w:val="auto"/>
          <w:szCs w:val="24"/>
        </w:rPr>
      </w:pPr>
    </w:p>
    <w:p w14:paraId="4943D2C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F0507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(1)Vaccines Division, Medicines and Healthcare products Regulatory Agency </w:t>
      </w:r>
    </w:p>
    <w:p w14:paraId="5D35D8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(MHRA), South Mimms, Hertfordshire EN6 3QG, UK. Electronic address: </w:t>
      </w:r>
    </w:p>
    <w:p w14:paraId="7817BD8D">
      <w:pPr>
        <w:rPr>
          <w:rFonts w:hint="eastAsia" w:ascii="宋体" w:hAnsi="宋体" w:eastAsia="宋体" w:cs="宋体"/>
          <w:b w:val="0"/>
          <w:bCs/>
          <w:color w:val="auto"/>
          <w:szCs w:val="24"/>
        </w:rPr>
      </w:pPr>
      <w:r>
        <w:rPr>
          <w:rFonts w:hint="eastAsia" w:ascii="宋体" w:hAnsi="宋体" w:eastAsia="宋体" w:cs="宋体"/>
          <w:b w:val="0"/>
          <w:bCs/>
          <w:color w:val="auto"/>
          <w:szCs w:val="24"/>
        </w:rPr>
        <w:t>bhagwati.khatri@mhra.gov.uk.</w:t>
      </w:r>
    </w:p>
    <w:p w14:paraId="611371BD">
      <w:pPr>
        <w:rPr>
          <w:rFonts w:hint="eastAsia" w:ascii="宋体" w:hAnsi="宋体" w:eastAsia="宋体" w:cs="宋体"/>
          <w:b w:val="0"/>
          <w:bCs/>
          <w:color w:val="auto"/>
          <w:szCs w:val="24"/>
        </w:rPr>
      </w:pPr>
      <w:r>
        <w:rPr>
          <w:rFonts w:hint="eastAsia" w:ascii="宋体" w:hAnsi="宋体" w:eastAsia="宋体" w:cs="宋体"/>
          <w:b w:val="0"/>
          <w:bCs/>
          <w:color w:val="auto"/>
          <w:szCs w:val="24"/>
        </w:rPr>
        <w:t>(2)UK Health Security Agency (UKHSA), Porton Down, Salisbury SP4 0JG, UK.</w:t>
      </w:r>
    </w:p>
    <w:p w14:paraId="36CFE8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(3)School of Health Medicine and Life Sciences, University of Hertfordshire, </w:t>
      </w:r>
    </w:p>
    <w:p w14:paraId="5C94D640">
      <w:pPr>
        <w:rPr>
          <w:rFonts w:hint="eastAsia" w:ascii="宋体" w:hAnsi="宋体" w:eastAsia="宋体" w:cs="宋体"/>
          <w:b w:val="0"/>
          <w:bCs/>
          <w:color w:val="auto"/>
          <w:szCs w:val="24"/>
        </w:rPr>
      </w:pPr>
      <w:r>
        <w:rPr>
          <w:rFonts w:hint="eastAsia" w:ascii="宋体" w:hAnsi="宋体" w:eastAsia="宋体" w:cs="宋体"/>
          <w:b w:val="0"/>
          <w:bCs/>
          <w:color w:val="auto"/>
          <w:szCs w:val="24"/>
        </w:rPr>
        <w:t>Hatfield AL10 9AB, UK.</w:t>
      </w:r>
    </w:p>
    <w:p w14:paraId="0F0B78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(4)Vaccines Division, Medicines and Healthcare products Regulatory Agency </w:t>
      </w:r>
    </w:p>
    <w:p w14:paraId="208CF28C">
      <w:pPr>
        <w:rPr>
          <w:rFonts w:hint="eastAsia" w:ascii="宋体" w:hAnsi="宋体" w:eastAsia="宋体" w:cs="宋体"/>
          <w:b w:val="0"/>
          <w:bCs/>
          <w:color w:val="auto"/>
          <w:szCs w:val="24"/>
        </w:rPr>
      </w:pPr>
      <w:r>
        <w:rPr>
          <w:rFonts w:hint="eastAsia" w:ascii="宋体" w:hAnsi="宋体" w:eastAsia="宋体" w:cs="宋体"/>
          <w:b w:val="0"/>
          <w:bCs/>
          <w:color w:val="auto"/>
          <w:szCs w:val="24"/>
        </w:rPr>
        <w:t>(MHRA), South Mimms, Hertfordshire EN6 3QG, UK.</w:t>
      </w:r>
    </w:p>
    <w:p w14:paraId="7255EDDF">
      <w:pPr>
        <w:rPr>
          <w:rFonts w:hint="eastAsia" w:ascii="宋体" w:hAnsi="宋体" w:eastAsia="宋体" w:cs="宋体"/>
          <w:b w:val="0"/>
          <w:bCs/>
          <w:color w:val="auto"/>
          <w:szCs w:val="24"/>
        </w:rPr>
      </w:pPr>
      <w:r>
        <w:rPr>
          <w:rFonts w:hint="eastAsia" w:ascii="宋体" w:hAnsi="宋体" w:eastAsia="宋体" w:cs="宋体"/>
          <w:b w:val="0"/>
          <w:bCs/>
          <w:color w:val="auto"/>
          <w:szCs w:val="24"/>
        </w:rPr>
        <w:t>(5)Kenya Medical Research Institute (KEMRI), Nairobi, Kenya.</w:t>
      </w:r>
    </w:p>
    <w:p w14:paraId="4E7FE966">
      <w:pPr>
        <w:rPr>
          <w:rFonts w:hint="eastAsia" w:ascii="宋体" w:hAnsi="宋体" w:eastAsia="宋体" w:cs="宋体"/>
          <w:b w:val="0"/>
          <w:bCs/>
          <w:color w:val="auto"/>
          <w:szCs w:val="24"/>
        </w:rPr>
      </w:pPr>
    </w:p>
    <w:p w14:paraId="20352A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genetic diversity of Mycobacterium tuberculosis challenges Tuberculosis </w:t>
      </w:r>
    </w:p>
    <w:p w14:paraId="497295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control and may contribute to variable protection by BCG. We evaluated </w:t>
      </w:r>
    </w:p>
    <w:p w14:paraId="5C7B26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pathogenesis and BCG efficacy against clinical Kenyan Mtb isolates grouped by </w:t>
      </w:r>
    </w:p>
    <w:p w14:paraId="034DBE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epidemiological transmissibility. Forty-nine isolates were spoligotyped and </w:t>
      </w:r>
    </w:p>
    <w:p w14:paraId="3296D7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classified as high (HT), moderate (MT), or low (LT) transmissibility. </w:t>
      </w:r>
    </w:p>
    <w:p w14:paraId="10BD26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Representative HT, MT and LT isolates, together with HN878, were assessed for </w:t>
      </w:r>
    </w:p>
    <w:p w14:paraId="3C26FA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virulence and BCG-induced protection in CB6F1 and C57BL/6 mice. Endpoints </w:t>
      </w:r>
    </w:p>
    <w:p w14:paraId="34CFA4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included lung and spleen bacterial burden and lung immunopathology. The HT </w:t>
      </w:r>
    </w:p>
    <w:p w14:paraId="6C6ED5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isolate CAS1-Kili (L3) induced pronounced lung pathology despite bacterial loads </w:t>
      </w:r>
    </w:p>
    <w:p w14:paraId="5A0BCA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comparable to the LT T2 (L4) isolate, which caused less inflammation, indicating </w:t>
      </w:r>
    </w:p>
    <w:p w14:paraId="05F27B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dissociation between burden and pathology. BCG reduced lung CFU at early </w:t>
      </w:r>
    </w:p>
    <w:p w14:paraId="0E2E12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timepoints in CB6F1 mice, but protection waned by 12 weeks, including against </w:t>
      </w:r>
    </w:p>
    <w:p w14:paraId="799644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HN878. Splenic control differed by host: CB6F1 mice showed reduced dissemination </w:t>
      </w:r>
    </w:p>
    <w:p w14:paraId="59A524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 12 weeks, whereas C57BL/6 mice showed limited systemic control. Dissemination </w:t>
      </w:r>
    </w:p>
    <w:p w14:paraId="09A60A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kinetics also differed, with early splenic spread of T2 and delayed </w:t>
      </w:r>
    </w:p>
    <w:p w14:paraId="1A1DA5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dissemination of CAS1-Kili. Notably, BCG consistently reduced lung pathology </w:t>
      </w:r>
    </w:p>
    <w:p w14:paraId="79D207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even when bacterial burden reductions were modest. Overall, BCG efficacy was </w:t>
      </w:r>
    </w:p>
    <w:p w14:paraId="5ABDD4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strain-, host-, organ- and time-dependent, underscoring the need for durable </w:t>
      </w:r>
    </w:p>
    <w:p w14:paraId="369C554C">
      <w:pPr>
        <w:rPr>
          <w:rFonts w:hint="eastAsia" w:ascii="宋体" w:hAnsi="宋体" w:eastAsia="宋体" w:cs="宋体"/>
          <w:b w:val="0"/>
          <w:bCs/>
          <w:color w:val="auto"/>
          <w:szCs w:val="24"/>
        </w:rPr>
      </w:pPr>
      <w:r>
        <w:rPr>
          <w:rFonts w:hint="eastAsia" w:ascii="宋体" w:hAnsi="宋体" w:eastAsia="宋体" w:cs="宋体"/>
          <w:b w:val="0"/>
          <w:bCs/>
          <w:color w:val="auto"/>
          <w:szCs w:val="24"/>
        </w:rPr>
        <w:t>vaccines protective across diverse lineages.</w:t>
      </w:r>
    </w:p>
    <w:p w14:paraId="37DD839C">
      <w:pPr>
        <w:rPr>
          <w:rFonts w:hint="eastAsia" w:ascii="宋体" w:hAnsi="宋体" w:eastAsia="宋体" w:cs="宋体"/>
          <w:b w:val="0"/>
          <w:bCs/>
          <w:color w:val="auto"/>
          <w:szCs w:val="24"/>
        </w:rPr>
      </w:pPr>
    </w:p>
    <w:p w14:paraId="13A74148">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Published by Elsevier Ltd.</w:t>
      </w:r>
    </w:p>
    <w:p w14:paraId="0B7D209E">
      <w:pPr>
        <w:rPr>
          <w:rFonts w:hint="eastAsia" w:ascii="宋体" w:hAnsi="宋体" w:eastAsia="宋体" w:cs="宋体"/>
          <w:b w:val="0"/>
          <w:bCs/>
          <w:color w:val="auto"/>
          <w:szCs w:val="24"/>
        </w:rPr>
      </w:pPr>
    </w:p>
    <w:p w14:paraId="26C79584">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10.1016/j.vaccine.2026.129116</w:t>
      </w:r>
    </w:p>
    <w:p w14:paraId="2EF3AD58">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42721892</w:t>
      </w:r>
    </w:p>
    <w:p w14:paraId="7EB5FFB5">
      <w:pPr>
        <w:rPr>
          <w:rFonts w:hint="eastAsia" w:ascii="宋体" w:hAnsi="宋体" w:eastAsia="宋体" w:cs="宋体"/>
          <w:b w:val="0"/>
          <w:bCs/>
          <w:color w:val="auto"/>
          <w:szCs w:val="24"/>
        </w:rPr>
      </w:pPr>
    </w:p>
    <w:p w14:paraId="6E72BC34">
      <w:pPr>
        <w:rPr>
          <w:rFonts w:hint="eastAsia" w:ascii="宋体" w:hAnsi="宋体" w:eastAsia="宋体" w:cs="宋体"/>
          <w:b/>
          <w:bCs w:val="0"/>
          <w:color w:val="FF0000"/>
          <w:szCs w:val="24"/>
        </w:rPr>
      </w:pPr>
      <w:r>
        <w:rPr>
          <w:rFonts w:hint="eastAsia" w:ascii="宋体" w:hAnsi="宋体" w:eastAsia="宋体" w:cs="宋体"/>
          <w:b/>
          <w:bCs w:val="0"/>
          <w:color w:val="FF0000"/>
          <w:szCs w:val="24"/>
        </w:rPr>
        <w:t>1</w:t>
      </w:r>
      <w:r>
        <w:rPr>
          <w:rFonts w:hint="eastAsia" w:ascii="宋体" w:hAnsi="宋体" w:eastAsia="宋体" w:cs="宋体"/>
          <w:b/>
          <w:bCs w:val="0"/>
          <w:color w:val="FF0000"/>
          <w:szCs w:val="24"/>
          <w:lang w:val="en-US" w:eastAsia="zh-CN"/>
        </w:rPr>
        <w:t>2</w:t>
      </w:r>
      <w:r>
        <w:rPr>
          <w:rFonts w:hint="eastAsia" w:ascii="宋体" w:hAnsi="宋体" w:eastAsia="宋体" w:cs="宋体"/>
          <w:b/>
          <w:bCs w:val="0"/>
          <w:color w:val="FF0000"/>
          <w:szCs w:val="24"/>
        </w:rPr>
        <w:t xml:space="preserve">. PLoS One. 2026 Sep 10;21(9):e0357772. doi: 10.1371/journal.pone.0357772. </w:t>
      </w:r>
    </w:p>
    <w:p w14:paraId="711AEB15">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5DC4CAD6">
      <w:pPr>
        <w:rPr>
          <w:rFonts w:hint="eastAsia" w:ascii="宋体" w:hAnsi="宋体" w:eastAsia="宋体" w:cs="宋体"/>
          <w:b w:val="0"/>
          <w:bCs/>
          <w:color w:val="auto"/>
          <w:szCs w:val="24"/>
        </w:rPr>
      </w:pPr>
    </w:p>
    <w:p w14:paraId="581DCE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Extended treatment duration and recurrence in successfully treated </w:t>
      </w:r>
    </w:p>
    <w:p w14:paraId="0B00DA59">
      <w:pPr>
        <w:rPr>
          <w:rFonts w:hint="eastAsia" w:ascii="宋体" w:hAnsi="宋体" w:eastAsia="宋体" w:cs="宋体"/>
          <w:b w:val="0"/>
          <w:bCs/>
          <w:color w:val="auto"/>
          <w:szCs w:val="24"/>
        </w:rPr>
      </w:pPr>
      <w:r>
        <w:rPr>
          <w:rFonts w:hint="eastAsia" w:ascii="宋体" w:hAnsi="宋体" w:eastAsia="宋体" w:cs="宋体"/>
          <w:b w:val="0"/>
          <w:bCs/>
          <w:color w:val="auto"/>
          <w:szCs w:val="24"/>
        </w:rPr>
        <w:t>drug-susceptible pulmonary tuberculosis with cavity on chest radiograph.</w:t>
      </w:r>
    </w:p>
    <w:p w14:paraId="62E2480D">
      <w:pPr>
        <w:rPr>
          <w:rFonts w:hint="eastAsia" w:ascii="宋体" w:hAnsi="宋体" w:eastAsia="宋体" w:cs="宋体"/>
          <w:b w:val="0"/>
          <w:bCs/>
          <w:color w:val="auto"/>
          <w:szCs w:val="24"/>
        </w:rPr>
      </w:pPr>
    </w:p>
    <w:p w14:paraId="4C03A2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Yoon CS(1), Kim TO(1), Shin HJ(1), Kim JS(2), Kim HW(2), Lee EG(3), Jung SS(4), </w:t>
      </w:r>
    </w:p>
    <w:p w14:paraId="6CCB1F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Oh JY(5), Kim JW(6), Lee H(7), Kim S(8), Kim SH(9), Park Y(10), Lyu J(11), Kwon </w:t>
      </w:r>
    </w:p>
    <w:p w14:paraId="52427D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SJ(12), Jeong YJ(13), Kim DJ(14), Koo HK(15), Chae G(16), Kyung SY(17), Min </w:t>
      </w:r>
    </w:p>
    <w:p w14:paraId="1CB97299">
      <w:pPr>
        <w:rPr>
          <w:rFonts w:hint="eastAsia" w:ascii="宋体" w:hAnsi="宋体" w:eastAsia="宋体" w:cs="宋体"/>
          <w:b w:val="0"/>
          <w:bCs/>
          <w:color w:val="auto"/>
          <w:szCs w:val="24"/>
        </w:rPr>
      </w:pPr>
      <w:r>
        <w:rPr>
          <w:rFonts w:hint="eastAsia" w:ascii="宋体" w:hAnsi="宋体" w:eastAsia="宋体" w:cs="宋体"/>
          <w:b w:val="0"/>
          <w:bCs/>
          <w:color w:val="auto"/>
          <w:szCs w:val="24"/>
        </w:rPr>
        <w:t>J(18), Kwon YS(1).</w:t>
      </w:r>
    </w:p>
    <w:p w14:paraId="79AA8B1F">
      <w:pPr>
        <w:rPr>
          <w:rFonts w:hint="eastAsia" w:ascii="宋体" w:hAnsi="宋体" w:eastAsia="宋体" w:cs="宋体"/>
          <w:b w:val="0"/>
          <w:bCs/>
          <w:color w:val="auto"/>
          <w:szCs w:val="24"/>
        </w:rPr>
      </w:pPr>
    </w:p>
    <w:p w14:paraId="53F9843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D9851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Internal Medicine, Chonnam National University Hospital, </w:t>
      </w:r>
    </w:p>
    <w:p w14:paraId="2B99D4DD">
      <w:pPr>
        <w:rPr>
          <w:rFonts w:hint="eastAsia" w:ascii="宋体" w:hAnsi="宋体" w:eastAsia="宋体" w:cs="宋体"/>
          <w:b w:val="0"/>
          <w:bCs/>
          <w:color w:val="auto"/>
          <w:szCs w:val="24"/>
        </w:rPr>
      </w:pPr>
      <w:r>
        <w:rPr>
          <w:rFonts w:hint="eastAsia" w:ascii="宋体" w:hAnsi="宋体" w:eastAsia="宋体" w:cs="宋体"/>
          <w:b w:val="0"/>
          <w:bCs/>
          <w:color w:val="auto"/>
          <w:szCs w:val="24"/>
        </w:rPr>
        <w:t>Chonnam National University Medical School, Gwangju, Republic of Korea.</w:t>
      </w:r>
    </w:p>
    <w:p w14:paraId="70D68F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(2)Division of Pulmonary and Critical Care Medicine, Department of Internal </w:t>
      </w:r>
    </w:p>
    <w:p w14:paraId="13E044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Incheon St. Mary's Hospital, College of Medicine, The Catholic </w:t>
      </w:r>
    </w:p>
    <w:p w14:paraId="66B9EEE2">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Korea, Incheon, Republic of Korea.</w:t>
      </w:r>
    </w:p>
    <w:p w14:paraId="5B22B3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(3)Division of Pulmonary, Allergy, and Critical Care Medicine, Department of </w:t>
      </w:r>
    </w:p>
    <w:p w14:paraId="001B12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Internal Medicine, Bucheon St. Mary's Hospital, College of Medicine, The </w:t>
      </w:r>
    </w:p>
    <w:p w14:paraId="52D8354B">
      <w:pPr>
        <w:rPr>
          <w:rFonts w:hint="eastAsia" w:ascii="宋体" w:hAnsi="宋体" w:eastAsia="宋体" w:cs="宋体"/>
          <w:b w:val="0"/>
          <w:bCs/>
          <w:color w:val="auto"/>
          <w:szCs w:val="24"/>
        </w:rPr>
      </w:pPr>
      <w:r>
        <w:rPr>
          <w:rFonts w:hint="eastAsia" w:ascii="宋体" w:hAnsi="宋体" w:eastAsia="宋体" w:cs="宋体"/>
          <w:b w:val="0"/>
          <w:bCs/>
          <w:color w:val="auto"/>
          <w:szCs w:val="24"/>
        </w:rPr>
        <w:t>Catholic University of Korea, Bucheon, Republic of Korea.</w:t>
      </w:r>
    </w:p>
    <w:p w14:paraId="6DE195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(4)Division of Pulmonary and Critical Care Medicine, Department of Internal </w:t>
      </w:r>
    </w:p>
    <w:p w14:paraId="04C56486">
      <w:pPr>
        <w:rPr>
          <w:rFonts w:hint="eastAsia" w:ascii="宋体" w:hAnsi="宋体" w:eastAsia="宋体" w:cs="宋体"/>
          <w:b w:val="0"/>
          <w:bCs/>
          <w:color w:val="auto"/>
          <w:szCs w:val="24"/>
        </w:rPr>
      </w:pPr>
      <w:r>
        <w:rPr>
          <w:rFonts w:hint="eastAsia" w:ascii="宋体" w:hAnsi="宋体" w:eastAsia="宋体" w:cs="宋体"/>
          <w:b w:val="0"/>
          <w:bCs/>
          <w:color w:val="auto"/>
          <w:szCs w:val="24"/>
        </w:rPr>
        <w:t>Medicine, Chungnam National University Hospital, Daejeon, Republic of Korea.</w:t>
      </w:r>
    </w:p>
    <w:p w14:paraId="0A317D5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(5)Division of Pulmonary, Allergy, and Critical Care Medicine, Department of </w:t>
      </w:r>
    </w:p>
    <w:p w14:paraId="46E9B27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Internal Medicine, Korea University Guro Hospital, Korea University College of </w:t>
      </w:r>
    </w:p>
    <w:p w14:paraId="1E6A6BCE">
      <w:pPr>
        <w:rPr>
          <w:rFonts w:hint="eastAsia" w:ascii="宋体" w:hAnsi="宋体" w:eastAsia="宋体" w:cs="宋体"/>
          <w:b w:val="0"/>
          <w:bCs/>
          <w:color w:val="auto"/>
          <w:szCs w:val="24"/>
        </w:rPr>
      </w:pPr>
      <w:r>
        <w:rPr>
          <w:rFonts w:hint="eastAsia" w:ascii="宋体" w:hAnsi="宋体" w:eastAsia="宋体" w:cs="宋体"/>
          <w:b w:val="0"/>
          <w:bCs/>
          <w:color w:val="auto"/>
          <w:szCs w:val="24"/>
        </w:rPr>
        <w:t>Medicine, Seoul, Republic of Korea.</w:t>
      </w:r>
    </w:p>
    <w:p w14:paraId="7F0847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(6)Division of Pulmonary and Critical Care Medicine, Department of Internal </w:t>
      </w:r>
    </w:p>
    <w:p w14:paraId="1D19AA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Uijeongbu St. Mary's Hospital, College of Medicine, The Catholic </w:t>
      </w:r>
    </w:p>
    <w:p w14:paraId="78A6F4DE">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Korea, Uijeongbu, Republic of Korea.</w:t>
      </w:r>
    </w:p>
    <w:p w14:paraId="1E541B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(7)Division of Pulmonary, Critical Care, and Sleep Medicine, Department of </w:t>
      </w:r>
    </w:p>
    <w:p w14:paraId="41E9D4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Internal Medicine, Eunpyeong St. Mary's Hospital, College of Medicine, The </w:t>
      </w:r>
    </w:p>
    <w:p w14:paraId="772E8A61">
      <w:pPr>
        <w:rPr>
          <w:rFonts w:hint="eastAsia" w:ascii="宋体" w:hAnsi="宋体" w:eastAsia="宋体" w:cs="宋体"/>
          <w:b w:val="0"/>
          <w:bCs/>
          <w:color w:val="auto"/>
          <w:szCs w:val="24"/>
        </w:rPr>
      </w:pPr>
      <w:r>
        <w:rPr>
          <w:rFonts w:hint="eastAsia" w:ascii="宋体" w:hAnsi="宋体" w:eastAsia="宋体" w:cs="宋体"/>
          <w:b w:val="0"/>
          <w:bCs/>
          <w:color w:val="auto"/>
          <w:szCs w:val="24"/>
        </w:rPr>
        <w:t>Catholic University of Korea, Seoul, Republic of Korea.</w:t>
      </w:r>
    </w:p>
    <w:p w14:paraId="662721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(8)Division of Pulmonary and Critical Care Medicine, Department of Internal </w:t>
      </w:r>
    </w:p>
    <w:p w14:paraId="7E6E5C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St. Vincent's Hospital, College of Medicine, The Catholic University </w:t>
      </w:r>
    </w:p>
    <w:p w14:paraId="063A7E9D">
      <w:pPr>
        <w:rPr>
          <w:rFonts w:hint="eastAsia" w:ascii="宋体" w:hAnsi="宋体" w:eastAsia="宋体" w:cs="宋体"/>
          <w:b w:val="0"/>
          <w:bCs/>
          <w:color w:val="auto"/>
          <w:szCs w:val="24"/>
        </w:rPr>
      </w:pPr>
      <w:r>
        <w:rPr>
          <w:rFonts w:hint="eastAsia" w:ascii="宋体" w:hAnsi="宋体" w:eastAsia="宋体" w:cs="宋体"/>
          <w:b w:val="0"/>
          <w:bCs/>
          <w:color w:val="auto"/>
          <w:szCs w:val="24"/>
        </w:rPr>
        <w:t>of Korea, Suwon, Republic of Korea.</w:t>
      </w:r>
    </w:p>
    <w:p w14:paraId="71E560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(9)Division of Pulmonary and Critical Care Medicine, Department of Internal </w:t>
      </w:r>
    </w:p>
    <w:p w14:paraId="028B03E3">
      <w:pPr>
        <w:rPr>
          <w:rFonts w:hint="eastAsia" w:ascii="宋体" w:hAnsi="宋体" w:eastAsia="宋体" w:cs="宋体"/>
          <w:b w:val="0"/>
          <w:bCs/>
          <w:color w:val="auto"/>
          <w:szCs w:val="24"/>
        </w:rPr>
      </w:pPr>
      <w:r>
        <w:rPr>
          <w:rFonts w:hint="eastAsia" w:ascii="宋体" w:hAnsi="宋体" w:eastAsia="宋体" w:cs="宋体"/>
          <w:b w:val="0"/>
          <w:bCs/>
          <w:color w:val="auto"/>
          <w:szCs w:val="24"/>
        </w:rPr>
        <w:t>Medicine, Chungbuk National University Hospital, Cheongju, Republic of Korea.</w:t>
      </w:r>
    </w:p>
    <w:p w14:paraId="74CE0A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(10)Division of Pulmonary and Critical Care Medicine, Department of Internal </w:t>
      </w:r>
    </w:p>
    <w:p w14:paraId="436028B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Daejeon St. Mary's Hospital, College of Medicine, The Catholic </w:t>
      </w:r>
    </w:p>
    <w:p w14:paraId="35AF45F4">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Korea, Daejeon, Republic of Korea.</w:t>
      </w:r>
    </w:p>
    <w:p w14:paraId="7897F5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(11)Department of Pulmonary and Critical Care Medicine, Soonchunhyang University </w:t>
      </w:r>
    </w:p>
    <w:p w14:paraId="7346B8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Cheonan Hospital, Soonchunhyang University College of Medicine, Cheonan, </w:t>
      </w:r>
    </w:p>
    <w:p w14:paraId="0D79CCE4">
      <w:pPr>
        <w:rPr>
          <w:rFonts w:hint="eastAsia" w:ascii="宋体" w:hAnsi="宋体" w:eastAsia="宋体" w:cs="宋体"/>
          <w:b w:val="0"/>
          <w:bCs/>
          <w:color w:val="auto"/>
          <w:szCs w:val="24"/>
        </w:rPr>
      </w:pPr>
      <w:r>
        <w:rPr>
          <w:rFonts w:hint="eastAsia" w:ascii="宋体" w:hAnsi="宋体" w:eastAsia="宋体" w:cs="宋体"/>
          <w:b w:val="0"/>
          <w:bCs/>
          <w:color w:val="auto"/>
          <w:szCs w:val="24"/>
        </w:rPr>
        <w:t>Republic of Korea.</w:t>
      </w:r>
    </w:p>
    <w:p w14:paraId="4F2603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(12)Division of Pulmonary and Critical Care Medicine, Department of Internal </w:t>
      </w:r>
    </w:p>
    <w:p w14:paraId="789483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Konyang University Hospital, Konyang University College of Medicine, </w:t>
      </w:r>
    </w:p>
    <w:p w14:paraId="55FE6FCE">
      <w:pPr>
        <w:rPr>
          <w:rFonts w:hint="eastAsia" w:ascii="宋体" w:hAnsi="宋体" w:eastAsia="宋体" w:cs="宋体"/>
          <w:b w:val="0"/>
          <w:bCs/>
          <w:color w:val="auto"/>
          <w:szCs w:val="24"/>
        </w:rPr>
      </w:pPr>
      <w:r>
        <w:rPr>
          <w:rFonts w:hint="eastAsia" w:ascii="宋体" w:hAnsi="宋体" w:eastAsia="宋体" w:cs="宋体"/>
          <w:b w:val="0"/>
          <w:bCs/>
          <w:color w:val="auto"/>
          <w:szCs w:val="24"/>
        </w:rPr>
        <w:t>Daejeon, Republic of Korea.</w:t>
      </w:r>
    </w:p>
    <w:p w14:paraId="64587A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(13)Division of Pulmonary and Critical Care Medicine, Department of Internal </w:t>
      </w:r>
    </w:p>
    <w:p w14:paraId="6A61A072">
      <w:pPr>
        <w:rPr>
          <w:rFonts w:hint="eastAsia" w:ascii="宋体" w:hAnsi="宋体" w:eastAsia="宋体" w:cs="宋体"/>
          <w:b w:val="0"/>
          <w:bCs/>
          <w:color w:val="auto"/>
          <w:szCs w:val="24"/>
        </w:rPr>
      </w:pPr>
      <w:r>
        <w:rPr>
          <w:rFonts w:hint="eastAsia" w:ascii="宋体" w:hAnsi="宋体" w:eastAsia="宋体" w:cs="宋体"/>
          <w:b w:val="0"/>
          <w:bCs/>
          <w:color w:val="auto"/>
          <w:szCs w:val="24"/>
        </w:rPr>
        <w:t>Medicine, Dongguk University Ilsan Hospital, Goyang, Republic of Korea.</w:t>
      </w:r>
    </w:p>
    <w:p w14:paraId="0D790F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(14)Division of Allergy and Respiratory Medicine, Soonchunhyang University </w:t>
      </w:r>
    </w:p>
    <w:p w14:paraId="077DE3B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Bucheon Hospital, Soonchunhyang University College of Medicine, Bucheon, </w:t>
      </w:r>
    </w:p>
    <w:p w14:paraId="08D4F5E2">
      <w:pPr>
        <w:rPr>
          <w:rFonts w:hint="eastAsia" w:ascii="宋体" w:hAnsi="宋体" w:eastAsia="宋体" w:cs="宋体"/>
          <w:b w:val="0"/>
          <w:bCs/>
          <w:color w:val="auto"/>
          <w:szCs w:val="24"/>
        </w:rPr>
      </w:pPr>
      <w:r>
        <w:rPr>
          <w:rFonts w:hint="eastAsia" w:ascii="宋体" w:hAnsi="宋体" w:eastAsia="宋体" w:cs="宋体"/>
          <w:b w:val="0"/>
          <w:bCs/>
          <w:color w:val="auto"/>
          <w:szCs w:val="24"/>
        </w:rPr>
        <w:t>Republic of Korea.</w:t>
      </w:r>
    </w:p>
    <w:p w14:paraId="6D2A1C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(15)Division of Pulmonary and Critical Care Medicine, Department of Internal </w:t>
      </w:r>
    </w:p>
    <w:p w14:paraId="747EF3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Ilsan Paik Hospital, Inje University College of Medicine, Goyang, </w:t>
      </w:r>
    </w:p>
    <w:p w14:paraId="26E14CD1">
      <w:pPr>
        <w:rPr>
          <w:rFonts w:hint="eastAsia" w:ascii="宋体" w:hAnsi="宋体" w:eastAsia="宋体" w:cs="宋体"/>
          <w:b w:val="0"/>
          <w:bCs/>
          <w:color w:val="auto"/>
          <w:szCs w:val="24"/>
        </w:rPr>
      </w:pPr>
      <w:r>
        <w:rPr>
          <w:rFonts w:hint="eastAsia" w:ascii="宋体" w:hAnsi="宋体" w:eastAsia="宋体" w:cs="宋体"/>
          <w:b w:val="0"/>
          <w:bCs/>
          <w:color w:val="auto"/>
          <w:szCs w:val="24"/>
        </w:rPr>
        <w:t>Republic of Korea.</w:t>
      </w:r>
    </w:p>
    <w:p w14:paraId="141B1C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(16)Division of Pulmonary and Critical Care Medicine, Department of Internal </w:t>
      </w:r>
    </w:p>
    <w:p w14:paraId="190E1B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Ulsan University Hospital, Ulsan University College of Medicine, </w:t>
      </w:r>
    </w:p>
    <w:p w14:paraId="66970CBC">
      <w:pPr>
        <w:rPr>
          <w:rFonts w:hint="eastAsia" w:ascii="宋体" w:hAnsi="宋体" w:eastAsia="宋体" w:cs="宋体"/>
          <w:b w:val="0"/>
          <w:bCs/>
          <w:color w:val="auto"/>
          <w:szCs w:val="24"/>
        </w:rPr>
      </w:pPr>
      <w:r>
        <w:rPr>
          <w:rFonts w:hint="eastAsia" w:ascii="宋体" w:hAnsi="宋体" w:eastAsia="宋体" w:cs="宋体"/>
          <w:b w:val="0"/>
          <w:bCs/>
          <w:color w:val="auto"/>
          <w:szCs w:val="24"/>
        </w:rPr>
        <w:t>Ulsan, Republic of Korea.</w:t>
      </w:r>
    </w:p>
    <w:p w14:paraId="4A299F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(17)Division of Pulmonology, Department of Internal Medicine, Gachon University </w:t>
      </w:r>
    </w:p>
    <w:p w14:paraId="26D85DF2">
      <w:pPr>
        <w:rPr>
          <w:rFonts w:hint="eastAsia" w:ascii="宋体" w:hAnsi="宋体" w:eastAsia="宋体" w:cs="宋体"/>
          <w:b w:val="0"/>
          <w:bCs/>
          <w:color w:val="auto"/>
          <w:szCs w:val="24"/>
        </w:rPr>
      </w:pPr>
      <w:r>
        <w:rPr>
          <w:rFonts w:hint="eastAsia" w:ascii="宋体" w:hAnsi="宋体" w:eastAsia="宋体" w:cs="宋体"/>
          <w:b w:val="0"/>
          <w:bCs/>
          <w:color w:val="auto"/>
          <w:szCs w:val="24"/>
        </w:rPr>
        <w:t>Gil Medical Center, Incheon, Republic of Korea.</w:t>
      </w:r>
    </w:p>
    <w:p w14:paraId="6EFF6D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(18)Division of Pulmonary and Critical Care Medicine, Department of Internal </w:t>
      </w:r>
    </w:p>
    <w:p w14:paraId="65E09C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Seoul St. Mary's Hospital, College of Medicine, The Catholic </w:t>
      </w:r>
    </w:p>
    <w:p w14:paraId="2201EF0C">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Korea, Seoul, Republic of Korea.</w:t>
      </w:r>
    </w:p>
    <w:p w14:paraId="6F99274A">
      <w:pPr>
        <w:rPr>
          <w:rFonts w:hint="eastAsia" w:ascii="宋体" w:hAnsi="宋体" w:eastAsia="宋体" w:cs="宋体"/>
          <w:b w:val="0"/>
          <w:bCs/>
          <w:color w:val="auto"/>
          <w:szCs w:val="24"/>
        </w:rPr>
      </w:pPr>
    </w:p>
    <w:p w14:paraId="1E0C9F9B">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Cavity on chest radiograph is recognized as an independent risk </w:t>
      </w:r>
    </w:p>
    <w:p w14:paraId="129C64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factor for recurrence in pulmonary tuberculosis (TB), but evidence supporting </w:t>
      </w:r>
    </w:p>
    <w:p w14:paraId="4CB9EB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extended treatment in these patients remains limited, particularly in real-world </w:t>
      </w:r>
    </w:p>
    <w:p w14:paraId="38ABEDA1">
      <w:pPr>
        <w:rPr>
          <w:rFonts w:hint="eastAsia" w:ascii="宋体" w:hAnsi="宋体" w:eastAsia="宋体" w:cs="宋体"/>
          <w:b w:val="0"/>
          <w:bCs/>
          <w:color w:val="auto"/>
          <w:szCs w:val="24"/>
        </w:rPr>
      </w:pPr>
      <w:r>
        <w:rPr>
          <w:rFonts w:hint="eastAsia" w:ascii="宋体" w:hAnsi="宋体" w:eastAsia="宋体" w:cs="宋体"/>
          <w:b w:val="0"/>
          <w:bCs/>
          <w:color w:val="auto"/>
          <w:szCs w:val="24"/>
        </w:rPr>
        <w:t>data from Korea.</w:t>
      </w:r>
    </w:p>
    <w:p w14:paraId="137DBB24">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We performed a retrospective analysis using data from a multicenter </w:t>
      </w:r>
    </w:p>
    <w:p w14:paraId="4F08BB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prospective cohort of patients with pulmonary tuberculosis enrolled at 18 Korean </w:t>
      </w:r>
    </w:p>
    <w:p w14:paraId="1466AC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institutions, comparing recurrence rates between standard treatment (≤200 days) </w:t>
      </w:r>
    </w:p>
    <w:p w14:paraId="656F72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extended treatment (&gt;200 days) among drug-susceptible pulmonary TB patients </w:t>
      </w:r>
    </w:p>
    <w:p w14:paraId="0AC6BDAC">
      <w:pPr>
        <w:rPr>
          <w:rFonts w:hint="eastAsia" w:ascii="宋体" w:hAnsi="宋体" w:eastAsia="宋体" w:cs="宋体"/>
          <w:b w:val="0"/>
          <w:bCs/>
          <w:color w:val="auto"/>
          <w:szCs w:val="24"/>
        </w:rPr>
      </w:pPr>
      <w:r>
        <w:rPr>
          <w:rFonts w:hint="eastAsia" w:ascii="宋体" w:hAnsi="宋体" w:eastAsia="宋体" w:cs="宋体"/>
          <w:b w:val="0"/>
          <w:bCs/>
          <w:color w:val="auto"/>
          <w:szCs w:val="24"/>
        </w:rPr>
        <w:t>with cavity on chest radiograph.</w:t>
      </w:r>
    </w:p>
    <w:p w14:paraId="5616AAE5">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Among 159 patients, 58 (36.5%) received standard treatment and 101 </w:t>
      </w:r>
    </w:p>
    <w:p w14:paraId="4AE9E8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(63.5%) received extended treatment. Baseline sputum smear positivity was higher </w:t>
      </w:r>
    </w:p>
    <w:p w14:paraId="5277B4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the extended group (29.3% vs. 56.4%, p = 0.002), but 2-month culture </w:t>
      </w:r>
    </w:p>
    <w:p w14:paraId="57E4EA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positivity (6.3% vs. 4.4%, p &gt; 0.999) and time to culture conversion </w:t>
      </w:r>
    </w:p>
    <w:p w14:paraId="4115575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(8.00 ± 3.91 vs. 7.45 ± 3.73 weeks, p = 0.454) were similar. Recurrence during </w:t>
      </w:r>
    </w:p>
    <w:p w14:paraId="4C6A9CE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post-treatment follow-up occurred in 4 patients (2.5%) and did not differ </w:t>
      </w:r>
    </w:p>
    <w:p w14:paraId="3A31D4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groups (3.4% vs. 2.0%, p = 0.966). Treatment interruption due to adverse </w:t>
      </w:r>
    </w:p>
    <w:p w14:paraId="2268926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 reactions was more frequent with extended treatment (1.7% vs. 7.9%, </w:t>
      </w:r>
    </w:p>
    <w:p w14:paraId="62102C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 = 0.204), while overall adverse event rates were comparable. In a fixed-time </w:t>
      </w:r>
    </w:p>
    <w:p w14:paraId="31E8FF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analysis using Firth's penalized logistic regression, extended treatment showed </w:t>
      </w:r>
    </w:p>
    <w:p w14:paraId="75A06A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numerically lower risk of recurrence, although statistical significance was </w:t>
      </w:r>
    </w:p>
    <w:p w14:paraId="10338F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not reached (adjusted odds ratio [aOR], 0.07; 95% confidence interval [CI], </w:t>
      </w:r>
    </w:p>
    <w:p w14:paraId="2B7C3D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0.01-1.06; p = 0.056). Among covariates, low body mass index was associated with </w:t>
      </w:r>
    </w:p>
    <w:p w14:paraId="785B87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recurrence, but this estimate was very imprecise and should be interpreted with </w:t>
      </w:r>
    </w:p>
    <w:p w14:paraId="18E9773C">
      <w:pPr>
        <w:rPr>
          <w:rFonts w:hint="eastAsia" w:ascii="宋体" w:hAnsi="宋体" w:eastAsia="宋体" w:cs="宋体"/>
          <w:b w:val="0"/>
          <w:bCs/>
          <w:color w:val="auto"/>
          <w:szCs w:val="24"/>
        </w:rPr>
      </w:pPr>
      <w:r>
        <w:rPr>
          <w:rFonts w:hint="eastAsia" w:ascii="宋体" w:hAnsi="宋体" w:eastAsia="宋体" w:cs="宋体"/>
          <w:b w:val="0"/>
          <w:bCs/>
          <w:color w:val="auto"/>
          <w:szCs w:val="24"/>
        </w:rPr>
        <w:t>caution.</w:t>
      </w:r>
    </w:p>
    <w:p w14:paraId="34147A33">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Cavity on chest radiograph alone may not be sufficient to justify </w:t>
      </w:r>
    </w:p>
    <w:p w14:paraId="4A58FC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routine extension of treatment beyond 200 days. Because only four recurrence </w:t>
      </w:r>
    </w:p>
    <w:p w14:paraId="2CAB6F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events were observed, the adjusted association favoring extended treatment was </w:t>
      </w:r>
    </w:p>
    <w:p w14:paraId="4BE02F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imprecise and should be interpreted as exploratory rather than definitive. </w:t>
      </w:r>
    </w:p>
    <w:p w14:paraId="0BAC05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Larger prospective studies that systematically capture microbiologic response </w:t>
      </w:r>
    </w:p>
    <w:p w14:paraId="15C94A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detailed radiologic disease burden are needed to identify which patients </w:t>
      </w:r>
    </w:p>
    <w:p w14:paraId="2B3B9F9B">
      <w:pPr>
        <w:rPr>
          <w:rFonts w:hint="eastAsia" w:ascii="宋体" w:hAnsi="宋体" w:eastAsia="宋体" w:cs="宋体"/>
          <w:b w:val="0"/>
          <w:bCs/>
          <w:color w:val="auto"/>
          <w:szCs w:val="24"/>
        </w:rPr>
      </w:pPr>
      <w:r>
        <w:rPr>
          <w:rFonts w:hint="eastAsia" w:ascii="宋体" w:hAnsi="宋体" w:eastAsia="宋体" w:cs="宋体"/>
          <w:b w:val="0"/>
          <w:bCs/>
          <w:color w:val="auto"/>
          <w:szCs w:val="24"/>
        </w:rPr>
        <w:t>with cavitary disease may benefit from individualized treatment extension.</w:t>
      </w:r>
    </w:p>
    <w:p w14:paraId="6768ACC6">
      <w:pPr>
        <w:rPr>
          <w:rFonts w:hint="eastAsia" w:ascii="宋体" w:hAnsi="宋体" w:eastAsia="宋体" w:cs="宋体"/>
          <w:b w:val="0"/>
          <w:bCs/>
          <w:color w:val="auto"/>
          <w:szCs w:val="24"/>
        </w:rPr>
      </w:pPr>
    </w:p>
    <w:p w14:paraId="12DAF2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Yoon et al. This is an open access article distributed under </w:t>
      </w:r>
    </w:p>
    <w:p w14:paraId="4B0338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terms of the Creative Commons Attribution License, which permits </w:t>
      </w:r>
    </w:p>
    <w:p w14:paraId="21DB55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0B9790AD">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5BB15E34">
      <w:pPr>
        <w:rPr>
          <w:rFonts w:hint="eastAsia" w:ascii="宋体" w:hAnsi="宋体" w:eastAsia="宋体" w:cs="宋体"/>
          <w:b w:val="0"/>
          <w:bCs/>
          <w:color w:val="auto"/>
          <w:szCs w:val="24"/>
        </w:rPr>
      </w:pPr>
    </w:p>
    <w:p w14:paraId="2E2343F5">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10.1371/journal.pone.0357772</w:t>
      </w:r>
    </w:p>
    <w:p w14:paraId="06F1DCF2">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PMC13561312</w:t>
      </w:r>
    </w:p>
    <w:p w14:paraId="2ACB2404">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42721211 [Indexed for MEDLINE]</w:t>
      </w:r>
    </w:p>
    <w:p w14:paraId="3CDC5A84">
      <w:pPr>
        <w:rPr>
          <w:rFonts w:hint="eastAsia" w:ascii="宋体" w:hAnsi="宋体" w:eastAsia="宋体" w:cs="宋体"/>
          <w:b w:val="0"/>
          <w:bCs/>
          <w:color w:val="auto"/>
          <w:szCs w:val="24"/>
        </w:rPr>
      </w:pPr>
    </w:p>
    <w:p w14:paraId="51C29681">
      <w:pPr>
        <w:rPr>
          <w:rFonts w:hint="eastAsia" w:ascii="宋体" w:hAnsi="宋体" w:eastAsia="宋体" w:cs="宋体"/>
          <w:b/>
          <w:bCs w:val="0"/>
          <w:color w:val="FF0000"/>
          <w:szCs w:val="24"/>
        </w:rPr>
      </w:pPr>
      <w:r>
        <w:rPr>
          <w:rFonts w:hint="eastAsia" w:ascii="宋体" w:hAnsi="宋体" w:eastAsia="宋体" w:cs="宋体"/>
          <w:b/>
          <w:bCs w:val="0"/>
          <w:color w:val="FF0000"/>
          <w:szCs w:val="24"/>
        </w:rPr>
        <w:t>1</w:t>
      </w: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 xml:space="preserve">. PLOS Glob Public Health. 2026 Sep 10;6(9):e0005630. doi: </w:t>
      </w:r>
    </w:p>
    <w:p w14:paraId="2595E083">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10.1371/journal.pgph.0005630. eCollection 2026.</w:t>
      </w:r>
    </w:p>
    <w:p w14:paraId="4241D75D">
      <w:pPr>
        <w:rPr>
          <w:rFonts w:hint="eastAsia" w:ascii="宋体" w:hAnsi="宋体" w:eastAsia="宋体" w:cs="宋体"/>
          <w:b w:val="0"/>
          <w:bCs/>
          <w:color w:val="auto"/>
          <w:szCs w:val="24"/>
        </w:rPr>
      </w:pPr>
    </w:p>
    <w:p w14:paraId="15B985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Predicted choice and acceptability of regimens for tuberculosis preventive </w:t>
      </w:r>
    </w:p>
    <w:p w14:paraId="73F7907A">
      <w:pPr>
        <w:rPr>
          <w:rFonts w:hint="eastAsia" w:ascii="宋体" w:hAnsi="宋体" w:eastAsia="宋体" w:cs="宋体"/>
          <w:b w:val="0"/>
          <w:bCs/>
          <w:color w:val="auto"/>
          <w:szCs w:val="24"/>
        </w:rPr>
      </w:pPr>
      <w:r>
        <w:rPr>
          <w:rFonts w:hint="eastAsia" w:ascii="宋体" w:hAnsi="宋体" w:eastAsia="宋体" w:cs="宋体"/>
          <w:b w:val="0"/>
          <w:bCs/>
          <w:color w:val="auto"/>
          <w:szCs w:val="24"/>
        </w:rPr>
        <w:t>treatment among people living with HIV in Uganda - A discrete choice experiment.</w:t>
      </w:r>
    </w:p>
    <w:p w14:paraId="32A9A3DF">
      <w:pPr>
        <w:rPr>
          <w:rFonts w:hint="eastAsia" w:ascii="宋体" w:hAnsi="宋体" w:eastAsia="宋体" w:cs="宋体"/>
          <w:b w:val="0"/>
          <w:bCs/>
          <w:color w:val="auto"/>
          <w:szCs w:val="24"/>
        </w:rPr>
      </w:pPr>
    </w:p>
    <w:p w14:paraId="7631BBC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Aschmann HE(1)(2), Musinguzi A(3), Kadota JL(1)(2), Namale C(4), Kakeeto J(4), </w:t>
      </w:r>
    </w:p>
    <w:p w14:paraId="55CEE1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Nakimuli J(3), Akello L(3), Welishe F(3), Nakitende A(3), Berger C(1)(2), Dowdy </w:t>
      </w:r>
    </w:p>
    <w:p w14:paraId="03794538">
      <w:pPr>
        <w:rPr>
          <w:rFonts w:hint="eastAsia" w:ascii="宋体" w:hAnsi="宋体" w:eastAsia="宋体" w:cs="宋体"/>
          <w:b w:val="0"/>
          <w:bCs/>
          <w:color w:val="auto"/>
          <w:szCs w:val="24"/>
        </w:rPr>
      </w:pPr>
      <w:r>
        <w:rPr>
          <w:rFonts w:hint="eastAsia" w:ascii="宋体" w:hAnsi="宋体" w:eastAsia="宋体" w:cs="宋体"/>
          <w:b w:val="0"/>
          <w:bCs/>
          <w:color w:val="auto"/>
          <w:szCs w:val="24"/>
        </w:rPr>
        <w:t>DW(4)(5), Cattamanchi A(2)(4)(6), Semitala FC(3)(7)(8), Kerkhoff AD(2)(9).</w:t>
      </w:r>
    </w:p>
    <w:p w14:paraId="39161508">
      <w:pPr>
        <w:rPr>
          <w:rFonts w:hint="eastAsia" w:ascii="宋体" w:hAnsi="宋体" w:eastAsia="宋体" w:cs="宋体"/>
          <w:b w:val="0"/>
          <w:bCs/>
          <w:color w:val="auto"/>
          <w:szCs w:val="24"/>
        </w:rPr>
      </w:pPr>
    </w:p>
    <w:p w14:paraId="05AD5C5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76C7E3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(1)Division of Pulmonary and Critical Care Medicine, University of California </w:t>
      </w:r>
    </w:p>
    <w:p w14:paraId="56B308A9">
      <w:pPr>
        <w:rPr>
          <w:rFonts w:hint="eastAsia" w:ascii="宋体" w:hAnsi="宋体" w:eastAsia="宋体" w:cs="宋体"/>
          <w:b w:val="0"/>
          <w:bCs/>
          <w:color w:val="auto"/>
          <w:szCs w:val="24"/>
        </w:rPr>
      </w:pPr>
      <w:r>
        <w:rPr>
          <w:rFonts w:hint="eastAsia" w:ascii="宋体" w:hAnsi="宋体" w:eastAsia="宋体" w:cs="宋体"/>
          <w:b w:val="0"/>
          <w:bCs/>
          <w:color w:val="auto"/>
          <w:szCs w:val="24"/>
        </w:rPr>
        <w:t>San Francisco, San Francisco, California, United States of America.</w:t>
      </w:r>
    </w:p>
    <w:p w14:paraId="583CDC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(2)Center for Tuberculosis, University of California San Francisco, San </w:t>
      </w:r>
    </w:p>
    <w:p w14:paraId="746590F3">
      <w:pPr>
        <w:rPr>
          <w:rFonts w:hint="eastAsia" w:ascii="宋体" w:hAnsi="宋体" w:eastAsia="宋体" w:cs="宋体"/>
          <w:b w:val="0"/>
          <w:bCs/>
          <w:color w:val="auto"/>
          <w:szCs w:val="24"/>
        </w:rPr>
      </w:pPr>
      <w:r>
        <w:rPr>
          <w:rFonts w:hint="eastAsia" w:ascii="宋体" w:hAnsi="宋体" w:eastAsia="宋体" w:cs="宋体"/>
          <w:b w:val="0"/>
          <w:bCs/>
          <w:color w:val="auto"/>
          <w:szCs w:val="24"/>
        </w:rPr>
        <w:t>Francisco, California, United States of America.</w:t>
      </w:r>
    </w:p>
    <w:p w14:paraId="7B8C597F">
      <w:pPr>
        <w:rPr>
          <w:rFonts w:hint="eastAsia" w:ascii="宋体" w:hAnsi="宋体" w:eastAsia="宋体" w:cs="宋体"/>
          <w:b w:val="0"/>
          <w:bCs/>
          <w:color w:val="auto"/>
          <w:szCs w:val="24"/>
        </w:rPr>
      </w:pPr>
      <w:r>
        <w:rPr>
          <w:rFonts w:hint="eastAsia" w:ascii="宋体" w:hAnsi="宋体" w:eastAsia="宋体" w:cs="宋体"/>
          <w:b w:val="0"/>
          <w:bCs/>
          <w:color w:val="auto"/>
          <w:szCs w:val="24"/>
        </w:rPr>
        <w:t>(3)Infectious Diseases Research Collaboration, Kampala, Uganda.</w:t>
      </w:r>
    </w:p>
    <w:p w14:paraId="792DAD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(4)Uganda Tuberculosis Implementation Research Consortium, Walimu, Kampala, </w:t>
      </w:r>
    </w:p>
    <w:p w14:paraId="15FA8853">
      <w:pPr>
        <w:rPr>
          <w:rFonts w:hint="eastAsia" w:ascii="宋体" w:hAnsi="宋体" w:eastAsia="宋体" w:cs="宋体"/>
          <w:b w:val="0"/>
          <w:bCs/>
          <w:color w:val="auto"/>
          <w:szCs w:val="24"/>
        </w:rPr>
      </w:pPr>
      <w:r>
        <w:rPr>
          <w:rFonts w:hint="eastAsia" w:ascii="宋体" w:hAnsi="宋体" w:eastAsia="宋体" w:cs="宋体"/>
          <w:b w:val="0"/>
          <w:bCs/>
          <w:color w:val="auto"/>
          <w:szCs w:val="24"/>
        </w:rPr>
        <w:t>Uganda.</w:t>
      </w:r>
    </w:p>
    <w:p w14:paraId="62F5DB6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Epidemiology, Johns Hopkins Bloomberg School of Public Health, </w:t>
      </w:r>
    </w:p>
    <w:p w14:paraId="3580F77C">
      <w:pPr>
        <w:rPr>
          <w:rFonts w:hint="eastAsia" w:ascii="宋体" w:hAnsi="宋体" w:eastAsia="宋体" w:cs="宋体"/>
          <w:b w:val="0"/>
          <w:bCs/>
          <w:color w:val="auto"/>
          <w:szCs w:val="24"/>
        </w:rPr>
      </w:pPr>
      <w:r>
        <w:rPr>
          <w:rFonts w:hint="eastAsia" w:ascii="宋体" w:hAnsi="宋体" w:eastAsia="宋体" w:cs="宋体"/>
          <w:b w:val="0"/>
          <w:bCs/>
          <w:color w:val="auto"/>
          <w:szCs w:val="24"/>
        </w:rPr>
        <w:t>Baltimore, Maryland, United States of America.</w:t>
      </w:r>
    </w:p>
    <w:p w14:paraId="25FDE7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(6)Division of Pulmonary Diseases and Critical Care Medicine, University of </w:t>
      </w:r>
    </w:p>
    <w:p w14:paraId="0704AA5B">
      <w:pPr>
        <w:rPr>
          <w:rFonts w:hint="eastAsia" w:ascii="宋体" w:hAnsi="宋体" w:eastAsia="宋体" w:cs="宋体"/>
          <w:b w:val="0"/>
          <w:bCs/>
          <w:color w:val="auto"/>
          <w:szCs w:val="24"/>
        </w:rPr>
      </w:pPr>
      <w:r>
        <w:rPr>
          <w:rFonts w:hint="eastAsia" w:ascii="宋体" w:hAnsi="宋体" w:eastAsia="宋体" w:cs="宋体"/>
          <w:b w:val="0"/>
          <w:bCs/>
          <w:color w:val="auto"/>
          <w:szCs w:val="24"/>
        </w:rPr>
        <w:t>California Irvine, Irvine, California, United States of America.</w:t>
      </w:r>
    </w:p>
    <w:p w14:paraId="36A307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Medicine, Makerere University College of Health Sciences, </w:t>
      </w:r>
    </w:p>
    <w:p w14:paraId="4FCE8BC3">
      <w:pPr>
        <w:rPr>
          <w:rFonts w:hint="eastAsia" w:ascii="宋体" w:hAnsi="宋体" w:eastAsia="宋体" w:cs="宋体"/>
          <w:b w:val="0"/>
          <w:bCs/>
          <w:color w:val="auto"/>
          <w:szCs w:val="24"/>
        </w:rPr>
      </w:pPr>
      <w:r>
        <w:rPr>
          <w:rFonts w:hint="eastAsia" w:ascii="宋体" w:hAnsi="宋体" w:eastAsia="宋体" w:cs="宋体"/>
          <w:b w:val="0"/>
          <w:bCs/>
          <w:color w:val="auto"/>
          <w:szCs w:val="24"/>
        </w:rPr>
        <w:t>Kampala, Uganda.</w:t>
      </w:r>
    </w:p>
    <w:p w14:paraId="6754BD9A">
      <w:pPr>
        <w:rPr>
          <w:rFonts w:hint="eastAsia" w:ascii="宋体" w:hAnsi="宋体" w:eastAsia="宋体" w:cs="宋体"/>
          <w:b w:val="0"/>
          <w:bCs/>
          <w:color w:val="auto"/>
          <w:szCs w:val="24"/>
        </w:rPr>
      </w:pPr>
      <w:r>
        <w:rPr>
          <w:rFonts w:hint="eastAsia" w:ascii="宋体" w:hAnsi="宋体" w:eastAsia="宋体" w:cs="宋体"/>
          <w:b w:val="0"/>
          <w:bCs/>
          <w:color w:val="auto"/>
          <w:szCs w:val="24"/>
        </w:rPr>
        <w:t>(8)Makerere University Joint AIDS Program, Kampala, Uganda.</w:t>
      </w:r>
    </w:p>
    <w:p w14:paraId="7E925B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(9)Division of HIV, Infectious Diseases, and Global Medicine, University of </w:t>
      </w:r>
    </w:p>
    <w:p w14:paraId="3FD7BC01">
      <w:pPr>
        <w:rPr>
          <w:rFonts w:hint="eastAsia" w:ascii="宋体" w:hAnsi="宋体" w:eastAsia="宋体" w:cs="宋体"/>
          <w:b w:val="0"/>
          <w:bCs/>
          <w:color w:val="auto"/>
          <w:szCs w:val="24"/>
        </w:rPr>
      </w:pPr>
      <w:r>
        <w:rPr>
          <w:rFonts w:hint="eastAsia" w:ascii="宋体" w:hAnsi="宋体" w:eastAsia="宋体" w:cs="宋体"/>
          <w:b w:val="0"/>
          <w:bCs/>
          <w:color w:val="auto"/>
          <w:szCs w:val="24"/>
        </w:rPr>
        <w:t>California San Francisco, San Francisco, California, United States of America.</w:t>
      </w:r>
    </w:p>
    <w:p w14:paraId="35A80F50">
      <w:pPr>
        <w:rPr>
          <w:rFonts w:hint="eastAsia" w:ascii="宋体" w:hAnsi="宋体" w:eastAsia="宋体" w:cs="宋体"/>
          <w:b w:val="0"/>
          <w:bCs/>
          <w:color w:val="auto"/>
          <w:szCs w:val="24"/>
        </w:rPr>
      </w:pPr>
    </w:p>
    <w:p w14:paraId="679EB2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Little is known about people living with HIV's preferences for different </w:t>
      </w:r>
    </w:p>
    <w:p w14:paraId="3A9B3D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preventive treatment (TPT) regimens, or the conditions under which </w:t>
      </w:r>
    </w:p>
    <w:p w14:paraId="228173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they would accept treatment. Actionable evidence regarding preference for TPT is </w:t>
      </w:r>
    </w:p>
    <w:p w14:paraId="2F6EC4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needed to inform policy and the development of novel TPT regimens. Adults </w:t>
      </w:r>
    </w:p>
    <w:p w14:paraId="1A8F88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engaged in care at an HIV clinic in Kampala, Uganda, completed a discrete choice </w:t>
      </w:r>
    </w:p>
    <w:p w14:paraId="0C3ECA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experiment survey with nine random choice tasks. In each task, participants </w:t>
      </w:r>
    </w:p>
    <w:p w14:paraId="2E6137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first chose between two hypothetical TPT regimens with differing treatment </w:t>
      </w:r>
    </w:p>
    <w:p w14:paraId="4FAA3A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features (number of pills, frequency, duration, adjusted antiretroviral dosage, </w:t>
      </w:r>
    </w:p>
    <w:p w14:paraId="74827C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side effects). Second, they answered if they would accept the selected </w:t>
      </w:r>
    </w:p>
    <w:p w14:paraId="31B812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versus taking no treatment. We simulated predicted TPT regimen choice </w:t>
      </w:r>
    </w:p>
    <w:p w14:paraId="2ED51B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based on hierarchical Bayesian estimation of individual preference weights. </w:t>
      </w:r>
    </w:p>
    <w:p w14:paraId="36F2FF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Among 400 participants, 394 gave high-quality answers and were included (median </w:t>
      </w:r>
    </w:p>
    <w:p w14:paraId="2EDD81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age 44, 71.8% female, 91.4% previously received TPT). Across nine tasks, 60.2% </w:t>
      </w:r>
    </w:p>
    <w:p w14:paraId="330BA5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(237/394) accepted all selected TPT regimens, 39.3% (155/394) accepted some </w:t>
      </w:r>
    </w:p>
    <w:p w14:paraId="466100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regimens, and 0.5% (2/394) accepted none. Choice simulations showed that if only </w:t>
      </w:r>
    </w:p>
    <w:p w14:paraId="423E2CB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 months of daily isoniazid (6H) was available, 11.9% of participants were </w:t>
      </w:r>
    </w:p>
    <w:p w14:paraId="2AC98BD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predicted to prefer no TPT. However, offering a 4-pill, fixed-dose combination </w:t>
      </w:r>
    </w:p>
    <w:p w14:paraId="35C2B2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3HP regimen in addition to 6H increased the acceptability from 88.1% to 98.8% </w:t>
      </w:r>
    </w:p>
    <w:p w14:paraId="20B2D7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(predicted choice of 3HP 94.5%, 6H 4.4%, no TPT 1.2%). Choice simulations showed </w:t>
      </w:r>
    </w:p>
    <w:p w14:paraId="0D5DF5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that 10 pills per dose and antiretroviral dosage adjustment had the largest </w:t>
      </w:r>
    </w:p>
    <w:p w14:paraId="27023A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effects on reducing the acceptability of regimens. While adults living with HIV </w:t>
      </w:r>
    </w:p>
    <w:p w14:paraId="111E9A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Uganda demonstrate a high willingness to accept different TPT regimens, </w:t>
      </w:r>
    </w:p>
    <w:p w14:paraId="27618D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offering regimens with preferred features, such as 3HP as a fixed-dose </w:t>
      </w:r>
    </w:p>
    <w:p w14:paraId="3B11E6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combination, could drive TPT acceptance and uptake from high to nearly </w:t>
      </w:r>
    </w:p>
    <w:p w14:paraId="43AE7643">
      <w:pPr>
        <w:rPr>
          <w:rFonts w:hint="eastAsia" w:ascii="宋体" w:hAnsi="宋体" w:eastAsia="宋体" w:cs="宋体"/>
          <w:b w:val="0"/>
          <w:bCs/>
          <w:color w:val="auto"/>
          <w:szCs w:val="24"/>
        </w:rPr>
      </w:pPr>
      <w:r>
        <w:rPr>
          <w:rFonts w:hint="eastAsia" w:ascii="宋体" w:hAnsi="宋体" w:eastAsia="宋体" w:cs="宋体"/>
          <w:b w:val="0"/>
          <w:bCs/>
          <w:color w:val="auto"/>
          <w:szCs w:val="24"/>
        </w:rPr>
        <w:t>universal.</w:t>
      </w:r>
    </w:p>
    <w:p w14:paraId="0FAB4FF3">
      <w:pPr>
        <w:rPr>
          <w:rFonts w:hint="eastAsia" w:ascii="宋体" w:hAnsi="宋体" w:eastAsia="宋体" w:cs="宋体"/>
          <w:b w:val="0"/>
          <w:bCs/>
          <w:color w:val="auto"/>
          <w:szCs w:val="24"/>
        </w:rPr>
      </w:pPr>
    </w:p>
    <w:p w14:paraId="614341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Aschmann et al. This is an open access article distributed </w:t>
      </w:r>
    </w:p>
    <w:p w14:paraId="0A4371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the terms of the Creative Commons Attribution License, which permits </w:t>
      </w:r>
    </w:p>
    <w:p w14:paraId="3FB968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26F82BA0">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447A2F98">
      <w:pPr>
        <w:rPr>
          <w:rFonts w:hint="eastAsia" w:ascii="宋体" w:hAnsi="宋体" w:eastAsia="宋体" w:cs="宋体"/>
          <w:b w:val="0"/>
          <w:bCs/>
          <w:color w:val="auto"/>
          <w:szCs w:val="24"/>
        </w:rPr>
      </w:pPr>
    </w:p>
    <w:p w14:paraId="25BC8F54">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10.1371/journal.pgph.0005630</w:t>
      </w:r>
    </w:p>
    <w:p w14:paraId="38898A31">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PMC13561322</w:t>
      </w:r>
    </w:p>
    <w:p w14:paraId="0A9106D5">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42721162</w:t>
      </w:r>
    </w:p>
    <w:p w14:paraId="4FFCF15F">
      <w:pPr>
        <w:rPr>
          <w:rFonts w:hint="eastAsia" w:ascii="宋体" w:hAnsi="宋体" w:eastAsia="宋体" w:cs="宋体"/>
          <w:b w:val="0"/>
          <w:bCs/>
          <w:color w:val="auto"/>
          <w:szCs w:val="24"/>
        </w:rPr>
      </w:pPr>
    </w:p>
    <w:p w14:paraId="5224920C">
      <w:pPr>
        <w:rPr>
          <w:rFonts w:hint="eastAsia" w:ascii="宋体" w:hAnsi="宋体" w:eastAsia="宋体" w:cs="宋体"/>
          <w:b/>
          <w:bCs w:val="0"/>
          <w:color w:val="FF0000"/>
          <w:szCs w:val="24"/>
        </w:rPr>
      </w:pPr>
      <w:r>
        <w:rPr>
          <w:rFonts w:hint="eastAsia" w:ascii="宋体" w:hAnsi="宋体" w:eastAsia="宋体" w:cs="宋体"/>
          <w:b/>
          <w:bCs w:val="0"/>
          <w:color w:val="FF0000"/>
          <w:szCs w:val="24"/>
        </w:rPr>
        <w:t>1</w:t>
      </w:r>
      <w:r>
        <w:rPr>
          <w:rFonts w:hint="eastAsia" w:ascii="宋体" w:hAnsi="宋体" w:eastAsia="宋体" w:cs="宋体"/>
          <w:b/>
          <w:bCs w:val="0"/>
          <w:color w:val="FF0000"/>
          <w:szCs w:val="24"/>
          <w:lang w:val="en-US" w:eastAsia="zh-CN"/>
        </w:rPr>
        <w:t>4</w:t>
      </w:r>
      <w:r>
        <w:rPr>
          <w:rFonts w:hint="eastAsia" w:ascii="宋体" w:hAnsi="宋体" w:eastAsia="宋体" w:cs="宋体"/>
          <w:b/>
          <w:bCs w:val="0"/>
          <w:color w:val="FF0000"/>
          <w:szCs w:val="24"/>
        </w:rPr>
        <w:t xml:space="preserve">. PLOS Glob Public Health. 2026 Sep 10;6(9):e0007016. doi: </w:t>
      </w:r>
    </w:p>
    <w:p w14:paraId="259DF123">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10.1371/journal.pgph.0007016. eCollection 2026.</w:t>
      </w:r>
    </w:p>
    <w:p w14:paraId="5998498D">
      <w:pPr>
        <w:rPr>
          <w:rFonts w:hint="eastAsia" w:ascii="宋体" w:hAnsi="宋体" w:eastAsia="宋体" w:cs="宋体"/>
          <w:b w:val="0"/>
          <w:bCs/>
          <w:color w:val="auto"/>
          <w:szCs w:val="24"/>
        </w:rPr>
      </w:pPr>
    </w:p>
    <w:p w14:paraId="591C4C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public health utility of whole genome sequencing: Insights from a </w:t>
      </w:r>
    </w:p>
    <w:p w14:paraId="228C29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outbreak in Australia and perspectives of public health </w:t>
      </w:r>
    </w:p>
    <w:p w14:paraId="72027DAB">
      <w:pPr>
        <w:rPr>
          <w:rFonts w:hint="eastAsia" w:ascii="宋体" w:hAnsi="宋体" w:eastAsia="宋体" w:cs="宋体"/>
          <w:b w:val="0"/>
          <w:bCs/>
          <w:color w:val="auto"/>
          <w:szCs w:val="24"/>
        </w:rPr>
      </w:pPr>
      <w:r>
        <w:rPr>
          <w:rFonts w:hint="eastAsia" w:ascii="宋体" w:hAnsi="宋体" w:eastAsia="宋体" w:cs="宋体"/>
          <w:b w:val="0"/>
          <w:bCs/>
          <w:color w:val="auto"/>
          <w:szCs w:val="24"/>
        </w:rPr>
        <w:t>professionals.</w:t>
      </w:r>
    </w:p>
    <w:p w14:paraId="174BE171">
      <w:pPr>
        <w:rPr>
          <w:rFonts w:hint="eastAsia" w:ascii="宋体" w:hAnsi="宋体" w:eastAsia="宋体" w:cs="宋体"/>
          <w:b w:val="0"/>
          <w:bCs/>
          <w:color w:val="auto"/>
          <w:szCs w:val="24"/>
        </w:rPr>
      </w:pPr>
    </w:p>
    <w:p w14:paraId="22FE99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Wang D(1), Ferdinand A(2)(3), Denholm JT(4), Dale K(4)(5), Bittmann S(4), Globan </w:t>
      </w:r>
    </w:p>
    <w:p w14:paraId="00908022">
      <w:pPr>
        <w:rPr>
          <w:rFonts w:hint="eastAsia" w:ascii="宋体" w:hAnsi="宋体" w:eastAsia="宋体" w:cs="宋体"/>
          <w:b w:val="0"/>
          <w:bCs/>
          <w:color w:val="auto"/>
          <w:szCs w:val="24"/>
        </w:rPr>
      </w:pPr>
      <w:r>
        <w:rPr>
          <w:rFonts w:hint="eastAsia" w:ascii="宋体" w:hAnsi="宋体" w:eastAsia="宋体" w:cs="宋体"/>
          <w:b w:val="0"/>
          <w:bCs/>
          <w:color w:val="auto"/>
          <w:szCs w:val="24"/>
        </w:rPr>
        <w:t>M(6), Marais BJ(7), Sintchenko V(7)(8), Coulter C(9), Kirk MD(1).</w:t>
      </w:r>
    </w:p>
    <w:p w14:paraId="67DA2935">
      <w:pPr>
        <w:rPr>
          <w:rFonts w:hint="eastAsia" w:ascii="宋体" w:hAnsi="宋体" w:eastAsia="宋体" w:cs="宋体"/>
          <w:b w:val="0"/>
          <w:bCs/>
          <w:color w:val="auto"/>
          <w:szCs w:val="24"/>
        </w:rPr>
      </w:pPr>
    </w:p>
    <w:p w14:paraId="1004AF3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9947E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(1)National Centre for Epidemiology and Population Health, Australian National </w:t>
      </w:r>
    </w:p>
    <w:p w14:paraId="08E8F03F">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Canberra, Australia.</w:t>
      </w:r>
    </w:p>
    <w:p w14:paraId="15A974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(2)Microbiological Diagnostic Unit Public Health Laboratory, Department of </w:t>
      </w:r>
    </w:p>
    <w:p w14:paraId="6B92F3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Microbiology and Immunology, The University of Melbourne at The Peter Doherty </w:t>
      </w:r>
    </w:p>
    <w:p w14:paraId="613E2D3A">
      <w:pPr>
        <w:rPr>
          <w:rFonts w:hint="eastAsia" w:ascii="宋体" w:hAnsi="宋体" w:eastAsia="宋体" w:cs="宋体"/>
          <w:b w:val="0"/>
          <w:bCs/>
          <w:color w:val="auto"/>
          <w:szCs w:val="24"/>
        </w:rPr>
      </w:pPr>
      <w:r>
        <w:rPr>
          <w:rFonts w:hint="eastAsia" w:ascii="宋体" w:hAnsi="宋体" w:eastAsia="宋体" w:cs="宋体"/>
          <w:b w:val="0"/>
          <w:bCs/>
          <w:color w:val="auto"/>
          <w:szCs w:val="24"/>
        </w:rPr>
        <w:t>Institute for Infection and Immunity, Melbourne, Australia.</w:t>
      </w:r>
    </w:p>
    <w:p w14:paraId="6E4A47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(3)Centre for Health Policy, School of Population and Global Health, The </w:t>
      </w:r>
    </w:p>
    <w:p w14:paraId="01B263EE">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Melbourne, Melbourne, Australia.</w:t>
      </w:r>
    </w:p>
    <w:p w14:paraId="1F6B3E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(4)Victorian Tuberculosis Program, The Peter Doherty Institute for Infection and </w:t>
      </w:r>
    </w:p>
    <w:p w14:paraId="67C6BCA6">
      <w:pPr>
        <w:rPr>
          <w:rFonts w:hint="eastAsia" w:ascii="宋体" w:hAnsi="宋体" w:eastAsia="宋体" w:cs="宋体"/>
          <w:b w:val="0"/>
          <w:bCs/>
          <w:color w:val="auto"/>
          <w:szCs w:val="24"/>
        </w:rPr>
      </w:pPr>
      <w:r>
        <w:rPr>
          <w:rFonts w:hint="eastAsia" w:ascii="宋体" w:hAnsi="宋体" w:eastAsia="宋体" w:cs="宋体"/>
          <w:b w:val="0"/>
          <w:bCs/>
          <w:color w:val="auto"/>
          <w:szCs w:val="24"/>
        </w:rPr>
        <w:t>Immunity, The Royal Melbourne Hospital, Melbourne, Australia.</w:t>
      </w:r>
    </w:p>
    <w:p w14:paraId="717CD1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Infectious Diseases at the Peter Doherty Institute for </w:t>
      </w:r>
    </w:p>
    <w:p w14:paraId="2DFA8053">
      <w:pPr>
        <w:rPr>
          <w:rFonts w:hint="eastAsia" w:ascii="宋体" w:hAnsi="宋体" w:eastAsia="宋体" w:cs="宋体"/>
          <w:b w:val="0"/>
          <w:bCs/>
          <w:color w:val="auto"/>
          <w:szCs w:val="24"/>
        </w:rPr>
      </w:pPr>
      <w:r>
        <w:rPr>
          <w:rFonts w:hint="eastAsia" w:ascii="宋体" w:hAnsi="宋体" w:eastAsia="宋体" w:cs="宋体"/>
          <w:b w:val="0"/>
          <w:bCs/>
          <w:color w:val="auto"/>
          <w:szCs w:val="24"/>
        </w:rPr>
        <w:t>Infection and Immunity, University of Melbourne, Melbourne, Australia.</w:t>
      </w:r>
    </w:p>
    <w:p w14:paraId="390E06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(6)Victorian Infectious Diseases Reference Laboratory, The Peter Doherty </w:t>
      </w:r>
    </w:p>
    <w:p w14:paraId="77E23E9D">
      <w:pPr>
        <w:rPr>
          <w:rFonts w:hint="eastAsia" w:ascii="宋体" w:hAnsi="宋体" w:eastAsia="宋体" w:cs="宋体"/>
          <w:b w:val="0"/>
          <w:bCs/>
          <w:color w:val="auto"/>
          <w:szCs w:val="24"/>
        </w:rPr>
      </w:pPr>
      <w:r>
        <w:rPr>
          <w:rFonts w:hint="eastAsia" w:ascii="宋体" w:hAnsi="宋体" w:eastAsia="宋体" w:cs="宋体"/>
          <w:b w:val="0"/>
          <w:bCs/>
          <w:color w:val="auto"/>
          <w:szCs w:val="24"/>
        </w:rPr>
        <w:t>Institute for Infection &amp; Immunity, Melbourne Health, Melbourne, Australia.</w:t>
      </w:r>
    </w:p>
    <w:p w14:paraId="3A65F5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(7)Sydney Infectious Diseases Institute, University of Sydney, Sydney, </w:t>
      </w:r>
    </w:p>
    <w:p w14:paraId="70263E30">
      <w:pPr>
        <w:rPr>
          <w:rFonts w:hint="eastAsia" w:ascii="宋体" w:hAnsi="宋体" w:eastAsia="宋体" w:cs="宋体"/>
          <w:b w:val="0"/>
          <w:bCs/>
          <w:color w:val="auto"/>
          <w:szCs w:val="24"/>
        </w:rPr>
      </w:pPr>
      <w:r>
        <w:rPr>
          <w:rFonts w:hint="eastAsia" w:ascii="宋体" w:hAnsi="宋体" w:eastAsia="宋体" w:cs="宋体"/>
          <w:b w:val="0"/>
          <w:bCs/>
          <w:color w:val="auto"/>
          <w:szCs w:val="24"/>
        </w:rPr>
        <w:t>Australia.</w:t>
      </w:r>
    </w:p>
    <w:p w14:paraId="3F6A066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(8)Centre for Infectious Diseases and Microbiology - Public Health, Institute of </w:t>
      </w:r>
    </w:p>
    <w:p w14:paraId="7D831C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Pathology and Medical Research, New South Wales Health Pathology, </w:t>
      </w:r>
    </w:p>
    <w:p w14:paraId="17B645F1">
      <w:pPr>
        <w:rPr>
          <w:rFonts w:hint="eastAsia" w:ascii="宋体" w:hAnsi="宋体" w:eastAsia="宋体" w:cs="宋体"/>
          <w:b w:val="0"/>
          <w:bCs/>
          <w:color w:val="auto"/>
          <w:szCs w:val="24"/>
        </w:rPr>
      </w:pPr>
      <w:r>
        <w:rPr>
          <w:rFonts w:hint="eastAsia" w:ascii="宋体" w:hAnsi="宋体" w:eastAsia="宋体" w:cs="宋体"/>
          <w:b w:val="0"/>
          <w:bCs/>
          <w:color w:val="auto"/>
          <w:szCs w:val="24"/>
        </w:rPr>
        <w:t>Sydney, Australia.</w:t>
      </w:r>
    </w:p>
    <w:p w14:paraId="0B74D154">
      <w:pPr>
        <w:rPr>
          <w:rFonts w:hint="eastAsia" w:ascii="宋体" w:hAnsi="宋体" w:eastAsia="宋体" w:cs="宋体"/>
          <w:b w:val="0"/>
          <w:bCs/>
          <w:color w:val="auto"/>
          <w:szCs w:val="24"/>
        </w:rPr>
      </w:pPr>
      <w:r>
        <w:rPr>
          <w:rFonts w:hint="eastAsia" w:ascii="宋体" w:hAnsi="宋体" w:eastAsia="宋体" w:cs="宋体"/>
          <w:b w:val="0"/>
          <w:bCs/>
          <w:color w:val="auto"/>
          <w:szCs w:val="24"/>
        </w:rPr>
        <w:t>(9)Communicable Diseases Branch, Department of Health, Brisbane, Australia.</w:t>
      </w:r>
    </w:p>
    <w:p w14:paraId="6AFCB8F3">
      <w:pPr>
        <w:rPr>
          <w:rFonts w:hint="eastAsia" w:ascii="宋体" w:hAnsi="宋体" w:eastAsia="宋体" w:cs="宋体"/>
          <w:b w:val="0"/>
          <w:bCs/>
          <w:color w:val="auto"/>
          <w:szCs w:val="24"/>
        </w:rPr>
      </w:pPr>
    </w:p>
    <w:p w14:paraId="134145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Whole Genome Sequencing (WGS) is increasingly being used to enhance tuberculosis </w:t>
      </w:r>
    </w:p>
    <w:p w14:paraId="6B2AA1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surveillance and management. However, evidence on how WGS shapes real-world </w:t>
      </w:r>
    </w:p>
    <w:p w14:paraId="001E1AA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decision-making remains limited. This study explored the utility of WGS in the </w:t>
      </w:r>
    </w:p>
    <w:p w14:paraId="7A3D036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context of a TB outbreak in Victoria, Australia. We conducted a case study to </w:t>
      </w:r>
    </w:p>
    <w:p w14:paraId="5394DF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 describe a TB outbreak in Victoria using epidemiological and genomic data </w:t>
      </w:r>
    </w:p>
    <w:p w14:paraId="24EC0B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(2) explore the perceived benefits and limitations of WGS through </w:t>
      </w:r>
    </w:p>
    <w:p w14:paraId="447568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qualitative interviews with laboratory and public health professionals involved </w:t>
      </w:r>
    </w:p>
    <w:p w14:paraId="2D4F7F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the investigation. The interviews were analysed thematically. From 2017 - </w:t>
      </w:r>
    </w:p>
    <w:p w14:paraId="22AB53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2023, 36 people were linked to a large lineage 4 TB outbreak comprising 3 </w:t>
      </w:r>
    </w:p>
    <w:p w14:paraId="22DC98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sub-clusters. WGS connected two patients who were initially not </w:t>
      </w:r>
    </w:p>
    <w:p w14:paraId="1EA5C6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epidemiologically linked to the outbreak, prompting additional contact screening </w:t>
      </w:r>
    </w:p>
    <w:p w14:paraId="47C739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 a medical clinic. From interviews with 10 laboratory and public health </w:t>
      </w:r>
    </w:p>
    <w:p w14:paraId="07B9EC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professionals, WGS was considered a useful tool, although there was a gap </w:t>
      </w:r>
    </w:p>
    <w:p w14:paraId="16E04B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its potential and realised utility. WGS strengthened confidence in </w:t>
      </w:r>
    </w:p>
    <w:p w14:paraId="5AC1B8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suspected transmission links, which was particularly valuable when </w:t>
      </w:r>
    </w:p>
    <w:p w14:paraId="1624F2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epidemiological evidence was sparce or uncertain. This was relevant in this </w:t>
      </w:r>
    </w:p>
    <w:p w14:paraId="646B29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investigation where TB stigma, a prolonged timeframe, and cross-jurisdictional </w:t>
      </w:r>
    </w:p>
    <w:p w14:paraId="18DF44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transmission were challenges. Barriers to public health action from WGS included </w:t>
      </w:r>
    </w:p>
    <w:p w14:paraId="533763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long turnaround times, difficulties drawing conclusions from identical isolates, </w:t>
      </w:r>
    </w:p>
    <w:p w14:paraId="4E8E63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uncertainties around public health follow-up actions. This case study </w:t>
      </w:r>
    </w:p>
    <w:p w14:paraId="79045A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demonstrates that WGS can inform meaningful public health action, while also </w:t>
      </w:r>
    </w:p>
    <w:p w14:paraId="3A40CF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identifying opportunities to improve its utility. WGS for public health should </w:t>
      </w:r>
    </w:p>
    <w:p w14:paraId="02B437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involve real-time sequencing along with steps to support the translation of </w:t>
      </w:r>
    </w:p>
    <w:p w14:paraId="265253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into actions such as action-focused WGS training, mechanisms to support </w:t>
      </w:r>
    </w:p>
    <w:p w14:paraId="2FEFBDE9">
      <w:pPr>
        <w:rPr>
          <w:rFonts w:hint="eastAsia" w:ascii="宋体" w:hAnsi="宋体" w:eastAsia="宋体" w:cs="宋体"/>
          <w:b w:val="0"/>
          <w:bCs/>
          <w:color w:val="auto"/>
          <w:szCs w:val="24"/>
        </w:rPr>
      </w:pPr>
      <w:r>
        <w:rPr>
          <w:rFonts w:hint="eastAsia" w:ascii="宋体" w:hAnsi="宋体" w:eastAsia="宋体" w:cs="宋体"/>
          <w:b w:val="0"/>
          <w:bCs/>
          <w:color w:val="auto"/>
          <w:szCs w:val="24"/>
        </w:rPr>
        <w:t>consistent follow-up, and improved record-keeping systems.</w:t>
      </w:r>
    </w:p>
    <w:p w14:paraId="2401C98E">
      <w:pPr>
        <w:rPr>
          <w:rFonts w:hint="eastAsia" w:ascii="宋体" w:hAnsi="宋体" w:eastAsia="宋体" w:cs="宋体"/>
          <w:b w:val="0"/>
          <w:bCs/>
          <w:color w:val="auto"/>
          <w:szCs w:val="24"/>
        </w:rPr>
      </w:pPr>
    </w:p>
    <w:p w14:paraId="026921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Wang et al. This is an open access article distributed under </w:t>
      </w:r>
    </w:p>
    <w:p w14:paraId="7A96F4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terms of the Creative Commons Attribution License, which permits </w:t>
      </w:r>
    </w:p>
    <w:p w14:paraId="4B8C6C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34E673B5">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51F92417">
      <w:pPr>
        <w:rPr>
          <w:rFonts w:hint="eastAsia" w:ascii="宋体" w:hAnsi="宋体" w:eastAsia="宋体" w:cs="宋体"/>
          <w:b w:val="0"/>
          <w:bCs/>
          <w:color w:val="auto"/>
          <w:szCs w:val="24"/>
        </w:rPr>
      </w:pPr>
    </w:p>
    <w:p w14:paraId="0EAC8FC5">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10.1371/journal.pgph.0007016</w:t>
      </w:r>
    </w:p>
    <w:p w14:paraId="51549B3B">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PMC13561327</w:t>
      </w:r>
    </w:p>
    <w:p w14:paraId="4620DFC2">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42721147</w:t>
      </w:r>
    </w:p>
    <w:p w14:paraId="67F7871D">
      <w:pPr>
        <w:rPr>
          <w:rFonts w:hint="eastAsia" w:ascii="宋体" w:hAnsi="宋体" w:eastAsia="宋体" w:cs="宋体"/>
          <w:b w:val="0"/>
          <w:bCs/>
          <w:color w:val="auto"/>
          <w:szCs w:val="24"/>
        </w:rPr>
      </w:pPr>
    </w:p>
    <w:p w14:paraId="421CAEE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15</w:t>
      </w:r>
      <w:r>
        <w:rPr>
          <w:rFonts w:hint="eastAsia" w:ascii="宋体" w:hAnsi="宋体" w:eastAsia="宋体" w:cs="宋体"/>
          <w:b/>
          <w:bCs w:val="0"/>
          <w:color w:val="FF0000"/>
          <w:szCs w:val="24"/>
        </w:rPr>
        <w:t xml:space="preserve">. PLOS Glob Public Health. 2026 Sep 10;6(9):e0005950. doi: </w:t>
      </w:r>
    </w:p>
    <w:p w14:paraId="52BC298B">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10.1371/journal.pgph.0005950. eCollection 2026.</w:t>
      </w:r>
    </w:p>
    <w:p w14:paraId="0DA6662A">
      <w:pPr>
        <w:rPr>
          <w:rFonts w:hint="eastAsia" w:ascii="宋体" w:hAnsi="宋体" w:eastAsia="宋体" w:cs="宋体"/>
          <w:b w:val="0"/>
          <w:bCs/>
          <w:color w:val="auto"/>
          <w:szCs w:val="24"/>
        </w:rPr>
      </w:pPr>
    </w:p>
    <w:p w14:paraId="00BABA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Resources to implement general population mobile chest x-ray screening for </w:t>
      </w:r>
    </w:p>
    <w:p w14:paraId="3D81AC31">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in Uganda: A trial-based costing analysis.</w:t>
      </w:r>
    </w:p>
    <w:p w14:paraId="2CA3485F">
      <w:pPr>
        <w:rPr>
          <w:rFonts w:hint="eastAsia" w:ascii="宋体" w:hAnsi="宋体" w:eastAsia="宋体" w:cs="宋体"/>
          <w:b w:val="0"/>
          <w:bCs/>
          <w:color w:val="auto"/>
          <w:szCs w:val="24"/>
        </w:rPr>
      </w:pPr>
    </w:p>
    <w:p w14:paraId="1E6B66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Johnson TS(1), Isooba D(2), Birabwa S(2), Kakeeto J(2), Ndyabayunga K(2), </w:t>
      </w:r>
    </w:p>
    <w:p w14:paraId="50A59D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Nantale D(2), Mugabi I(2), Nakiiza V(2), Nalutaaya A(2), Kitonsa PJ(2), Kendall </w:t>
      </w:r>
    </w:p>
    <w:p w14:paraId="1C71A470">
      <w:pPr>
        <w:rPr>
          <w:rFonts w:hint="eastAsia" w:ascii="宋体" w:hAnsi="宋体" w:eastAsia="宋体" w:cs="宋体"/>
          <w:b w:val="0"/>
          <w:bCs/>
          <w:color w:val="auto"/>
          <w:szCs w:val="24"/>
        </w:rPr>
      </w:pPr>
      <w:r>
        <w:rPr>
          <w:rFonts w:hint="eastAsia" w:ascii="宋体" w:hAnsi="宋体" w:eastAsia="宋体" w:cs="宋体"/>
          <w:b w:val="0"/>
          <w:bCs/>
          <w:color w:val="auto"/>
          <w:szCs w:val="24"/>
        </w:rPr>
        <w:t>EA(3), Katamba A(4), Dowdy DW(5).</w:t>
      </w:r>
    </w:p>
    <w:p w14:paraId="58AF6AF7">
      <w:pPr>
        <w:rPr>
          <w:rFonts w:hint="eastAsia" w:ascii="宋体" w:hAnsi="宋体" w:eastAsia="宋体" w:cs="宋体"/>
          <w:b w:val="0"/>
          <w:bCs/>
          <w:color w:val="auto"/>
          <w:szCs w:val="24"/>
        </w:rPr>
      </w:pPr>
    </w:p>
    <w:p w14:paraId="1E093C0D">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4B4EC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International Health, Johns Hopkins Bloomberg School of Public </w:t>
      </w:r>
    </w:p>
    <w:p w14:paraId="34FC7CE4">
      <w:pPr>
        <w:rPr>
          <w:rFonts w:hint="eastAsia" w:ascii="宋体" w:hAnsi="宋体" w:eastAsia="宋体" w:cs="宋体"/>
          <w:b w:val="0"/>
          <w:bCs/>
          <w:color w:val="auto"/>
          <w:szCs w:val="24"/>
        </w:rPr>
      </w:pPr>
      <w:r>
        <w:rPr>
          <w:rFonts w:hint="eastAsia" w:ascii="宋体" w:hAnsi="宋体" w:eastAsia="宋体" w:cs="宋体"/>
          <w:b w:val="0"/>
          <w:bCs/>
          <w:color w:val="auto"/>
          <w:szCs w:val="24"/>
        </w:rPr>
        <w:t>Health, Baltimore, Maryland, United States of America.</w:t>
      </w:r>
    </w:p>
    <w:p w14:paraId="568B5F6A">
      <w:pPr>
        <w:rPr>
          <w:rFonts w:hint="eastAsia" w:ascii="宋体" w:hAnsi="宋体" w:eastAsia="宋体" w:cs="宋体"/>
          <w:b w:val="0"/>
          <w:bCs/>
          <w:color w:val="auto"/>
          <w:szCs w:val="24"/>
        </w:rPr>
      </w:pPr>
      <w:r>
        <w:rPr>
          <w:rFonts w:hint="eastAsia" w:ascii="宋体" w:hAnsi="宋体" w:eastAsia="宋体" w:cs="宋体"/>
          <w:b w:val="0"/>
          <w:bCs/>
          <w:color w:val="auto"/>
          <w:szCs w:val="24"/>
        </w:rPr>
        <w:t>(2)Uganda TB Implementation Research Consortium, Walimu, Kampala, Uganda.</w:t>
      </w:r>
    </w:p>
    <w:p w14:paraId="1B47F1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(3)Division of Infectious Diseases, Johns Hopkins University School of Medicine, </w:t>
      </w:r>
    </w:p>
    <w:p w14:paraId="11EC5299">
      <w:pPr>
        <w:rPr>
          <w:rFonts w:hint="eastAsia" w:ascii="宋体" w:hAnsi="宋体" w:eastAsia="宋体" w:cs="宋体"/>
          <w:b w:val="0"/>
          <w:bCs/>
          <w:color w:val="auto"/>
          <w:szCs w:val="24"/>
        </w:rPr>
      </w:pPr>
      <w:r>
        <w:rPr>
          <w:rFonts w:hint="eastAsia" w:ascii="宋体" w:hAnsi="宋体" w:eastAsia="宋体" w:cs="宋体"/>
          <w:b w:val="0"/>
          <w:bCs/>
          <w:color w:val="auto"/>
          <w:szCs w:val="24"/>
        </w:rPr>
        <w:t>Baltimore, Maryland, United States of America.</w:t>
      </w:r>
    </w:p>
    <w:p w14:paraId="494B12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(4)Clinical Epidemiology and Biostatics Unit, Department of Internal Medicine, </w:t>
      </w:r>
    </w:p>
    <w:p w14:paraId="1EC9DEEA">
      <w:pPr>
        <w:rPr>
          <w:rFonts w:hint="eastAsia" w:ascii="宋体" w:hAnsi="宋体" w:eastAsia="宋体" w:cs="宋体"/>
          <w:b w:val="0"/>
          <w:bCs/>
          <w:color w:val="auto"/>
          <w:szCs w:val="24"/>
        </w:rPr>
      </w:pPr>
      <w:r>
        <w:rPr>
          <w:rFonts w:hint="eastAsia" w:ascii="宋体" w:hAnsi="宋体" w:eastAsia="宋体" w:cs="宋体"/>
          <w:b w:val="0"/>
          <w:bCs/>
          <w:color w:val="auto"/>
          <w:szCs w:val="24"/>
        </w:rPr>
        <w:t>Makerere University College of Health Sciences, Kampala, Uganda.</w:t>
      </w:r>
    </w:p>
    <w:p w14:paraId="22AD21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Epidemiology, Johns Hopkins Bloomberg School of Public Health, </w:t>
      </w:r>
    </w:p>
    <w:p w14:paraId="171D3F16">
      <w:pPr>
        <w:rPr>
          <w:rFonts w:hint="eastAsia" w:ascii="宋体" w:hAnsi="宋体" w:eastAsia="宋体" w:cs="宋体"/>
          <w:b w:val="0"/>
          <w:bCs/>
          <w:color w:val="auto"/>
          <w:szCs w:val="24"/>
        </w:rPr>
      </w:pPr>
      <w:r>
        <w:rPr>
          <w:rFonts w:hint="eastAsia" w:ascii="宋体" w:hAnsi="宋体" w:eastAsia="宋体" w:cs="宋体"/>
          <w:b w:val="0"/>
          <w:bCs/>
          <w:color w:val="auto"/>
          <w:szCs w:val="24"/>
        </w:rPr>
        <w:t>Baltimore, Maryland, United States of America.</w:t>
      </w:r>
    </w:p>
    <w:p w14:paraId="32CD5CAA">
      <w:pPr>
        <w:rPr>
          <w:rFonts w:hint="eastAsia" w:ascii="宋体" w:hAnsi="宋体" w:eastAsia="宋体" w:cs="宋体"/>
          <w:b w:val="0"/>
          <w:bCs/>
          <w:color w:val="auto"/>
          <w:szCs w:val="24"/>
        </w:rPr>
      </w:pPr>
    </w:p>
    <w:p w14:paraId="5A2F74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Mobile chest X-ray (CXR) screening interventions are recommended for </w:t>
      </w:r>
    </w:p>
    <w:p w14:paraId="485789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screening in high-burden settings, but implementation costs </w:t>
      </w:r>
    </w:p>
    <w:p w14:paraId="7486D5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are variable and underreported. Using time-driven activity-based costing, we </w:t>
      </w:r>
    </w:p>
    <w:p w14:paraId="7FDB67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evaluated the costs of implementing general-population mobile CXR screening in </w:t>
      </w:r>
    </w:p>
    <w:p w14:paraId="05E827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peri-urban Uganda. We conducted a micro-costing analysis of mobile CXR screening </w:t>
      </w:r>
    </w:p>
    <w:p w14:paraId="1A9F55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using data from an ongoing randomized crossover trial. We adopted a healthcare </w:t>
      </w:r>
    </w:p>
    <w:p w14:paraId="6A434B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payer perspective, categorizing costs into equipment, personnel, space, </w:t>
      </w:r>
    </w:p>
    <w:p w14:paraId="0D5C78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implementation, and consumables. We calculated per-participant costs for each </w:t>
      </w:r>
    </w:p>
    <w:p w14:paraId="4ABAAF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step in the TB screening cascade, as well as total screening and diagnostic </w:t>
      </w:r>
    </w:p>
    <w:p w14:paraId="003C42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costs per positive microbiological result (Xpert Ultra). Sensitivity analyses </w:t>
      </w:r>
    </w:p>
    <w:p w14:paraId="77AC59F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evaluated the cost implications of varying the screening volume or radiographic </w:t>
      </w:r>
    </w:p>
    <w:p w14:paraId="79BF96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risk score thresholds. Among 90,668 age-eligible participants completing CXR </w:t>
      </w:r>
    </w:p>
    <w:p w14:paraId="4F0E84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14,630 sputum specimens were collected for Xpert testing (16.1%), </w:t>
      </w:r>
    </w:p>
    <w:p w14:paraId="6C4BDF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1,676 from participants who submitted sputum without completing CXR. </w:t>
      </w:r>
    </w:p>
    <w:p w14:paraId="2F9BB4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Overall, 511 participants had valid Xpert-positive results (3.5%), corresponding </w:t>
      </w:r>
    </w:p>
    <w:p w14:paraId="39CCA0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5.6 Xpert-positive results per 1,000 CXRs performed. The estimated cost was </w:t>
      </w:r>
    </w:p>
    <w:p w14:paraId="26E638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$4.41 per person screened and $1,299 per Xpert-positive result (95% uncertainty </w:t>
      </w:r>
    </w:p>
    <w:p w14:paraId="2ADC09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interval: $1,134-$1,488). Screening and diagnostic costs accounted for 64% and </w:t>
      </w:r>
    </w:p>
    <w:p w14:paraId="365261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36% of the cost per Xpert-positive result, respectively. Daily screening volume </w:t>
      </w:r>
    </w:p>
    <w:p w14:paraId="2F69A77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strongly influenced the cost per positive Xpert result, whereas less stringent </w:t>
      </w:r>
    </w:p>
    <w:p w14:paraId="5DD9CF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X-ray thresholds increased the number of TB cases detected with minimal impact </w:t>
      </w:r>
    </w:p>
    <w:p w14:paraId="33929C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on average cost per positive Xpert. Mobile CXR screening interventions for TB </w:t>
      </w:r>
    </w:p>
    <w:p w14:paraId="605FE3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require substantial investment in resources. Program planners can optimize </w:t>
      </w:r>
    </w:p>
    <w:p w14:paraId="50E214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efficiency by targeting high-burden populations, increasing participant volume, </w:t>
      </w:r>
    </w:p>
    <w:p w14:paraId="1A3685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optimizing X-ray risk cutoffs for follow-up diagnostic testing. Our findings </w:t>
      </w:r>
    </w:p>
    <w:p w14:paraId="790AB6E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highlight the value of context-specific cost data for guiding decisions on </w:t>
      </w:r>
    </w:p>
    <w:p w14:paraId="53472E66">
      <w:pPr>
        <w:rPr>
          <w:rFonts w:hint="eastAsia" w:ascii="宋体" w:hAnsi="宋体" w:eastAsia="宋体" w:cs="宋体"/>
          <w:b w:val="0"/>
          <w:bCs/>
          <w:color w:val="auto"/>
          <w:szCs w:val="24"/>
        </w:rPr>
      </w:pPr>
      <w:r>
        <w:rPr>
          <w:rFonts w:hint="eastAsia" w:ascii="宋体" w:hAnsi="宋体" w:eastAsia="宋体" w:cs="宋体"/>
          <w:b w:val="0"/>
          <w:bCs/>
          <w:color w:val="auto"/>
          <w:szCs w:val="24"/>
        </w:rPr>
        <w:t>scaling up TB screening interventions.</w:t>
      </w:r>
    </w:p>
    <w:p w14:paraId="694B4697">
      <w:pPr>
        <w:rPr>
          <w:rFonts w:hint="eastAsia" w:ascii="宋体" w:hAnsi="宋体" w:eastAsia="宋体" w:cs="宋体"/>
          <w:b w:val="0"/>
          <w:bCs/>
          <w:color w:val="auto"/>
          <w:szCs w:val="24"/>
        </w:rPr>
      </w:pPr>
    </w:p>
    <w:p w14:paraId="70DC87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Johnson et al. This is an open access article distributed </w:t>
      </w:r>
    </w:p>
    <w:p w14:paraId="2A654A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the terms of the Creative Commons Attribution License, which permits </w:t>
      </w:r>
    </w:p>
    <w:p w14:paraId="7CFD9E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27ACD01B">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0A7E8D76">
      <w:pPr>
        <w:rPr>
          <w:rFonts w:hint="eastAsia" w:ascii="宋体" w:hAnsi="宋体" w:eastAsia="宋体" w:cs="宋体"/>
          <w:b w:val="0"/>
          <w:bCs/>
          <w:color w:val="auto"/>
          <w:szCs w:val="24"/>
        </w:rPr>
      </w:pPr>
    </w:p>
    <w:p w14:paraId="0AD869BB">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10.1371/journal.pgph.0005950</w:t>
      </w:r>
    </w:p>
    <w:p w14:paraId="003817CC">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PMC13561341</w:t>
      </w:r>
    </w:p>
    <w:p w14:paraId="4FC5F116">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42721131</w:t>
      </w:r>
    </w:p>
    <w:p w14:paraId="0B3AB0CD">
      <w:pPr>
        <w:rPr>
          <w:rFonts w:hint="eastAsia" w:ascii="宋体" w:hAnsi="宋体" w:eastAsia="宋体" w:cs="宋体"/>
          <w:b w:val="0"/>
          <w:bCs/>
          <w:color w:val="auto"/>
          <w:szCs w:val="24"/>
        </w:rPr>
      </w:pPr>
    </w:p>
    <w:p w14:paraId="15AD60A7">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16</w:t>
      </w:r>
      <w:r>
        <w:rPr>
          <w:rFonts w:hint="eastAsia" w:ascii="宋体" w:hAnsi="宋体" w:eastAsia="宋体" w:cs="宋体"/>
          <w:b/>
          <w:bCs w:val="0"/>
          <w:color w:val="FF0000"/>
          <w:szCs w:val="24"/>
        </w:rPr>
        <w:t>. Microbiol Spectr. 2026 Sep 10:e0017326. doi: 10.1128/spectrum.00173-26. Online ahead of print.</w:t>
      </w:r>
    </w:p>
    <w:p w14:paraId="25385270">
      <w:pPr>
        <w:rPr>
          <w:rFonts w:hint="eastAsia" w:ascii="宋体" w:hAnsi="宋体" w:eastAsia="宋体" w:cs="宋体"/>
          <w:b w:val="0"/>
          <w:bCs/>
          <w:color w:val="auto"/>
          <w:szCs w:val="24"/>
        </w:rPr>
      </w:pPr>
    </w:p>
    <w:p w14:paraId="1EE4B6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Vancomycin rescues sensitivity to isoniazid in clinical isolates of </w:t>
      </w:r>
    </w:p>
    <w:p w14:paraId="552C12BA">
      <w:pPr>
        <w:rPr>
          <w:rFonts w:hint="eastAsia" w:ascii="宋体" w:hAnsi="宋体" w:eastAsia="宋体" w:cs="宋体"/>
          <w:b w:val="0"/>
          <w:bCs/>
          <w:color w:val="auto"/>
          <w:szCs w:val="24"/>
        </w:rPr>
      </w:pPr>
      <w:r>
        <w:rPr>
          <w:rFonts w:hint="eastAsia" w:ascii="宋体" w:hAnsi="宋体" w:eastAsia="宋体" w:cs="宋体"/>
          <w:b w:val="0"/>
          <w:bCs/>
          <w:color w:val="auto"/>
          <w:szCs w:val="24"/>
        </w:rPr>
        <w:t>drug-resistant Mycobacterium tuberculosis.</w:t>
      </w:r>
    </w:p>
    <w:p w14:paraId="14724682">
      <w:pPr>
        <w:rPr>
          <w:rFonts w:hint="eastAsia" w:ascii="宋体" w:hAnsi="宋体" w:eastAsia="宋体" w:cs="宋体"/>
          <w:b w:val="0"/>
          <w:bCs/>
          <w:color w:val="auto"/>
          <w:szCs w:val="24"/>
        </w:rPr>
      </w:pPr>
    </w:p>
    <w:p w14:paraId="5410E3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Pal S(1), Birua S(2)(3), Suhas KS(2)(3), Nandan R(4), Thakur C(1), Anand </w:t>
      </w:r>
    </w:p>
    <w:p w14:paraId="7CD38F4B">
      <w:pPr>
        <w:rPr>
          <w:rFonts w:hint="eastAsia" w:ascii="宋体" w:hAnsi="宋体" w:eastAsia="宋体" w:cs="宋体"/>
          <w:b w:val="0"/>
          <w:bCs/>
          <w:color w:val="auto"/>
          <w:szCs w:val="24"/>
        </w:rPr>
      </w:pPr>
      <w:r>
        <w:rPr>
          <w:rFonts w:hint="eastAsia" w:ascii="宋体" w:hAnsi="宋体" w:eastAsia="宋体" w:cs="宋体"/>
          <w:b w:val="0"/>
          <w:bCs/>
          <w:color w:val="auto"/>
          <w:szCs w:val="24"/>
        </w:rPr>
        <w:t>K(2)(5), Jain Agrawal S(4), Somashekar N(4), Singh A(2)(3), Chandra N(1)(6).</w:t>
      </w:r>
    </w:p>
    <w:p w14:paraId="7BC123B9">
      <w:pPr>
        <w:rPr>
          <w:rFonts w:hint="eastAsia" w:ascii="宋体" w:hAnsi="宋体" w:eastAsia="宋体" w:cs="宋体"/>
          <w:b w:val="0"/>
          <w:bCs/>
          <w:color w:val="auto"/>
          <w:szCs w:val="24"/>
        </w:rPr>
      </w:pPr>
    </w:p>
    <w:p w14:paraId="2C0C292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2FB11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Biochemistry, Indian Institute of Science, Bangalore, </w:t>
      </w:r>
    </w:p>
    <w:p w14:paraId="5F299444">
      <w:pPr>
        <w:rPr>
          <w:rFonts w:hint="eastAsia" w:ascii="宋体" w:hAnsi="宋体" w:eastAsia="宋体" w:cs="宋体"/>
          <w:b w:val="0"/>
          <w:bCs/>
          <w:color w:val="auto"/>
          <w:szCs w:val="24"/>
        </w:rPr>
      </w:pPr>
      <w:r>
        <w:rPr>
          <w:rFonts w:hint="eastAsia" w:ascii="宋体" w:hAnsi="宋体" w:eastAsia="宋体" w:cs="宋体"/>
          <w:b w:val="0"/>
          <w:bCs/>
          <w:color w:val="auto"/>
          <w:szCs w:val="24"/>
        </w:rPr>
        <w:t>Karnataka, India.</w:t>
      </w:r>
    </w:p>
    <w:p w14:paraId="47341D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Microbiology and Cell Biology, Indian Institute of Science, </w:t>
      </w:r>
    </w:p>
    <w:p w14:paraId="603BCD2F">
      <w:pPr>
        <w:rPr>
          <w:rFonts w:hint="eastAsia" w:ascii="宋体" w:hAnsi="宋体" w:eastAsia="宋体" w:cs="宋体"/>
          <w:b w:val="0"/>
          <w:bCs/>
          <w:color w:val="auto"/>
          <w:szCs w:val="24"/>
        </w:rPr>
      </w:pPr>
      <w:r>
        <w:rPr>
          <w:rFonts w:hint="eastAsia" w:ascii="宋体" w:hAnsi="宋体" w:eastAsia="宋体" w:cs="宋体"/>
          <w:b w:val="0"/>
          <w:bCs/>
          <w:color w:val="auto"/>
          <w:szCs w:val="24"/>
        </w:rPr>
        <w:t>Bangalore, Karnataka, India.</w:t>
      </w:r>
    </w:p>
    <w:p w14:paraId="0A6A19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(3)Centre for Infectious Disease Research, Indian Institute of Science, </w:t>
      </w:r>
    </w:p>
    <w:p w14:paraId="09F08AEA">
      <w:pPr>
        <w:rPr>
          <w:rFonts w:hint="eastAsia" w:ascii="宋体" w:hAnsi="宋体" w:eastAsia="宋体" w:cs="宋体"/>
          <w:b w:val="0"/>
          <w:bCs/>
          <w:color w:val="auto"/>
          <w:szCs w:val="24"/>
        </w:rPr>
      </w:pPr>
      <w:r>
        <w:rPr>
          <w:rFonts w:hint="eastAsia" w:ascii="宋体" w:hAnsi="宋体" w:eastAsia="宋体" w:cs="宋体"/>
          <w:b w:val="0"/>
          <w:bCs/>
          <w:color w:val="auto"/>
          <w:szCs w:val="24"/>
        </w:rPr>
        <w:t>Bangalore, Karnataka, India.</w:t>
      </w:r>
    </w:p>
    <w:p w14:paraId="50849C71">
      <w:pPr>
        <w:rPr>
          <w:rFonts w:hint="eastAsia" w:ascii="宋体" w:hAnsi="宋体" w:eastAsia="宋体" w:cs="宋体"/>
          <w:b w:val="0"/>
          <w:bCs/>
          <w:color w:val="auto"/>
          <w:szCs w:val="24"/>
        </w:rPr>
      </w:pPr>
      <w:r>
        <w:rPr>
          <w:rFonts w:hint="eastAsia" w:ascii="宋体" w:hAnsi="宋体" w:eastAsia="宋体" w:cs="宋体"/>
          <w:b w:val="0"/>
          <w:bCs/>
          <w:color w:val="auto"/>
          <w:szCs w:val="24"/>
        </w:rPr>
        <w:t>(4)National Tuberculosis Institute, Bangalore, Karnataka, India.</w:t>
      </w:r>
    </w:p>
    <w:p w14:paraId="6D6614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Life Sciences, School of Biological &amp; Forensic Science, Kristu </w:t>
      </w:r>
    </w:p>
    <w:p w14:paraId="1DC00A1A">
      <w:pPr>
        <w:rPr>
          <w:rFonts w:hint="eastAsia" w:ascii="宋体" w:hAnsi="宋体" w:eastAsia="宋体" w:cs="宋体"/>
          <w:b w:val="0"/>
          <w:bCs/>
          <w:color w:val="auto"/>
          <w:szCs w:val="24"/>
        </w:rPr>
      </w:pPr>
      <w:r>
        <w:rPr>
          <w:rFonts w:hint="eastAsia" w:ascii="宋体" w:hAnsi="宋体" w:eastAsia="宋体" w:cs="宋体"/>
          <w:b w:val="0"/>
          <w:bCs/>
          <w:color w:val="auto"/>
          <w:szCs w:val="24"/>
        </w:rPr>
        <w:t>Jayanti (Deemed to be University), Bangalore, Karnataka, India.</w:t>
      </w:r>
    </w:p>
    <w:p w14:paraId="73F0B6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Bioengineering, Indian Institute of Science, Bangalore, </w:t>
      </w:r>
    </w:p>
    <w:p w14:paraId="0371E9BA">
      <w:pPr>
        <w:rPr>
          <w:rFonts w:hint="eastAsia" w:ascii="宋体" w:hAnsi="宋体" w:eastAsia="宋体" w:cs="宋体"/>
          <w:b w:val="0"/>
          <w:bCs/>
          <w:color w:val="auto"/>
          <w:szCs w:val="24"/>
        </w:rPr>
      </w:pPr>
      <w:r>
        <w:rPr>
          <w:rFonts w:hint="eastAsia" w:ascii="宋体" w:hAnsi="宋体" w:eastAsia="宋体" w:cs="宋体"/>
          <w:b w:val="0"/>
          <w:bCs/>
          <w:color w:val="auto"/>
          <w:szCs w:val="24"/>
        </w:rPr>
        <w:t>Karnataka, India.</w:t>
      </w:r>
    </w:p>
    <w:p w14:paraId="517AE640">
      <w:pPr>
        <w:rPr>
          <w:rFonts w:hint="eastAsia" w:ascii="宋体" w:hAnsi="宋体" w:eastAsia="宋体" w:cs="宋体"/>
          <w:b w:val="0"/>
          <w:bCs/>
          <w:color w:val="auto"/>
          <w:szCs w:val="24"/>
        </w:rPr>
      </w:pPr>
    </w:p>
    <w:p w14:paraId="683FB3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continues to be a major global health challenge, with a </w:t>
      </w:r>
    </w:p>
    <w:p w14:paraId="14CB18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particularly high incidence of antibiotic resistance in high-burden countries. </w:t>
      </w:r>
    </w:p>
    <w:p w14:paraId="7E1F72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increasing prevalence of resistance in Mycobacterium tuberculosis (Mtb) to </w:t>
      </w:r>
    </w:p>
    <w:p w14:paraId="563C3B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both first-line and second-line TB drugs calls for novel approaches to address </w:t>
      </w:r>
    </w:p>
    <w:p w14:paraId="269D8F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problem. Tackling antibiotic-resistance at its source, with treatment </w:t>
      </w:r>
    </w:p>
    <w:p w14:paraId="735E97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strategies that can reverse resistance or control its new emergence, would be </w:t>
      </w:r>
    </w:p>
    <w:p w14:paraId="5CEF11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promising in the long run. Our previous work with lab-evolved </w:t>
      </w:r>
    </w:p>
    <w:p w14:paraId="239522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isoniazid-resistant Msmeg showed that resistant bacteria have a diminished </w:t>
      </w:r>
    </w:p>
    <w:p w14:paraId="43ED3D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capacity to counter oxidative stress, causing them to be sensitive to several </w:t>
      </w:r>
    </w:p>
    <w:p w14:paraId="42E785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drugs like ebselen, phenylarsine oxide, vancomycin, all of which are known to </w:t>
      </w:r>
    </w:p>
    <w:p w14:paraId="48CECA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affect redox homeostasis in mycobacteria. In this work, we report the efficacy </w:t>
      </w:r>
    </w:p>
    <w:p w14:paraId="74D199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the combination, isoniazid+vancomycin (INH+VAN), on several drug-resistant </w:t>
      </w:r>
    </w:p>
    <w:p w14:paraId="76996F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isolates of Mtb with varying resistance profiles, isolated from patient </w:t>
      </w:r>
    </w:p>
    <w:p w14:paraId="13D95D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sputum samples. We also show that vancomycin is able to rescue sensitivity to </w:t>
      </w:r>
    </w:p>
    <w:p w14:paraId="13C860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in a drug-resistant clinical strain of Mtb in a murine infection </w:t>
      </w:r>
    </w:p>
    <w:p w14:paraId="7D8E88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 Furthermore, by combining transcriptomic analysis and systems-level </w:t>
      </w:r>
    </w:p>
    <w:p w14:paraId="52D40B6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modeling, we identify that this efficacy is possibly due to a vulnerability </w:t>
      </w:r>
    </w:p>
    <w:p w14:paraId="221528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arising from cell wall alterations and stress responses during INH-VAN </w:t>
      </w:r>
    </w:p>
    <w:p w14:paraId="07D7535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Our results suggest that the combination INH+VAN is promising by </w:t>
      </w:r>
    </w:p>
    <w:p w14:paraId="52E2D3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itself or as part of the standard regimens for treating drug-resistant TB cases, </w:t>
      </w:r>
    </w:p>
    <w:p w14:paraId="655FF9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therefore suitable for a clinical trial in isoniazid-resistant and MDR TB </w:t>
      </w:r>
    </w:p>
    <w:p w14:paraId="763E4DE7">
      <w:pPr>
        <w:rPr>
          <w:rFonts w:hint="eastAsia" w:ascii="宋体" w:hAnsi="宋体" w:eastAsia="宋体" w:cs="宋体"/>
          <w:b w:val="0"/>
          <w:bCs/>
          <w:color w:val="auto"/>
          <w:szCs w:val="24"/>
        </w:rPr>
      </w:pPr>
      <w:r>
        <w:rPr>
          <w:rFonts w:hint="eastAsia" w:ascii="宋体" w:hAnsi="宋体" w:eastAsia="宋体" w:cs="宋体"/>
          <w:b w:val="0"/>
          <w:bCs/>
          <w:color w:val="auto"/>
          <w:szCs w:val="24"/>
        </w:rPr>
        <w:t>cases.</w:t>
      </w:r>
    </w:p>
    <w:p w14:paraId="309AE49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IMPORTANCE: </w:t>
      </w:r>
      <w:r>
        <w:rPr>
          <w:rFonts w:hint="eastAsia" w:ascii="宋体" w:hAnsi="宋体" w:eastAsia="宋体" w:cs="宋体"/>
          <w:b w:val="0"/>
          <w:bCs/>
          <w:color w:val="auto"/>
          <w:szCs w:val="24"/>
        </w:rPr>
        <w:t xml:space="preserve">Tuberculosis (TB) is an infectious disease caused by the bacterium </w:t>
      </w:r>
    </w:p>
    <w:p w14:paraId="2C4BEF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(Mtb), which claims millions of lives each year, </w:t>
      </w:r>
    </w:p>
    <w:p w14:paraId="1AE422E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posing a global health challenge. While there are several antibiotic therapies </w:t>
      </w:r>
    </w:p>
    <w:p w14:paraId="1298590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available, resistance to primary drugs severely hinders successful TB treatment. </w:t>
      </w:r>
    </w:p>
    <w:p w14:paraId="665934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calls for novel treatment strategies against drug-resistant TB. We have </w:t>
      </w:r>
    </w:p>
    <w:p w14:paraId="0B41B3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identified a strategy to reverse resistance by addition of a strategically </w:t>
      </w:r>
    </w:p>
    <w:p w14:paraId="1840FD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selected repurposable antibiotic that targets the resistance-generating </w:t>
      </w:r>
    </w:p>
    <w:p w14:paraId="625817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mechanism. Our study demonstrates that vancomycin, in combination with </w:t>
      </w:r>
    </w:p>
    <w:p w14:paraId="6B00CB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reverses isoniazid resistance and is effective in killing </w:t>
      </w:r>
    </w:p>
    <w:p w14:paraId="7F0B35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drug-resistant Mtb. Since isoniazid is a primary TB drug, and vancomycin is </w:t>
      </w:r>
    </w:p>
    <w:p w14:paraId="21E3B0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already in clinical use for the treatment of common bacterial infections, they </w:t>
      </w:r>
    </w:p>
    <w:p w14:paraId="6024EF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can easily be introduced as a combination into the pipeline for TB treatment. </w:t>
      </w:r>
    </w:p>
    <w:p w14:paraId="4F998A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Our work addresses the urgent need for newer TB treatment strategies and </w:t>
      </w:r>
    </w:p>
    <w:p w14:paraId="3A36F703">
      <w:pPr>
        <w:rPr>
          <w:rFonts w:hint="eastAsia" w:ascii="宋体" w:hAnsi="宋体" w:eastAsia="宋体" w:cs="宋体"/>
          <w:b w:val="0"/>
          <w:bCs/>
          <w:color w:val="auto"/>
          <w:szCs w:val="24"/>
        </w:rPr>
      </w:pPr>
      <w:r>
        <w:rPr>
          <w:rFonts w:hint="eastAsia" w:ascii="宋体" w:hAnsi="宋体" w:eastAsia="宋体" w:cs="宋体"/>
          <w:b w:val="0"/>
          <w:bCs/>
          <w:color w:val="auto"/>
          <w:szCs w:val="24"/>
        </w:rPr>
        <w:t>provides data indicating the potential for a clinical trial in MDR TB cases.</w:t>
      </w:r>
    </w:p>
    <w:p w14:paraId="4EE4B85C">
      <w:pPr>
        <w:rPr>
          <w:rFonts w:hint="eastAsia" w:ascii="宋体" w:hAnsi="宋体" w:eastAsia="宋体" w:cs="宋体"/>
          <w:b w:val="0"/>
          <w:bCs/>
          <w:color w:val="auto"/>
          <w:szCs w:val="24"/>
        </w:rPr>
      </w:pPr>
    </w:p>
    <w:p w14:paraId="625537EB">
      <w:pPr>
        <w:rPr>
          <w:rFonts w:hint="eastAsia" w:ascii="宋体" w:hAnsi="宋体" w:eastAsia="宋体" w:cs="宋体"/>
          <w:b w:val="0"/>
          <w:bCs/>
          <w:color w:val="auto"/>
          <w:szCs w:val="24"/>
        </w:rPr>
      </w:pPr>
      <w:r>
        <w:rPr>
          <w:rFonts w:hint="eastAsia" w:ascii="宋体" w:hAnsi="宋体" w:eastAsia="宋体" w:cs="宋体"/>
          <w:b w:val="0"/>
          <w:bCs/>
          <w:color w:val="auto"/>
          <w:szCs w:val="24"/>
        </w:rPr>
        <w:t>DOI: 10.1128/spectrum.00173-26</w:t>
      </w:r>
    </w:p>
    <w:p w14:paraId="0A29E838">
      <w:pPr>
        <w:rPr>
          <w:rFonts w:hint="eastAsia" w:ascii="宋体" w:hAnsi="宋体" w:eastAsia="宋体" w:cs="宋体"/>
          <w:b w:val="0"/>
          <w:bCs/>
          <w:color w:val="auto"/>
          <w:szCs w:val="24"/>
        </w:rPr>
      </w:pPr>
      <w:r>
        <w:rPr>
          <w:rFonts w:hint="eastAsia" w:ascii="宋体" w:hAnsi="宋体" w:eastAsia="宋体" w:cs="宋体"/>
          <w:b w:val="0"/>
          <w:bCs/>
          <w:color w:val="auto"/>
          <w:szCs w:val="24"/>
        </w:rPr>
        <w:t>PMID: 42720312</w:t>
      </w:r>
    </w:p>
    <w:p w14:paraId="654285C8">
      <w:pPr>
        <w:rPr>
          <w:rFonts w:hint="eastAsia" w:ascii="宋体" w:hAnsi="宋体" w:eastAsia="宋体" w:cs="宋体"/>
          <w:b w:val="0"/>
          <w:bCs/>
          <w:color w:val="auto"/>
          <w:szCs w:val="24"/>
        </w:rPr>
      </w:pPr>
    </w:p>
    <w:p w14:paraId="4835AD6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17</w:t>
      </w:r>
      <w:r>
        <w:rPr>
          <w:rFonts w:hint="eastAsia" w:ascii="宋体" w:hAnsi="宋体" w:eastAsia="宋体" w:cs="宋体"/>
          <w:b/>
          <w:bCs w:val="0"/>
          <w:color w:val="FF0000"/>
          <w:szCs w:val="24"/>
        </w:rPr>
        <w:t xml:space="preserve">. Reumatismo. 2026 Sep 9. doi: 10.4081/reumatismo.2026.1905. Online ahead of </w:t>
      </w:r>
    </w:p>
    <w:p w14:paraId="2EB67BA8">
      <w:pPr>
        <w:rPr>
          <w:rFonts w:hint="eastAsia" w:ascii="宋体" w:hAnsi="宋体" w:eastAsia="宋体" w:cs="宋体"/>
          <w:b/>
          <w:bCs w:val="0"/>
          <w:color w:val="FF0000"/>
          <w:szCs w:val="24"/>
        </w:rPr>
      </w:pPr>
      <w:r>
        <w:rPr>
          <w:rFonts w:hint="eastAsia" w:ascii="宋体" w:hAnsi="宋体" w:eastAsia="宋体" w:cs="宋体"/>
          <w:b/>
          <w:bCs w:val="0"/>
          <w:color w:val="FF0000"/>
          <w:szCs w:val="24"/>
        </w:rPr>
        <w:t>print.</w:t>
      </w:r>
    </w:p>
    <w:p w14:paraId="08C08908">
      <w:pPr>
        <w:rPr>
          <w:rFonts w:hint="eastAsia" w:ascii="宋体" w:hAnsi="宋体" w:eastAsia="宋体" w:cs="宋体"/>
          <w:b w:val="0"/>
          <w:bCs/>
          <w:color w:val="auto"/>
          <w:szCs w:val="24"/>
        </w:rPr>
      </w:pPr>
    </w:p>
    <w:p w14:paraId="5C82C5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 overview of the relation between tuberculosis and autoantibodies: a </w:t>
      </w:r>
    </w:p>
    <w:p w14:paraId="4C54AE09">
      <w:pPr>
        <w:rPr>
          <w:rFonts w:hint="eastAsia" w:ascii="宋体" w:hAnsi="宋体" w:eastAsia="宋体" w:cs="宋体"/>
          <w:b w:val="0"/>
          <w:bCs/>
          <w:color w:val="auto"/>
          <w:szCs w:val="24"/>
        </w:rPr>
      </w:pPr>
      <w:r>
        <w:rPr>
          <w:rFonts w:hint="eastAsia" w:ascii="宋体" w:hAnsi="宋体" w:eastAsia="宋体" w:cs="宋体"/>
          <w:b w:val="0"/>
          <w:bCs/>
          <w:color w:val="auto"/>
          <w:szCs w:val="24"/>
        </w:rPr>
        <w:t>systematic review.</w:t>
      </w:r>
    </w:p>
    <w:p w14:paraId="5E02C6A3">
      <w:pPr>
        <w:rPr>
          <w:rFonts w:hint="eastAsia" w:ascii="宋体" w:hAnsi="宋体" w:eastAsia="宋体" w:cs="宋体"/>
          <w:b w:val="0"/>
          <w:bCs/>
          <w:color w:val="auto"/>
          <w:szCs w:val="24"/>
        </w:rPr>
      </w:pPr>
    </w:p>
    <w:p w14:paraId="75671C3F">
      <w:pPr>
        <w:rPr>
          <w:rFonts w:hint="eastAsia" w:ascii="宋体" w:hAnsi="宋体" w:eastAsia="宋体" w:cs="宋体"/>
          <w:b w:val="0"/>
          <w:bCs/>
          <w:color w:val="auto"/>
          <w:szCs w:val="24"/>
        </w:rPr>
      </w:pPr>
      <w:r>
        <w:rPr>
          <w:rFonts w:hint="eastAsia" w:ascii="宋体" w:hAnsi="宋体" w:eastAsia="宋体" w:cs="宋体"/>
          <w:b w:val="0"/>
          <w:bCs/>
          <w:color w:val="auto"/>
          <w:szCs w:val="24"/>
        </w:rPr>
        <w:t>Mohamadzadeh D(1), Assar S(2), Farsad F(3).</w:t>
      </w:r>
    </w:p>
    <w:p w14:paraId="0EE67DA9">
      <w:pPr>
        <w:rPr>
          <w:rFonts w:hint="eastAsia" w:ascii="宋体" w:hAnsi="宋体" w:eastAsia="宋体" w:cs="宋体"/>
          <w:b w:val="0"/>
          <w:bCs/>
          <w:color w:val="auto"/>
          <w:szCs w:val="24"/>
        </w:rPr>
      </w:pPr>
    </w:p>
    <w:p w14:paraId="46A5B93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2F229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(1)Clinical Research Development Center, Imam Reza Hospital, Kermanshah </w:t>
      </w:r>
    </w:p>
    <w:p w14:paraId="43F3BA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University of Medical Sciences, Kermanshah; Student Research Committee, </w:t>
      </w:r>
    </w:p>
    <w:p w14:paraId="4D8A975E">
      <w:pPr>
        <w:rPr>
          <w:rFonts w:hint="eastAsia" w:ascii="宋体" w:hAnsi="宋体" w:eastAsia="宋体" w:cs="宋体"/>
          <w:b w:val="0"/>
          <w:bCs/>
          <w:color w:val="auto"/>
          <w:szCs w:val="24"/>
        </w:rPr>
      </w:pPr>
      <w:r>
        <w:rPr>
          <w:rFonts w:hint="eastAsia" w:ascii="宋体" w:hAnsi="宋体" w:eastAsia="宋体" w:cs="宋体"/>
          <w:b w:val="0"/>
          <w:bCs/>
          <w:color w:val="auto"/>
          <w:szCs w:val="24"/>
        </w:rPr>
        <w:t>Kermanshah University of Medical Sciences, Kermanshah.</w:t>
      </w:r>
    </w:p>
    <w:p w14:paraId="204D11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(2)Clinical Research Development Center, Imam Reza Hospital, Kermanshah </w:t>
      </w:r>
    </w:p>
    <w:p w14:paraId="7BB966AE">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Medical Sciences, Kermanshah.</w:t>
      </w:r>
    </w:p>
    <w:p w14:paraId="3241DF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(3)Research Centre of Loghman Hakim Hospital, Shahid Beheshti University of </w:t>
      </w:r>
    </w:p>
    <w:p w14:paraId="15CE9410">
      <w:pPr>
        <w:rPr>
          <w:rFonts w:hint="eastAsia" w:ascii="宋体" w:hAnsi="宋体" w:eastAsia="宋体" w:cs="宋体"/>
          <w:b w:val="0"/>
          <w:bCs/>
          <w:color w:val="auto"/>
          <w:szCs w:val="24"/>
        </w:rPr>
      </w:pPr>
      <w:r>
        <w:rPr>
          <w:rFonts w:hint="eastAsia" w:ascii="宋体" w:hAnsi="宋体" w:eastAsia="宋体" w:cs="宋体"/>
          <w:b w:val="0"/>
          <w:bCs/>
          <w:color w:val="auto"/>
          <w:szCs w:val="24"/>
        </w:rPr>
        <w:t>Medical Sciences, Tehran.</w:t>
      </w:r>
    </w:p>
    <w:p w14:paraId="2DE0A353">
      <w:pPr>
        <w:rPr>
          <w:rFonts w:hint="eastAsia" w:ascii="宋体" w:hAnsi="宋体" w:eastAsia="宋体" w:cs="宋体"/>
          <w:b w:val="0"/>
          <w:bCs/>
          <w:color w:val="auto"/>
          <w:szCs w:val="24"/>
        </w:rPr>
      </w:pPr>
    </w:p>
    <w:p w14:paraId="43A4A95B">
      <w:pPr>
        <w:rPr>
          <w:rFonts w:hint="eastAsia" w:ascii="宋体" w:hAnsi="宋体" w:eastAsia="宋体" w:cs="宋体"/>
          <w:b w:val="0"/>
          <w:bCs/>
          <w:color w:val="auto"/>
          <w:szCs w:val="24"/>
        </w:rPr>
      </w:pPr>
      <w:r>
        <w:rPr>
          <w:rFonts w:hint="eastAsia" w:ascii="宋体" w:hAnsi="宋体" w:eastAsia="宋体" w:cs="宋体"/>
          <w:b/>
          <w:bCs w:val="0"/>
          <w:color w:val="auto"/>
          <w:szCs w:val="24"/>
        </w:rPr>
        <w:t>OBJECTIVE:</w:t>
      </w:r>
      <w:r>
        <w:rPr>
          <w:rFonts w:hint="eastAsia" w:ascii="宋体" w:hAnsi="宋体" w:eastAsia="宋体" w:cs="宋体"/>
          <w:b w:val="0"/>
          <w:bCs/>
          <w:color w:val="auto"/>
          <w:szCs w:val="24"/>
        </w:rPr>
        <w:t xml:space="preserve"> Tuberculosis (TB), caused by Mycobacterium tuberculosis, remains a </w:t>
      </w:r>
    </w:p>
    <w:p w14:paraId="6F3C2F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global health concern. While traditionally viewed as an infectious </w:t>
      </w:r>
    </w:p>
    <w:p w14:paraId="6D015D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primarily affecting the lungs, accumulating evidence suggests a complex </w:t>
      </w:r>
    </w:p>
    <w:p w14:paraId="343400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interplay between TB and the host's immune system, potentially leading to the </w:t>
      </w:r>
    </w:p>
    <w:p w14:paraId="76CE24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production of autoantibodies. This systematic review aims to investigate the </w:t>
      </w:r>
    </w:p>
    <w:p w14:paraId="796BA5BC">
      <w:pPr>
        <w:rPr>
          <w:rFonts w:hint="eastAsia" w:ascii="宋体" w:hAnsi="宋体" w:eastAsia="宋体" w:cs="宋体"/>
          <w:b w:val="0"/>
          <w:bCs/>
          <w:color w:val="auto"/>
          <w:szCs w:val="24"/>
        </w:rPr>
      </w:pPr>
      <w:r>
        <w:rPr>
          <w:rFonts w:hint="eastAsia" w:ascii="宋体" w:hAnsi="宋体" w:eastAsia="宋体" w:cs="宋体"/>
          <w:b w:val="0"/>
          <w:bCs/>
          <w:color w:val="auto"/>
          <w:szCs w:val="24"/>
        </w:rPr>
        <w:t>frequency of autoantibody positivity among active TB patients.</w:t>
      </w:r>
    </w:p>
    <w:p w14:paraId="7BB2C7DF">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A comprehensive search of major electronic databases such as PubMed, </w:t>
      </w:r>
    </w:p>
    <w:p w14:paraId="63B2C4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Scopus, Google Scholar, and Web of Science was performed. The search strategy </w:t>
      </w:r>
    </w:p>
    <w:p w14:paraId="36A373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employed keywords including "tuberculosis", "autoantibodies", and specific </w:t>
      </w:r>
    </w:p>
    <w:p w14:paraId="785D86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autoantibody names such as "ANA", "Anti-dsDNA", "Anti-phospholipid", "ANCA", </w:t>
      </w:r>
    </w:p>
    <w:p w14:paraId="244B6D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"RF" and "ACPA" to study the link between TB and autoantibodies. How often </w:t>
      </w:r>
    </w:p>
    <w:p w14:paraId="45FABF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autoantibodies are found in TB patients and what this means for diagnosis and </w:t>
      </w:r>
    </w:p>
    <w:p w14:paraId="02885E76">
      <w:pPr>
        <w:rPr>
          <w:rFonts w:hint="eastAsia" w:ascii="宋体" w:hAnsi="宋体" w:eastAsia="宋体" w:cs="宋体"/>
          <w:b w:val="0"/>
          <w:bCs/>
          <w:color w:val="auto"/>
          <w:szCs w:val="24"/>
        </w:rPr>
      </w:pPr>
      <w:r>
        <w:rPr>
          <w:rFonts w:hint="eastAsia" w:ascii="宋体" w:hAnsi="宋体" w:eastAsia="宋体" w:cs="宋体"/>
          <w:b w:val="0"/>
          <w:bCs/>
          <w:color w:val="auto"/>
          <w:szCs w:val="24"/>
        </w:rPr>
        <w:t>treatment, was analyzed.</w:t>
      </w:r>
    </w:p>
    <w:p w14:paraId="14E0A011">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The results indicate a diverse spectrum of autoantibodies among </w:t>
      </w:r>
    </w:p>
    <w:p w14:paraId="7F7B8D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with TB. Some of the autoantibodies, such as rheumatoid factor and </w:t>
      </w:r>
    </w:p>
    <w:p w14:paraId="30F184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anti-phospholipid antibodies, are frequently detected. This can pose diagnostic </w:t>
      </w:r>
    </w:p>
    <w:p w14:paraId="1F173E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challenges by mimicking autoimmune diseases and may have implications for </w:t>
      </w:r>
    </w:p>
    <w:p w14:paraId="06B4EA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monitoring treatment response. Furthermore, the bidirectional relationship </w:t>
      </w:r>
    </w:p>
    <w:p w14:paraId="424D55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TB and autoimmune diseases, where one can increase the risk of the </w:t>
      </w:r>
    </w:p>
    <w:p w14:paraId="32B36BF3">
      <w:pPr>
        <w:rPr>
          <w:rFonts w:hint="eastAsia" w:ascii="宋体" w:hAnsi="宋体" w:eastAsia="宋体" w:cs="宋体"/>
          <w:b w:val="0"/>
          <w:bCs/>
          <w:color w:val="auto"/>
          <w:szCs w:val="24"/>
        </w:rPr>
      </w:pPr>
      <w:r>
        <w:rPr>
          <w:rFonts w:hint="eastAsia" w:ascii="宋体" w:hAnsi="宋体" w:eastAsia="宋体" w:cs="宋体"/>
          <w:b w:val="0"/>
          <w:bCs/>
          <w:color w:val="auto"/>
          <w:szCs w:val="24"/>
        </w:rPr>
        <w:t>other, underscores the need for careful clinical consideration.</w:t>
      </w:r>
    </w:p>
    <w:p w14:paraId="400835A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CONCLUSIONS: </w:t>
      </w:r>
      <w:r>
        <w:rPr>
          <w:rFonts w:hint="eastAsia" w:ascii="宋体" w:hAnsi="宋体" w:eastAsia="宋体" w:cs="宋体"/>
          <w:b w:val="0"/>
          <w:bCs/>
          <w:color w:val="auto"/>
          <w:szCs w:val="24"/>
        </w:rPr>
        <w:t xml:space="preserve">Understanding this complex association is crucial for improving the </w:t>
      </w:r>
    </w:p>
    <w:p w14:paraId="120890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management of TB, especially in individuals with or at risk of autoimmune </w:t>
      </w:r>
    </w:p>
    <w:p w14:paraId="070D1DA1">
      <w:pPr>
        <w:rPr>
          <w:rFonts w:hint="eastAsia" w:ascii="宋体" w:hAnsi="宋体" w:eastAsia="宋体" w:cs="宋体"/>
          <w:b w:val="0"/>
          <w:bCs/>
          <w:color w:val="auto"/>
          <w:szCs w:val="24"/>
        </w:rPr>
      </w:pPr>
      <w:r>
        <w:rPr>
          <w:rFonts w:hint="eastAsia" w:ascii="宋体" w:hAnsi="宋体" w:eastAsia="宋体" w:cs="宋体"/>
          <w:b w:val="0"/>
          <w:bCs/>
          <w:color w:val="auto"/>
          <w:szCs w:val="24"/>
        </w:rPr>
        <w:t>conditions.</w:t>
      </w:r>
    </w:p>
    <w:p w14:paraId="61615D72">
      <w:pPr>
        <w:rPr>
          <w:rFonts w:hint="eastAsia" w:ascii="宋体" w:hAnsi="宋体" w:eastAsia="宋体" w:cs="宋体"/>
          <w:b w:val="0"/>
          <w:bCs/>
          <w:color w:val="auto"/>
          <w:szCs w:val="24"/>
        </w:rPr>
      </w:pPr>
    </w:p>
    <w:p w14:paraId="4430DEC5">
      <w:pPr>
        <w:rPr>
          <w:rFonts w:hint="eastAsia" w:ascii="宋体" w:hAnsi="宋体" w:eastAsia="宋体" w:cs="宋体"/>
          <w:b w:val="0"/>
          <w:bCs/>
          <w:color w:val="auto"/>
          <w:szCs w:val="24"/>
        </w:rPr>
      </w:pPr>
      <w:r>
        <w:rPr>
          <w:rFonts w:hint="eastAsia" w:ascii="宋体" w:hAnsi="宋体" w:eastAsia="宋体" w:cs="宋体"/>
          <w:b w:val="0"/>
          <w:bCs/>
          <w:color w:val="auto"/>
          <w:szCs w:val="24"/>
        </w:rPr>
        <w:t>DOI: 10.4081/reumatismo.2026.1905</w:t>
      </w:r>
    </w:p>
    <w:p w14:paraId="2B1ED77C">
      <w:pPr>
        <w:rPr>
          <w:rFonts w:hint="eastAsia" w:ascii="宋体" w:hAnsi="宋体" w:eastAsia="宋体" w:cs="宋体"/>
          <w:b w:val="0"/>
          <w:bCs/>
          <w:color w:val="auto"/>
          <w:szCs w:val="24"/>
        </w:rPr>
      </w:pPr>
      <w:r>
        <w:rPr>
          <w:rFonts w:hint="eastAsia" w:ascii="宋体" w:hAnsi="宋体" w:eastAsia="宋体" w:cs="宋体"/>
          <w:b w:val="0"/>
          <w:bCs/>
          <w:color w:val="auto"/>
          <w:szCs w:val="24"/>
        </w:rPr>
        <w:t>PMID: 42719997</w:t>
      </w:r>
    </w:p>
    <w:p w14:paraId="58B5B07B">
      <w:pPr>
        <w:rPr>
          <w:rFonts w:hint="eastAsia" w:ascii="宋体" w:hAnsi="宋体" w:eastAsia="宋体" w:cs="宋体"/>
          <w:b w:val="0"/>
          <w:bCs/>
          <w:color w:val="auto"/>
          <w:szCs w:val="24"/>
        </w:rPr>
      </w:pPr>
    </w:p>
    <w:p w14:paraId="2AD4935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18</w:t>
      </w:r>
      <w:r>
        <w:rPr>
          <w:rFonts w:hint="eastAsia" w:ascii="宋体" w:hAnsi="宋体" w:eastAsia="宋体" w:cs="宋体"/>
          <w:b/>
          <w:bCs w:val="0"/>
          <w:color w:val="FF0000"/>
          <w:szCs w:val="24"/>
        </w:rPr>
        <w:t>. RSC Adv. 2026 Sep 9. doi: 10.1039/d6ra05328a. Online ahead of print.</w:t>
      </w:r>
    </w:p>
    <w:p w14:paraId="5A5CD68F">
      <w:pPr>
        <w:rPr>
          <w:rFonts w:hint="eastAsia" w:ascii="宋体" w:hAnsi="宋体" w:eastAsia="宋体" w:cs="宋体"/>
          <w:b w:val="0"/>
          <w:bCs/>
          <w:color w:val="auto"/>
          <w:szCs w:val="24"/>
        </w:rPr>
      </w:pPr>
    </w:p>
    <w:p w14:paraId="071C54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Discovery of new diaminoquinazolines against Mycobacterium tuberculosis: </w:t>
      </w:r>
    </w:p>
    <w:p w14:paraId="33847F4F">
      <w:pPr>
        <w:rPr>
          <w:rFonts w:hint="eastAsia" w:ascii="宋体" w:hAnsi="宋体" w:eastAsia="宋体" w:cs="宋体"/>
          <w:b w:val="0"/>
          <w:bCs/>
          <w:color w:val="auto"/>
          <w:szCs w:val="24"/>
        </w:rPr>
      </w:pPr>
      <w:r>
        <w:rPr>
          <w:rFonts w:hint="eastAsia" w:ascii="宋体" w:hAnsi="宋体" w:eastAsia="宋体" w:cs="宋体"/>
          <w:b w:val="0"/>
          <w:bCs/>
          <w:color w:val="auto"/>
          <w:szCs w:val="24"/>
        </w:rPr>
        <w:t>chemical synthesis and in vitro evaluation.</w:t>
      </w:r>
    </w:p>
    <w:p w14:paraId="7B7E3140">
      <w:pPr>
        <w:rPr>
          <w:rFonts w:hint="eastAsia" w:ascii="宋体" w:hAnsi="宋体" w:eastAsia="宋体" w:cs="宋体"/>
          <w:b w:val="0"/>
          <w:bCs/>
          <w:color w:val="auto"/>
          <w:szCs w:val="24"/>
        </w:rPr>
      </w:pPr>
    </w:p>
    <w:p w14:paraId="0FE4D02C">
      <w:pPr>
        <w:rPr>
          <w:rFonts w:hint="eastAsia" w:ascii="宋体" w:hAnsi="宋体" w:eastAsia="宋体" w:cs="宋体"/>
          <w:b w:val="0"/>
          <w:bCs/>
          <w:color w:val="auto"/>
          <w:szCs w:val="24"/>
        </w:rPr>
      </w:pPr>
      <w:r>
        <w:rPr>
          <w:rFonts w:hint="eastAsia" w:ascii="宋体" w:hAnsi="宋体" w:eastAsia="宋体" w:cs="宋体"/>
          <w:b w:val="0"/>
          <w:bCs/>
          <w:color w:val="auto"/>
          <w:szCs w:val="24"/>
        </w:rPr>
        <w:t>Kore M(1), Sundaramoorthy NS(2), Kidwai S(2), Singh R(2), Sundriyal S(1).</w:t>
      </w:r>
    </w:p>
    <w:p w14:paraId="412272C0">
      <w:pPr>
        <w:rPr>
          <w:rFonts w:hint="eastAsia" w:ascii="宋体" w:hAnsi="宋体" w:eastAsia="宋体" w:cs="宋体"/>
          <w:b w:val="0"/>
          <w:bCs/>
          <w:color w:val="auto"/>
          <w:szCs w:val="24"/>
        </w:rPr>
      </w:pPr>
    </w:p>
    <w:p w14:paraId="18BF49E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7C17E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Pharmacy, Birla Institute of Technology and Science Pilani </w:t>
      </w:r>
    </w:p>
    <w:p w14:paraId="68D3728D">
      <w:pPr>
        <w:rPr>
          <w:rFonts w:hint="eastAsia" w:ascii="宋体" w:hAnsi="宋体" w:eastAsia="宋体" w:cs="宋体"/>
          <w:b w:val="0"/>
          <w:bCs/>
          <w:color w:val="auto"/>
          <w:szCs w:val="24"/>
        </w:rPr>
      </w:pPr>
      <w:r>
        <w:rPr>
          <w:rFonts w:hint="eastAsia" w:ascii="宋体" w:hAnsi="宋体" w:eastAsia="宋体" w:cs="宋体"/>
          <w:b w:val="0"/>
          <w:bCs/>
          <w:color w:val="auto"/>
          <w:szCs w:val="24"/>
        </w:rPr>
        <w:t>Pilani Campus Rajasthan 333031 India sandeep.sundriyal@pilani.bits-pilani.ac.in.</w:t>
      </w:r>
    </w:p>
    <w:p w14:paraId="0C8BC1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(2)Center for Tuberculosis Research, Tuberculosis Research Laboratory, </w:t>
      </w:r>
    </w:p>
    <w:p w14:paraId="56842C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BRIC-Translational Health Science and Technology Institute NCR Biotech Cluster </w:t>
      </w:r>
    </w:p>
    <w:p w14:paraId="431E7EA5">
      <w:pPr>
        <w:rPr>
          <w:rFonts w:hint="eastAsia" w:ascii="宋体" w:hAnsi="宋体" w:eastAsia="宋体" w:cs="宋体"/>
          <w:b w:val="0"/>
          <w:bCs/>
          <w:color w:val="auto"/>
          <w:szCs w:val="24"/>
        </w:rPr>
      </w:pPr>
      <w:r>
        <w:rPr>
          <w:rFonts w:hint="eastAsia" w:ascii="宋体" w:hAnsi="宋体" w:eastAsia="宋体" w:cs="宋体"/>
          <w:b w:val="0"/>
          <w:bCs/>
          <w:color w:val="auto"/>
          <w:szCs w:val="24"/>
        </w:rPr>
        <w:t>Faridabad 121001 India ramandeep@thsti.res.in.</w:t>
      </w:r>
    </w:p>
    <w:p w14:paraId="3809C966">
      <w:pPr>
        <w:rPr>
          <w:rFonts w:hint="eastAsia" w:ascii="宋体" w:hAnsi="宋体" w:eastAsia="宋体" w:cs="宋体"/>
          <w:b w:val="0"/>
          <w:bCs/>
          <w:color w:val="auto"/>
          <w:szCs w:val="24"/>
        </w:rPr>
      </w:pPr>
    </w:p>
    <w:p w14:paraId="03002C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Despite the availability of multiple treatment options, the emergence of </w:t>
      </w:r>
    </w:p>
    <w:p w14:paraId="2F99D6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drug-resistant Mycobacterium tuberculosis (Mtb) strains presents a significant </w:t>
      </w:r>
    </w:p>
    <w:p w14:paraId="393188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health concern worldwide. This necessitates the development of novel </w:t>
      </w:r>
    </w:p>
    <w:p w14:paraId="10BA91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antitubercular agents with distinct mechanisms of action. Diaminoquinazolines </w:t>
      </w:r>
    </w:p>
    <w:p w14:paraId="24E978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(DAQs) have demonstrated antimicrobial and antiparasitic potential, yet their </w:t>
      </w:r>
    </w:p>
    <w:p w14:paraId="6988C7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exploration against Mtb remains underexplored. To expand the DAQ SAR, we have </w:t>
      </w:r>
    </w:p>
    <w:p w14:paraId="1E6F1C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synthesized diverse derivatives featuring novel C2/C4 amine combinations and </w:t>
      </w:r>
    </w:p>
    <w:p w14:paraId="39C26C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core modifications and evaluated their activity against Mtb. SAR analysis </w:t>
      </w:r>
    </w:p>
    <w:p w14:paraId="5E0248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identified 1-benzylpiperidin-4-amine at C4 paired with 4-phenoxyaniline at C2 as </w:t>
      </w:r>
    </w:p>
    <w:p w14:paraId="5FCEB91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optimal, delivering analogues 14c and 14f-14k with potent activity against </w:t>
      </w:r>
    </w:p>
    <w:p w14:paraId="2F4AF4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wild-type and MDR Mtb strains. The analogues were also active against M. bovis </w:t>
      </w:r>
    </w:p>
    <w:p w14:paraId="382182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BCG harboring mutations in mmpL3, hadC and katG, indicating these targets are </w:t>
      </w:r>
    </w:p>
    <w:p w14:paraId="3339D5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not involved in DAQs mechanism of action. Therefore, these DAQ analogues offer </w:t>
      </w:r>
    </w:p>
    <w:p w14:paraId="51B7D3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promising starting points for the design of molecules against drug-resistant </w:t>
      </w:r>
    </w:p>
    <w:p w14:paraId="704F2739">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w:t>
      </w:r>
    </w:p>
    <w:p w14:paraId="1641E14F">
      <w:pPr>
        <w:rPr>
          <w:rFonts w:hint="eastAsia" w:ascii="宋体" w:hAnsi="宋体" w:eastAsia="宋体" w:cs="宋体"/>
          <w:b w:val="0"/>
          <w:bCs/>
          <w:color w:val="auto"/>
          <w:szCs w:val="24"/>
        </w:rPr>
      </w:pPr>
    </w:p>
    <w:p w14:paraId="77859BF9">
      <w:pPr>
        <w:rPr>
          <w:rFonts w:hint="eastAsia" w:ascii="宋体" w:hAnsi="宋体" w:eastAsia="宋体" w:cs="宋体"/>
          <w:b w:val="0"/>
          <w:bCs/>
          <w:color w:val="auto"/>
          <w:szCs w:val="24"/>
        </w:rPr>
      </w:pPr>
      <w:r>
        <w:rPr>
          <w:rFonts w:hint="eastAsia" w:ascii="宋体" w:hAnsi="宋体" w:eastAsia="宋体" w:cs="宋体"/>
          <w:b w:val="0"/>
          <w:bCs/>
          <w:color w:val="auto"/>
          <w:szCs w:val="24"/>
        </w:rPr>
        <w:t>This journal is © The Royal Society of Chemistry.</w:t>
      </w:r>
    </w:p>
    <w:p w14:paraId="1F00312C">
      <w:pPr>
        <w:rPr>
          <w:rFonts w:hint="eastAsia" w:ascii="宋体" w:hAnsi="宋体" w:eastAsia="宋体" w:cs="宋体"/>
          <w:b w:val="0"/>
          <w:bCs/>
          <w:color w:val="auto"/>
          <w:szCs w:val="24"/>
        </w:rPr>
      </w:pPr>
    </w:p>
    <w:p w14:paraId="0BCAEE11">
      <w:pPr>
        <w:rPr>
          <w:rFonts w:hint="eastAsia" w:ascii="宋体" w:hAnsi="宋体" w:eastAsia="宋体" w:cs="宋体"/>
          <w:b w:val="0"/>
          <w:bCs/>
          <w:color w:val="auto"/>
          <w:szCs w:val="24"/>
        </w:rPr>
      </w:pPr>
      <w:r>
        <w:rPr>
          <w:rFonts w:hint="eastAsia" w:ascii="宋体" w:hAnsi="宋体" w:eastAsia="宋体" w:cs="宋体"/>
          <w:b w:val="0"/>
          <w:bCs/>
          <w:color w:val="auto"/>
          <w:szCs w:val="24"/>
        </w:rPr>
        <w:t>DOI: 10.1039/d6ra05328a</w:t>
      </w:r>
    </w:p>
    <w:p w14:paraId="2B2E4F1F">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PMC13556209</w:t>
      </w:r>
    </w:p>
    <w:p w14:paraId="62E5452E">
      <w:pPr>
        <w:rPr>
          <w:rFonts w:hint="eastAsia" w:ascii="宋体" w:hAnsi="宋体" w:eastAsia="宋体" w:cs="宋体"/>
          <w:b w:val="0"/>
          <w:bCs/>
          <w:color w:val="auto"/>
          <w:szCs w:val="24"/>
        </w:rPr>
      </w:pPr>
      <w:r>
        <w:rPr>
          <w:rFonts w:hint="eastAsia" w:ascii="宋体" w:hAnsi="宋体" w:eastAsia="宋体" w:cs="宋体"/>
          <w:b w:val="0"/>
          <w:bCs/>
          <w:color w:val="auto"/>
          <w:szCs w:val="24"/>
        </w:rPr>
        <w:t>PMID: 42719720</w:t>
      </w:r>
    </w:p>
    <w:p w14:paraId="12C7B2D5">
      <w:pPr>
        <w:rPr>
          <w:rFonts w:hint="eastAsia" w:ascii="宋体" w:hAnsi="宋体" w:eastAsia="宋体" w:cs="宋体"/>
          <w:b w:val="0"/>
          <w:bCs/>
          <w:color w:val="auto"/>
          <w:szCs w:val="24"/>
        </w:rPr>
      </w:pPr>
    </w:p>
    <w:p w14:paraId="3BCA1670">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19</w:t>
      </w:r>
      <w:r>
        <w:rPr>
          <w:rFonts w:hint="eastAsia" w:ascii="宋体" w:hAnsi="宋体" w:eastAsia="宋体" w:cs="宋体"/>
          <w:b/>
          <w:bCs w:val="0"/>
          <w:color w:val="FF0000"/>
          <w:szCs w:val="24"/>
        </w:rPr>
        <w:t xml:space="preserve">. Clin Case Rep. 2026 Sep 9;14(9):e73493. doi: 10.1002/ccr3.73493. eCollection </w:t>
      </w:r>
    </w:p>
    <w:p w14:paraId="08DE0DAE">
      <w:pPr>
        <w:rPr>
          <w:rFonts w:hint="eastAsia" w:ascii="宋体" w:hAnsi="宋体" w:eastAsia="宋体" w:cs="宋体"/>
          <w:b/>
          <w:bCs w:val="0"/>
          <w:color w:val="FF0000"/>
          <w:szCs w:val="24"/>
        </w:rPr>
      </w:pPr>
      <w:r>
        <w:rPr>
          <w:rFonts w:hint="eastAsia" w:ascii="宋体" w:hAnsi="宋体" w:eastAsia="宋体" w:cs="宋体"/>
          <w:b/>
          <w:bCs w:val="0"/>
          <w:color w:val="FF0000"/>
          <w:szCs w:val="24"/>
        </w:rPr>
        <w:t>2026 Sep.</w:t>
      </w:r>
    </w:p>
    <w:p w14:paraId="6B0B3CD4">
      <w:pPr>
        <w:rPr>
          <w:rFonts w:hint="eastAsia" w:ascii="宋体" w:hAnsi="宋体" w:eastAsia="宋体" w:cs="宋体"/>
          <w:b w:val="0"/>
          <w:bCs/>
          <w:color w:val="auto"/>
          <w:szCs w:val="24"/>
        </w:rPr>
      </w:pPr>
    </w:p>
    <w:p w14:paraId="225B61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Laparoscopy and Peritoneal Biopsy in the Diagnosis of Peritoneal Tuberculosis: A </w:t>
      </w:r>
    </w:p>
    <w:p w14:paraId="455FE5E8">
      <w:pPr>
        <w:rPr>
          <w:rFonts w:hint="eastAsia" w:ascii="宋体" w:hAnsi="宋体" w:eastAsia="宋体" w:cs="宋体"/>
          <w:b w:val="0"/>
          <w:bCs/>
          <w:color w:val="auto"/>
          <w:szCs w:val="24"/>
        </w:rPr>
      </w:pPr>
      <w:r>
        <w:rPr>
          <w:rFonts w:hint="eastAsia" w:ascii="宋体" w:hAnsi="宋体" w:eastAsia="宋体" w:cs="宋体"/>
          <w:b w:val="0"/>
          <w:bCs/>
          <w:color w:val="auto"/>
          <w:szCs w:val="24"/>
        </w:rPr>
        <w:t>Case Report.</w:t>
      </w:r>
    </w:p>
    <w:p w14:paraId="095C6E71">
      <w:pPr>
        <w:rPr>
          <w:rFonts w:hint="eastAsia" w:ascii="宋体" w:hAnsi="宋体" w:eastAsia="宋体" w:cs="宋体"/>
          <w:b w:val="0"/>
          <w:bCs/>
          <w:color w:val="auto"/>
          <w:szCs w:val="24"/>
        </w:rPr>
      </w:pPr>
    </w:p>
    <w:p w14:paraId="4CCD55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Gundapaneni SRC(1), Divity S(2), Banka AV(3), Burri RG(4), Narayan N(5), Vityala </w:t>
      </w:r>
    </w:p>
    <w:p w14:paraId="19BC1D6A">
      <w:pPr>
        <w:rPr>
          <w:rFonts w:hint="eastAsia" w:ascii="宋体" w:hAnsi="宋体" w:eastAsia="宋体" w:cs="宋体"/>
          <w:b w:val="0"/>
          <w:bCs/>
          <w:color w:val="auto"/>
          <w:szCs w:val="24"/>
        </w:rPr>
      </w:pPr>
      <w:r>
        <w:rPr>
          <w:rFonts w:hint="eastAsia" w:ascii="宋体" w:hAnsi="宋体" w:eastAsia="宋体" w:cs="宋体"/>
          <w:b w:val="0"/>
          <w:bCs/>
          <w:color w:val="auto"/>
          <w:szCs w:val="24"/>
        </w:rPr>
        <w:t>Y(6).</w:t>
      </w:r>
    </w:p>
    <w:p w14:paraId="0E5AF05F">
      <w:pPr>
        <w:rPr>
          <w:rFonts w:hint="eastAsia" w:ascii="宋体" w:hAnsi="宋体" w:eastAsia="宋体" w:cs="宋体"/>
          <w:b w:val="0"/>
          <w:bCs/>
          <w:color w:val="auto"/>
          <w:szCs w:val="24"/>
        </w:rPr>
      </w:pPr>
    </w:p>
    <w:p w14:paraId="3D01B9D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8BADAF2">
      <w:pPr>
        <w:rPr>
          <w:rFonts w:hint="eastAsia" w:ascii="宋体" w:hAnsi="宋体" w:eastAsia="宋体" w:cs="宋体"/>
          <w:b w:val="0"/>
          <w:bCs/>
          <w:color w:val="auto"/>
          <w:szCs w:val="24"/>
        </w:rPr>
      </w:pPr>
      <w:r>
        <w:rPr>
          <w:rFonts w:hint="eastAsia" w:ascii="宋体" w:hAnsi="宋体" w:eastAsia="宋体" w:cs="宋体"/>
          <w:b w:val="0"/>
          <w:bCs/>
          <w:color w:val="auto"/>
          <w:szCs w:val="24"/>
        </w:rPr>
        <w:t>(1)Department of General Medicine Rangaraya Medical College Kakinada India.</w:t>
      </w:r>
    </w:p>
    <w:p w14:paraId="675837FE">
      <w:pPr>
        <w:rPr>
          <w:rFonts w:hint="eastAsia" w:ascii="宋体" w:hAnsi="宋体" w:eastAsia="宋体" w:cs="宋体"/>
          <w:b w:val="0"/>
          <w:bCs/>
          <w:color w:val="auto"/>
          <w:szCs w:val="24"/>
        </w:rPr>
      </w:pPr>
      <w:r>
        <w:rPr>
          <w:rFonts w:hint="eastAsia" w:ascii="宋体" w:hAnsi="宋体" w:eastAsia="宋体" w:cs="宋体"/>
          <w:b w:val="0"/>
          <w:bCs/>
          <w:color w:val="auto"/>
          <w:szCs w:val="24"/>
        </w:rPr>
        <w:t>(2)Department of General Medicine Government Medical College Mahabubnagar India.</w:t>
      </w:r>
    </w:p>
    <w:p w14:paraId="41FCE2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Internal Medicine, Sri Laxmi Multi Speciality Hospital </w:t>
      </w:r>
    </w:p>
    <w:p w14:paraId="3DBEEFD6">
      <w:pPr>
        <w:rPr>
          <w:rFonts w:hint="eastAsia" w:ascii="宋体" w:hAnsi="宋体" w:eastAsia="宋体" w:cs="宋体"/>
          <w:b w:val="0"/>
          <w:bCs/>
          <w:color w:val="auto"/>
          <w:szCs w:val="24"/>
        </w:rPr>
      </w:pPr>
      <w:r>
        <w:rPr>
          <w:rFonts w:hint="eastAsia" w:ascii="宋体" w:hAnsi="宋体" w:eastAsia="宋体" w:cs="宋体"/>
          <w:b w:val="0"/>
          <w:bCs/>
          <w:color w:val="auto"/>
          <w:szCs w:val="24"/>
        </w:rPr>
        <w:t>Laparoscopic and Research Centre Hyderabad Telangana India.</w:t>
      </w:r>
    </w:p>
    <w:p w14:paraId="688EEA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General Medicine Maheshwara Medical College and Hospital </w:t>
      </w:r>
    </w:p>
    <w:p w14:paraId="756389AB">
      <w:pPr>
        <w:rPr>
          <w:rFonts w:hint="eastAsia" w:ascii="宋体" w:hAnsi="宋体" w:eastAsia="宋体" w:cs="宋体"/>
          <w:b w:val="0"/>
          <w:bCs/>
          <w:color w:val="auto"/>
          <w:szCs w:val="24"/>
        </w:rPr>
      </w:pPr>
      <w:r>
        <w:rPr>
          <w:rFonts w:hint="eastAsia" w:ascii="宋体" w:hAnsi="宋体" w:eastAsia="宋体" w:cs="宋体"/>
          <w:b w:val="0"/>
          <w:bCs/>
          <w:color w:val="auto"/>
          <w:szCs w:val="24"/>
        </w:rPr>
        <w:t>Hyderabad India.</w:t>
      </w:r>
    </w:p>
    <w:p w14:paraId="5B2374FB">
      <w:pPr>
        <w:rPr>
          <w:rFonts w:hint="eastAsia" w:ascii="宋体" w:hAnsi="宋体" w:eastAsia="宋体" w:cs="宋体"/>
          <w:b w:val="0"/>
          <w:bCs/>
          <w:color w:val="auto"/>
          <w:szCs w:val="24"/>
        </w:rPr>
      </w:pPr>
      <w:r>
        <w:rPr>
          <w:rFonts w:hint="eastAsia" w:ascii="宋体" w:hAnsi="宋体" w:eastAsia="宋体" w:cs="宋体"/>
          <w:b w:val="0"/>
          <w:bCs/>
          <w:color w:val="auto"/>
          <w:szCs w:val="24"/>
        </w:rPr>
        <w:t>(5)Department of General Medicine SVS Medical College Mahabubnagar India.</w:t>
      </w:r>
    </w:p>
    <w:p w14:paraId="17F354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Pathology International Higher School of Medicine Bishkek </w:t>
      </w:r>
    </w:p>
    <w:p w14:paraId="7D801CEB">
      <w:pPr>
        <w:rPr>
          <w:rFonts w:hint="eastAsia" w:ascii="宋体" w:hAnsi="宋体" w:eastAsia="宋体" w:cs="宋体"/>
          <w:b w:val="0"/>
          <w:bCs/>
          <w:color w:val="auto"/>
          <w:szCs w:val="24"/>
        </w:rPr>
      </w:pPr>
      <w:r>
        <w:rPr>
          <w:rFonts w:hint="eastAsia" w:ascii="宋体" w:hAnsi="宋体" w:eastAsia="宋体" w:cs="宋体"/>
          <w:b w:val="0"/>
          <w:bCs/>
          <w:color w:val="auto"/>
          <w:szCs w:val="24"/>
        </w:rPr>
        <w:t>Kyrgyzstan.</w:t>
      </w:r>
    </w:p>
    <w:p w14:paraId="0AEA1AAF">
      <w:pPr>
        <w:rPr>
          <w:rFonts w:hint="eastAsia" w:ascii="宋体" w:hAnsi="宋体" w:eastAsia="宋体" w:cs="宋体"/>
          <w:b w:val="0"/>
          <w:bCs/>
          <w:color w:val="auto"/>
          <w:szCs w:val="24"/>
        </w:rPr>
      </w:pPr>
    </w:p>
    <w:p w14:paraId="17289E6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48-year-old male was initially diagnosed with pulmonary tuberculosis (TB) </w:t>
      </w:r>
    </w:p>
    <w:p w14:paraId="4E5838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based on presenting symptoms, abdominal complications, and systemic symptoms, </w:t>
      </w:r>
    </w:p>
    <w:p w14:paraId="7AAC7D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despite anti-TB treatment. Diagnostic laparoscopy and histopathological </w:t>
      </w:r>
    </w:p>
    <w:p w14:paraId="19C821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examination of biopsy samples confirmed peritoneal TB, leading to an adjusted </w:t>
      </w:r>
    </w:p>
    <w:p w14:paraId="21CE089C">
      <w:pPr>
        <w:rPr>
          <w:rFonts w:hint="eastAsia" w:ascii="宋体" w:hAnsi="宋体" w:eastAsia="宋体" w:cs="宋体"/>
          <w:b w:val="0"/>
          <w:bCs/>
          <w:color w:val="auto"/>
          <w:szCs w:val="24"/>
        </w:rPr>
      </w:pPr>
      <w:r>
        <w:rPr>
          <w:rFonts w:hint="eastAsia" w:ascii="宋体" w:hAnsi="宋体" w:eastAsia="宋体" w:cs="宋体"/>
          <w:b w:val="0"/>
          <w:bCs/>
          <w:color w:val="auto"/>
          <w:szCs w:val="24"/>
        </w:rPr>
        <w:t>anti-TB regimen and significant clinical improvement over six months.</w:t>
      </w:r>
    </w:p>
    <w:p w14:paraId="0686257F">
      <w:pPr>
        <w:rPr>
          <w:rFonts w:hint="eastAsia" w:ascii="宋体" w:hAnsi="宋体" w:eastAsia="宋体" w:cs="宋体"/>
          <w:b w:val="0"/>
          <w:bCs/>
          <w:color w:val="auto"/>
          <w:szCs w:val="24"/>
        </w:rPr>
      </w:pPr>
    </w:p>
    <w:p w14:paraId="37ABFA8A">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 Clinical Case Reports published by John Wiley &amp; Sons Ltd.</w:t>
      </w:r>
    </w:p>
    <w:p w14:paraId="502238F5">
      <w:pPr>
        <w:rPr>
          <w:rFonts w:hint="eastAsia" w:ascii="宋体" w:hAnsi="宋体" w:eastAsia="宋体" w:cs="宋体"/>
          <w:b w:val="0"/>
          <w:bCs/>
          <w:color w:val="auto"/>
          <w:szCs w:val="24"/>
        </w:rPr>
      </w:pPr>
    </w:p>
    <w:p w14:paraId="3B3ABF3E">
      <w:pPr>
        <w:rPr>
          <w:rFonts w:hint="eastAsia" w:ascii="宋体" w:hAnsi="宋体" w:eastAsia="宋体" w:cs="宋体"/>
          <w:b w:val="0"/>
          <w:bCs/>
          <w:color w:val="auto"/>
          <w:szCs w:val="24"/>
        </w:rPr>
      </w:pPr>
      <w:r>
        <w:rPr>
          <w:rFonts w:hint="eastAsia" w:ascii="宋体" w:hAnsi="宋体" w:eastAsia="宋体" w:cs="宋体"/>
          <w:b w:val="0"/>
          <w:bCs/>
          <w:color w:val="auto"/>
          <w:szCs w:val="24"/>
        </w:rPr>
        <w:t>DOI: 10.1002/ccr3.73493</w:t>
      </w:r>
    </w:p>
    <w:p w14:paraId="112BD5FC">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PMC13555281</w:t>
      </w:r>
    </w:p>
    <w:p w14:paraId="34B592BD">
      <w:pPr>
        <w:rPr>
          <w:rFonts w:hint="eastAsia" w:ascii="宋体" w:hAnsi="宋体" w:eastAsia="宋体" w:cs="宋体"/>
          <w:b w:val="0"/>
          <w:bCs/>
          <w:color w:val="auto"/>
          <w:szCs w:val="24"/>
        </w:rPr>
      </w:pPr>
      <w:r>
        <w:rPr>
          <w:rFonts w:hint="eastAsia" w:ascii="宋体" w:hAnsi="宋体" w:eastAsia="宋体" w:cs="宋体"/>
          <w:b w:val="0"/>
          <w:bCs/>
          <w:color w:val="auto"/>
          <w:szCs w:val="24"/>
        </w:rPr>
        <w:t>PMID: 42719061</w:t>
      </w:r>
    </w:p>
    <w:p w14:paraId="4EF948A0">
      <w:pPr>
        <w:rPr>
          <w:rFonts w:hint="eastAsia" w:ascii="宋体" w:hAnsi="宋体" w:eastAsia="宋体" w:cs="宋体"/>
          <w:b w:val="0"/>
          <w:bCs/>
          <w:color w:val="auto"/>
          <w:szCs w:val="24"/>
        </w:rPr>
      </w:pPr>
    </w:p>
    <w:p w14:paraId="192ECF22">
      <w:pPr>
        <w:rPr>
          <w:rFonts w:hint="eastAsia" w:ascii="宋体" w:hAnsi="宋体" w:eastAsia="宋体" w:cs="宋体"/>
          <w:b/>
          <w:bCs w:val="0"/>
          <w:color w:val="FF0000"/>
          <w:szCs w:val="24"/>
        </w:rPr>
      </w:pPr>
      <w:r>
        <w:rPr>
          <w:rFonts w:hint="eastAsia" w:ascii="宋体" w:hAnsi="宋体" w:eastAsia="宋体" w:cs="宋体"/>
          <w:b/>
          <w:bCs w:val="0"/>
          <w:color w:val="FF0000"/>
          <w:szCs w:val="24"/>
        </w:rPr>
        <w:t>2</w:t>
      </w:r>
      <w:r>
        <w:rPr>
          <w:rFonts w:hint="eastAsia" w:ascii="宋体" w:hAnsi="宋体" w:eastAsia="宋体" w:cs="宋体"/>
          <w:b/>
          <w:bCs w:val="0"/>
          <w:color w:val="FF0000"/>
          <w:szCs w:val="24"/>
          <w:lang w:val="en-US" w:eastAsia="zh-CN"/>
        </w:rPr>
        <w:t>0</w:t>
      </w:r>
      <w:r>
        <w:rPr>
          <w:rFonts w:hint="eastAsia" w:ascii="宋体" w:hAnsi="宋体" w:eastAsia="宋体" w:cs="宋体"/>
          <w:b/>
          <w:bCs w:val="0"/>
          <w:color w:val="FF0000"/>
          <w:szCs w:val="24"/>
        </w:rPr>
        <w:t>. AAPS PharmSciTech. 2026 Sep 9;27(7):279. doi: 10.1208/s12249-026-03495-3.</w:t>
      </w:r>
    </w:p>
    <w:p w14:paraId="7A18F1D0">
      <w:pPr>
        <w:rPr>
          <w:rFonts w:hint="eastAsia" w:ascii="宋体" w:hAnsi="宋体" w:eastAsia="宋体" w:cs="宋体"/>
          <w:b w:val="0"/>
          <w:bCs/>
          <w:color w:val="auto"/>
          <w:szCs w:val="24"/>
        </w:rPr>
      </w:pPr>
    </w:p>
    <w:p w14:paraId="1FA24E6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Self-emulsifying Delivery System for Improving Biopharmaceutical Performance of </w:t>
      </w:r>
    </w:p>
    <w:p w14:paraId="5C44FE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Novel Antitubercular Agent: Formulation Development, Biological Activity and </w:t>
      </w:r>
    </w:p>
    <w:p w14:paraId="7DDE70FC">
      <w:pPr>
        <w:rPr>
          <w:rFonts w:hint="eastAsia" w:ascii="宋体" w:hAnsi="宋体" w:eastAsia="宋体" w:cs="宋体"/>
          <w:b w:val="0"/>
          <w:bCs/>
          <w:color w:val="auto"/>
          <w:szCs w:val="24"/>
        </w:rPr>
      </w:pPr>
      <w:r>
        <w:rPr>
          <w:rFonts w:hint="eastAsia" w:ascii="宋体" w:hAnsi="宋体" w:eastAsia="宋体" w:cs="宋体"/>
          <w:b w:val="0"/>
          <w:bCs/>
          <w:color w:val="auto"/>
          <w:szCs w:val="24"/>
        </w:rPr>
        <w:t>Pharmacokinetic Evaluation.</w:t>
      </w:r>
    </w:p>
    <w:p w14:paraId="61456D26">
      <w:pPr>
        <w:rPr>
          <w:rFonts w:hint="eastAsia" w:ascii="宋体" w:hAnsi="宋体" w:eastAsia="宋体" w:cs="宋体"/>
          <w:b w:val="0"/>
          <w:bCs/>
          <w:color w:val="auto"/>
          <w:szCs w:val="24"/>
        </w:rPr>
      </w:pPr>
    </w:p>
    <w:p w14:paraId="072B6C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Paudwal G(1)(2), Dolkar R(1)(2), Negi A(3)(2), Bhardwaj M(1)(2), Sharma R(3)(2), </w:t>
      </w:r>
    </w:p>
    <w:p w14:paraId="3FA13D60">
      <w:pPr>
        <w:rPr>
          <w:rFonts w:hint="eastAsia" w:ascii="宋体" w:hAnsi="宋体" w:eastAsia="宋体" w:cs="宋体"/>
          <w:b w:val="0"/>
          <w:bCs/>
          <w:color w:val="auto"/>
          <w:szCs w:val="24"/>
        </w:rPr>
      </w:pPr>
      <w:r>
        <w:rPr>
          <w:rFonts w:hint="eastAsia" w:ascii="宋体" w:hAnsi="宋体" w:eastAsia="宋体" w:cs="宋体"/>
          <w:b w:val="0"/>
          <w:bCs/>
          <w:color w:val="auto"/>
          <w:szCs w:val="24"/>
        </w:rPr>
        <w:t>Singh PP(4)(2), Gupta PN(5)(6).</w:t>
      </w:r>
    </w:p>
    <w:p w14:paraId="2136019C">
      <w:pPr>
        <w:rPr>
          <w:rFonts w:hint="eastAsia" w:ascii="宋体" w:hAnsi="宋体" w:eastAsia="宋体" w:cs="宋体"/>
          <w:b w:val="0"/>
          <w:bCs/>
          <w:color w:val="auto"/>
          <w:szCs w:val="24"/>
        </w:rPr>
      </w:pPr>
    </w:p>
    <w:p w14:paraId="72C4620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6FDA1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(1)Pharmacology Division, CSIR-Indian Institute of Integrative Medicine, Canal </w:t>
      </w:r>
    </w:p>
    <w:p w14:paraId="765CADE8">
      <w:pPr>
        <w:rPr>
          <w:rFonts w:hint="eastAsia" w:ascii="宋体" w:hAnsi="宋体" w:eastAsia="宋体" w:cs="宋体"/>
          <w:b w:val="0"/>
          <w:bCs/>
          <w:color w:val="auto"/>
          <w:szCs w:val="24"/>
        </w:rPr>
      </w:pPr>
      <w:r>
        <w:rPr>
          <w:rFonts w:hint="eastAsia" w:ascii="宋体" w:hAnsi="宋体" w:eastAsia="宋体" w:cs="宋体"/>
          <w:b w:val="0"/>
          <w:bCs/>
          <w:color w:val="auto"/>
          <w:szCs w:val="24"/>
        </w:rPr>
        <w:t>Road, Jammu, 180001, India.</w:t>
      </w:r>
    </w:p>
    <w:p w14:paraId="7DBF7A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(2)Academy of Scientific and Innovative Research (AcSIR), Ghaziabad, 201002, </w:t>
      </w:r>
    </w:p>
    <w:p w14:paraId="72DF320E">
      <w:pPr>
        <w:rPr>
          <w:rFonts w:hint="eastAsia" w:ascii="宋体" w:hAnsi="宋体" w:eastAsia="宋体" w:cs="宋体"/>
          <w:b w:val="0"/>
          <w:bCs/>
          <w:color w:val="auto"/>
          <w:szCs w:val="24"/>
        </w:rPr>
      </w:pPr>
      <w:r>
        <w:rPr>
          <w:rFonts w:hint="eastAsia" w:ascii="宋体" w:hAnsi="宋体" w:eastAsia="宋体" w:cs="宋体"/>
          <w:b w:val="0"/>
          <w:bCs/>
          <w:color w:val="auto"/>
          <w:szCs w:val="24"/>
        </w:rPr>
        <w:t>India.</w:t>
      </w:r>
    </w:p>
    <w:p w14:paraId="20ED7F9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(3)Infectious Diseases Division, CSIR-Indian Institute of Integrative Medicine, </w:t>
      </w:r>
    </w:p>
    <w:p w14:paraId="2039235E">
      <w:pPr>
        <w:rPr>
          <w:rFonts w:hint="eastAsia" w:ascii="宋体" w:hAnsi="宋体" w:eastAsia="宋体" w:cs="宋体"/>
          <w:b w:val="0"/>
          <w:bCs/>
          <w:color w:val="auto"/>
          <w:szCs w:val="24"/>
        </w:rPr>
      </w:pPr>
      <w:r>
        <w:rPr>
          <w:rFonts w:hint="eastAsia" w:ascii="宋体" w:hAnsi="宋体" w:eastAsia="宋体" w:cs="宋体"/>
          <w:b w:val="0"/>
          <w:bCs/>
          <w:color w:val="auto"/>
          <w:szCs w:val="24"/>
        </w:rPr>
        <w:t>Canal Road, Jammu, 180001, India.</w:t>
      </w:r>
    </w:p>
    <w:p w14:paraId="749209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(4)Natural Products &amp; Medicinal Chemistry Division, CSIR-Indian Institute of </w:t>
      </w:r>
    </w:p>
    <w:p w14:paraId="20A87ACD">
      <w:pPr>
        <w:rPr>
          <w:rFonts w:hint="eastAsia" w:ascii="宋体" w:hAnsi="宋体" w:eastAsia="宋体" w:cs="宋体"/>
          <w:b w:val="0"/>
          <w:bCs/>
          <w:color w:val="auto"/>
          <w:szCs w:val="24"/>
        </w:rPr>
      </w:pPr>
      <w:r>
        <w:rPr>
          <w:rFonts w:hint="eastAsia" w:ascii="宋体" w:hAnsi="宋体" w:eastAsia="宋体" w:cs="宋体"/>
          <w:b w:val="0"/>
          <w:bCs/>
          <w:color w:val="auto"/>
          <w:szCs w:val="24"/>
        </w:rPr>
        <w:t>Integrative Medicine, Canal Road, Jammu, 180001, India.</w:t>
      </w:r>
    </w:p>
    <w:p w14:paraId="30627B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(5)Pharmacology Division, CSIR-Indian Institute of Integrative Medicine, Canal </w:t>
      </w:r>
    </w:p>
    <w:p w14:paraId="04ECCF72">
      <w:pPr>
        <w:rPr>
          <w:rFonts w:hint="eastAsia" w:ascii="宋体" w:hAnsi="宋体" w:eastAsia="宋体" w:cs="宋体"/>
          <w:b w:val="0"/>
          <w:bCs/>
          <w:color w:val="auto"/>
          <w:szCs w:val="24"/>
        </w:rPr>
      </w:pPr>
      <w:r>
        <w:rPr>
          <w:rFonts w:hint="eastAsia" w:ascii="宋体" w:hAnsi="宋体" w:eastAsia="宋体" w:cs="宋体"/>
          <w:b w:val="0"/>
          <w:bCs/>
          <w:color w:val="auto"/>
          <w:szCs w:val="24"/>
        </w:rPr>
        <w:t>Road, Jammu, 180001, India. pngupta@iiim.ac.in.</w:t>
      </w:r>
    </w:p>
    <w:p w14:paraId="59C832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(6)Academy of Scientific and Innovative Research (AcSIR), Ghaziabad, 201002, </w:t>
      </w:r>
    </w:p>
    <w:p w14:paraId="16542E0D">
      <w:pPr>
        <w:rPr>
          <w:rFonts w:hint="eastAsia" w:ascii="宋体" w:hAnsi="宋体" w:eastAsia="宋体" w:cs="宋体"/>
          <w:b w:val="0"/>
          <w:bCs/>
          <w:color w:val="auto"/>
          <w:szCs w:val="24"/>
        </w:rPr>
      </w:pPr>
      <w:r>
        <w:rPr>
          <w:rFonts w:hint="eastAsia" w:ascii="宋体" w:hAnsi="宋体" w:eastAsia="宋体" w:cs="宋体"/>
          <w:b w:val="0"/>
          <w:bCs/>
          <w:color w:val="auto"/>
          <w:szCs w:val="24"/>
        </w:rPr>
        <w:t>India. pngupta@iiim.ac.in.</w:t>
      </w:r>
    </w:p>
    <w:p w14:paraId="3714E421">
      <w:pPr>
        <w:rPr>
          <w:rFonts w:hint="eastAsia" w:ascii="宋体" w:hAnsi="宋体" w:eastAsia="宋体" w:cs="宋体"/>
          <w:b w:val="0"/>
          <w:bCs/>
          <w:color w:val="auto"/>
          <w:szCs w:val="24"/>
        </w:rPr>
      </w:pPr>
    </w:p>
    <w:p w14:paraId="3980C4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nitroimidazole-derived lead (IIIM-019) was developed as a part of our </w:t>
      </w:r>
    </w:p>
    <w:p w14:paraId="5EE3C6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institutional drug discovery program in the area of tuberculosis. This molecule </w:t>
      </w:r>
    </w:p>
    <w:p w14:paraId="2088E3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suffers from poor aqueous solubility and to overcome this limitation, </w:t>
      </w:r>
    </w:p>
    <w:p w14:paraId="51E03B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lipid-based self-emulsifying drug delivery system (SEDDS) was developed. The </w:t>
      </w:r>
    </w:p>
    <w:p w14:paraId="4818D0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SEDDS was characterized for emulsification efficiency, droplet size, stability </w:t>
      </w:r>
    </w:p>
    <w:p w14:paraId="6365D6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drug release. The morphology of SEDDS was investigated by transmission </w:t>
      </w:r>
    </w:p>
    <w:p w14:paraId="241FB61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electron microscopy (TEM). The cellular uptake of formulation was assessed in </w:t>
      </w:r>
    </w:p>
    <w:p w14:paraId="7F012A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Caco-2 cells and anti-tubercular activity was evaluated in M. tuberculosis </w:t>
      </w:r>
    </w:p>
    <w:p w14:paraId="68EDB7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H37Rv. Further, the pharmacokinetic profile of formulation was investigated in </w:t>
      </w:r>
    </w:p>
    <w:p w14:paraId="754961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Balb/C mice. The optimal formulation, F2, was selected based on clarity, </w:t>
      </w:r>
    </w:p>
    <w:p w14:paraId="6BDF3D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particle size, and stability. Characterization studies confirmed that F2 </w:t>
      </w:r>
    </w:p>
    <w:p w14:paraId="1486A0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possessed favorable attributes, including a particle size of 120.6 ± 0.7 nm, and </w:t>
      </w:r>
    </w:p>
    <w:p w14:paraId="71ACB8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thermodynamic stability. The dissolution study revealed significantly enhanced </w:t>
      </w:r>
    </w:p>
    <w:p w14:paraId="6EEF66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release profile of IIIM-019 from SEDDS compared to its native form. The </w:t>
      </w:r>
    </w:p>
    <w:p w14:paraId="29CC44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developed formulation showed uptake in Caco-2 cells and it also exhibited </w:t>
      </w:r>
    </w:p>
    <w:p w14:paraId="37AEDF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significantly improved anti-tubercular activity. Further, pharmacokinetic study </w:t>
      </w:r>
    </w:p>
    <w:p w14:paraId="0272BD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indicated higher plasma exposure and decreased clearance than unformulated </w:t>
      </w:r>
    </w:p>
    <w:p w14:paraId="7E1E1AA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IIIM-019. The developed SEDDS formulation increased solubility, dissolution, </w:t>
      </w:r>
    </w:p>
    <w:p w14:paraId="543867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plasma exposure, and therapeutic effectiveness of IIIM-019, representing a </w:t>
      </w:r>
    </w:p>
    <w:p w14:paraId="6C71B226">
      <w:pPr>
        <w:rPr>
          <w:rFonts w:hint="eastAsia" w:ascii="宋体" w:hAnsi="宋体" w:eastAsia="宋体" w:cs="宋体"/>
          <w:b w:val="0"/>
          <w:bCs/>
          <w:color w:val="auto"/>
          <w:szCs w:val="24"/>
        </w:rPr>
      </w:pPr>
      <w:r>
        <w:rPr>
          <w:rFonts w:hint="eastAsia" w:ascii="宋体" w:hAnsi="宋体" w:eastAsia="宋体" w:cs="宋体"/>
          <w:b w:val="0"/>
          <w:bCs/>
          <w:color w:val="auto"/>
          <w:szCs w:val="24"/>
        </w:rPr>
        <w:t>promising carrier for oral administration of investigated anti-tubercular lead.</w:t>
      </w:r>
    </w:p>
    <w:p w14:paraId="13222C73">
      <w:pPr>
        <w:rPr>
          <w:rFonts w:hint="eastAsia" w:ascii="宋体" w:hAnsi="宋体" w:eastAsia="宋体" w:cs="宋体"/>
          <w:b w:val="0"/>
          <w:bCs/>
          <w:color w:val="auto"/>
          <w:szCs w:val="24"/>
        </w:rPr>
      </w:pPr>
    </w:p>
    <w:p w14:paraId="4B0F09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under exclusive licence to American Association of </w:t>
      </w:r>
    </w:p>
    <w:p w14:paraId="1442ED68">
      <w:pPr>
        <w:rPr>
          <w:rFonts w:hint="eastAsia" w:ascii="宋体" w:hAnsi="宋体" w:eastAsia="宋体" w:cs="宋体"/>
          <w:b w:val="0"/>
          <w:bCs/>
          <w:color w:val="auto"/>
          <w:szCs w:val="24"/>
        </w:rPr>
      </w:pPr>
      <w:r>
        <w:rPr>
          <w:rFonts w:hint="eastAsia" w:ascii="宋体" w:hAnsi="宋体" w:eastAsia="宋体" w:cs="宋体"/>
          <w:b w:val="0"/>
          <w:bCs/>
          <w:color w:val="auto"/>
          <w:szCs w:val="24"/>
        </w:rPr>
        <w:t>Pharmaceutical Scientists.</w:t>
      </w:r>
    </w:p>
    <w:p w14:paraId="60CE79F3">
      <w:pPr>
        <w:rPr>
          <w:rFonts w:hint="eastAsia" w:ascii="宋体" w:hAnsi="宋体" w:eastAsia="宋体" w:cs="宋体"/>
          <w:b w:val="0"/>
          <w:bCs/>
          <w:color w:val="auto"/>
          <w:szCs w:val="24"/>
        </w:rPr>
      </w:pPr>
    </w:p>
    <w:p w14:paraId="4AFD1EF9">
      <w:pPr>
        <w:rPr>
          <w:rFonts w:hint="eastAsia" w:ascii="宋体" w:hAnsi="宋体" w:eastAsia="宋体" w:cs="宋体"/>
          <w:b w:val="0"/>
          <w:bCs/>
          <w:color w:val="auto"/>
          <w:szCs w:val="24"/>
        </w:rPr>
      </w:pPr>
      <w:r>
        <w:rPr>
          <w:rFonts w:hint="eastAsia" w:ascii="宋体" w:hAnsi="宋体" w:eastAsia="宋体" w:cs="宋体"/>
          <w:b w:val="0"/>
          <w:bCs/>
          <w:color w:val="auto"/>
          <w:szCs w:val="24"/>
        </w:rPr>
        <w:t>DOI: 10.1208/s12249-026-03495-3</w:t>
      </w:r>
    </w:p>
    <w:p w14:paraId="6DD1D2B3">
      <w:pPr>
        <w:rPr>
          <w:rFonts w:hint="eastAsia" w:ascii="宋体" w:hAnsi="宋体" w:eastAsia="宋体" w:cs="宋体"/>
          <w:b w:val="0"/>
          <w:bCs/>
          <w:color w:val="auto"/>
          <w:szCs w:val="24"/>
        </w:rPr>
      </w:pPr>
      <w:r>
        <w:rPr>
          <w:rFonts w:hint="eastAsia" w:ascii="宋体" w:hAnsi="宋体" w:eastAsia="宋体" w:cs="宋体"/>
          <w:b w:val="0"/>
          <w:bCs/>
          <w:color w:val="auto"/>
          <w:szCs w:val="24"/>
        </w:rPr>
        <w:t>PMID: 42717120 [Indexed for MEDLINE]</w:t>
      </w:r>
    </w:p>
    <w:p w14:paraId="3ADFE987">
      <w:pPr>
        <w:rPr>
          <w:rFonts w:hint="eastAsia" w:ascii="宋体" w:hAnsi="宋体" w:eastAsia="宋体" w:cs="宋体"/>
          <w:b w:val="0"/>
          <w:bCs/>
          <w:color w:val="auto"/>
          <w:szCs w:val="24"/>
        </w:rPr>
      </w:pPr>
    </w:p>
    <w:p w14:paraId="239900A7">
      <w:pPr>
        <w:rPr>
          <w:rFonts w:hint="eastAsia" w:ascii="宋体" w:hAnsi="宋体" w:eastAsia="宋体" w:cs="宋体"/>
          <w:b/>
          <w:bCs w:val="0"/>
          <w:color w:val="FF0000"/>
          <w:szCs w:val="24"/>
        </w:rPr>
      </w:pPr>
      <w:r>
        <w:rPr>
          <w:rFonts w:hint="eastAsia" w:ascii="宋体" w:hAnsi="宋体" w:eastAsia="宋体" w:cs="宋体"/>
          <w:b/>
          <w:bCs w:val="0"/>
          <w:color w:val="FF0000"/>
          <w:szCs w:val="24"/>
        </w:rPr>
        <w:t>2</w:t>
      </w:r>
      <w:r>
        <w:rPr>
          <w:rFonts w:hint="eastAsia" w:ascii="宋体" w:hAnsi="宋体" w:eastAsia="宋体" w:cs="宋体"/>
          <w:b/>
          <w:bCs w:val="0"/>
          <w:color w:val="FF0000"/>
          <w:szCs w:val="24"/>
          <w:lang w:val="en-US" w:eastAsia="zh-CN"/>
        </w:rPr>
        <w:t>1</w:t>
      </w:r>
      <w:r>
        <w:rPr>
          <w:rFonts w:hint="eastAsia" w:ascii="宋体" w:hAnsi="宋体" w:eastAsia="宋体" w:cs="宋体"/>
          <w:b/>
          <w:bCs w:val="0"/>
          <w:color w:val="FF0000"/>
          <w:szCs w:val="24"/>
        </w:rPr>
        <w:t>. Thorax. 2026 Sep 9:thorax-2025-223332. doi: 10.1136/thorax-2025-223332. Online ahead of print.</w:t>
      </w:r>
    </w:p>
    <w:p w14:paraId="08C03B11">
      <w:pPr>
        <w:rPr>
          <w:rFonts w:hint="eastAsia" w:ascii="宋体" w:hAnsi="宋体" w:eastAsia="宋体" w:cs="宋体"/>
          <w:b w:val="0"/>
          <w:bCs/>
          <w:color w:val="auto"/>
          <w:szCs w:val="24"/>
        </w:rPr>
      </w:pPr>
    </w:p>
    <w:p w14:paraId="308360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during JAK inhibitor or TNF-α inhibitors therapy: a </w:t>
      </w:r>
    </w:p>
    <w:p w14:paraId="1A2FD73B">
      <w:pPr>
        <w:rPr>
          <w:rFonts w:hint="eastAsia" w:ascii="宋体" w:hAnsi="宋体" w:eastAsia="宋体" w:cs="宋体"/>
          <w:b w:val="0"/>
          <w:bCs/>
          <w:color w:val="auto"/>
          <w:szCs w:val="24"/>
        </w:rPr>
      </w:pPr>
      <w:r>
        <w:rPr>
          <w:rFonts w:hint="eastAsia" w:ascii="宋体" w:hAnsi="宋体" w:eastAsia="宋体" w:cs="宋体"/>
          <w:b w:val="0"/>
          <w:bCs/>
          <w:color w:val="auto"/>
          <w:szCs w:val="24"/>
        </w:rPr>
        <w:t>disproportionality analysis from WHO pharmacovigilance database.</w:t>
      </w:r>
    </w:p>
    <w:p w14:paraId="312EFB21">
      <w:pPr>
        <w:rPr>
          <w:rFonts w:hint="eastAsia" w:ascii="宋体" w:hAnsi="宋体" w:eastAsia="宋体" w:cs="宋体"/>
          <w:b w:val="0"/>
          <w:bCs/>
          <w:color w:val="auto"/>
          <w:szCs w:val="24"/>
        </w:rPr>
      </w:pPr>
    </w:p>
    <w:p w14:paraId="38D17C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Maitre T(1)(2)(3), Bihan K(4), Veziris N(2)(3)(5), Godet C(6)(3), Parrot A(6), </w:t>
      </w:r>
    </w:p>
    <w:p w14:paraId="2FB3713F">
      <w:pPr>
        <w:rPr>
          <w:rFonts w:hint="eastAsia" w:ascii="宋体" w:hAnsi="宋体" w:eastAsia="宋体" w:cs="宋体"/>
          <w:b w:val="0"/>
          <w:bCs/>
          <w:color w:val="auto"/>
          <w:szCs w:val="24"/>
        </w:rPr>
      </w:pPr>
      <w:r>
        <w:rPr>
          <w:rFonts w:hint="eastAsia" w:ascii="宋体" w:hAnsi="宋体" w:eastAsia="宋体" w:cs="宋体"/>
          <w:b w:val="0"/>
          <w:bCs/>
          <w:color w:val="auto"/>
          <w:szCs w:val="24"/>
        </w:rPr>
        <w:t>Djibre M(6), Lebrun Vignes B(4), Cadranel J(6).</w:t>
      </w:r>
    </w:p>
    <w:p w14:paraId="3CBDFA32">
      <w:pPr>
        <w:rPr>
          <w:rFonts w:hint="eastAsia" w:ascii="宋体" w:hAnsi="宋体" w:eastAsia="宋体" w:cs="宋体"/>
          <w:b w:val="0"/>
          <w:bCs/>
          <w:color w:val="auto"/>
          <w:szCs w:val="24"/>
        </w:rPr>
      </w:pPr>
    </w:p>
    <w:p w14:paraId="133533E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40F5A0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Respiratory Medicine and Thoracic Oncology, Rare Lung Disease </w:t>
      </w:r>
    </w:p>
    <w:p w14:paraId="2E3C02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Reference Centre, APHP Tenon Hospital, Paris, Île-de-France, France </w:t>
      </w:r>
    </w:p>
    <w:p w14:paraId="69EE1B37">
      <w:pPr>
        <w:rPr>
          <w:rFonts w:hint="eastAsia" w:ascii="宋体" w:hAnsi="宋体" w:eastAsia="宋体" w:cs="宋体"/>
          <w:b w:val="0"/>
          <w:bCs/>
          <w:color w:val="auto"/>
          <w:szCs w:val="24"/>
        </w:rPr>
      </w:pPr>
      <w:r>
        <w:rPr>
          <w:rFonts w:hint="eastAsia" w:ascii="宋体" w:hAnsi="宋体" w:eastAsia="宋体" w:cs="宋体"/>
          <w:b w:val="0"/>
          <w:bCs/>
          <w:color w:val="auto"/>
          <w:szCs w:val="24"/>
        </w:rPr>
        <w:t>thomas.maitre5@gmail.com.</w:t>
      </w:r>
    </w:p>
    <w:p w14:paraId="55681185">
      <w:pPr>
        <w:rPr>
          <w:rFonts w:hint="eastAsia" w:ascii="宋体" w:hAnsi="宋体" w:eastAsia="宋体" w:cs="宋体"/>
          <w:b w:val="0"/>
          <w:bCs/>
          <w:color w:val="auto"/>
          <w:szCs w:val="24"/>
        </w:rPr>
      </w:pPr>
      <w:r>
        <w:rPr>
          <w:rFonts w:hint="eastAsia" w:ascii="宋体" w:hAnsi="宋体" w:eastAsia="宋体" w:cs="宋体"/>
          <w:b w:val="0"/>
          <w:bCs/>
          <w:color w:val="auto"/>
          <w:szCs w:val="24"/>
        </w:rPr>
        <w:t>(2)Sorbonne Université, Cimi Paris, Inserm U1135, Paris, France.</w:t>
      </w:r>
    </w:p>
    <w:p w14:paraId="5FA2CC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(3)Sorbonne Université, GRC 40 Sorbonne study group for Lung Infectious Diseases </w:t>
      </w:r>
    </w:p>
    <w:p w14:paraId="76404763">
      <w:pPr>
        <w:rPr>
          <w:rFonts w:hint="eastAsia" w:ascii="宋体" w:hAnsi="宋体" w:eastAsia="宋体" w:cs="宋体"/>
          <w:b w:val="0"/>
          <w:bCs/>
          <w:color w:val="auto"/>
          <w:szCs w:val="24"/>
        </w:rPr>
      </w:pPr>
      <w:r>
        <w:rPr>
          <w:rFonts w:hint="eastAsia" w:ascii="宋体" w:hAnsi="宋体" w:eastAsia="宋体" w:cs="宋体"/>
          <w:b w:val="0"/>
          <w:bCs/>
          <w:color w:val="auto"/>
          <w:szCs w:val="24"/>
        </w:rPr>
        <w:t>(SoLID), Paris, France.</w:t>
      </w:r>
    </w:p>
    <w:p w14:paraId="65049E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(4)Sorbonne Université, Assistance Publique-Hôpitaux de Paris, INSERM, CIC-2503, </w:t>
      </w:r>
    </w:p>
    <w:p w14:paraId="06B820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Department of Pharmacology, Regional Pharmacovigilance Center, Groupe </w:t>
      </w:r>
    </w:p>
    <w:p w14:paraId="6F1D68D4">
      <w:pPr>
        <w:rPr>
          <w:rFonts w:hint="eastAsia" w:ascii="宋体" w:hAnsi="宋体" w:eastAsia="宋体" w:cs="宋体"/>
          <w:b w:val="0"/>
          <w:bCs/>
          <w:color w:val="auto"/>
          <w:szCs w:val="24"/>
        </w:rPr>
      </w:pPr>
      <w:r>
        <w:rPr>
          <w:rFonts w:hint="eastAsia" w:ascii="宋体" w:hAnsi="宋体" w:eastAsia="宋体" w:cs="宋体"/>
          <w:b w:val="0"/>
          <w:bCs/>
          <w:color w:val="auto"/>
          <w:szCs w:val="24"/>
        </w:rPr>
        <w:t>Hospitalier Pitié Salpêtrière, Paris, Île-de-France, France.</w:t>
      </w:r>
    </w:p>
    <w:p w14:paraId="18C916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Bacteriology, National Reference Centre of Mycobacteria, APHP </w:t>
      </w:r>
    </w:p>
    <w:p w14:paraId="5DD4BC7F">
      <w:pPr>
        <w:rPr>
          <w:rFonts w:hint="eastAsia" w:ascii="宋体" w:hAnsi="宋体" w:eastAsia="宋体" w:cs="宋体"/>
          <w:b w:val="0"/>
          <w:bCs/>
          <w:color w:val="auto"/>
          <w:szCs w:val="24"/>
        </w:rPr>
      </w:pPr>
      <w:r>
        <w:rPr>
          <w:rFonts w:hint="eastAsia" w:ascii="宋体" w:hAnsi="宋体" w:eastAsia="宋体" w:cs="宋体"/>
          <w:b w:val="0"/>
          <w:bCs/>
          <w:color w:val="auto"/>
          <w:szCs w:val="24"/>
        </w:rPr>
        <w:t>Saint Antoine Hospital, Paris, France.</w:t>
      </w:r>
    </w:p>
    <w:p w14:paraId="26DCE7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Respiratory Medicine and Thoracic Oncology, Rare Lung Disease </w:t>
      </w:r>
    </w:p>
    <w:p w14:paraId="036982B6">
      <w:pPr>
        <w:rPr>
          <w:rFonts w:hint="eastAsia" w:ascii="宋体" w:hAnsi="宋体" w:eastAsia="宋体" w:cs="宋体"/>
          <w:b w:val="0"/>
          <w:bCs/>
          <w:color w:val="auto"/>
          <w:szCs w:val="24"/>
        </w:rPr>
      </w:pPr>
      <w:r>
        <w:rPr>
          <w:rFonts w:hint="eastAsia" w:ascii="宋体" w:hAnsi="宋体" w:eastAsia="宋体" w:cs="宋体"/>
          <w:b w:val="0"/>
          <w:bCs/>
          <w:color w:val="auto"/>
          <w:szCs w:val="24"/>
        </w:rPr>
        <w:t>Reference Centre, APHP Tenon Hospital, Paris, Île-de-France, France.</w:t>
      </w:r>
    </w:p>
    <w:p w14:paraId="31B6E096">
      <w:pPr>
        <w:rPr>
          <w:rFonts w:hint="eastAsia" w:ascii="宋体" w:hAnsi="宋体" w:eastAsia="宋体" w:cs="宋体"/>
          <w:b w:val="0"/>
          <w:bCs/>
          <w:color w:val="auto"/>
          <w:szCs w:val="24"/>
        </w:rPr>
      </w:pPr>
    </w:p>
    <w:p w14:paraId="6E6B70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Small-molecule oral Janus kinase (JAK) inhibitors are increasingly used for </w:t>
      </w:r>
    </w:p>
    <w:p w14:paraId="5F07CA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of digestive and rheumatic inflammatory diseases or haematological </w:t>
      </w:r>
    </w:p>
    <w:p w14:paraId="52C014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disorders. Based on limited data, the risk of tuberculosis (TB) has been </w:t>
      </w:r>
    </w:p>
    <w:p w14:paraId="1E2AFB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reported but considered lower compared with that observed with TNF-α inhibitors </w:t>
      </w:r>
    </w:p>
    <w:p w14:paraId="2ECEA4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finding we propose to clarify using the WHO VigiBase pharmacovigilance </w:t>
      </w:r>
    </w:p>
    <w:p w14:paraId="617D3D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database.We performed a disproportionality analysis of drug-related TB infection </w:t>
      </w:r>
    </w:p>
    <w:p w14:paraId="480632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using VigiBase. An information component 0.25 (IC0.25) &gt;0 was considered </w:t>
      </w:r>
    </w:p>
    <w:p w14:paraId="6A7019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statistically significant. Data were extracted on 09/12/2024. Main </w:t>
      </w:r>
    </w:p>
    <w:p w14:paraId="08BE59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characteristics of patients with respiratory infection under JAK and TNF-α </w:t>
      </w:r>
    </w:p>
    <w:p w14:paraId="7B005D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inhibitors were analysed.Globally, the mean IC0.25 for TB was 2.0 and 3.2 for </w:t>
      </w:r>
    </w:p>
    <w:p w14:paraId="6F74FC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JAK and TNFα inhibitors, respectively. Among JAK inhibitors, the risk of TB </w:t>
      </w:r>
    </w:p>
    <w:p w14:paraId="74C9ECD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varied and appeared significant for ruxolitinib, baricitinib, tofacitinib and </w:t>
      </w:r>
    </w:p>
    <w:p w14:paraId="3C5C3C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upadacitinib. A total of 695 patients with TB occurring during JAK inhibitor </w:t>
      </w:r>
    </w:p>
    <w:p w14:paraId="462181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therapy were included. We observed a higher proportion of reported cases among </w:t>
      </w:r>
    </w:p>
    <w:p w14:paraId="32D2FC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women (54.7%), aged from 45 to 64 years (35.7%). Extra-thoracic TB involvements </w:t>
      </w:r>
    </w:p>
    <w:p w14:paraId="473ED6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reported in 133 cases (66%). TB cases were most frequently reported among </w:t>
      </w:r>
    </w:p>
    <w:p w14:paraId="7877A2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receiving tofacitinib (n=330, 47.5%), ruxolitinib (n=217, 31.1%) and </w:t>
      </w:r>
    </w:p>
    <w:p w14:paraId="30C35B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upadacitinib (n=102, 14.6%). Overall, 42 patients (5.9%) died with active TB.JAK </w:t>
      </w:r>
    </w:p>
    <w:p w14:paraId="4F1DA3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inhibitors are associated with an increased risk of TB. These results argue to </w:t>
      </w:r>
    </w:p>
    <w:p w14:paraId="48A673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recommend latent TB infection screening and systematic anti-TB preventive </w:t>
      </w:r>
    </w:p>
    <w:p w14:paraId="47560522">
      <w:pPr>
        <w:rPr>
          <w:rFonts w:hint="eastAsia" w:ascii="宋体" w:hAnsi="宋体" w:eastAsia="宋体" w:cs="宋体"/>
          <w:b w:val="0"/>
          <w:bCs/>
          <w:color w:val="auto"/>
          <w:szCs w:val="24"/>
        </w:rPr>
      </w:pPr>
      <w:r>
        <w:rPr>
          <w:rFonts w:hint="eastAsia" w:ascii="宋体" w:hAnsi="宋体" w:eastAsia="宋体" w:cs="宋体"/>
          <w:b w:val="0"/>
          <w:bCs/>
          <w:color w:val="auto"/>
          <w:szCs w:val="24"/>
        </w:rPr>
        <w:t>therapy even in low endemic countries, before initiating JAK inhibitor therapy.</w:t>
      </w:r>
    </w:p>
    <w:p w14:paraId="39A6C033">
      <w:pPr>
        <w:rPr>
          <w:rFonts w:hint="eastAsia" w:ascii="宋体" w:hAnsi="宋体" w:eastAsia="宋体" w:cs="宋体"/>
          <w:b w:val="0"/>
          <w:bCs/>
          <w:color w:val="auto"/>
          <w:szCs w:val="24"/>
        </w:rPr>
      </w:pPr>
    </w:p>
    <w:p w14:paraId="3591A3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Author(s) (or their employer(s)) 2026. No commercial re-use. See rights and </w:t>
      </w:r>
    </w:p>
    <w:p w14:paraId="292BCCAD">
      <w:pPr>
        <w:rPr>
          <w:rFonts w:hint="eastAsia" w:ascii="宋体" w:hAnsi="宋体" w:eastAsia="宋体" w:cs="宋体"/>
          <w:b w:val="0"/>
          <w:bCs/>
          <w:color w:val="auto"/>
          <w:szCs w:val="24"/>
        </w:rPr>
      </w:pPr>
      <w:r>
        <w:rPr>
          <w:rFonts w:hint="eastAsia" w:ascii="宋体" w:hAnsi="宋体" w:eastAsia="宋体" w:cs="宋体"/>
          <w:b w:val="0"/>
          <w:bCs/>
          <w:color w:val="auto"/>
          <w:szCs w:val="24"/>
        </w:rPr>
        <w:t>permissions. Published by BMJ Group.</w:t>
      </w:r>
    </w:p>
    <w:p w14:paraId="66915D6F">
      <w:pPr>
        <w:rPr>
          <w:rFonts w:hint="eastAsia" w:ascii="宋体" w:hAnsi="宋体" w:eastAsia="宋体" w:cs="宋体"/>
          <w:b w:val="0"/>
          <w:bCs/>
          <w:color w:val="auto"/>
          <w:szCs w:val="24"/>
        </w:rPr>
      </w:pPr>
    </w:p>
    <w:p w14:paraId="51CDF250">
      <w:pPr>
        <w:rPr>
          <w:rFonts w:hint="eastAsia" w:ascii="宋体" w:hAnsi="宋体" w:eastAsia="宋体" w:cs="宋体"/>
          <w:b w:val="0"/>
          <w:bCs/>
          <w:color w:val="auto"/>
          <w:szCs w:val="24"/>
        </w:rPr>
      </w:pPr>
      <w:r>
        <w:rPr>
          <w:rFonts w:hint="eastAsia" w:ascii="宋体" w:hAnsi="宋体" w:eastAsia="宋体" w:cs="宋体"/>
          <w:b w:val="0"/>
          <w:bCs/>
          <w:color w:val="auto"/>
          <w:szCs w:val="24"/>
        </w:rPr>
        <w:t>DOI: 10.1136/thorax-2025-223332</w:t>
      </w:r>
    </w:p>
    <w:p w14:paraId="366A5586">
      <w:pPr>
        <w:rPr>
          <w:rFonts w:hint="eastAsia" w:ascii="宋体" w:hAnsi="宋体" w:eastAsia="宋体" w:cs="宋体"/>
          <w:b w:val="0"/>
          <w:bCs/>
          <w:color w:val="auto"/>
          <w:szCs w:val="24"/>
        </w:rPr>
      </w:pPr>
      <w:r>
        <w:rPr>
          <w:rFonts w:hint="eastAsia" w:ascii="宋体" w:hAnsi="宋体" w:eastAsia="宋体" w:cs="宋体"/>
          <w:b w:val="0"/>
          <w:bCs/>
          <w:color w:val="auto"/>
          <w:szCs w:val="24"/>
        </w:rPr>
        <w:t>PMID: 42716780</w:t>
      </w:r>
    </w:p>
    <w:p w14:paraId="6D385038">
      <w:pPr>
        <w:rPr>
          <w:rFonts w:hint="eastAsia" w:ascii="宋体" w:hAnsi="宋体" w:eastAsia="宋体" w:cs="宋体"/>
          <w:b w:val="0"/>
          <w:bCs/>
          <w:color w:val="auto"/>
          <w:szCs w:val="24"/>
        </w:rPr>
      </w:pPr>
    </w:p>
    <w:p w14:paraId="652D9039">
      <w:pPr>
        <w:rPr>
          <w:rFonts w:hint="eastAsia" w:ascii="宋体" w:hAnsi="宋体" w:eastAsia="宋体" w:cs="宋体"/>
          <w:b/>
          <w:bCs w:val="0"/>
          <w:color w:val="FF0000"/>
          <w:szCs w:val="24"/>
        </w:rPr>
      </w:pPr>
      <w:r>
        <w:rPr>
          <w:rFonts w:hint="eastAsia" w:ascii="宋体" w:hAnsi="宋体" w:eastAsia="宋体" w:cs="宋体"/>
          <w:b/>
          <w:bCs w:val="0"/>
          <w:color w:val="FF0000"/>
          <w:szCs w:val="24"/>
        </w:rPr>
        <w:t>2</w:t>
      </w:r>
      <w:r>
        <w:rPr>
          <w:rFonts w:hint="eastAsia" w:ascii="宋体" w:hAnsi="宋体" w:eastAsia="宋体" w:cs="宋体"/>
          <w:b/>
          <w:bCs w:val="0"/>
          <w:color w:val="FF0000"/>
          <w:szCs w:val="24"/>
          <w:lang w:val="en-US" w:eastAsia="zh-CN"/>
        </w:rPr>
        <w:t>2</w:t>
      </w:r>
      <w:r>
        <w:rPr>
          <w:rFonts w:hint="eastAsia" w:ascii="宋体" w:hAnsi="宋体" w:eastAsia="宋体" w:cs="宋体"/>
          <w:b/>
          <w:bCs w:val="0"/>
          <w:color w:val="FF0000"/>
          <w:szCs w:val="24"/>
        </w:rPr>
        <w:t>. Cell Host Microbe. 2026 Sep 9;34(9):1689-1691. doi: 10.1016/j.chom.2026.07.017.</w:t>
      </w:r>
    </w:p>
    <w:p w14:paraId="6BBFA0AA">
      <w:pPr>
        <w:rPr>
          <w:rFonts w:hint="eastAsia" w:ascii="宋体" w:hAnsi="宋体" w:eastAsia="宋体" w:cs="宋体"/>
          <w:b w:val="0"/>
          <w:bCs/>
          <w:color w:val="auto"/>
          <w:szCs w:val="24"/>
        </w:rPr>
      </w:pPr>
    </w:p>
    <w:p w14:paraId="31AF9920">
      <w:pPr>
        <w:rPr>
          <w:rFonts w:hint="eastAsia" w:ascii="宋体" w:hAnsi="宋体" w:eastAsia="宋体" w:cs="宋体"/>
          <w:b w:val="0"/>
          <w:bCs/>
          <w:color w:val="auto"/>
          <w:szCs w:val="24"/>
        </w:rPr>
      </w:pPr>
      <w:r>
        <w:rPr>
          <w:rFonts w:hint="eastAsia" w:ascii="宋体" w:hAnsi="宋体" w:eastAsia="宋体" w:cs="宋体"/>
          <w:b w:val="0"/>
          <w:bCs/>
          <w:color w:val="auto"/>
          <w:szCs w:val="24"/>
        </w:rPr>
        <w:t>Interferon family feud determines immunity to mycobacteria.</w:t>
      </w:r>
    </w:p>
    <w:p w14:paraId="2EBFD675">
      <w:pPr>
        <w:rPr>
          <w:rFonts w:hint="eastAsia" w:ascii="宋体" w:hAnsi="宋体" w:eastAsia="宋体" w:cs="宋体"/>
          <w:b w:val="0"/>
          <w:bCs/>
          <w:color w:val="auto"/>
          <w:szCs w:val="24"/>
        </w:rPr>
      </w:pPr>
    </w:p>
    <w:p w14:paraId="5543925B">
      <w:pPr>
        <w:rPr>
          <w:rFonts w:hint="eastAsia" w:ascii="宋体" w:hAnsi="宋体" w:eastAsia="宋体" w:cs="宋体"/>
          <w:b w:val="0"/>
          <w:bCs/>
          <w:color w:val="auto"/>
          <w:szCs w:val="24"/>
        </w:rPr>
      </w:pPr>
      <w:r>
        <w:rPr>
          <w:rFonts w:hint="eastAsia" w:ascii="宋体" w:hAnsi="宋体" w:eastAsia="宋体" w:cs="宋体"/>
          <w:b w:val="0"/>
          <w:bCs/>
          <w:color w:val="auto"/>
          <w:szCs w:val="24"/>
        </w:rPr>
        <w:t>Babadei O(1), Decker T(2).</w:t>
      </w:r>
    </w:p>
    <w:p w14:paraId="408902AE">
      <w:pPr>
        <w:rPr>
          <w:rFonts w:hint="eastAsia" w:ascii="宋体" w:hAnsi="宋体" w:eastAsia="宋体" w:cs="宋体"/>
          <w:b w:val="0"/>
          <w:bCs/>
          <w:color w:val="auto"/>
          <w:szCs w:val="24"/>
        </w:rPr>
      </w:pPr>
    </w:p>
    <w:p w14:paraId="7361128D">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6B419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(1)Max Perutz Labs, Vienna Biocenter Campus, Vienna, Austria; Department of </w:t>
      </w:r>
    </w:p>
    <w:p w14:paraId="6588D4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Microbiology, Immunobiology and Genetics, Center for Molecular Biology, </w:t>
      </w:r>
    </w:p>
    <w:p w14:paraId="2FABCB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University of Vienna, Vienna, Austria. Electronic address: </w:t>
      </w:r>
    </w:p>
    <w:p w14:paraId="3E1B20D9">
      <w:pPr>
        <w:rPr>
          <w:rFonts w:hint="eastAsia" w:ascii="宋体" w:hAnsi="宋体" w:eastAsia="宋体" w:cs="宋体"/>
          <w:b w:val="0"/>
          <w:bCs/>
          <w:color w:val="auto"/>
          <w:szCs w:val="24"/>
        </w:rPr>
      </w:pPr>
      <w:r>
        <w:rPr>
          <w:rFonts w:hint="eastAsia" w:ascii="宋体" w:hAnsi="宋体" w:eastAsia="宋体" w:cs="宋体"/>
          <w:b w:val="0"/>
          <w:bCs/>
          <w:color w:val="auto"/>
          <w:szCs w:val="24"/>
        </w:rPr>
        <w:t>olga.babadei@univie.ac.at.</w:t>
      </w:r>
    </w:p>
    <w:p w14:paraId="001457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(2)Max Perutz Labs, Vienna Biocenter Campus, Vienna, Austria; Department of </w:t>
      </w:r>
    </w:p>
    <w:p w14:paraId="7A48E7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Microbiology, Immunobiology and Genetics, Center for Molecular Biology, </w:t>
      </w:r>
    </w:p>
    <w:p w14:paraId="57B630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University of Vienna, Vienna, Austria. Electronic address: </w:t>
      </w:r>
    </w:p>
    <w:p w14:paraId="4676206B">
      <w:pPr>
        <w:rPr>
          <w:rFonts w:hint="eastAsia" w:ascii="宋体" w:hAnsi="宋体" w:eastAsia="宋体" w:cs="宋体"/>
          <w:b w:val="0"/>
          <w:bCs/>
          <w:color w:val="auto"/>
          <w:szCs w:val="24"/>
        </w:rPr>
      </w:pPr>
      <w:r>
        <w:rPr>
          <w:rFonts w:hint="eastAsia" w:ascii="宋体" w:hAnsi="宋体" w:eastAsia="宋体" w:cs="宋体"/>
          <w:b w:val="0"/>
          <w:bCs/>
          <w:color w:val="auto"/>
          <w:szCs w:val="24"/>
        </w:rPr>
        <w:t>thomas.decker@univie.ac.at.</w:t>
      </w:r>
    </w:p>
    <w:p w14:paraId="1536699A">
      <w:pPr>
        <w:rPr>
          <w:rFonts w:hint="eastAsia" w:ascii="宋体" w:hAnsi="宋体" w:eastAsia="宋体" w:cs="宋体"/>
          <w:b w:val="0"/>
          <w:bCs/>
          <w:color w:val="auto"/>
          <w:szCs w:val="24"/>
        </w:rPr>
      </w:pPr>
    </w:p>
    <w:p w14:paraId="69C9A20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immune response to Mycobacterium tuberculosis (Mtb) infection leverages the </w:t>
      </w:r>
    </w:p>
    <w:p w14:paraId="51160A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interferon system. In this issue of Cell Host &amp; Microbe, Fattinger and </w:t>
      </w:r>
    </w:p>
    <w:p w14:paraId="771B49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colleagues1 provide compelling evidence for a previously suspected antagonism of </w:t>
      </w:r>
    </w:p>
    <w:p w14:paraId="240AC4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type I interferons and interferon-γ as an important determinant of </w:t>
      </w:r>
    </w:p>
    <w:p w14:paraId="7CA6ECC3">
      <w:pPr>
        <w:rPr>
          <w:rFonts w:hint="eastAsia" w:ascii="宋体" w:hAnsi="宋体" w:eastAsia="宋体" w:cs="宋体"/>
          <w:b w:val="0"/>
          <w:bCs/>
          <w:color w:val="auto"/>
          <w:szCs w:val="24"/>
        </w:rPr>
      </w:pPr>
      <w:r>
        <w:rPr>
          <w:rFonts w:hint="eastAsia" w:ascii="宋体" w:hAnsi="宋体" w:eastAsia="宋体" w:cs="宋体"/>
          <w:b w:val="0"/>
          <w:bCs/>
          <w:color w:val="auto"/>
          <w:szCs w:val="24"/>
        </w:rPr>
        <w:t>susceptibility against Mtb infection.</w:t>
      </w:r>
    </w:p>
    <w:p w14:paraId="52DF496E">
      <w:pPr>
        <w:rPr>
          <w:rFonts w:hint="eastAsia" w:ascii="宋体" w:hAnsi="宋体" w:eastAsia="宋体" w:cs="宋体"/>
          <w:b w:val="0"/>
          <w:bCs/>
          <w:color w:val="auto"/>
          <w:szCs w:val="24"/>
        </w:rPr>
      </w:pPr>
    </w:p>
    <w:p w14:paraId="60E7AE2A">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Elsevier Inc. All rights reserved.</w:t>
      </w:r>
    </w:p>
    <w:p w14:paraId="65B5F875">
      <w:pPr>
        <w:rPr>
          <w:rFonts w:hint="eastAsia" w:ascii="宋体" w:hAnsi="宋体" w:eastAsia="宋体" w:cs="宋体"/>
          <w:b w:val="0"/>
          <w:bCs/>
          <w:color w:val="auto"/>
          <w:szCs w:val="24"/>
        </w:rPr>
      </w:pPr>
    </w:p>
    <w:p w14:paraId="03B1A900">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10.1016/j.chom.2026.07.017</w:t>
      </w:r>
    </w:p>
    <w:p w14:paraId="2783AE48">
      <w:pPr>
        <w:rPr>
          <w:rFonts w:hint="eastAsia" w:ascii="宋体" w:hAnsi="宋体" w:eastAsia="宋体" w:cs="宋体"/>
          <w:b w:val="0"/>
          <w:bCs/>
          <w:color w:val="auto"/>
          <w:szCs w:val="24"/>
        </w:rPr>
      </w:pPr>
      <w:r>
        <w:rPr>
          <w:rFonts w:hint="eastAsia" w:ascii="宋体" w:hAnsi="宋体" w:eastAsia="宋体" w:cs="宋体"/>
          <w:b w:val="0"/>
          <w:bCs/>
          <w:color w:val="auto"/>
          <w:szCs w:val="24"/>
        </w:rPr>
        <w:t>PMID: 42716001 [Indexed for MEDLINE]</w:t>
      </w:r>
    </w:p>
    <w:p w14:paraId="3BF6682F">
      <w:pPr>
        <w:rPr>
          <w:rFonts w:hint="eastAsia" w:ascii="宋体" w:hAnsi="宋体" w:eastAsia="宋体" w:cs="宋体"/>
          <w:b w:val="0"/>
          <w:bCs/>
          <w:color w:val="auto"/>
          <w:szCs w:val="24"/>
        </w:rPr>
      </w:pPr>
    </w:p>
    <w:p w14:paraId="4A68DF80">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23</w:t>
      </w:r>
      <w:r>
        <w:rPr>
          <w:rFonts w:hint="eastAsia" w:ascii="宋体" w:hAnsi="宋体" w:eastAsia="宋体" w:cs="宋体"/>
          <w:b/>
          <w:bCs w:val="0"/>
          <w:color w:val="FF0000"/>
          <w:szCs w:val="24"/>
        </w:rPr>
        <w:t xml:space="preserve">. Bioorg Chem. 2026 Sep 8;182:110483. doi: 10.1016/j.bioorg.2026.110483. Online </w:t>
      </w:r>
    </w:p>
    <w:p w14:paraId="688704FC">
      <w:pPr>
        <w:rPr>
          <w:rFonts w:hint="eastAsia" w:ascii="宋体" w:hAnsi="宋体" w:eastAsia="宋体" w:cs="宋体"/>
          <w:b/>
          <w:bCs w:val="0"/>
          <w:color w:val="FF0000"/>
          <w:szCs w:val="24"/>
        </w:rPr>
      </w:pPr>
      <w:r>
        <w:rPr>
          <w:rFonts w:hint="eastAsia" w:ascii="宋体" w:hAnsi="宋体" w:eastAsia="宋体" w:cs="宋体"/>
          <w:b/>
          <w:bCs w:val="0"/>
          <w:color w:val="FF0000"/>
          <w:szCs w:val="24"/>
        </w:rPr>
        <w:t>ahead of print.</w:t>
      </w:r>
    </w:p>
    <w:p w14:paraId="28B06775">
      <w:pPr>
        <w:rPr>
          <w:rFonts w:hint="eastAsia" w:ascii="宋体" w:hAnsi="宋体" w:eastAsia="宋体" w:cs="宋体"/>
          <w:b w:val="0"/>
          <w:bCs/>
          <w:color w:val="auto"/>
          <w:szCs w:val="24"/>
        </w:rPr>
      </w:pPr>
    </w:p>
    <w:p w14:paraId="3F483C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Computational small molecule drug discovery for multidrug-resistant </w:t>
      </w:r>
    </w:p>
    <w:p w14:paraId="24417EF2">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emerging targets and recent medicinal chemistry advances.</w:t>
      </w:r>
    </w:p>
    <w:p w14:paraId="504F0C8E">
      <w:pPr>
        <w:rPr>
          <w:rFonts w:hint="eastAsia" w:ascii="宋体" w:hAnsi="宋体" w:eastAsia="宋体" w:cs="宋体"/>
          <w:b w:val="0"/>
          <w:bCs/>
          <w:color w:val="auto"/>
          <w:szCs w:val="24"/>
        </w:rPr>
      </w:pPr>
    </w:p>
    <w:p w14:paraId="23162EC4">
      <w:pPr>
        <w:rPr>
          <w:rFonts w:hint="eastAsia" w:ascii="宋体" w:hAnsi="宋体" w:eastAsia="宋体" w:cs="宋体"/>
          <w:b w:val="0"/>
          <w:bCs/>
          <w:color w:val="auto"/>
          <w:szCs w:val="24"/>
        </w:rPr>
      </w:pPr>
      <w:r>
        <w:rPr>
          <w:rFonts w:hint="eastAsia" w:ascii="宋体" w:hAnsi="宋体" w:eastAsia="宋体" w:cs="宋体"/>
          <w:b w:val="0"/>
          <w:bCs/>
          <w:color w:val="auto"/>
          <w:szCs w:val="24"/>
        </w:rPr>
        <w:t>Kumar P(1), Devi A(2), Bhima S(3), Gadiparthi SSK(4), Singampalli A(5).</w:t>
      </w:r>
    </w:p>
    <w:p w14:paraId="687A4161">
      <w:pPr>
        <w:rPr>
          <w:rFonts w:hint="eastAsia" w:ascii="宋体" w:hAnsi="宋体" w:eastAsia="宋体" w:cs="宋体"/>
          <w:b w:val="0"/>
          <w:bCs/>
          <w:color w:val="auto"/>
          <w:szCs w:val="24"/>
        </w:rPr>
      </w:pPr>
    </w:p>
    <w:p w14:paraId="3E38EE7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FB707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Pharmacy, Geeta Institute of Pharmacy, Panipat, Haryana 132145, </w:t>
      </w:r>
    </w:p>
    <w:p w14:paraId="44B16244">
      <w:pPr>
        <w:rPr>
          <w:rFonts w:hint="eastAsia" w:ascii="宋体" w:hAnsi="宋体" w:eastAsia="宋体" w:cs="宋体"/>
          <w:b w:val="0"/>
          <w:bCs/>
          <w:color w:val="auto"/>
          <w:szCs w:val="24"/>
        </w:rPr>
      </w:pPr>
      <w:r>
        <w:rPr>
          <w:rFonts w:hint="eastAsia" w:ascii="宋体" w:hAnsi="宋体" w:eastAsia="宋体" w:cs="宋体"/>
          <w:b w:val="0"/>
          <w:bCs/>
          <w:color w:val="auto"/>
          <w:szCs w:val="24"/>
        </w:rPr>
        <w:t>India.</w:t>
      </w:r>
    </w:p>
    <w:p w14:paraId="011597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Biological Sciences, National Institute of Pharmaceutical </w:t>
      </w:r>
    </w:p>
    <w:p w14:paraId="07992629">
      <w:pPr>
        <w:rPr>
          <w:rFonts w:hint="eastAsia" w:ascii="宋体" w:hAnsi="宋体" w:eastAsia="宋体" w:cs="宋体"/>
          <w:b w:val="0"/>
          <w:bCs/>
          <w:color w:val="auto"/>
          <w:szCs w:val="24"/>
        </w:rPr>
      </w:pPr>
      <w:r>
        <w:rPr>
          <w:rFonts w:hint="eastAsia" w:ascii="宋体" w:hAnsi="宋体" w:eastAsia="宋体" w:cs="宋体"/>
          <w:b w:val="0"/>
          <w:bCs/>
          <w:color w:val="auto"/>
          <w:szCs w:val="24"/>
        </w:rPr>
        <w:t>Education and Research (NIPER), Hyderabad 500037, India.</w:t>
      </w:r>
    </w:p>
    <w:p w14:paraId="4C0305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Pharmacy, KL College of Pharmacy, Koneru Lakshmaiah Education </w:t>
      </w:r>
    </w:p>
    <w:p w14:paraId="29A3E3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Foundation, KL Deemed to be University, Vaddeswaram, Guntur, 522302, India. </w:t>
      </w:r>
    </w:p>
    <w:p w14:paraId="5C383DA8">
      <w:pPr>
        <w:rPr>
          <w:rFonts w:hint="eastAsia" w:ascii="宋体" w:hAnsi="宋体" w:eastAsia="宋体" w:cs="宋体"/>
          <w:b w:val="0"/>
          <w:bCs/>
          <w:color w:val="auto"/>
          <w:szCs w:val="24"/>
        </w:rPr>
      </w:pPr>
      <w:r>
        <w:rPr>
          <w:rFonts w:hint="eastAsia" w:ascii="宋体" w:hAnsi="宋体" w:eastAsia="宋体" w:cs="宋体"/>
          <w:b w:val="0"/>
          <w:bCs/>
          <w:color w:val="auto"/>
          <w:szCs w:val="24"/>
        </w:rPr>
        <w:t>Electronic address: bhimasridevi2406@gmail.com.</w:t>
      </w:r>
    </w:p>
    <w:p w14:paraId="233F6593">
      <w:pPr>
        <w:rPr>
          <w:rFonts w:hint="eastAsia" w:ascii="宋体" w:hAnsi="宋体" w:eastAsia="宋体" w:cs="宋体"/>
          <w:b w:val="0"/>
          <w:bCs/>
          <w:color w:val="auto"/>
          <w:szCs w:val="24"/>
        </w:rPr>
      </w:pPr>
      <w:r>
        <w:rPr>
          <w:rFonts w:hint="eastAsia" w:ascii="宋体" w:hAnsi="宋体" w:eastAsia="宋体" w:cs="宋体"/>
          <w:b w:val="0"/>
          <w:bCs/>
          <w:color w:val="auto"/>
          <w:szCs w:val="24"/>
        </w:rPr>
        <w:t>(4)Clinical operations, Astra Zeneca, Blue Bell, PA, USA.</w:t>
      </w:r>
    </w:p>
    <w:p w14:paraId="4B5F90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Chemical Sciences, National Institute of Pharmaceutical </w:t>
      </w:r>
    </w:p>
    <w:p w14:paraId="1AC5270B">
      <w:pPr>
        <w:rPr>
          <w:rFonts w:hint="eastAsia" w:ascii="宋体" w:hAnsi="宋体" w:eastAsia="宋体" w:cs="宋体"/>
          <w:b w:val="0"/>
          <w:bCs/>
          <w:color w:val="auto"/>
          <w:szCs w:val="24"/>
        </w:rPr>
      </w:pPr>
      <w:r>
        <w:rPr>
          <w:rFonts w:hint="eastAsia" w:ascii="宋体" w:hAnsi="宋体" w:eastAsia="宋体" w:cs="宋体"/>
          <w:b w:val="0"/>
          <w:bCs/>
          <w:color w:val="auto"/>
          <w:szCs w:val="24"/>
        </w:rPr>
        <w:t>Education and Research (NIPER), Hyderabad, 500037, India.</w:t>
      </w:r>
    </w:p>
    <w:p w14:paraId="32760BFA">
      <w:pPr>
        <w:rPr>
          <w:rFonts w:hint="eastAsia" w:ascii="宋体" w:hAnsi="宋体" w:eastAsia="宋体" w:cs="宋体"/>
          <w:b w:val="0"/>
          <w:bCs/>
          <w:color w:val="auto"/>
          <w:szCs w:val="24"/>
        </w:rPr>
      </w:pPr>
    </w:p>
    <w:p w14:paraId="543CD9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remains a major global health challenge, further intensified </w:t>
      </w:r>
    </w:p>
    <w:p w14:paraId="2F7E9D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by the emergence of multidrug-resistant (MDR-TB) and extensively drug-resistant </w:t>
      </w:r>
    </w:p>
    <w:p w14:paraId="5D2859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(XDR-TB) strains, which compromise the effectiveness of existing therapeutic </w:t>
      </w:r>
    </w:p>
    <w:p w14:paraId="7E5B14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regimens. Despite significant progress in TB chemotherapy, prolonged treatment </w:t>
      </w:r>
    </w:p>
    <w:p w14:paraId="52E6E7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duration, drug-associated toxicity, bacterial persistence, and the continuous </w:t>
      </w:r>
    </w:p>
    <w:p w14:paraId="414BF9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evolution of resistance mechanisms highlight the urgent need for innovative </w:t>
      </w:r>
    </w:p>
    <w:p w14:paraId="3E4D7F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therapeutic strategies and next-generation antitubercular agents. This review </w:t>
      </w:r>
    </w:p>
    <w:p w14:paraId="1EFBF7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provides a comprehensive overview of the evolving landscape of TB drug </w:t>
      </w:r>
    </w:p>
    <w:p w14:paraId="0ADAA7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discovery, covering current therapeutic approaches, mechanisms of drug </w:t>
      </w:r>
    </w:p>
    <w:p w14:paraId="365098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resistance, and recent advances in medicinal chemistry-driven small-molecule </w:t>
      </w:r>
    </w:p>
    <w:p w14:paraId="4AFAA9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development. The discovery and optimization of novel chemical entities, drug </w:t>
      </w:r>
    </w:p>
    <w:p w14:paraId="29CEAC3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repurposing strategies, and target-based approaches are discussed, with </w:t>
      </w:r>
    </w:p>
    <w:p w14:paraId="35101E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particular emphasis on fragment-based drug discovery (FBDD), structure-based </w:t>
      </w:r>
    </w:p>
    <w:p w14:paraId="23267D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 design (SBDD), and computer-aided drug design (CADD). Recent advances </w:t>
      </w:r>
    </w:p>
    <w:p w14:paraId="2A5589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targeting essential and emerging mycobacterial vulnerabilities, including DprE1, </w:t>
      </w:r>
    </w:p>
    <w:p w14:paraId="4F5C10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InhA, ATP synthase, MmpL3, DNA gyrase, mycobacterial carbonic anhydrases </w:t>
      </w:r>
    </w:p>
    <w:p w14:paraId="64EDB5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(MtCAs), PanC, and other critical metabolic pathways, are highlighted to </w:t>
      </w:r>
    </w:p>
    <w:p w14:paraId="65E4D7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demonstrate the expanding opportunities for mechanism-guided antitubercular drug </w:t>
      </w:r>
    </w:p>
    <w:p w14:paraId="2869F9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discovery. Furthermore, the integration of computational approaches, including </w:t>
      </w:r>
    </w:p>
    <w:p w14:paraId="4A8C88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molecular docking, molecular dynamics simulations, artificial intelligence (AI), </w:t>
      </w:r>
    </w:p>
    <w:p w14:paraId="17679F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machine learning (ML), has significantly accelerated hit identification, </w:t>
      </w:r>
    </w:p>
    <w:p w14:paraId="5CCBD5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lead optimization, and prediction of drug-like properties. These approaches are </w:t>
      </w:r>
    </w:p>
    <w:p w14:paraId="510A71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transforming conventional drug discovery by enabling rational design of potent </w:t>
      </w:r>
    </w:p>
    <w:p w14:paraId="58DFEA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molecules with improved efficacy and pharmacological profiles. However, </w:t>
      </w:r>
    </w:p>
    <w:p w14:paraId="618431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challenges associated with target validation, drug penetration, bacterial </w:t>
      </w:r>
    </w:p>
    <w:p w14:paraId="009B9C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persistence, resistance development, and clinical translation remain major </w:t>
      </w:r>
    </w:p>
    <w:p w14:paraId="69361F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obstacles. The convergence of medicinal chemistry, advanced computational </w:t>
      </w:r>
    </w:p>
    <w:p w14:paraId="5E8E37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technologies, and a deeper understanding of Mycobacterium tuberculosis biology </w:t>
      </w:r>
    </w:p>
    <w:p w14:paraId="64146B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represents a promising strategy for developing effective therapies against both </w:t>
      </w:r>
    </w:p>
    <w:p w14:paraId="4F3364E0">
      <w:pPr>
        <w:rPr>
          <w:rFonts w:hint="eastAsia" w:ascii="宋体" w:hAnsi="宋体" w:eastAsia="宋体" w:cs="宋体"/>
          <w:b w:val="0"/>
          <w:bCs/>
          <w:color w:val="auto"/>
          <w:szCs w:val="24"/>
        </w:rPr>
      </w:pPr>
      <w:r>
        <w:rPr>
          <w:rFonts w:hint="eastAsia" w:ascii="宋体" w:hAnsi="宋体" w:eastAsia="宋体" w:cs="宋体"/>
          <w:b w:val="0"/>
          <w:bCs/>
          <w:color w:val="auto"/>
          <w:szCs w:val="24"/>
        </w:rPr>
        <w:t>drug-sensitive and drug-resistant TB.</w:t>
      </w:r>
    </w:p>
    <w:p w14:paraId="26CFBAED">
      <w:pPr>
        <w:rPr>
          <w:rFonts w:hint="eastAsia" w:ascii="宋体" w:hAnsi="宋体" w:eastAsia="宋体" w:cs="宋体"/>
          <w:b w:val="0"/>
          <w:bCs/>
          <w:color w:val="auto"/>
          <w:szCs w:val="24"/>
        </w:rPr>
      </w:pPr>
    </w:p>
    <w:p w14:paraId="26706C41">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Published by Elsevier Inc.</w:t>
      </w:r>
    </w:p>
    <w:p w14:paraId="77CE11D9">
      <w:pPr>
        <w:rPr>
          <w:rFonts w:hint="eastAsia" w:ascii="宋体" w:hAnsi="宋体" w:eastAsia="宋体" w:cs="宋体"/>
          <w:b w:val="0"/>
          <w:bCs/>
          <w:color w:val="auto"/>
          <w:szCs w:val="24"/>
        </w:rPr>
      </w:pPr>
    </w:p>
    <w:p w14:paraId="016AF03D">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10.1016/j.bioorg.2026.110483</w:t>
      </w:r>
    </w:p>
    <w:p w14:paraId="5E8454B3">
      <w:pPr>
        <w:rPr>
          <w:rFonts w:hint="eastAsia" w:ascii="宋体" w:hAnsi="宋体" w:eastAsia="宋体" w:cs="宋体"/>
          <w:b w:val="0"/>
          <w:bCs/>
          <w:color w:val="auto"/>
          <w:szCs w:val="24"/>
        </w:rPr>
      </w:pPr>
      <w:r>
        <w:rPr>
          <w:rFonts w:hint="eastAsia" w:ascii="宋体" w:hAnsi="宋体" w:eastAsia="宋体" w:cs="宋体"/>
          <w:b w:val="0"/>
          <w:bCs/>
          <w:color w:val="auto"/>
          <w:szCs w:val="24"/>
        </w:rPr>
        <w:t>PMID: 42715621</w:t>
      </w:r>
    </w:p>
    <w:p w14:paraId="6557905B">
      <w:pPr>
        <w:rPr>
          <w:rFonts w:hint="eastAsia" w:ascii="宋体" w:hAnsi="宋体" w:eastAsia="宋体" w:cs="宋体"/>
          <w:b w:val="0"/>
          <w:bCs/>
          <w:color w:val="auto"/>
          <w:szCs w:val="24"/>
        </w:rPr>
      </w:pPr>
    </w:p>
    <w:p w14:paraId="6BA562F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24</w:t>
      </w:r>
      <w:r>
        <w:rPr>
          <w:rFonts w:hint="eastAsia" w:ascii="宋体" w:hAnsi="宋体" w:eastAsia="宋体" w:cs="宋体"/>
          <w:b/>
          <w:bCs w:val="0"/>
          <w:color w:val="FF0000"/>
          <w:szCs w:val="24"/>
        </w:rPr>
        <w:t xml:space="preserve">. Health Policy Plan. 2026 Sep 9:czag110. doi: 10.1093/heapol/czag110. Online </w:t>
      </w:r>
    </w:p>
    <w:p w14:paraId="5841A720">
      <w:pPr>
        <w:rPr>
          <w:rFonts w:hint="eastAsia" w:ascii="宋体" w:hAnsi="宋体" w:eastAsia="宋体" w:cs="宋体"/>
          <w:b/>
          <w:bCs w:val="0"/>
          <w:color w:val="FF0000"/>
          <w:szCs w:val="24"/>
        </w:rPr>
      </w:pPr>
      <w:r>
        <w:rPr>
          <w:rFonts w:hint="eastAsia" w:ascii="宋体" w:hAnsi="宋体" w:eastAsia="宋体" w:cs="宋体"/>
          <w:b/>
          <w:bCs w:val="0"/>
          <w:color w:val="FF0000"/>
          <w:szCs w:val="24"/>
        </w:rPr>
        <w:t>ahead of print.</w:t>
      </w:r>
    </w:p>
    <w:p w14:paraId="31E6C39F">
      <w:pPr>
        <w:rPr>
          <w:rFonts w:hint="eastAsia" w:ascii="宋体" w:hAnsi="宋体" w:eastAsia="宋体" w:cs="宋体"/>
          <w:b w:val="0"/>
          <w:bCs/>
          <w:color w:val="auto"/>
          <w:szCs w:val="24"/>
        </w:rPr>
      </w:pPr>
    </w:p>
    <w:p w14:paraId="5A4898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From motivation to governance: structural determinants of community health </w:t>
      </w:r>
    </w:p>
    <w:p w14:paraId="4947AA90">
      <w:pPr>
        <w:rPr>
          <w:rFonts w:hint="eastAsia" w:ascii="宋体" w:hAnsi="宋体" w:eastAsia="宋体" w:cs="宋体"/>
          <w:b w:val="0"/>
          <w:bCs/>
          <w:color w:val="auto"/>
          <w:szCs w:val="24"/>
        </w:rPr>
      </w:pPr>
      <w:r>
        <w:rPr>
          <w:rFonts w:hint="eastAsia" w:ascii="宋体" w:hAnsi="宋体" w:eastAsia="宋体" w:cs="宋体"/>
          <w:b w:val="0"/>
          <w:bCs/>
          <w:color w:val="auto"/>
          <w:szCs w:val="24"/>
        </w:rPr>
        <w:t>worker engagement in TB and HIV care in Madagascar.</w:t>
      </w:r>
    </w:p>
    <w:p w14:paraId="1C15856D">
      <w:pPr>
        <w:rPr>
          <w:rFonts w:hint="eastAsia" w:ascii="宋体" w:hAnsi="宋体" w:eastAsia="宋体" w:cs="宋体"/>
          <w:b w:val="0"/>
          <w:bCs/>
          <w:color w:val="auto"/>
          <w:szCs w:val="24"/>
        </w:rPr>
      </w:pPr>
    </w:p>
    <w:p w14:paraId="6FF9FF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Hecht L(1)(2)(3), Ravololohanitra OG(4), Neumann A(1)(2), Harison MT(5), </w:t>
      </w:r>
    </w:p>
    <w:p w14:paraId="36CF711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Rakotoherimora N(6), Andriamasy EH(4), Razafimanantsoa H(4), Emmrich JV(1)(3), </w:t>
      </w:r>
    </w:p>
    <w:p w14:paraId="0AAD2D42">
      <w:pPr>
        <w:rPr>
          <w:rFonts w:hint="eastAsia" w:ascii="宋体" w:hAnsi="宋体" w:eastAsia="宋体" w:cs="宋体"/>
          <w:b w:val="0"/>
          <w:bCs/>
          <w:color w:val="auto"/>
          <w:szCs w:val="24"/>
        </w:rPr>
      </w:pPr>
      <w:r>
        <w:rPr>
          <w:rFonts w:hint="eastAsia" w:ascii="宋体" w:hAnsi="宋体" w:eastAsia="宋体" w:cs="宋体"/>
          <w:b w:val="0"/>
          <w:bCs/>
          <w:color w:val="auto"/>
          <w:szCs w:val="24"/>
        </w:rPr>
        <w:t>Muller N(1)(2)(3).</w:t>
      </w:r>
    </w:p>
    <w:p w14:paraId="3A79D922">
      <w:pPr>
        <w:rPr>
          <w:rFonts w:hint="eastAsia" w:ascii="宋体" w:hAnsi="宋体" w:eastAsia="宋体" w:cs="宋体"/>
          <w:b w:val="0"/>
          <w:bCs/>
          <w:color w:val="auto"/>
          <w:szCs w:val="24"/>
        </w:rPr>
      </w:pPr>
    </w:p>
    <w:p w14:paraId="51592A4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79610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(1)Global Digital Last Mile Health Research Lab at Charité Center for Global </w:t>
      </w:r>
    </w:p>
    <w:p w14:paraId="3502DF3D">
      <w:pPr>
        <w:rPr>
          <w:rFonts w:hint="eastAsia" w:ascii="宋体" w:hAnsi="宋体" w:eastAsia="宋体" w:cs="宋体"/>
          <w:b w:val="0"/>
          <w:bCs/>
          <w:color w:val="auto"/>
          <w:szCs w:val="24"/>
        </w:rPr>
      </w:pPr>
      <w:r>
        <w:rPr>
          <w:rFonts w:hint="eastAsia" w:ascii="宋体" w:hAnsi="宋体" w:eastAsia="宋体" w:cs="宋体"/>
          <w:b w:val="0"/>
          <w:bCs/>
          <w:color w:val="auto"/>
          <w:szCs w:val="24"/>
        </w:rPr>
        <w:t>Health, Charité - Universitätsmedizin Berlin, Berlin, Germany.</w:t>
      </w:r>
    </w:p>
    <w:p w14:paraId="35E06D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(2)Speciality Network: Infectious Diseases and Respiratory Medicine, Charité - </w:t>
      </w:r>
    </w:p>
    <w:p w14:paraId="13DD2E02">
      <w:pPr>
        <w:rPr>
          <w:rFonts w:hint="eastAsia" w:ascii="宋体" w:hAnsi="宋体" w:eastAsia="宋体" w:cs="宋体"/>
          <w:b w:val="0"/>
          <w:bCs/>
          <w:color w:val="auto"/>
          <w:szCs w:val="24"/>
        </w:rPr>
      </w:pPr>
      <w:r>
        <w:rPr>
          <w:rFonts w:hint="eastAsia" w:ascii="宋体" w:hAnsi="宋体" w:eastAsia="宋体" w:cs="宋体"/>
          <w:b w:val="0"/>
          <w:bCs/>
          <w:color w:val="auto"/>
          <w:szCs w:val="24"/>
        </w:rPr>
        <w:t>Universitätsmedizin Berlin, Berlin, Germany.</w:t>
      </w:r>
    </w:p>
    <w:p w14:paraId="1AF0CEFB">
      <w:pPr>
        <w:rPr>
          <w:rFonts w:hint="eastAsia" w:ascii="宋体" w:hAnsi="宋体" w:eastAsia="宋体" w:cs="宋体"/>
          <w:b w:val="0"/>
          <w:bCs/>
          <w:color w:val="auto"/>
          <w:szCs w:val="24"/>
        </w:rPr>
      </w:pPr>
      <w:r>
        <w:rPr>
          <w:rFonts w:hint="eastAsia" w:ascii="宋体" w:hAnsi="宋体" w:eastAsia="宋体" w:cs="宋体"/>
          <w:b w:val="0"/>
          <w:bCs/>
          <w:color w:val="auto"/>
          <w:szCs w:val="24"/>
        </w:rPr>
        <w:t>(3)Ärzte für Madagaskar e.V., Leipzig, Germany.</w:t>
      </w:r>
    </w:p>
    <w:p w14:paraId="5677C141">
      <w:pPr>
        <w:rPr>
          <w:rFonts w:hint="eastAsia" w:ascii="宋体" w:hAnsi="宋体" w:eastAsia="宋体" w:cs="宋体"/>
          <w:b w:val="0"/>
          <w:bCs/>
          <w:color w:val="auto"/>
          <w:szCs w:val="24"/>
        </w:rPr>
      </w:pPr>
      <w:r>
        <w:rPr>
          <w:rFonts w:hint="eastAsia" w:ascii="宋体" w:hAnsi="宋体" w:eastAsia="宋体" w:cs="宋体"/>
          <w:b w:val="0"/>
          <w:bCs/>
          <w:color w:val="auto"/>
          <w:szCs w:val="24"/>
        </w:rPr>
        <w:t>(4)Doctors for Madagascar, Antananarivo, Madagascar.</w:t>
      </w:r>
    </w:p>
    <w:p w14:paraId="0AC74219">
      <w:pPr>
        <w:rPr>
          <w:rFonts w:hint="eastAsia" w:ascii="宋体" w:hAnsi="宋体" w:eastAsia="宋体" w:cs="宋体"/>
          <w:b w:val="0"/>
          <w:bCs/>
          <w:color w:val="auto"/>
          <w:szCs w:val="24"/>
        </w:rPr>
      </w:pPr>
      <w:r>
        <w:rPr>
          <w:rFonts w:hint="eastAsia" w:ascii="宋体" w:hAnsi="宋体" w:eastAsia="宋体" w:cs="宋体"/>
          <w:b w:val="0"/>
          <w:bCs/>
          <w:color w:val="auto"/>
          <w:szCs w:val="24"/>
        </w:rPr>
        <w:t>(5)Programme national de lutte contre la Tuberculose, Antananarivo, Madagascar.</w:t>
      </w:r>
    </w:p>
    <w:p w14:paraId="3DF15E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(6)Programme national de lutte contre les IST et le SIDA, Antananarivo, </w:t>
      </w:r>
    </w:p>
    <w:p w14:paraId="5D254E87">
      <w:pPr>
        <w:rPr>
          <w:rFonts w:hint="eastAsia" w:ascii="宋体" w:hAnsi="宋体" w:eastAsia="宋体" w:cs="宋体"/>
          <w:b w:val="0"/>
          <w:bCs/>
          <w:color w:val="auto"/>
          <w:szCs w:val="24"/>
        </w:rPr>
      </w:pPr>
      <w:r>
        <w:rPr>
          <w:rFonts w:hint="eastAsia" w:ascii="宋体" w:hAnsi="宋体" w:eastAsia="宋体" w:cs="宋体"/>
          <w:b w:val="0"/>
          <w:bCs/>
          <w:color w:val="auto"/>
          <w:szCs w:val="24"/>
        </w:rPr>
        <w:t>Madagascar.</w:t>
      </w:r>
    </w:p>
    <w:p w14:paraId="4447A833">
      <w:pPr>
        <w:rPr>
          <w:rFonts w:hint="eastAsia" w:ascii="宋体" w:hAnsi="宋体" w:eastAsia="宋体" w:cs="宋体"/>
          <w:b w:val="0"/>
          <w:bCs/>
          <w:color w:val="auto"/>
          <w:szCs w:val="24"/>
        </w:rPr>
      </w:pPr>
    </w:p>
    <w:p w14:paraId="51ECA4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Community health workers (CHWs) are essential to tuberculosis (TB) and HIV </w:t>
      </w:r>
    </w:p>
    <w:p w14:paraId="768E7C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responses, yet many programmes rely on volunteer-based models that assume </w:t>
      </w:r>
    </w:p>
    <w:p w14:paraId="3CAEB2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sustained motivation despite weak system support. CHW motivation is widely </w:t>
      </w:r>
    </w:p>
    <w:p w14:paraId="72CE2F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understood to be shaped by organizational and health-system conditions. We </w:t>
      </w:r>
    </w:p>
    <w:p w14:paraId="48FB9B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examine how structural and organizational conditions shape CHW motivation in TB </w:t>
      </w:r>
    </w:p>
    <w:p w14:paraId="267B232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HIV care in Madagascar, drawing on Self-Determination Theory (SDT), which </w:t>
      </w:r>
    </w:p>
    <w:p w14:paraId="00DAA3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conceptualizes motivation as shaped by the fulfillment of needs for autonomy, </w:t>
      </w:r>
    </w:p>
    <w:p w14:paraId="558550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relatedness, and competence. We conducted a convergent mixed-methods study </w:t>
      </w:r>
    </w:p>
    <w:p w14:paraId="64F7B6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(March - October 2024), combining a survey of 408 CHWs across four regions with </w:t>
      </w:r>
    </w:p>
    <w:p w14:paraId="6BCC03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qualitative data from five focus group discussions with CHWs (n=26) and 24 </w:t>
      </w:r>
    </w:p>
    <w:p w14:paraId="77D654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interviews with institutional actors. SDT was applied within a socio-ecological </w:t>
      </w:r>
    </w:p>
    <w:p w14:paraId="50F3BB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framework to analyze how individual, community, and health system factors </w:t>
      </w:r>
    </w:p>
    <w:p w14:paraId="028007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influence autonomy, relatedness, and competence. CHWs reported strong commitment </w:t>
      </w:r>
    </w:p>
    <w:p w14:paraId="515E74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community health, yet operated under significant structural constraints: Most </w:t>
      </w:r>
    </w:p>
    <w:p w14:paraId="22B170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CHWs lived in economic poverty, with 74.3% reporting household incomes below </w:t>
      </w:r>
    </w:p>
    <w:p w14:paraId="0F47CC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100,000 MGA/month (≈ $22.1), while 95.8% CHWs held additional full-time </w:t>
      </w:r>
    </w:p>
    <w:p w14:paraId="72C6A8B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occupations. Motivation was characterized by value-driven commitment alongside </w:t>
      </w:r>
    </w:p>
    <w:p w14:paraId="37128D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dependence on external incentives. However, economic precarity, fragmented </w:t>
      </w:r>
    </w:p>
    <w:p w14:paraId="2AC217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remuneration systems, insufficient training and supervision, lack of </w:t>
      </w:r>
    </w:p>
    <w:p w14:paraId="4C3CBE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occupational protection, and weak institutional integration constrained CHWs' </w:t>
      </w:r>
    </w:p>
    <w:p w14:paraId="0F091C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autonomy, relatedness, and competence. Incentive-based approaches enabled </w:t>
      </w:r>
    </w:p>
    <w:p w14:paraId="76A8E0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short-term participation but generated distortions in task prioritization and </w:t>
      </w:r>
    </w:p>
    <w:p w14:paraId="2F7E2A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undermined trust when payments were inconsistent. CHW motivation emerged as a </w:t>
      </w:r>
    </w:p>
    <w:p w14:paraId="17B90D7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dynamic outcome of the interaction between strong value-based commitment and </w:t>
      </w:r>
    </w:p>
    <w:p w14:paraId="37167B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programme and health-system conditions. SDT helps explain how fragmented and </w:t>
      </w:r>
    </w:p>
    <w:p w14:paraId="5705DF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unreliable support constrains core psychological needs, producing fragile </w:t>
      </w:r>
    </w:p>
    <w:p w14:paraId="73A56D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engagement despite high commitment. Strengthening CHW programmes requires the </w:t>
      </w:r>
    </w:p>
    <w:p w14:paraId="79EDE8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coherent and reliable delivery of predictable remuneration, training and </w:t>
      </w:r>
    </w:p>
    <w:p w14:paraId="1199D8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supervision, occupational protection, and formal integration into the health </w:t>
      </w:r>
    </w:p>
    <w:p w14:paraId="0F80B0C0">
      <w:pPr>
        <w:rPr>
          <w:rFonts w:hint="eastAsia" w:ascii="宋体" w:hAnsi="宋体" w:eastAsia="宋体" w:cs="宋体"/>
          <w:b w:val="0"/>
          <w:bCs/>
          <w:color w:val="auto"/>
          <w:szCs w:val="24"/>
        </w:rPr>
      </w:pPr>
      <w:r>
        <w:rPr>
          <w:rFonts w:hint="eastAsia" w:ascii="宋体" w:hAnsi="宋体" w:eastAsia="宋体" w:cs="宋体"/>
          <w:b w:val="0"/>
          <w:bCs/>
          <w:color w:val="auto"/>
          <w:szCs w:val="24"/>
        </w:rPr>
        <w:t>workforce.</w:t>
      </w:r>
    </w:p>
    <w:p w14:paraId="323BF00A">
      <w:pPr>
        <w:rPr>
          <w:rFonts w:hint="eastAsia" w:ascii="宋体" w:hAnsi="宋体" w:eastAsia="宋体" w:cs="宋体"/>
          <w:b w:val="0"/>
          <w:bCs/>
          <w:color w:val="auto"/>
          <w:szCs w:val="24"/>
        </w:rPr>
      </w:pPr>
    </w:p>
    <w:p w14:paraId="2E211E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The Author(s) 2026. Published by Oxford University Press in association with </w:t>
      </w:r>
    </w:p>
    <w:p w14:paraId="422F0049">
      <w:pPr>
        <w:rPr>
          <w:rFonts w:hint="eastAsia" w:ascii="宋体" w:hAnsi="宋体" w:eastAsia="宋体" w:cs="宋体"/>
          <w:b w:val="0"/>
          <w:bCs/>
          <w:color w:val="auto"/>
          <w:szCs w:val="24"/>
        </w:rPr>
      </w:pPr>
      <w:r>
        <w:rPr>
          <w:rFonts w:hint="eastAsia" w:ascii="宋体" w:hAnsi="宋体" w:eastAsia="宋体" w:cs="宋体"/>
          <w:b w:val="0"/>
          <w:bCs/>
          <w:color w:val="auto"/>
          <w:szCs w:val="24"/>
        </w:rPr>
        <w:t>The London School of Hygiene and Tropical Medicine.</w:t>
      </w:r>
    </w:p>
    <w:p w14:paraId="0AFC548D">
      <w:pPr>
        <w:rPr>
          <w:rFonts w:hint="eastAsia" w:ascii="宋体" w:hAnsi="宋体" w:eastAsia="宋体" w:cs="宋体"/>
          <w:b w:val="0"/>
          <w:bCs/>
          <w:color w:val="auto"/>
          <w:szCs w:val="24"/>
        </w:rPr>
      </w:pPr>
    </w:p>
    <w:p w14:paraId="274115BD">
      <w:pPr>
        <w:rPr>
          <w:rFonts w:hint="eastAsia" w:ascii="宋体" w:hAnsi="宋体" w:eastAsia="宋体" w:cs="宋体"/>
          <w:b w:val="0"/>
          <w:bCs/>
          <w:color w:val="auto"/>
          <w:szCs w:val="24"/>
        </w:rPr>
      </w:pPr>
      <w:r>
        <w:rPr>
          <w:rFonts w:hint="eastAsia" w:ascii="宋体" w:hAnsi="宋体" w:eastAsia="宋体" w:cs="宋体"/>
          <w:b w:val="0"/>
          <w:bCs/>
          <w:color w:val="auto"/>
          <w:szCs w:val="24"/>
        </w:rPr>
        <w:t>DOI: 10.1093/heapol/czag110</w:t>
      </w:r>
    </w:p>
    <w:p w14:paraId="28E4C084">
      <w:pPr>
        <w:rPr>
          <w:rFonts w:hint="eastAsia" w:ascii="宋体" w:hAnsi="宋体" w:eastAsia="宋体" w:cs="宋体"/>
          <w:b w:val="0"/>
          <w:bCs/>
          <w:color w:val="auto"/>
          <w:szCs w:val="24"/>
        </w:rPr>
      </w:pPr>
      <w:r>
        <w:rPr>
          <w:rFonts w:hint="eastAsia" w:ascii="宋体" w:hAnsi="宋体" w:eastAsia="宋体" w:cs="宋体"/>
          <w:b w:val="0"/>
          <w:bCs/>
          <w:color w:val="auto"/>
          <w:szCs w:val="24"/>
        </w:rPr>
        <w:t>PMID: 42715383</w:t>
      </w:r>
    </w:p>
    <w:p w14:paraId="4D9B643B">
      <w:pPr>
        <w:rPr>
          <w:rFonts w:hint="eastAsia" w:ascii="宋体" w:hAnsi="宋体" w:eastAsia="宋体" w:cs="宋体"/>
          <w:b w:val="0"/>
          <w:bCs/>
          <w:color w:val="auto"/>
          <w:szCs w:val="24"/>
        </w:rPr>
      </w:pPr>
    </w:p>
    <w:p w14:paraId="5302B722">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25</w:t>
      </w:r>
      <w:r>
        <w:rPr>
          <w:rFonts w:hint="eastAsia" w:ascii="宋体" w:hAnsi="宋体" w:eastAsia="宋体" w:cs="宋体"/>
          <w:b/>
          <w:bCs w:val="0"/>
          <w:color w:val="FF0000"/>
          <w:szCs w:val="24"/>
        </w:rPr>
        <w:t xml:space="preserve">. PLOS Glob Public Health. 2026 Sep 9;6(9):e0007229. doi: </w:t>
      </w:r>
    </w:p>
    <w:p w14:paraId="6B61B64A">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10.1371/journal.pgph.0007229. eCollection 2026.</w:t>
      </w:r>
    </w:p>
    <w:p w14:paraId="474298D1">
      <w:pPr>
        <w:rPr>
          <w:rFonts w:hint="eastAsia" w:ascii="宋体" w:hAnsi="宋体" w:eastAsia="宋体" w:cs="宋体"/>
          <w:b w:val="0"/>
          <w:bCs/>
          <w:color w:val="auto"/>
          <w:szCs w:val="24"/>
        </w:rPr>
      </w:pPr>
    </w:p>
    <w:p w14:paraId="6EA804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Factors associated with unsuccessful treatment outcomes among drug-resistant </w:t>
      </w:r>
    </w:p>
    <w:p w14:paraId="6186979C">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patients in Loreto, Peru, 2015-2023: A retrospective cohort study.</w:t>
      </w:r>
    </w:p>
    <w:p w14:paraId="7E075057">
      <w:pPr>
        <w:rPr>
          <w:rFonts w:hint="eastAsia" w:ascii="宋体" w:hAnsi="宋体" w:eastAsia="宋体" w:cs="宋体"/>
          <w:b w:val="0"/>
          <w:bCs/>
          <w:color w:val="auto"/>
          <w:szCs w:val="24"/>
        </w:rPr>
      </w:pPr>
    </w:p>
    <w:p w14:paraId="4BF467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Cordova-Pisco EG(1), Vasquez-Hassinger T(2)(3), Huamán-Angeles E(4), Zevallos </w:t>
      </w:r>
    </w:p>
    <w:p w14:paraId="280B9CDC">
      <w:pPr>
        <w:rPr>
          <w:rFonts w:hint="eastAsia" w:ascii="宋体" w:hAnsi="宋体" w:eastAsia="宋体" w:cs="宋体"/>
          <w:b w:val="0"/>
          <w:bCs/>
          <w:color w:val="auto"/>
          <w:szCs w:val="24"/>
        </w:rPr>
      </w:pPr>
      <w:r>
        <w:rPr>
          <w:rFonts w:hint="eastAsia" w:ascii="宋体" w:hAnsi="宋体" w:eastAsia="宋体" w:cs="宋体"/>
          <w:b w:val="0"/>
          <w:bCs/>
          <w:color w:val="auto"/>
          <w:szCs w:val="24"/>
        </w:rPr>
        <w:t>K(5), Obregon G(4)(6).</w:t>
      </w:r>
    </w:p>
    <w:p w14:paraId="422402D2">
      <w:pPr>
        <w:rPr>
          <w:rFonts w:hint="eastAsia" w:ascii="宋体" w:hAnsi="宋体" w:eastAsia="宋体" w:cs="宋体"/>
          <w:b w:val="0"/>
          <w:bCs/>
          <w:color w:val="auto"/>
          <w:szCs w:val="24"/>
        </w:rPr>
      </w:pPr>
    </w:p>
    <w:p w14:paraId="7CC2A065">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2BA63A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(1)Laboratorio de Referencia Regional de Loreto, Gerencia Regional de Salud </w:t>
      </w:r>
    </w:p>
    <w:p w14:paraId="06089ABE">
      <w:pPr>
        <w:rPr>
          <w:rFonts w:hint="eastAsia" w:ascii="宋体" w:hAnsi="宋体" w:eastAsia="宋体" w:cs="宋体"/>
          <w:b w:val="0"/>
          <w:bCs/>
          <w:color w:val="auto"/>
          <w:szCs w:val="24"/>
        </w:rPr>
      </w:pPr>
      <w:r>
        <w:rPr>
          <w:rFonts w:hint="eastAsia" w:ascii="宋体" w:hAnsi="宋体" w:eastAsia="宋体" w:cs="宋体"/>
          <w:b w:val="0"/>
          <w:bCs/>
          <w:color w:val="auto"/>
          <w:szCs w:val="24"/>
        </w:rPr>
        <w:t>Loreto, Iquitos, Loreto, Perú.</w:t>
      </w:r>
    </w:p>
    <w:p w14:paraId="1F862C0B">
      <w:pPr>
        <w:rPr>
          <w:rFonts w:hint="eastAsia" w:ascii="宋体" w:hAnsi="宋体" w:eastAsia="宋体" w:cs="宋体"/>
          <w:b w:val="0"/>
          <w:bCs/>
          <w:color w:val="auto"/>
          <w:szCs w:val="24"/>
        </w:rPr>
      </w:pPr>
      <w:r>
        <w:rPr>
          <w:rFonts w:hint="eastAsia" w:ascii="宋体" w:hAnsi="宋体" w:eastAsia="宋体" w:cs="宋体"/>
          <w:b w:val="0"/>
          <w:bCs/>
          <w:color w:val="auto"/>
          <w:szCs w:val="24"/>
        </w:rPr>
        <w:t>(2)Unidad de Investigación, Hospital Regional de Loreto, Iquitos, Loreto, Perú.</w:t>
      </w:r>
    </w:p>
    <w:p w14:paraId="3FCED8B1">
      <w:pPr>
        <w:rPr>
          <w:rFonts w:hint="eastAsia" w:ascii="宋体" w:hAnsi="宋体" w:eastAsia="宋体" w:cs="宋体"/>
          <w:b w:val="0"/>
          <w:bCs/>
          <w:color w:val="auto"/>
          <w:szCs w:val="24"/>
        </w:rPr>
      </w:pPr>
      <w:r>
        <w:rPr>
          <w:rFonts w:hint="eastAsia" w:ascii="宋体" w:hAnsi="宋体" w:eastAsia="宋体" w:cs="宋体"/>
          <w:b w:val="0"/>
          <w:bCs/>
          <w:color w:val="auto"/>
          <w:szCs w:val="24"/>
        </w:rPr>
        <w:t>(3)Universidad Científica del Sur, Lima, Perú.</w:t>
      </w:r>
    </w:p>
    <w:p w14:paraId="7B9424C0">
      <w:pPr>
        <w:rPr>
          <w:rFonts w:hint="eastAsia" w:ascii="宋体" w:hAnsi="宋体" w:eastAsia="宋体" w:cs="宋体"/>
          <w:b w:val="0"/>
          <w:bCs/>
          <w:color w:val="auto"/>
          <w:szCs w:val="24"/>
        </w:rPr>
      </w:pPr>
      <w:r>
        <w:rPr>
          <w:rFonts w:hint="eastAsia" w:ascii="宋体" w:hAnsi="宋体" w:eastAsia="宋体" w:cs="宋体"/>
          <w:b w:val="0"/>
          <w:bCs/>
          <w:color w:val="auto"/>
          <w:szCs w:val="24"/>
        </w:rPr>
        <w:t>(4)Centro Nacional de Salud Pública, Instituto Nacional de Salud, Lima, Perú.</w:t>
      </w:r>
    </w:p>
    <w:p w14:paraId="5D8937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(5)Facultad de Medicina Humana, Universidad Nacional de la Amazonía Peruana, </w:t>
      </w:r>
    </w:p>
    <w:p w14:paraId="658F550B">
      <w:pPr>
        <w:rPr>
          <w:rFonts w:hint="eastAsia" w:ascii="宋体" w:hAnsi="宋体" w:eastAsia="宋体" w:cs="宋体"/>
          <w:b w:val="0"/>
          <w:bCs/>
          <w:color w:val="auto"/>
          <w:szCs w:val="24"/>
        </w:rPr>
      </w:pPr>
      <w:r>
        <w:rPr>
          <w:rFonts w:hint="eastAsia" w:ascii="宋体" w:hAnsi="宋体" w:eastAsia="宋体" w:cs="宋体"/>
          <w:b w:val="0"/>
          <w:bCs/>
          <w:color w:val="auto"/>
          <w:szCs w:val="24"/>
        </w:rPr>
        <w:t>Iquitos, Loreto, Perú.</w:t>
      </w:r>
    </w:p>
    <w:p w14:paraId="32C6CA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(6)Unidad de Postgrado y Especialización, Universidad Peruana Cayetano Heredia, </w:t>
      </w:r>
    </w:p>
    <w:p w14:paraId="6089905E">
      <w:pPr>
        <w:rPr>
          <w:rFonts w:hint="eastAsia" w:ascii="宋体" w:hAnsi="宋体" w:eastAsia="宋体" w:cs="宋体"/>
          <w:b w:val="0"/>
          <w:bCs/>
          <w:color w:val="auto"/>
          <w:szCs w:val="24"/>
        </w:rPr>
      </w:pPr>
      <w:r>
        <w:rPr>
          <w:rFonts w:hint="eastAsia" w:ascii="宋体" w:hAnsi="宋体" w:eastAsia="宋体" w:cs="宋体"/>
          <w:b w:val="0"/>
          <w:bCs/>
          <w:color w:val="auto"/>
          <w:szCs w:val="24"/>
        </w:rPr>
        <w:t>Lima, Perú.</w:t>
      </w:r>
    </w:p>
    <w:p w14:paraId="5B41AD7E">
      <w:pPr>
        <w:rPr>
          <w:rFonts w:hint="eastAsia" w:ascii="宋体" w:hAnsi="宋体" w:eastAsia="宋体" w:cs="宋体"/>
          <w:b w:val="0"/>
          <w:bCs/>
          <w:color w:val="auto"/>
          <w:szCs w:val="24"/>
        </w:rPr>
      </w:pPr>
    </w:p>
    <w:p w14:paraId="63187F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Loreto, Peru, unsuccessful treatment outcomes among patients with </w:t>
      </w:r>
    </w:p>
    <w:p w14:paraId="37200C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drug-resistant tuberculosis (DR-TB) remain high, underscoring the need to </w:t>
      </w:r>
    </w:p>
    <w:p w14:paraId="0DEFF0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identify associated factors in this Amazonian region. This retrospective cohort </w:t>
      </w:r>
    </w:p>
    <w:p w14:paraId="742379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included 417 DR-TB cases registered in the national TB system in Loreto </w:t>
      </w:r>
    </w:p>
    <w:p w14:paraId="4D4095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2015 and 2023. Loss to follow-up, death, and treatment failure were </w:t>
      </w:r>
    </w:p>
    <w:p w14:paraId="33D6AE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combined into a single composite outcome variable defined as unsuccessful </w:t>
      </w:r>
    </w:p>
    <w:p w14:paraId="391D90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outcome. Bivariate and multivariable logistic regression analyses were </w:t>
      </w:r>
    </w:p>
    <w:p w14:paraId="109182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performed to estimate associations between sociodemographic, clinical, and </w:t>
      </w:r>
    </w:p>
    <w:p w14:paraId="6CE184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programmatic factors and this outcome. Among the 417 cases analyzed, 49.5% had </w:t>
      </w:r>
    </w:p>
    <w:p w14:paraId="78DC9C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unsuccessful treatment outcomes: 34.1% due to loss to follow-up, 3.6% due to </w:t>
      </w:r>
    </w:p>
    <w:p w14:paraId="301FB2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failure, and 11.8% due to death. Loss to follow-up was the main driver </w:t>
      </w:r>
    </w:p>
    <w:p w14:paraId="2534AB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unsuccessful outcomes, suggesting important gaps in continuity of care and </w:t>
      </w:r>
    </w:p>
    <w:p w14:paraId="45BAC5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adherence support within the regional health system. In bivariate analyses, </w:t>
      </w:r>
    </w:p>
    <w:p w14:paraId="4A26DE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unsuccessful outcomes were associated with age 18-30 years (OR: 3.7; 95% CI: </w:t>
      </w:r>
    </w:p>
    <w:p w14:paraId="645156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1.6-8.5; p = 0.002), TB-HIV coinfection (OR: 2.4; 95% CI: 1.2-4.6; p = 0.012), </w:t>
      </w:r>
    </w:p>
    <w:p w14:paraId="6D0BD0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previous treatment after loss to follow-up (OR: 2.9; 95% CI: 1.6-5.2; </w:t>
      </w:r>
    </w:p>
    <w:p w14:paraId="50FAC9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 &lt; 0.001), high bacillary load (+++) (OR: 1.9; 95% CI: 1.0-3.5; p = 0.041), </w:t>
      </w:r>
    </w:p>
    <w:p w14:paraId="39EB0C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alcoholism (OR: 4.6; 95% CI: 1.5-14.1; p = 0.006), and drug addiction (OR: 7.0; </w:t>
      </w:r>
    </w:p>
    <w:p w14:paraId="5656E7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95% CI: 2.0-24.2; p = 0.002). In the multivariable analysis, alcoholism remained </w:t>
      </w:r>
    </w:p>
    <w:p w14:paraId="18E17D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independently associated with unsuccessful outcomes (aOR: 4.0; 95% CI: 1.1-14.2; </w:t>
      </w:r>
    </w:p>
    <w:p w14:paraId="18B766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 = 0.029), while individualized treatment was associated with lower odds of </w:t>
      </w:r>
    </w:p>
    <w:p w14:paraId="4E3908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unsuccessful outcomes (aOR: 0.4; 95% CI: 0.1-0.9; p = 0.023). Unsuccessful </w:t>
      </w:r>
    </w:p>
    <w:p w14:paraId="004750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outcomes among DR-TB patients in Loreto were mainly driven by loss to </w:t>
      </w:r>
    </w:p>
    <w:p w14:paraId="588EAB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follow-up, highlighting persistent gaps in treatment continuity and adherence </w:t>
      </w:r>
    </w:p>
    <w:p w14:paraId="1D01BA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support. Programmatic priorities should include decentralized access to </w:t>
      </w:r>
    </w:p>
    <w:p w14:paraId="30C08E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drug-susceptibility testing, community-based adherence strategies, and </w:t>
      </w:r>
    </w:p>
    <w:p w14:paraId="1B65FEAA">
      <w:pPr>
        <w:rPr>
          <w:rFonts w:hint="eastAsia" w:ascii="宋体" w:hAnsi="宋体" w:eastAsia="宋体" w:cs="宋体"/>
          <w:b w:val="0"/>
          <w:bCs/>
          <w:color w:val="auto"/>
          <w:szCs w:val="24"/>
        </w:rPr>
      </w:pPr>
      <w:r>
        <w:rPr>
          <w:rFonts w:hint="eastAsia" w:ascii="宋体" w:hAnsi="宋体" w:eastAsia="宋体" w:cs="宋体"/>
          <w:b w:val="0"/>
          <w:bCs/>
          <w:color w:val="auto"/>
          <w:szCs w:val="24"/>
        </w:rPr>
        <w:t>integrated screening and management of alcohol use within DR-TB care.</w:t>
      </w:r>
    </w:p>
    <w:p w14:paraId="346AB193">
      <w:pPr>
        <w:rPr>
          <w:rFonts w:hint="eastAsia" w:ascii="宋体" w:hAnsi="宋体" w:eastAsia="宋体" w:cs="宋体"/>
          <w:b w:val="0"/>
          <w:bCs/>
          <w:color w:val="auto"/>
          <w:szCs w:val="24"/>
        </w:rPr>
      </w:pPr>
    </w:p>
    <w:p w14:paraId="03E267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Cordova-Pisco et al. This is an open access article </w:t>
      </w:r>
    </w:p>
    <w:p w14:paraId="13E4BC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distributed under the terms of the Creative Commons Attribution License, which </w:t>
      </w:r>
    </w:p>
    <w:p w14:paraId="02DF5C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permits unrestricted use, distribution, and reproduction in any medium, provided </w:t>
      </w:r>
    </w:p>
    <w:p w14:paraId="1F9E97B3">
      <w:pPr>
        <w:rPr>
          <w:rFonts w:hint="eastAsia" w:ascii="宋体" w:hAnsi="宋体" w:eastAsia="宋体" w:cs="宋体"/>
          <w:b w:val="0"/>
          <w:bCs/>
          <w:color w:val="auto"/>
          <w:szCs w:val="24"/>
        </w:rPr>
      </w:pPr>
      <w:r>
        <w:rPr>
          <w:rFonts w:hint="eastAsia" w:ascii="宋体" w:hAnsi="宋体" w:eastAsia="宋体" w:cs="宋体"/>
          <w:b w:val="0"/>
          <w:bCs/>
          <w:color w:val="auto"/>
          <w:szCs w:val="24"/>
        </w:rPr>
        <w:t>the original author and source are credited.</w:t>
      </w:r>
    </w:p>
    <w:p w14:paraId="3C460E99">
      <w:pPr>
        <w:rPr>
          <w:rFonts w:hint="eastAsia" w:ascii="宋体" w:hAnsi="宋体" w:eastAsia="宋体" w:cs="宋体"/>
          <w:b w:val="0"/>
          <w:bCs/>
          <w:color w:val="auto"/>
          <w:szCs w:val="24"/>
        </w:rPr>
      </w:pPr>
    </w:p>
    <w:p w14:paraId="39FC6C83">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10.1371/journal.pgph.0007229</w:t>
      </w:r>
    </w:p>
    <w:p w14:paraId="62E3BE15">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PMC13557377</w:t>
      </w:r>
    </w:p>
    <w:p w14:paraId="04B985E2">
      <w:pPr>
        <w:rPr>
          <w:rFonts w:hint="eastAsia" w:ascii="宋体" w:hAnsi="宋体" w:eastAsia="宋体" w:cs="宋体"/>
          <w:b w:val="0"/>
          <w:bCs/>
          <w:color w:val="auto"/>
          <w:szCs w:val="24"/>
        </w:rPr>
      </w:pPr>
      <w:r>
        <w:rPr>
          <w:rFonts w:hint="eastAsia" w:ascii="宋体" w:hAnsi="宋体" w:eastAsia="宋体" w:cs="宋体"/>
          <w:b w:val="0"/>
          <w:bCs/>
          <w:color w:val="auto"/>
          <w:szCs w:val="24"/>
        </w:rPr>
        <w:t>PMID: 42715181</w:t>
      </w:r>
    </w:p>
    <w:p w14:paraId="559A5359">
      <w:pPr>
        <w:rPr>
          <w:rFonts w:hint="eastAsia" w:ascii="宋体" w:hAnsi="宋体" w:eastAsia="宋体" w:cs="宋体"/>
          <w:b w:val="0"/>
          <w:bCs/>
          <w:color w:val="auto"/>
          <w:szCs w:val="24"/>
        </w:rPr>
      </w:pPr>
    </w:p>
    <w:p w14:paraId="0B1C99C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26</w:t>
      </w:r>
      <w:r>
        <w:rPr>
          <w:rFonts w:hint="eastAsia" w:ascii="宋体" w:hAnsi="宋体" w:eastAsia="宋体" w:cs="宋体"/>
          <w:b/>
          <w:bCs w:val="0"/>
          <w:color w:val="FF0000"/>
          <w:szCs w:val="24"/>
        </w:rPr>
        <w:t>. Eur J Clin Microbiol Infect Dis. 2026 Sep 9. doi: 10.1007/s10096-026-05652-9. Online ahead of print.</w:t>
      </w:r>
    </w:p>
    <w:p w14:paraId="70C94C79">
      <w:pPr>
        <w:rPr>
          <w:rFonts w:hint="eastAsia" w:ascii="宋体" w:hAnsi="宋体" w:eastAsia="宋体" w:cs="宋体"/>
          <w:b w:val="0"/>
          <w:bCs/>
          <w:color w:val="auto"/>
          <w:szCs w:val="24"/>
        </w:rPr>
      </w:pPr>
    </w:p>
    <w:p w14:paraId="70C848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performance of the Abbott RealTime Mycobacterium tuberculosis (MTB) PCR </w:t>
      </w:r>
    </w:p>
    <w:p w14:paraId="2E265378">
      <w:pPr>
        <w:rPr>
          <w:rFonts w:hint="eastAsia" w:ascii="宋体" w:hAnsi="宋体" w:eastAsia="宋体" w:cs="宋体"/>
          <w:b w:val="0"/>
          <w:bCs/>
          <w:color w:val="auto"/>
          <w:szCs w:val="24"/>
        </w:rPr>
      </w:pPr>
      <w:r>
        <w:rPr>
          <w:rFonts w:hint="eastAsia" w:ascii="宋体" w:hAnsi="宋体" w:eastAsia="宋体" w:cs="宋体"/>
          <w:b w:val="0"/>
          <w:bCs/>
          <w:color w:val="auto"/>
          <w:szCs w:val="24"/>
        </w:rPr>
        <w:t>on bronchoscopic specimens for diagnosing pulmonary tuberculosis.</w:t>
      </w:r>
    </w:p>
    <w:p w14:paraId="6E0EEE35">
      <w:pPr>
        <w:rPr>
          <w:rFonts w:hint="eastAsia" w:ascii="宋体" w:hAnsi="宋体" w:eastAsia="宋体" w:cs="宋体"/>
          <w:b w:val="0"/>
          <w:bCs/>
          <w:color w:val="auto"/>
          <w:szCs w:val="24"/>
        </w:rPr>
      </w:pPr>
    </w:p>
    <w:p w14:paraId="11F492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Ripoll JJ(1)(2), Clari MÁ(1)(2), Orta N(3), Chouman R(3), Signes-Costa J(4), </w:t>
      </w:r>
    </w:p>
    <w:p w14:paraId="0FE9B8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Franco J(4), Mariner-Llicer C(5), Mg ML(5)(2), Comas I(5)(6), Navarro </w:t>
      </w:r>
    </w:p>
    <w:p w14:paraId="0D1C2460">
      <w:pPr>
        <w:rPr>
          <w:rFonts w:hint="eastAsia" w:ascii="宋体" w:hAnsi="宋体" w:eastAsia="宋体" w:cs="宋体"/>
          <w:b w:val="0"/>
          <w:bCs/>
          <w:color w:val="auto"/>
          <w:szCs w:val="24"/>
        </w:rPr>
      </w:pPr>
      <w:r>
        <w:rPr>
          <w:rFonts w:hint="eastAsia" w:ascii="宋体" w:hAnsi="宋体" w:eastAsia="宋体" w:cs="宋体"/>
          <w:b w:val="0"/>
          <w:bCs/>
          <w:color w:val="auto"/>
          <w:szCs w:val="24"/>
        </w:rPr>
        <w:t>D(7)(8)(9).</w:t>
      </w:r>
    </w:p>
    <w:p w14:paraId="65F082A8">
      <w:pPr>
        <w:rPr>
          <w:rFonts w:hint="eastAsia" w:ascii="宋体" w:hAnsi="宋体" w:eastAsia="宋体" w:cs="宋体"/>
          <w:b w:val="0"/>
          <w:bCs/>
          <w:color w:val="auto"/>
          <w:szCs w:val="24"/>
        </w:rPr>
      </w:pPr>
    </w:p>
    <w:p w14:paraId="7ED59760">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5DE57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(1)Microbiology Service, Hospital Clínico Universitario, Instituto de </w:t>
      </w:r>
    </w:p>
    <w:p w14:paraId="7611F6AF">
      <w:pPr>
        <w:rPr>
          <w:rFonts w:hint="eastAsia" w:ascii="宋体" w:hAnsi="宋体" w:eastAsia="宋体" w:cs="宋体"/>
          <w:b w:val="0"/>
          <w:bCs/>
          <w:color w:val="auto"/>
          <w:szCs w:val="24"/>
        </w:rPr>
      </w:pPr>
      <w:r>
        <w:rPr>
          <w:rFonts w:hint="eastAsia" w:ascii="宋体" w:hAnsi="宋体" w:eastAsia="宋体" w:cs="宋体"/>
          <w:b w:val="0"/>
          <w:bCs/>
          <w:color w:val="auto"/>
          <w:szCs w:val="24"/>
        </w:rPr>
        <w:t>Investigación INCLIVA, Valencia. Av. Blasco Ibáñez 17, Valencia, 46010, Spain.</w:t>
      </w:r>
    </w:p>
    <w:p w14:paraId="2FB87A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(2)Mycobacterial Infections Study Group (GEIM) of the Spanish Society of </w:t>
      </w:r>
    </w:p>
    <w:p w14:paraId="09EEA285">
      <w:pPr>
        <w:rPr>
          <w:rFonts w:hint="eastAsia" w:ascii="宋体" w:hAnsi="宋体" w:eastAsia="宋体" w:cs="宋体"/>
          <w:b w:val="0"/>
          <w:bCs/>
          <w:color w:val="auto"/>
          <w:szCs w:val="24"/>
        </w:rPr>
      </w:pPr>
      <w:r>
        <w:rPr>
          <w:rFonts w:hint="eastAsia" w:ascii="宋体" w:hAnsi="宋体" w:eastAsia="宋体" w:cs="宋体"/>
          <w:b w:val="0"/>
          <w:bCs/>
          <w:color w:val="auto"/>
          <w:szCs w:val="24"/>
        </w:rPr>
        <w:t>Infectious Diseases and Clinical Microbiology (SEIMC), Madrid, Spain.</w:t>
      </w:r>
    </w:p>
    <w:p w14:paraId="32449082">
      <w:pPr>
        <w:rPr>
          <w:rFonts w:hint="eastAsia" w:ascii="宋体" w:hAnsi="宋体" w:eastAsia="宋体" w:cs="宋体"/>
          <w:b w:val="0"/>
          <w:bCs/>
          <w:color w:val="auto"/>
          <w:szCs w:val="24"/>
        </w:rPr>
      </w:pPr>
      <w:r>
        <w:rPr>
          <w:rFonts w:hint="eastAsia" w:ascii="宋体" w:hAnsi="宋体" w:eastAsia="宋体" w:cs="宋体"/>
          <w:b w:val="0"/>
          <w:bCs/>
          <w:color w:val="auto"/>
          <w:szCs w:val="24"/>
        </w:rPr>
        <w:t>(3)Microbiology Unit, Hospital Francisco de Borja, Gandía, Spain.</w:t>
      </w:r>
    </w:p>
    <w:p w14:paraId="354335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(4)Respiratory Medicine Department, Hospital Clínico Universitario, Instituto de </w:t>
      </w:r>
    </w:p>
    <w:p w14:paraId="315DFCB0">
      <w:pPr>
        <w:rPr>
          <w:rFonts w:hint="eastAsia" w:ascii="宋体" w:hAnsi="宋体" w:eastAsia="宋体" w:cs="宋体"/>
          <w:b w:val="0"/>
          <w:bCs/>
          <w:color w:val="auto"/>
          <w:szCs w:val="24"/>
        </w:rPr>
      </w:pPr>
      <w:r>
        <w:rPr>
          <w:rFonts w:hint="eastAsia" w:ascii="宋体" w:hAnsi="宋体" w:eastAsia="宋体" w:cs="宋体"/>
          <w:b w:val="0"/>
          <w:bCs/>
          <w:color w:val="auto"/>
          <w:szCs w:val="24"/>
        </w:rPr>
        <w:t>Investigación INCLIVA, Valencia, Spain.</w:t>
      </w:r>
    </w:p>
    <w:p w14:paraId="062C4B0E">
      <w:pPr>
        <w:rPr>
          <w:rFonts w:hint="eastAsia" w:ascii="宋体" w:hAnsi="宋体" w:eastAsia="宋体" w:cs="宋体"/>
          <w:b w:val="0"/>
          <w:bCs/>
          <w:color w:val="auto"/>
          <w:szCs w:val="24"/>
        </w:rPr>
      </w:pPr>
      <w:r>
        <w:rPr>
          <w:rFonts w:hint="eastAsia" w:ascii="宋体" w:hAnsi="宋体" w:eastAsia="宋体" w:cs="宋体"/>
          <w:b w:val="0"/>
          <w:bCs/>
          <w:color w:val="auto"/>
          <w:szCs w:val="24"/>
        </w:rPr>
        <w:t>(5)Instituto de Biomedicina de Valencia, IBV, CSIC, València, Spain.</w:t>
      </w:r>
    </w:p>
    <w:p w14:paraId="6AA115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(6)CIBERESP, Consorcio de Investigación Biomédica en Red de Epidemiología y </w:t>
      </w:r>
    </w:p>
    <w:p w14:paraId="1266302C">
      <w:pPr>
        <w:rPr>
          <w:rFonts w:hint="eastAsia" w:ascii="宋体" w:hAnsi="宋体" w:eastAsia="宋体" w:cs="宋体"/>
          <w:b w:val="0"/>
          <w:bCs/>
          <w:color w:val="auto"/>
          <w:szCs w:val="24"/>
        </w:rPr>
      </w:pPr>
      <w:r>
        <w:rPr>
          <w:rFonts w:hint="eastAsia" w:ascii="宋体" w:hAnsi="宋体" w:eastAsia="宋体" w:cs="宋体"/>
          <w:b w:val="0"/>
          <w:bCs/>
          <w:color w:val="auto"/>
          <w:szCs w:val="24"/>
        </w:rPr>
        <w:t>Salud Pública, Madrid, Spain.</w:t>
      </w:r>
    </w:p>
    <w:p w14:paraId="5E093A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(7)Microbiology Service, Hospital Clínico Universitario, Instituto de </w:t>
      </w:r>
    </w:p>
    <w:p w14:paraId="6B6EB1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Investigación INCLIVA, Valencia. Av. Blasco Ibáñez 17, Valencia, 46010, Spain. </w:t>
      </w:r>
    </w:p>
    <w:p w14:paraId="23CC11D6">
      <w:pPr>
        <w:rPr>
          <w:rFonts w:hint="eastAsia" w:ascii="宋体" w:hAnsi="宋体" w:eastAsia="宋体" w:cs="宋体"/>
          <w:b w:val="0"/>
          <w:bCs/>
          <w:color w:val="auto"/>
          <w:szCs w:val="24"/>
        </w:rPr>
      </w:pPr>
      <w:r>
        <w:rPr>
          <w:rFonts w:hint="eastAsia" w:ascii="宋体" w:hAnsi="宋体" w:eastAsia="宋体" w:cs="宋体"/>
          <w:b w:val="0"/>
          <w:bCs/>
          <w:color w:val="auto"/>
          <w:szCs w:val="24"/>
        </w:rPr>
        <w:t>david.navarro@uv.es.</w:t>
      </w:r>
    </w:p>
    <w:p w14:paraId="69A981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Microbiology, School of Medicine, University of Valencia, </w:t>
      </w:r>
    </w:p>
    <w:p w14:paraId="4CA7ACA0">
      <w:pPr>
        <w:rPr>
          <w:rFonts w:hint="eastAsia" w:ascii="宋体" w:hAnsi="宋体" w:eastAsia="宋体" w:cs="宋体"/>
          <w:b w:val="0"/>
          <w:bCs/>
          <w:color w:val="auto"/>
          <w:szCs w:val="24"/>
        </w:rPr>
      </w:pPr>
      <w:r>
        <w:rPr>
          <w:rFonts w:hint="eastAsia" w:ascii="宋体" w:hAnsi="宋体" w:eastAsia="宋体" w:cs="宋体"/>
          <w:b w:val="0"/>
          <w:bCs/>
          <w:color w:val="auto"/>
          <w:szCs w:val="24"/>
        </w:rPr>
        <w:t>Valencia, Spain. david.navarro@uv.es.</w:t>
      </w:r>
    </w:p>
    <w:p w14:paraId="28A620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(9)CIBER de Enfermedades Infecciosas, Instituto de Salud Carlos III, Madrid, </w:t>
      </w:r>
    </w:p>
    <w:p w14:paraId="03537EEC">
      <w:pPr>
        <w:rPr>
          <w:rFonts w:hint="eastAsia" w:ascii="宋体" w:hAnsi="宋体" w:eastAsia="宋体" w:cs="宋体"/>
          <w:b w:val="0"/>
          <w:bCs/>
          <w:color w:val="auto"/>
          <w:szCs w:val="24"/>
        </w:rPr>
      </w:pPr>
      <w:r>
        <w:rPr>
          <w:rFonts w:hint="eastAsia" w:ascii="宋体" w:hAnsi="宋体" w:eastAsia="宋体" w:cs="宋体"/>
          <w:b w:val="0"/>
          <w:bCs/>
          <w:color w:val="auto"/>
          <w:szCs w:val="24"/>
        </w:rPr>
        <w:t>Spain. david.navarro@uv.es.</w:t>
      </w:r>
    </w:p>
    <w:p w14:paraId="09965016">
      <w:pPr>
        <w:rPr>
          <w:rFonts w:hint="eastAsia" w:ascii="宋体" w:hAnsi="宋体" w:eastAsia="宋体" w:cs="宋体"/>
          <w:b w:val="0"/>
          <w:bCs/>
          <w:color w:val="auto"/>
          <w:szCs w:val="24"/>
        </w:rPr>
      </w:pPr>
    </w:p>
    <w:p w14:paraId="514487C6">
      <w:pPr>
        <w:rPr>
          <w:rFonts w:hint="eastAsia" w:ascii="宋体" w:hAnsi="宋体" w:eastAsia="宋体" w:cs="宋体"/>
          <w:b w:val="0"/>
          <w:bCs/>
          <w:color w:val="auto"/>
          <w:szCs w:val="24"/>
        </w:rPr>
      </w:pPr>
      <w:r>
        <w:rPr>
          <w:rFonts w:hint="eastAsia" w:ascii="宋体" w:hAnsi="宋体" w:eastAsia="宋体" w:cs="宋体"/>
          <w:b/>
          <w:bCs w:val="0"/>
          <w:color w:val="auto"/>
          <w:szCs w:val="24"/>
        </w:rPr>
        <w:t>PURPOSE:</w:t>
      </w:r>
      <w:r>
        <w:rPr>
          <w:rFonts w:hint="eastAsia" w:ascii="宋体" w:hAnsi="宋体" w:eastAsia="宋体" w:cs="宋体"/>
          <w:b w:val="0"/>
          <w:bCs/>
          <w:color w:val="auto"/>
          <w:szCs w:val="24"/>
        </w:rPr>
        <w:t xml:space="preserve"> We evaluated the performance of the Abbott RealTime Mycobacterium </w:t>
      </w:r>
    </w:p>
    <w:p w14:paraId="6B3549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(MTB) PCR (RT MTB) on bronchoscopic specimens using conventional </w:t>
      </w:r>
    </w:p>
    <w:p w14:paraId="76667959">
      <w:pPr>
        <w:rPr>
          <w:rFonts w:hint="eastAsia" w:ascii="宋体" w:hAnsi="宋体" w:eastAsia="宋体" w:cs="宋体"/>
          <w:b w:val="0"/>
          <w:bCs/>
          <w:color w:val="auto"/>
          <w:szCs w:val="24"/>
        </w:rPr>
      </w:pPr>
      <w:r>
        <w:rPr>
          <w:rFonts w:hint="eastAsia" w:ascii="宋体" w:hAnsi="宋体" w:eastAsia="宋体" w:cs="宋体"/>
          <w:b w:val="0"/>
          <w:bCs/>
          <w:color w:val="auto"/>
          <w:szCs w:val="24"/>
        </w:rPr>
        <w:t>culture as the reference standard in a low-Tuberculosis (TB) prevalence setting.</w:t>
      </w:r>
    </w:p>
    <w:p w14:paraId="404BAA87">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A total of 6,988 specimens (4,682 bronchial aspirates [BAS] and 2,306 </w:t>
      </w:r>
    </w:p>
    <w:p w14:paraId="6FD37A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bronchoalveolar lavages [BAL]) from 4,118 patients with suspected pulmonary TB </w:t>
      </w:r>
    </w:p>
    <w:p w14:paraId="496771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included. When BAS and BAL specimens from the same bronchoscopy procedure </w:t>
      </w:r>
    </w:p>
    <w:p w14:paraId="380AC1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available, these were mixed 1:1 prior to culture inoculation and PCR </w:t>
      </w:r>
    </w:p>
    <w:p w14:paraId="32F0D4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testing. Following processing, specimens were inoculated into a </w:t>
      </w:r>
    </w:p>
    <w:p w14:paraId="6CE64BB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Löwenstein-Jensen and a Bactec MGIT 960 tube and incubated at 37 °C for 3 months </w:t>
      </w:r>
    </w:p>
    <w:p w14:paraId="001596D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at 35 °C for 8 weeks, respectively. RT MTB was performed as indicated by the manufacturer. RT MTB targets the insertion sequence IS6110 and the protein </w:t>
      </w:r>
    </w:p>
    <w:p w14:paraId="0512C5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antigen B (PAB) gene, both highly conserved within the Mycobacterium </w:t>
      </w:r>
    </w:p>
    <w:p w14:paraId="2BCB15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complex. Whole genome Next generation sequencing of clinical MTBC </w:t>
      </w:r>
    </w:p>
    <w:p w14:paraId="20FC93F1">
      <w:pPr>
        <w:rPr>
          <w:rFonts w:hint="eastAsia" w:ascii="宋体" w:hAnsi="宋体" w:eastAsia="宋体" w:cs="宋体"/>
          <w:b w:val="0"/>
          <w:bCs/>
          <w:color w:val="auto"/>
          <w:szCs w:val="24"/>
        </w:rPr>
      </w:pPr>
      <w:r>
        <w:rPr>
          <w:rFonts w:hint="eastAsia" w:ascii="宋体" w:hAnsi="宋体" w:eastAsia="宋体" w:cs="宋体"/>
          <w:b w:val="0"/>
          <w:bCs/>
          <w:color w:val="auto"/>
          <w:szCs w:val="24"/>
        </w:rPr>
        <w:t>isolates was performed when indicated.</w:t>
      </w:r>
    </w:p>
    <w:p w14:paraId="5429C491">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Among the 104 culture-positive specimens, 84 (1.2%) were detected by </w:t>
      </w:r>
    </w:p>
    <w:p w14:paraId="4E693A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PCR. Additionally, 16 specimens (0.3% of all samples), from 16 patients, were </w:t>
      </w:r>
    </w:p>
    <w:p w14:paraId="000A01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PCR-positive despite negative culture results. Conversely, 20 specimens (0.4% of </w:t>
      </w:r>
    </w:p>
    <w:p w14:paraId="7638FB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all samples), from 19 patients, were culture-positive but not detected by PCR. </w:t>
      </w:r>
    </w:p>
    <w:p w14:paraId="022316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 significant differences were found between PCR-positive and PCR-negative </w:t>
      </w:r>
    </w:p>
    <w:p w14:paraId="58EAA9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specimens with respect to the number of IS6110 copies per isolate or PAB gene </w:t>
      </w:r>
    </w:p>
    <w:p w14:paraId="5F149E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sequences (P = 0.69). Finally, there were 4,683 specimens (97.4%) from the </w:t>
      </w:r>
    </w:p>
    <w:p w14:paraId="5205BE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remaining 4,014 patients tested PCR-negative/Culture-negative. Following the </w:t>
      </w:r>
    </w:p>
    <w:p w14:paraId="117533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resolution of discrepancies based on clinical grounds the sensitivity and </w:t>
      </w:r>
    </w:p>
    <w:p w14:paraId="4D2FAD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specificity of RT MTB were 83.9% (CI 95%, 76.0-90.0) and 99.9% (CI 95%, </w:t>
      </w:r>
    </w:p>
    <w:p w14:paraId="24972F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99.9-99.9), respectively. These results exceed the minimum performance </w:t>
      </w:r>
    </w:p>
    <w:p w14:paraId="23C8B5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requirements defined in the WHO Target Product Profiles for molecular TB </w:t>
      </w:r>
    </w:p>
    <w:p w14:paraId="2F10F8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diagnostics. Although RT MTB is not a point-of-care test but rather a </w:t>
      </w:r>
    </w:p>
    <w:p w14:paraId="42BDD5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moderate-complexity automated NAAT, it is recommended by WHO as part of the </w:t>
      </w:r>
    </w:p>
    <w:p w14:paraId="4C3E80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Abbott RealTime MTB/MTB RIF-INH testing algorithm, in which MTBC detection by RT </w:t>
      </w:r>
    </w:p>
    <w:p w14:paraId="164F98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MTB is followed by reflex testing with the MTB RIF/INH assay for detection of </w:t>
      </w:r>
    </w:p>
    <w:p w14:paraId="69113800">
      <w:pPr>
        <w:rPr>
          <w:rFonts w:hint="eastAsia" w:ascii="宋体" w:hAnsi="宋体" w:eastAsia="宋体" w:cs="宋体"/>
          <w:b w:val="0"/>
          <w:bCs/>
          <w:color w:val="auto"/>
          <w:szCs w:val="24"/>
        </w:rPr>
      </w:pPr>
      <w:r>
        <w:rPr>
          <w:rFonts w:hint="eastAsia" w:ascii="宋体" w:hAnsi="宋体" w:eastAsia="宋体" w:cs="宋体"/>
          <w:b w:val="0"/>
          <w:bCs/>
          <w:color w:val="auto"/>
          <w:szCs w:val="24"/>
        </w:rPr>
        <w:t>rifampicin and isoniazid resistance.</w:t>
      </w:r>
    </w:p>
    <w:p w14:paraId="0EB966FA">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RT MTB shows a good performance on bronchoscopic specimens.</w:t>
      </w:r>
    </w:p>
    <w:p w14:paraId="17360C7E">
      <w:pPr>
        <w:rPr>
          <w:rFonts w:hint="eastAsia" w:ascii="宋体" w:hAnsi="宋体" w:eastAsia="宋体" w:cs="宋体"/>
          <w:b w:val="0"/>
          <w:bCs/>
          <w:color w:val="auto"/>
          <w:szCs w:val="24"/>
        </w:rPr>
      </w:pPr>
    </w:p>
    <w:p w14:paraId="73D4D169">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w:t>
      </w:r>
    </w:p>
    <w:p w14:paraId="47437D84">
      <w:pPr>
        <w:rPr>
          <w:rFonts w:hint="eastAsia" w:ascii="宋体" w:hAnsi="宋体" w:eastAsia="宋体" w:cs="宋体"/>
          <w:b w:val="0"/>
          <w:bCs/>
          <w:color w:val="auto"/>
          <w:szCs w:val="24"/>
        </w:rPr>
      </w:pPr>
    </w:p>
    <w:p w14:paraId="10D766FB">
      <w:pPr>
        <w:rPr>
          <w:rFonts w:hint="eastAsia" w:ascii="宋体" w:hAnsi="宋体" w:eastAsia="宋体" w:cs="宋体"/>
          <w:b w:val="0"/>
          <w:bCs/>
          <w:color w:val="auto"/>
          <w:szCs w:val="24"/>
        </w:rPr>
      </w:pPr>
      <w:r>
        <w:rPr>
          <w:rFonts w:hint="eastAsia" w:ascii="宋体" w:hAnsi="宋体" w:eastAsia="宋体" w:cs="宋体"/>
          <w:b w:val="0"/>
          <w:bCs/>
          <w:color w:val="auto"/>
          <w:szCs w:val="24"/>
        </w:rPr>
        <w:t>DOI: 10.1007/s10096-026-05652-9</w:t>
      </w:r>
    </w:p>
    <w:p w14:paraId="1BA91AA4">
      <w:pPr>
        <w:rPr>
          <w:rFonts w:hint="eastAsia" w:ascii="宋体" w:hAnsi="宋体" w:eastAsia="宋体" w:cs="宋体"/>
          <w:b w:val="0"/>
          <w:bCs/>
          <w:color w:val="auto"/>
          <w:szCs w:val="24"/>
        </w:rPr>
      </w:pPr>
      <w:r>
        <w:rPr>
          <w:rFonts w:hint="eastAsia" w:ascii="宋体" w:hAnsi="宋体" w:eastAsia="宋体" w:cs="宋体"/>
          <w:b w:val="0"/>
          <w:bCs/>
          <w:color w:val="auto"/>
          <w:szCs w:val="24"/>
        </w:rPr>
        <w:t>PMID: 42714826</w:t>
      </w:r>
    </w:p>
    <w:p w14:paraId="349D6262">
      <w:pPr>
        <w:rPr>
          <w:rFonts w:hint="eastAsia" w:ascii="宋体" w:hAnsi="宋体" w:eastAsia="宋体" w:cs="宋体"/>
          <w:b w:val="0"/>
          <w:bCs/>
          <w:color w:val="auto"/>
          <w:szCs w:val="24"/>
        </w:rPr>
      </w:pPr>
    </w:p>
    <w:p w14:paraId="1B444C2B">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27</w:t>
      </w:r>
      <w:r>
        <w:rPr>
          <w:rFonts w:hint="eastAsia" w:ascii="宋体" w:hAnsi="宋体" w:eastAsia="宋体" w:cs="宋体"/>
          <w:b/>
          <w:bCs w:val="0"/>
          <w:color w:val="FF0000"/>
          <w:szCs w:val="24"/>
        </w:rPr>
        <w:t xml:space="preserve">. J Pediatric Infect Dis Soc. 2026 Sep 9:piag089. doi: 10.1093/jpids/piag089. </w:t>
      </w:r>
    </w:p>
    <w:p w14:paraId="7E0230C6">
      <w:pPr>
        <w:rPr>
          <w:rFonts w:hint="eastAsia" w:ascii="宋体" w:hAnsi="宋体" w:eastAsia="宋体" w:cs="宋体"/>
          <w:b/>
          <w:bCs w:val="0"/>
          <w:color w:val="FF0000"/>
          <w:szCs w:val="24"/>
        </w:rPr>
      </w:pPr>
      <w:r>
        <w:rPr>
          <w:rFonts w:hint="eastAsia" w:ascii="宋体" w:hAnsi="宋体" w:eastAsia="宋体" w:cs="宋体"/>
          <w:b/>
          <w:bCs w:val="0"/>
          <w:color w:val="FF0000"/>
          <w:szCs w:val="24"/>
        </w:rPr>
        <w:t>Online ahead of print.</w:t>
      </w:r>
    </w:p>
    <w:p w14:paraId="56614C83">
      <w:pPr>
        <w:rPr>
          <w:rFonts w:hint="eastAsia" w:ascii="宋体" w:hAnsi="宋体" w:eastAsia="宋体" w:cs="宋体"/>
          <w:b w:val="0"/>
          <w:bCs/>
          <w:color w:val="auto"/>
          <w:szCs w:val="24"/>
        </w:rPr>
      </w:pPr>
    </w:p>
    <w:p w14:paraId="44A4D6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Pharmacokinetics of clofazimine tablet formulation in children with </w:t>
      </w:r>
    </w:p>
    <w:p w14:paraId="7F484464">
      <w:pPr>
        <w:rPr>
          <w:rFonts w:hint="eastAsia" w:ascii="宋体" w:hAnsi="宋体" w:eastAsia="宋体" w:cs="宋体"/>
          <w:b w:val="0"/>
          <w:bCs/>
          <w:color w:val="auto"/>
          <w:szCs w:val="24"/>
        </w:rPr>
      </w:pPr>
      <w:r>
        <w:rPr>
          <w:rFonts w:hint="eastAsia" w:ascii="宋体" w:hAnsi="宋体" w:eastAsia="宋体" w:cs="宋体"/>
          <w:b w:val="0"/>
          <w:bCs/>
          <w:color w:val="auto"/>
          <w:szCs w:val="24"/>
        </w:rPr>
        <w:t>rifampicin-resistant tuberculosis in CATALYST, a multi-site international trial.</w:t>
      </w:r>
    </w:p>
    <w:p w14:paraId="10D96019">
      <w:pPr>
        <w:rPr>
          <w:rFonts w:hint="eastAsia" w:ascii="宋体" w:hAnsi="宋体" w:eastAsia="宋体" w:cs="宋体"/>
          <w:b w:val="0"/>
          <w:bCs/>
          <w:color w:val="auto"/>
          <w:szCs w:val="24"/>
        </w:rPr>
      </w:pPr>
    </w:p>
    <w:p w14:paraId="462DC4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Zou Y(1), Palmer M(2), Frias MVG(3), Casalme DJO(3), Kinikar AA(4), Paradkar </w:t>
      </w:r>
    </w:p>
    <w:p w14:paraId="19046F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M(5)(6), Kulkarni V(5)(6), Kamath P(4), Courtney I(2), Draper H(2), Wiesner </w:t>
      </w:r>
    </w:p>
    <w:p w14:paraId="44319C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L(7), Karlsson MO(1), Denti P(7), van der Laan L(2), Garcia-Prats AJ(2)(8), </w:t>
      </w:r>
    </w:p>
    <w:p w14:paraId="4362F639">
      <w:pPr>
        <w:rPr>
          <w:rFonts w:hint="eastAsia" w:ascii="宋体" w:hAnsi="宋体" w:eastAsia="宋体" w:cs="宋体"/>
          <w:b w:val="0"/>
          <w:bCs/>
          <w:color w:val="auto"/>
          <w:szCs w:val="24"/>
        </w:rPr>
      </w:pPr>
      <w:r>
        <w:rPr>
          <w:rFonts w:hint="eastAsia" w:ascii="宋体" w:hAnsi="宋体" w:eastAsia="宋体" w:cs="宋体"/>
          <w:b w:val="0"/>
          <w:bCs/>
          <w:color w:val="auto"/>
          <w:szCs w:val="24"/>
        </w:rPr>
        <w:t>Hesseling AC(2), Svensson EM(1)(9).</w:t>
      </w:r>
    </w:p>
    <w:p w14:paraId="77A6759D">
      <w:pPr>
        <w:rPr>
          <w:rFonts w:hint="eastAsia" w:ascii="宋体" w:hAnsi="宋体" w:eastAsia="宋体" w:cs="宋体"/>
          <w:b w:val="0"/>
          <w:bCs/>
          <w:color w:val="auto"/>
          <w:szCs w:val="24"/>
        </w:rPr>
      </w:pPr>
    </w:p>
    <w:p w14:paraId="35F531E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440DC8EA">
      <w:pPr>
        <w:rPr>
          <w:rFonts w:hint="eastAsia" w:ascii="宋体" w:hAnsi="宋体" w:eastAsia="宋体" w:cs="宋体"/>
          <w:b w:val="0"/>
          <w:bCs/>
          <w:color w:val="auto"/>
          <w:szCs w:val="24"/>
        </w:rPr>
      </w:pPr>
      <w:r>
        <w:rPr>
          <w:rFonts w:hint="eastAsia" w:ascii="宋体" w:hAnsi="宋体" w:eastAsia="宋体" w:cs="宋体"/>
          <w:b w:val="0"/>
          <w:bCs/>
          <w:color w:val="auto"/>
          <w:szCs w:val="24"/>
        </w:rPr>
        <w:t>(1)Department of Pharmacy, Uppsala University, Uppsala, Sweden.</w:t>
      </w:r>
    </w:p>
    <w:p w14:paraId="2C2A71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(2)Desmond Tutu TB Centre, Department of Paediatrics and Child Health, Faculty </w:t>
      </w:r>
    </w:p>
    <w:p w14:paraId="2F0D456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Medicine and Health Sciences, Stellenbosch University, Cape Town, South </w:t>
      </w:r>
    </w:p>
    <w:p w14:paraId="606CDEE8">
      <w:pPr>
        <w:rPr>
          <w:rFonts w:hint="eastAsia" w:ascii="宋体" w:hAnsi="宋体" w:eastAsia="宋体" w:cs="宋体"/>
          <w:b w:val="0"/>
          <w:bCs/>
          <w:color w:val="auto"/>
          <w:szCs w:val="24"/>
        </w:rPr>
      </w:pPr>
      <w:r>
        <w:rPr>
          <w:rFonts w:hint="eastAsia" w:ascii="宋体" w:hAnsi="宋体" w:eastAsia="宋体" w:cs="宋体"/>
          <w:b w:val="0"/>
          <w:bCs/>
          <w:color w:val="auto"/>
          <w:szCs w:val="24"/>
        </w:rPr>
        <w:t>Africa.</w:t>
      </w:r>
    </w:p>
    <w:p w14:paraId="519965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 La Salle Medical and Health Sciences Institute, Dasmariñas, The </w:t>
      </w:r>
    </w:p>
    <w:p w14:paraId="5529D6D5">
      <w:pPr>
        <w:rPr>
          <w:rFonts w:hint="eastAsia" w:ascii="宋体" w:hAnsi="宋体" w:eastAsia="宋体" w:cs="宋体"/>
          <w:b w:val="0"/>
          <w:bCs/>
          <w:color w:val="auto"/>
          <w:szCs w:val="24"/>
        </w:rPr>
      </w:pPr>
      <w:r>
        <w:rPr>
          <w:rFonts w:hint="eastAsia" w:ascii="宋体" w:hAnsi="宋体" w:eastAsia="宋体" w:cs="宋体"/>
          <w:b w:val="0"/>
          <w:bCs/>
          <w:color w:val="auto"/>
          <w:szCs w:val="24"/>
        </w:rPr>
        <w:t>Philippines.</w:t>
      </w:r>
    </w:p>
    <w:p w14:paraId="10A0D807">
      <w:pPr>
        <w:rPr>
          <w:rFonts w:hint="eastAsia" w:ascii="宋体" w:hAnsi="宋体" w:eastAsia="宋体" w:cs="宋体"/>
          <w:b w:val="0"/>
          <w:bCs/>
          <w:color w:val="auto"/>
          <w:szCs w:val="24"/>
        </w:rPr>
      </w:pPr>
      <w:r>
        <w:rPr>
          <w:rFonts w:hint="eastAsia" w:ascii="宋体" w:hAnsi="宋体" w:eastAsia="宋体" w:cs="宋体"/>
          <w:b w:val="0"/>
          <w:bCs/>
          <w:color w:val="auto"/>
          <w:szCs w:val="24"/>
        </w:rPr>
        <w:t>(4)BJ Government Medical College, Pune, India.</w:t>
      </w:r>
    </w:p>
    <w:p w14:paraId="240D96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(5)BJ Government Medical College-Johns Hopkins University Clinical Research </w:t>
      </w:r>
    </w:p>
    <w:p w14:paraId="08AED4D2">
      <w:pPr>
        <w:rPr>
          <w:rFonts w:hint="eastAsia" w:ascii="宋体" w:hAnsi="宋体" w:eastAsia="宋体" w:cs="宋体"/>
          <w:b w:val="0"/>
          <w:bCs/>
          <w:color w:val="auto"/>
          <w:szCs w:val="24"/>
        </w:rPr>
      </w:pPr>
      <w:r>
        <w:rPr>
          <w:rFonts w:hint="eastAsia" w:ascii="宋体" w:hAnsi="宋体" w:eastAsia="宋体" w:cs="宋体"/>
          <w:b w:val="0"/>
          <w:bCs/>
          <w:color w:val="auto"/>
          <w:szCs w:val="24"/>
        </w:rPr>
        <w:t>Site, Pune, India.</w:t>
      </w:r>
    </w:p>
    <w:p w14:paraId="6ACC42AB">
      <w:pPr>
        <w:rPr>
          <w:rFonts w:hint="eastAsia" w:ascii="宋体" w:hAnsi="宋体" w:eastAsia="宋体" w:cs="宋体"/>
          <w:b w:val="0"/>
          <w:bCs/>
          <w:color w:val="auto"/>
          <w:szCs w:val="24"/>
        </w:rPr>
      </w:pPr>
      <w:r>
        <w:rPr>
          <w:rFonts w:hint="eastAsia" w:ascii="宋体" w:hAnsi="宋体" w:eastAsia="宋体" w:cs="宋体"/>
          <w:b w:val="0"/>
          <w:bCs/>
          <w:color w:val="auto"/>
          <w:szCs w:val="24"/>
        </w:rPr>
        <w:t>(6)Center for Infectious Diseases in India, Johns Hopkins India, Pune, India.</w:t>
      </w:r>
    </w:p>
    <w:p w14:paraId="363D10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(7)Division of Clinical Pharmacology, Department of Medicine, University of Cape </w:t>
      </w:r>
    </w:p>
    <w:p w14:paraId="227ED15A">
      <w:pPr>
        <w:rPr>
          <w:rFonts w:hint="eastAsia" w:ascii="宋体" w:hAnsi="宋体" w:eastAsia="宋体" w:cs="宋体"/>
          <w:b w:val="0"/>
          <w:bCs/>
          <w:color w:val="auto"/>
          <w:szCs w:val="24"/>
        </w:rPr>
      </w:pPr>
      <w:r>
        <w:rPr>
          <w:rFonts w:hint="eastAsia" w:ascii="宋体" w:hAnsi="宋体" w:eastAsia="宋体" w:cs="宋体"/>
          <w:b w:val="0"/>
          <w:bCs/>
          <w:color w:val="auto"/>
          <w:szCs w:val="24"/>
        </w:rPr>
        <w:t>Town, Cape Town, South Africa.</w:t>
      </w:r>
    </w:p>
    <w:p w14:paraId="59CFE5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Pediatrics, University of Wisconsin-Madison, Madison, </w:t>
      </w:r>
    </w:p>
    <w:p w14:paraId="3CE178FE">
      <w:pPr>
        <w:rPr>
          <w:rFonts w:hint="eastAsia" w:ascii="宋体" w:hAnsi="宋体" w:eastAsia="宋体" w:cs="宋体"/>
          <w:b w:val="0"/>
          <w:bCs/>
          <w:color w:val="auto"/>
          <w:szCs w:val="24"/>
        </w:rPr>
      </w:pPr>
      <w:r>
        <w:rPr>
          <w:rFonts w:hint="eastAsia" w:ascii="宋体" w:hAnsi="宋体" w:eastAsia="宋体" w:cs="宋体"/>
          <w:b w:val="0"/>
          <w:bCs/>
          <w:color w:val="auto"/>
          <w:szCs w:val="24"/>
        </w:rPr>
        <w:t>Wisconsin, USA.</w:t>
      </w:r>
    </w:p>
    <w:p w14:paraId="209467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(9)Department of Pharmacy, Pharmacology and Toxicology, Radboud University </w:t>
      </w:r>
    </w:p>
    <w:p w14:paraId="4368A0EA">
      <w:pPr>
        <w:rPr>
          <w:rFonts w:hint="eastAsia" w:ascii="宋体" w:hAnsi="宋体" w:eastAsia="宋体" w:cs="宋体"/>
          <w:b w:val="0"/>
          <w:bCs/>
          <w:color w:val="auto"/>
          <w:szCs w:val="24"/>
        </w:rPr>
      </w:pPr>
      <w:r>
        <w:rPr>
          <w:rFonts w:hint="eastAsia" w:ascii="宋体" w:hAnsi="宋体" w:eastAsia="宋体" w:cs="宋体"/>
          <w:b w:val="0"/>
          <w:bCs/>
          <w:color w:val="auto"/>
          <w:szCs w:val="24"/>
        </w:rPr>
        <w:t>Medical Center, Nijmegen, The Netherlands.</w:t>
      </w:r>
    </w:p>
    <w:p w14:paraId="79097058">
      <w:pPr>
        <w:rPr>
          <w:rFonts w:hint="eastAsia" w:ascii="宋体" w:hAnsi="宋体" w:eastAsia="宋体" w:cs="宋体"/>
          <w:b w:val="0"/>
          <w:bCs/>
          <w:color w:val="auto"/>
          <w:szCs w:val="24"/>
        </w:rPr>
      </w:pPr>
    </w:p>
    <w:p w14:paraId="44341D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 evaluated the pharmacokinetics of a novel child-friendly 50 mg clofazimine </w:t>
      </w:r>
    </w:p>
    <w:p w14:paraId="06381B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tablet formulation that disperses quickly in water, compared to traditional gel </w:t>
      </w:r>
    </w:p>
    <w:p w14:paraId="2E5EA28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capsules, in 36 children routinely treated for rifampicin-resistant </w:t>
      </w:r>
    </w:p>
    <w:p w14:paraId="1FFA62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No substantial pharmacokinetic difference was observed between </w:t>
      </w:r>
    </w:p>
    <w:p w14:paraId="4BFC7D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tablets and gel capsules, supporting the tablet formulation use for paediatric </w:t>
      </w:r>
    </w:p>
    <w:p w14:paraId="0DC1EA8C">
      <w:pPr>
        <w:rPr>
          <w:rFonts w:hint="eastAsia" w:ascii="宋体" w:hAnsi="宋体" w:eastAsia="宋体" w:cs="宋体"/>
          <w:b w:val="0"/>
          <w:bCs/>
          <w:color w:val="auto"/>
          <w:szCs w:val="24"/>
        </w:rPr>
      </w:pPr>
      <w:r>
        <w:rPr>
          <w:rFonts w:hint="eastAsia" w:ascii="宋体" w:hAnsi="宋体" w:eastAsia="宋体" w:cs="宋体"/>
          <w:b w:val="0"/>
          <w:bCs/>
          <w:color w:val="auto"/>
          <w:szCs w:val="24"/>
        </w:rPr>
        <w:t>dosing.</w:t>
      </w:r>
    </w:p>
    <w:p w14:paraId="54AA1DC0">
      <w:pPr>
        <w:rPr>
          <w:rFonts w:hint="eastAsia" w:ascii="宋体" w:hAnsi="宋体" w:eastAsia="宋体" w:cs="宋体"/>
          <w:b w:val="0"/>
          <w:bCs/>
          <w:color w:val="auto"/>
          <w:szCs w:val="24"/>
        </w:rPr>
      </w:pPr>
    </w:p>
    <w:p w14:paraId="7F938B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The Author(s) 2026. Published by Oxford University Press on behalf of the </w:t>
      </w:r>
    </w:p>
    <w:p w14:paraId="20281C2D">
      <w:pPr>
        <w:rPr>
          <w:rFonts w:hint="eastAsia" w:ascii="宋体" w:hAnsi="宋体" w:eastAsia="宋体" w:cs="宋体"/>
          <w:b w:val="0"/>
          <w:bCs/>
          <w:color w:val="auto"/>
          <w:szCs w:val="24"/>
        </w:rPr>
      </w:pPr>
      <w:r>
        <w:rPr>
          <w:rFonts w:hint="eastAsia" w:ascii="宋体" w:hAnsi="宋体" w:eastAsia="宋体" w:cs="宋体"/>
          <w:b w:val="0"/>
          <w:bCs/>
          <w:color w:val="auto"/>
          <w:szCs w:val="24"/>
        </w:rPr>
        <w:t>Pediatric Infectious Diseases Society.</w:t>
      </w:r>
    </w:p>
    <w:p w14:paraId="30836EA4">
      <w:pPr>
        <w:rPr>
          <w:rFonts w:hint="eastAsia" w:ascii="宋体" w:hAnsi="宋体" w:eastAsia="宋体" w:cs="宋体"/>
          <w:b w:val="0"/>
          <w:bCs/>
          <w:color w:val="auto"/>
          <w:szCs w:val="24"/>
        </w:rPr>
      </w:pPr>
    </w:p>
    <w:p w14:paraId="178976CC">
      <w:pPr>
        <w:rPr>
          <w:rFonts w:hint="eastAsia" w:ascii="宋体" w:hAnsi="宋体" w:eastAsia="宋体" w:cs="宋体"/>
          <w:b w:val="0"/>
          <w:bCs/>
          <w:color w:val="auto"/>
          <w:szCs w:val="24"/>
        </w:rPr>
      </w:pPr>
      <w:r>
        <w:rPr>
          <w:rFonts w:hint="eastAsia" w:ascii="宋体" w:hAnsi="宋体" w:eastAsia="宋体" w:cs="宋体"/>
          <w:b w:val="0"/>
          <w:bCs/>
          <w:color w:val="auto"/>
          <w:szCs w:val="24"/>
        </w:rPr>
        <w:t>DOI: 10.1093/jpids/piag089</w:t>
      </w:r>
    </w:p>
    <w:p w14:paraId="36DCDEF7">
      <w:pPr>
        <w:rPr>
          <w:rFonts w:hint="eastAsia" w:ascii="宋体" w:hAnsi="宋体" w:eastAsia="宋体" w:cs="宋体"/>
          <w:b w:val="0"/>
          <w:bCs/>
          <w:color w:val="auto"/>
          <w:szCs w:val="24"/>
        </w:rPr>
      </w:pPr>
      <w:r>
        <w:rPr>
          <w:rFonts w:hint="eastAsia" w:ascii="宋体" w:hAnsi="宋体" w:eastAsia="宋体" w:cs="宋体"/>
          <w:b w:val="0"/>
          <w:bCs/>
          <w:color w:val="auto"/>
          <w:szCs w:val="24"/>
        </w:rPr>
        <w:t>PMID: 42713890</w:t>
      </w:r>
    </w:p>
    <w:p w14:paraId="7A2F9654">
      <w:pPr>
        <w:rPr>
          <w:rFonts w:hint="eastAsia" w:ascii="宋体" w:hAnsi="宋体" w:eastAsia="宋体" w:cs="宋体"/>
          <w:b w:val="0"/>
          <w:bCs/>
          <w:color w:val="auto"/>
          <w:szCs w:val="24"/>
        </w:rPr>
      </w:pPr>
    </w:p>
    <w:p w14:paraId="55DF60B5">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28</w:t>
      </w:r>
      <w:r>
        <w:rPr>
          <w:rFonts w:hint="eastAsia" w:ascii="宋体" w:hAnsi="宋体" w:eastAsia="宋体" w:cs="宋体"/>
          <w:b/>
          <w:bCs w:val="0"/>
          <w:color w:val="FF0000"/>
          <w:szCs w:val="24"/>
        </w:rPr>
        <w:t xml:space="preserve">. Paediatr Int Child Health. 2026 Sep 9:1-9. doi: 10.1080/20469047.2026.2731528. </w:t>
      </w:r>
    </w:p>
    <w:p w14:paraId="1FCBF548">
      <w:pPr>
        <w:rPr>
          <w:rFonts w:hint="eastAsia" w:ascii="宋体" w:hAnsi="宋体" w:eastAsia="宋体" w:cs="宋体"/>
          <w:b/>
          <w:bCs w:val="0"/>
          <w:color w:val="FF0000"/>
          <w:szCs w:val="24"/>
        </w:rPr>
      </w:pPr>
      <w:r>
        <w:rPr>
          <w:rFonts w:hint="eastAsia" w:ascii="宋体" w:hAnsi="宋体" w:eastAsia="宋体" w:cs="宋体"/>
          <w:b/>
          <w:bCs w:val="0"/>
          <w:color w:val="FF0000"/>
          <w:szCs w:val="24"/>
        </w:rPr>
        <w:t>Online ahead of print.</w:t>
      </w:r>
    </w:p>
    <w:p w14:paraId="73CBD2CA">
      <w:pPr>
        <w:rPr>
          <w:rFonts w:hint="eastAsia" w:ascii="宋体" w:hAnsi="宋体" w:eastAsia="宋体" w:cs="宋体"/>
          <w:b w:val="0"/>
          <w:bCs/>
          <w:color w:val="auto"/>
          <w:szCs w:val="24"/>
        </w:rPr>
      </w:pPr>
    </w:p>
    <w:p w14:paraId="68E8CE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Congenital multidrug-resistant tuberculosis (MDR-TB) in an extremely low birth </w:t>
      </w:r>
    </w:p>
    <w:p w14:paraId="56599B37">
      <w:pPr>
        <w:rPr>
          <w:rFonts w:hint="eastAsia" w:ascii="宋体" w:hAnsi="宋体" w:eastAsia="宋体" w:cs="宋体"/>
          <w:b w:val="0"/>
          <w:bCs/>
          <w:color w:val="auto"/>
          <w:szCs w:val="24"/>
        </w:rPr>
      </w:pPr>
      <w:r>
        <w:rPr>
          <w:rFonts w:hint="eastAsia" w:ascii="宋体" w:hAnsi="宋体" w:eastAsia="宋体" w:cs="宋体"/>
          <w:b w:val="0"/>
          <w:bCs/>
          <w:color w:val="auto"/>
          <w:szCs w:val="24"/>
        </w:rPr>
        <w:t>weight neonate: diagnostic challenges, management and a narrative review.</w:t>
      </w:r>
    </w:p>
    <w:p w14:paraId="338DA9B5">
      <w:pPr>
        <w:rPr>
          <w:rFonts w:hint="eastAsia" w:ascii="宋体" w:hAnsi="宋体" w:eastAsia="宋体" w:cs="宋体"/>
          <w:b w:val="0"/>
          <w:bCs/>
          <w:color w:val="auto"/>
          <w:szCs w:val="24"/>
        </w:rPr>
      </w:pPr>
    </w:p>
    <w:p w14:paraId="2C56C5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Paswal CM(1), Gudipudi MSV(1), KabiSatpathy S(1), Shivakumar D(1), Choudhary </w:t>
      </w:r>
    </w:p>
    <w:p w14:paraId="54A00C17">
      <w:pPr>
        <w:rPr>
          <w:rFonts w:hint="eastAsia" w:ascii="宋体" w:hAnsi="宋体" w:eastAsia="宋体" w:cs="宋体"/>
          <w:b w:val="0"/>
          <w:bCs/>
          <w:color w:val="auto"/>
          <w:szCs w:val="24"/>
        </w:rPr>
      </w:pPr>
      <w:r>
        <w:rPr>
          <w:rFonts w:hint="eastAsia" w:ascii="宋体" w:hAnsi="宋体" w:eastAsia="宋体" w:cs="宋体"/>
          <w:b w:val="0"/>
          <w:bCs/>
          <w:color w:val="auto"/>
          <w:szCs w:val="24"/>
        </w:rPr>
        <w:t>SK(1), Singh AK(1)(2).</w:t>
      </w:r>
    </w:p>
    <w:p w14:paraId="2D7576FF">
      <w:pPr>
        <w:rPr>
          <w:rFonts w:hint="eastAsia" w:ascii="宋体" w:hAnsi="宋体" w:eastAsia="宋体" w:cs="宋体"/>
          <w:b w:val="0"/>
          <w:bCs/>
          <w:color w:val="auto"/>
          <w:szCs w:val="24"/>
        </w:rPr>
      </w:pPr>
    </w:p>
    <w:p w14:paraId="093CEE2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E11A2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Neonatology, All India Institute of Medical Sciences, Jodhpur, </w:t>
      </w:r>
    </w:p>
    <w:p w14:paraId="143435B4">
      <w:pPr>
        <w:rPr>
          <w:rFonts w:hint="eastAsia" w:ascii="宋体" w:hAnsi="宋体" w:eastAsia="宋体" w:cs="宋体"/>
          <w:b w:val="0"/>
          <w:bCs/>
          <w:color w:val="auto"/>
          <w:szCs w:val="24"/>
        </w:rPr>
      </w:pPr>
      <w:r>
        <w:rPr>
          <w:rFonts w:hint="eastAsia" w:ascii="宋体" w:hAnsi="宋体" w:eastAsia="宋体" w:cs="宋体"/>
          <w:b w:val="0"/>
          <w:bCs/>
          <w:color w:val="auto"/>
          <w:szCs w:val="24"/>
        </w:rPr>
        <w:t>India.</w:t>
      </w:r>
    </w:p>
    <w:p w14:paraId="06F763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(2)Institute of Health and Family Welfare and B C Roy, Children's Hospital </w:t>
      </w:r>
    </w:p>
    <w:p w14:paraId="32BF66C3">
      <w:pPr>
        <w:rPr>
          <w:rFonts w:hint="eastAsia" w:ascii="宋体" w:hAnsi="宋体" w:eastAsia="宋体" w:cs="宋体"/>
          <w:b w:val="0"/>
          <w:bCs/>
          <w:color w:val="auto"/>
          <w:szCs w:val="24"/>
        </w:rPr>
      </w:pPr>
      <w:r>
        <w:rPr>
          <w:rFonts w:hint="eastAsia" w:ascii="宋体" w:hAnsi="宋体" w:eastAsia="宋体" w:cs="宋体"/>
          <w:b w:val="0"/>
          <w:bCs/>
          <w:color w:val="auto"/>
          <w:szCs w:val="24"/>
        </w:rPr>
        <w:t>Government of West Bengal, Kolkata, India.</w:t>
      </w:r>
    </w:p>
    <w:p w14:paraId="76FE00CC">
      <w:pPr>
        <w:rPr>
          <w:rFonts w:hint="eastAsia" w:ascii="宋体" w:hAnsi="宋体" w:eastAsia="宋体" w:cs="宋体"/>
          <w:b w:val="0"/>
          <w:bCs/>
          <w:color w:val="auto"/>
          <w:szCs w:val="24"/>
        </w:rPr>
      </w:pPr>
    </w:p>
    <w:p w14:paraId="3A0AC062">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Congenital tuberculosis(TB) is rare and often fatal, particularly </w:t>
      </w:r>
    </w:p>
    <w:p w14:paraId="0675D2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multidrug-resistant strains. Neonatal diagnosis is challenging due to </w:t>
      </w:r>
    </w:p>
    <w:p w14:paraId="20B2BD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nonspecific features and low-yield microbiology. Management in extremely preterm </w:t>
      </w:r>
    </w:p>
    <w:p w14:paraId="5974AA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infants is further complicated by limited evidence on second-line drug dosing, </w:t>
      </w:r>
    </w:p>
    <w:p w14:paraId="53B458D2">
      <w:pPr>
        <w:rPr>
          <w:rFonts w:hint="eastAsia" w:ascii="宋体" w:hAnsi="宋体" w:eastAsia="宋体" w:cs="宋体"/>
          <w:b w:val="0"/>
          <w:bCs/>
          <w:color w:val="auto"/>
          <w:szCs w:val="24"/>
        </w:rPr>
      </w:pPr>
      <w:r>
        <w:rPr>
          <w:rFonts w:hint="eastAsia" w:ascii="宋体" w:hAnsi="宋体" w:eastAsia="宋体" w:cs="宋体"/>
          <w:b w:val="0"/>
          <w:bCs/>
          <w:color w:val="auto"/>
          <w:szCs w:val="24"/>
        </w:rPr>
        <w:t>safety, and monitoring.</w:t>
      </w:r>
    </w:p>
    <w:p w14:paraId="6FBFC205">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We describe a single patient case alongside a narrative review of the </w:t>
      </w:r>
    </w:p>
    <w:p w14:paraId="223828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relevant literature. Literature search was conducted in major databases using </w:t>
      </w:r>
    </w:p>
    <w:p w14:paraId="13454C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predefined keywords. Reports describing congenital/presumed congenital </w:t>
      </w:r>
    </w:p>
    <w:p w14:paraId="6BCED6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drug-resistant tuberculosis in neonates or young infants were selected, and data </w:t>
      </w:r>
    </w:p>
    <w:p w14:paraId="10F6B2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concerning maternal disease, neonatal presentation, diagnosis, treatment, and </w:t>
      </w:r>
    </w:p>
    <w:p w14:paraId="09318782">
      <w:pPr>
        <w:rPr>
          <w:rFonts w:hint="eastAsia" w:ascii="宋体" w:hAnsi="宋体" w:eastAsia="宋体" w:cs="宋体"/>
          <w:b w:val="0"/>
          <w:bCs/>
          <w:color w:val="auto"/>
          <w:szCs w:val="24"/>
        </w:rPr>
      </w:pPr>
      <w:r>
        <w:rPr>
          <w:rFonts w:hint="eastAsia" w:ascii="宋体" w:hAnsi="宋体" w:eastAsia="宋体" w:cs="宋体"/>
          <w:b w:val="0"/>
          <w:bCs/>
          <w:color w:val="auto"/>
          <w:szCs w:val="24"/>
        </w:rPr>
        <w:t>outcome were extracted.</w:t>
      </w:r>
    </w:p>
    <w:p w14:paraId="2852EF1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We report a rare case of congenital disseminated multidrug-resistant </w:t>
      </w:r>
    </w:p>
    <w:p w14:paraId="5A4CB5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(MDR-TB) in a preterm neonate born to a mother later confirmed to </w:t>
      </w:r>
    </w:p>
    <w:p w14:paraId="1959EE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have katG-mediated isoniazid, and rifampicin resistance.Accompanying narrative </w:t>
      </w:r>
    </w:p>
    <w:p w14:paraId="499C89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review idenntified eight neonatal drug‑resistant cases worldwide, demonstrating </w:t>
      </w:r>
    </w:p>
    <w:p w14:paraId="6089495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consistent themes of:maternal disseminated/extrapulmonary TB as the predominant </w:t>
      </w:r>
    </w:p>
    <w:p w14:paraId="7C1DD7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risk factor, symptom onset typically between 2-4 weeks of life, frequent initial </w:t>
      </w:r>
    </w:p>
    <w:p w14:paraId="52888E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false-negative/partially informative resistance results on early CBNAAT, and </w:t>
      </w:r>
    </w:p>
    <w:p w14:paraId="083A88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improved outcomes with early repeat molecular testing and tailored </w:t>
      </w:r>
    </w:p>
    <w:p w14:paraId="641905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MDR-regimens.Mortality remains high, particularly when diagnosis is delayed.In </w:t>
      </w:r>
    </w:p>
    <w:p w14:paraId="7776E6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contrast, our infant showed steady clinical recovery without any major </w:t>
      </w:r>
    </w:p>
    <w:p w14:paraId="091A2D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drug-related toxicities.At 12 months corrected age, neurodevelopment was </w:t>
      </w:r>
    </w:p>
    <w:p w14:paraId="1F0D3D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normal.. On telephone follow-up at 2 years of age, the caregivers reported that </w:t>
      </w:r>
    </w:p>
    <w:p w14:paraId="6CCA421C">
      <w:pPr>
        <w:rPr>
          <w:rFonts w:hint="eastAsia" w:ascii="宋体" w:hAnsi="宋体" w:eastAsia="宋体" w:cs="宋体"/>
          <w:b w:val="0"/>
          <w:bCs/>
          <w:color w:val="auto"/>
          <w:szCs w:val="24"/>
        </w:rPr>
      </w:pPr>
      <w:r>
        <w:rPr>
          <w:rFonts w:hint="eastAsia" w:ascii="宋体" w:hAnsi="宋体" w:eastAsia="宋体" w:cs="宋体"/>
          <w:b w:val="0"/>
          <w:bCs/>
          <w:color w:val="auto"/>
          <w:szCs w:val="24"/>
        </w:rPr>
        <w:t>the child was developmentally well and thriving.</w:t>
      </w:r>
    </w:p>
    <w:p w14:paraId="3F8CE1C0">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This case highlights the diagnostic and therapeutic challenges of </w:t>
      </w:r>
    </w:p>
    <w:p w14:paraId="17B7B22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congenital disseminated MDR-TB in extremely preterm infants, where evidence is </w:t>
      </w:r>
    </w:p>
    <w:p w14:paraId="349731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limited. To our knowledge, this is only the second preterm infant with MDR-TB to </w:t>
      </w:r>
    </w:p>
    <w:p w14:paraId="1FD0D6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survive without neurological deficits and the first reported case of </w:t>
      </w:r>
    </w:p>
    <w:p w14:paraId="5EC0D3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disseminated congenital MDR-TB with TB meningitis. Narrative review consolidates </w:t>
      </w:r>
    </w:p>
    <w:p w14:paraId="1A285E73">
      <w:pPr>
        <w:rPr>
          <w:rFonts w:hint="eastAsia" w:ascii="宋体" w:hAnsi="宋体" w:eastAsia="宋体" w:cs="宋体"/>
          <w:b w:val="0"/>
          <w:bCs/>
          <w:color w:val="auto"/>
          <w:szCs w:val="24"/>
        </w:rPr>
      </w:pPr>
      <w:r>
        <w:rPr>
          <w:rFonts w:hint="eastAsia" w:ascii="宋体" w:hAnsi="宋体" w:eastAsia="宋体" w:cs="宋体"/>
          <w:b w:val="0"/>
          <w:bCs/>
          <w:color w:val="auto"/>
          <w:szCs w:val="24"/>
        </w:rPr>
        <w:t>current evidence to guide clinicians facing similar high-risk scenarios.</w:t>
      </w:r>
    </w:p>
    <w:p w14:paraId="352ABE86">
      <w:pPr>
        <w:rPr>
          <w:rFonts w:hint="eastAsia" w:ascii="宋体" w:hAnsi="宋体" w:eastAsia="宋体" w:cs="宋体"/>
          <w:b w:val="0"/>
          <w:bCs/>
          <w:color w:val="auto"/>
          <w:szCs w:val="24"/>
        </w:rPr>
      </w:pPr>
    </w:p>
    <w:p w14:paraId="684EEBA7">
      <w:pPr>
        <w:rPr>
          <w:rFonts w:hint="eastAsia" w:ascii="宋体" w:hAnsi="宋体" w:eastAsia="宋体" w:cs="宋体"/>
          <w:b w:val="0"/>
          <w:bCs/>
          <w:color w:val="auto"/>
          <w:szCs w:val="24"/>
        </w:rPr>
      </w:pPr>
      <w:r>
        <w:rPr>
          <w:rFonts w:hint="eastAsia" w:ascii="宋体" w:hAnsi="宋体" w:eastAsia="宋体" w:cs="宋体"/>
          <w:b w:val="0"/>
          <w:bCs/>
          <w:color w:val="auto"/>
          <w:szCs w:val="24"/>
        </w:rPr>
        <w:t>DOI: 10.1080/20469047.2026.2731528</w:t>
      </w:r>
    </w:p>
    <w:p w14:paraId="6BC90D52">
      <w:pPr>
        <w:rPr>
          <w:rFonts w:hint="eastAsia" w:ascii="宋体" w:hAnsi="宋体" w:eastAsia="宋体" w:cs="宋体"/>
          <w:b w:val="0"/>
          <w:bCs/>
          <w:color w:val="auto"/>
          <w:szCs w:val="24"/>
        </w:rPr>
      </w:pPr>
      <w:r>
        <w:rPr>
          <w:rFonts w:hint="eastAsia" w:ascii="宋体" w:hAnsi="宋体" w:eastAsia="宋体" w:cs="宋体"/>
          <w:b w:val="0"/>
          <w:bCs/>
          <w:color w:val="auto"/>
          <w:szCs w:val="24"/>
        </w:rPr>
        <w:t>PMID: 42713659</w:t>
      </w:r>
    </w:p>
    <w:p w14:paraId="78AD2A23">
      <w:pPr>
        <w:rPr>
          <w:rFonts w:hint="eastAsia" w:ascii="宋体" w:hAnsi="宋体" w:eastAsia="宋体" w:cs="宋体"/>
          <w:b w:val="0"/>
          <w:bCs/>
          <w:color w:val="auto"/>
          <w:szCs w:val="24"/>
        </w:rPr>
      </w:pPr>
    </w:p>
    <w:p w14:paraId="28520058">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29</w:t>
      </w:r>
      <w:r>
        <w:rPr>
          <w:rFonts w:hint="eastAsia" w:ascii="宋体" w:hAnsi="宋体" w:eastAsia="宋体" w:cs="宋体"/>
          <w:b/>
          <w:bCs w:val="0"/>
          <w:color w:val="FF0000"/>
          <w:szCs w:val="24"/>
        </w:rPr>
        <w:t xml:space="preserve">. Case Rep Infect Dis. 2026 Sep 8;2026:5455768. doi: 10.1155/crdi/5455768. </w:t>
      </w:r>
    </w:p>
    <w:p w14:paraId="6CBD924C">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4EF8E7F5">
      <w:pPr>
        <w:rPr>
          <w:rFonts w:hint="eastAsia" w:ascii="宋体" w:hAnsi="宋体" w:eastAsia="宋体" w:cs="宋体"/>
          <w:b w:val="0"/>
          <w:bCs/>
          <w:color w:val="auto"/>
          <w:szCs w:val="24"/>
        </w:rPr>
      </w:pPr>
    </w:p>
    <w:p w14:paraId="5D3E9D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Reactivation of Cytomegalovirus in Colonic Tuberculosis in an Immunocompetent </w:t>
      </w:r>
    </w:p>
    <w:p w14:paraId="560686D1">
      <w:pPr>
        <w:rPr>
          <w:rFonts w:hint="eastAsia" w:ascii="宋体" w:hAnsi="宋体" w:eastAsia="宋体" w:cs="宋体"/>
          <w:b w:val="0"/>
          <w:bCs/>
          <w:color w:val="auto"/>
          <w:szCs w:val="24"/>
        </w:rPr>
      </w:pPr>
      <w:r>
        <w:rPr>
          <w:rFonts w:hint="eastAsia" w:ascii="宋体" w:hAnsi="宋体" w:eastAsia="宋体" w:cs="宋体"/>
          <w:b w:val="0"/>
          <w:bCs/>
          <w:color w:val="auto"/>
          <w:szCs w:val="24"/>
        </w:rPr>
        <w:t>Patient.</w:t>
      </w:r>
    </w:p>
    <w:p w14:paraId="0AA3EA46">
      <w:pPr>
        <w:rPr>
          <w:rFonts w:hint="eastAsia" w:ascii="宋体" w:hAnsi="宋体" w:eastAsia="宋体" w:cs="宋体"/>
          <w:b w:val="0"/>
          <w:bCs/>
          <w:color w:val="auto"/>
          <w:szCs w:val="24"/>
        </w:rPr>
      </w:pPr>
    </w:p>
    <w:p w14:paraId="0D663695">
      <w:pPr>
        <w:rPr>
          <w:rFonts w:hint="eastAsia" w:ascii="宋体" w:hAnsi="宋体" w:eastAsia="宋体" w:cs="宋体"/>
          <w:b w:val="0"/>
          <w:bCs/>
          <w:color w:val="auto"/>
          <w:szCs w:val="24"/>
        </w:rPr>
      </w:pPr>
      <w:r>
        <w:rPr>
          <w:rFonts w:hint="eastAsia" w:ascii="宋体" w:hAnsi="宋体" w:eastAsia="宋体" w:cs="宋体"/>
          <w:b w:val="0"/>
          <w:bCs/>
          <w:color w:val="auto"/>
          <w:szCs w:val="24"/>
        </w:rPr>
        <w:t>Wang A(1), Ji S(2), Semon S(3), Waldman S(3), Nguyen MH(3).</w:t>
      </w:r>
    </w:p>
    <w:p w14:paraId="5376807A">
      <w:pPr>
        <w:rPr>
          <w:rFonts w:hint="eastAsia" w:ascii="宋体" w:hAnsi="宋体" w:eastAsia="宋体" w:cs="宋体"/>
          <w:b w:val="0"/>
          <w:bCs/>
          <w:color w:val="auto"/>
          <w:szCs w:val="24"/>
        </w:rPr>
      </w:pPr>
    </w:p>
    <w:p w14:paraId="195B05A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44572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Internal Medicine, University of California-Davis, UC Davis </w:t>
      </w:r>
    </w:p>
    <w:p w14:paraId="450F46B8">
      <w:pPr>
        <w:rPr>
          <w:rFonts w:hint="eastAsia" w:ascii="宋体" w:hAnsi="宋体" w:eastAsia="宋体" w:cs="宋体"/>
          <w:b w:val="0"/>
          <w:bCs/>
          <w:color w:val="auto"/>
          <w:szCs w:val="24"/>
        </w:rPr>
      </w:pPr>
      <w:r>
        <w:rPr>
          <w:rFonts w:hint="eastAsia" w:ascii="宋体" w:hAnsi="宋体" w:eastAsia="宋体" w:cs="宋体"/>
          <w:b w:val="0"/>
          <w:bCs/>
          <w:color w:val="auto"/>
          <w:szCs w:val="24"/>
        </w:rPr>
        <w:t>Health, Sacramento, USA.</w:t>
      </w:r>
    </w:p>
    <w:p w14:paraId="67C089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Internal Medicine, Division of Gastroenterology and Hepatology, </w:t>
      </w:r>
    </w:p>
    <w:p w14:paraId="7F619858">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California-Davis, UC Davis Health, Sacramento, USA.</w:t>
      </w:r>
    </w:p>
    <w:p w14:paraId="520219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Internal Medicine, Division of Infectious Disease, University </w:t>
      </w:r>
    </w:p>
    <w:p w14:paraId="0287531D">
      <w:pPr>
        <w:rPr>
          <w:rFonts w:hint="eastAsia" w:ascii="宋体" w:hAnsi="宋体" w:eastAsia="宋体" w:cs="宋体"/>
          <w:b w:val="0"/>
          <w:bCs/>
          <w:color w:val="auto"/>
          <w:szCs w:val="24"/>
        </w:rPr>
      </w:pPr>
      <w:r>
        <w:rPr>
          <w:rFonts w:hint="eastAsia" w:ascii="宋体" w:hAnsi="宋体" w:eastAsia="宋体" w:cs="宋体"/>
          <w:b w:val="0"/>
          <w:bCs/>
          <w:color w:val="auto"/>
          <w:szCs w:val="24"/>
        </w:rPr>
        <w:t>of California-Davis, UC Davis Health, Sacramento, USA.</w:t>
      </w:r>
    </w:p>
    <w:p w14:paraId="3BD262DE">
      <w:pPr>
        <w:rPr>
          <w:rFonts w:hint="eastAsia" w:ascii="宋体" w:hAnsi="宋体" w:eastAsia="宋体" w:cs="宋体"/>
          <w:b w:val="0"/>
          <w:bCs/>
          <w:color w:val="auto"/>
          <w:szCs w:val="24"/>
        </w:rPr>
      </w:pPr>
    </w:p>
    <w:p w14:paraId="7418FF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Cytomegalovirus (CMV) reactivation in Mycobacterium tuberculosis (TB) infection </w:t>
      </w:r>
    </w:p>
    <w:p w14:paraId="65211E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 rare and has been only reported in immunocompromised patients. In this case </w:t>
      </w:r>
    </w:p>
    <w:p w14:paraId="0488BE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report, we describe a patient with Type 2 diabetes with acute on chronic </w:t>
      </w:r>
    </w:p>
    <w:p w14:paraId="35FF87D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abdominal pain found to have miliary TB with terminal ileitis and ascending </w:t>
      </w:r>
    </w:p>
    <w:p w14:paraId="1D6094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colon ulcers with biopsy-positive TB and CMV. The decision was made not to treat </w:t>
      </w:r>
    </w:p>
    <w:p w14:paraId="2A66E1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local CMV reactivation, and he improved solely on standard drug-susceptible </w:t>
      </w:r>
    </w:p>
    <w:p w14:paraId="5D48D2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antituberculous therapy. This is the first reported case of gastrointestinal TB </w:t>
      </w:r>
    </w:p>
    <w:p w14:paraId="14093410">
      <w:pPr>
        <w:rPr>
          <w:rFonts w:hint="eastAsia" w:ascii="宋体" w:hAnsi="宋体" w:eastAsia="宋体" w:cs="宋体"/>
          <w:b w:val="0"/>
          <w:bCs/>
          <w:color w:val="auto"/>
          <w:szCs w:val="24"/>
        </w:rPr>
      </w:pPr>
      <w:r>
        <w:rPr>
          <w:rFonts w:hint="eastAsia" w:ascii="宋体" w:hAnsi="宋体" w:eastAsia="宋体" w:cs="宋体"/>
          <w:b w:val="0"/>
          <w:bCs/>
          <w:color w:val="auto"/>
          <w:szCs w:val="24"/>
        </w:rPr>
        <w:t>and CMV coinfection in a patient without known classic immunodeficiency.</w:t>
      </w:r>
    </w:p>
    <w:p w14:paraId="20E86195">
      <w:pPr>
        <w:rPr>
          <w:rFonts w:hint="eastAsia" w:ascii="宋体" w:hAnsi="宋体" w:eastAsia="宋体" w:cs="宋体"/>
          <w:b w:val="0"/>
          <w:bCs/>
          <w:color w:val="auto"/>
          <w:szCs w:val="24"/>
        </w:rPr>
      </w:pPr>
    </w:p>
    <w:p w14:paraId="5019A0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Aprilgate Wang et al. Case Reports in Infectious Diseases </w:t>
      </w:r>
    </w:p>
    <w:p w14:paraId="279FF016">
      <w:pPr>
        <w:rPr>
          <w:rFonts w:hint="eastAsia" w:ascii="宋体" w:hAnsi="宋体" w:eastAsia="宋体" w:cs="宋体"/>
          <w:b w:val="0"/>
          <w:bCs/>
          <w:color w:val="auto"/>
          <w:szCs w:val="24"/>
        </w:rPr>
      </w:pPr>
      <w:r>
        <w:rPr>
          <w:rFonts w:hint="eastAsia" w:ascii="宋体" w:hAnsi="宋体" w:eastAsia="宋体" w:cs="宋体"/>
          <w:b w:val="0"/>
          <w:bCs/>
          <w:color w:val="auto"/>
          <w:szCs w:val="24"/>
        </w:rPr>
        <w:t>published by John Wiley &amp; Sons Ltd.</w:t>
      </w:r>
    </w:p>
    <w:p w14:paraId="5DB1A5E4">
      <w:pPr>
        <w:rPr>
          <w:rFonts w:hint="eastAsia" w:ascii="宋体" w:hAnsi="宋体" w:eastAsia="宋体" w:cs="宋体"/>
          <w:b w:val="0"/>
          <w:bCs/>
          <w:color w:val="auto"/>
          <w:szCs w:val="24"/>
        </w:rPr>
      </w:pPr>
    </w:p>
    <w:p w14:paraId="7E493DAD">
      <w:pPr>
        <w:rPr>
          <w:rFonts w:hint="eastAsia" w:ascii="宋体" w:hAnsi="宋体" w:eastAsia="宋体" w:cs="宋体"/>
          <w:b w:val="0"/>
          <w:bCs/>
          <w:color w:val="auto"/>
          <w:szCs w:val="24"/>
        </w:rPr>
      </w:pPr>
      <w:r>
        <w:rPr>
          <w:rFonts w:hint="eastAsia" w:ascii="宋体" w:hAnsi="宋体" w:eastAsia="宋体" w:cs="宋体"/>
          <w:b w:val="0"/>
          <w:bCs/>
          <w:color w:val="auto"/>
          <w:szCs w:val="24"/>
        </w:rPr>
        <w:t>DOI: 10.1155/crdi/5455768</w:t>
      </w:r>
    </w:p>
    <w:p w14:paraId="5AA41AA1">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PMC13551487</w:t>
      </w:r>
    </w:p>
    <w:p w14:paraId="5DBDF14D">
      <w:pPr>
        <w:rPr>
          <w:rFonts w:hint="eastAsia" w:ascii="宋体" w:hAnsi="宋体" w:eastAsia="宋体" w:cs="宋体"/>
          <w:b w:val="0"/>
          <w:bCs/>
          <w:color w:val="auto"/>
          <w:szCs w:val="24"/>
        </w:rPr>
      </w:pPr>
      <w:r>
        <w:rPr>
          <w:rFonts w:hint="eastAsia" w:ascii="宋体" w:hAnsi="宋体" w:eastAsia="宋体" w:cs="宋体"/>
          <w:b w:val="0"/>
          <w:bCs/>
          <w:color w:val="auto"/>
          <w:szCs w:val="24"/>
        </w:rPr>
        <w:t>PMID: 42713219</w:t>
      </w:r>
    </w:p>
    <w:p w14:paraId="2D3CDCEE">
      <w:pPr>
        <w:rPr>
          <w:rFonts w:hint="eastAsia" w:ascii="宋体" w:hAnsi="宋体" w:eastAsia="宋体" w:cs="宋体"/>
          <w:b w:val="0"/>
          <w:bCs/>
          <w:color w:val="auto"/>
          <w:szCs w:val="24"/>
        </w:rPr>
      </w:pPr>
    </w:p>
    <w:p w14:paraId="46EE564D">
      <w:pPr>
        <w:rPr>
          <w:rFonts w:hint="eastAsia" w:ascii="宋体" w:hAnsi="宋体" w:eastAsia="宋体" w:cs="宋体"/>
          <w:b/>
          <w:bCs w:val="0"/>
          <w:color w:val="FF0000"/>
          <w:szCs w:val="24"/>
        </w:rPr>
      </w:pPr>
      <w:r>
        <w:rPr>
          <w:rFonts w:hint="eastAsia" w:ascii="宋体" w:hAnsi="宋体" w:eastAsia="宋体" w:cs="宋体"/>
          <w:b/>
          <w:bCs w:val="0"/>
          <w:color w:val="FF0000"/>
          <w:szCs w:val="24"/>
        </w:rPr>
        <w:t>3</w:t>
      </w:r>
      <w:r>
        <w:rPr>
          <w:rFonts w:hint="eastAsia" w:ascii="宋体" w:hAnsi="宋体" w:eastAsia="宋体" w:cs="宋体"/>
          <w:b/>
          <w:bCs w:val="0"/>
          <w:color w:val="FF0000"/>
          <w:szCs w:val="24"/>
          <w:lang w:val="en-US" w:eastAsia="zh-CN"/>
        </w:rPr>
        <w:t>0</w:t>
      </w:r>
      <w:r>
        <w:rPr>
          <w:rFonts w:hint="eastAsia" w:ascii="宋体" w:hAnsi="宋体" w:eastAsia="宋体" w:cs="宋体"/>
          <w:b/>
          <w:bCs w:val="0"/>
          <w:color w:val="FF0000"/>
          <w:szCs w:val="24"/>
        </w:rPr>
        <w:t>. AAPS J. 2026 Sep 8;28(5):132. doi: 10.1208/s12248-026-01286-z.</w:t>
      </w:r>
    </w:p>
    <w:p w14:paraId="2290514C">
      <w:pPr>
        <w:rPr>
          <w:rFonts w:hint="eastAsia" w:ascii="宋体" w:hAnsi="宋体" w:eastAsia="宋体" w:cs="宋体"/>
          <w:b w:val="0"/>
          <w:bCs/>
          <w:color w:val="auto"/>
          <w:szCs w:val="24"/>
        </w:rPr>
      </w:pPr>
    </w:p>
    <w:p w14:paraId="2A8200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Single-step Sintered 3D-printed Fixed-dose Combined Bilayer Tablets for </w:t>
      </w:r>
    </w:p>
    <w:p w14:paraId="39A7D8D6">
      <w:pPr>
        <w:rPr>
          <w:rFonts w:hint="eastAsia" w:ascii="宋体" w:hAnsi="宋体" w:eastAsia="宋体" w:cs="宋体"/>
          <w:b w:val="0"/>
          <w:bCs/>
          <w:color w:val="auto"/>
          <w:szCs w:val="24"/>
        </w:rPr>
      </w:pPr>
      <w:r>
        <w:rPr>
          <w:rFonts w:hint="eastAsia" w:ascii="宋体" w:hAnsi="宋体" w:eastAsia="宋体" w:cs="宋体"/>
          <w:b w:val="0"/>
          <w:bCs/>
          <w:color w:val="auto"/>
          <w:szCs w:val="24"/>
        </w:rPr>
        <w:t>Compartmentalized Delivery of First-line Anti-tubercular Drugs.</w:t>
      </w:r>
    </w:p>
    <w:p w14:paraId="29F913DD">
      <w:pPr>
        <w:rPr>
          <w:rFonts w:hint="eastAsia" w:ascii="宋体" w:hAnsi="宋体" w:eastAsia="宋体" w:cs="宋体"/>
          <w:b w:val="0"/>
          <w:bCs/>
          <w:color w:val="auto"/>
          <w:szCs w:val="24"/>
        </w:rPr>
      </w:pPr>
    </w:p>
    <w:p w14:paraId="1ADD4F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Karanwad TR(1), Bodake S(2), Jorvekar SB(2), Mandal S(3), Borkar RM(2), Banerjee </w:t>
      </w:r>
    </w:p>
    <w:p w14:paraId="1C115BD0">
      <w:pPr>
        <w:rPr>
          <w:rFonts w:hint="eastAsia" w:ascii="宋体" w:hAnsi="宋体" w:eastAsia="宋体" w:cs="宋体"/>
          <w:b w:val="0"/>
          <w:bCs/>
          <w:color w:val="auto"/>
          <w:szCs w:val="24"/>
        </w:rPr>
      </w:pPr>
      <w:r>
        <w:rPr>
          <w:rFonts w:hint="eastAsia" w:ascii="宋体" w:hAnsi="宋体" w:eastAsia="宋体" w:cs="宋体"/>
          <w:b w:val="0"/>
          <w:bCs/>
          <w:color w:val="auto"/>
          <w:szCs w:val="24"/>
        </w:rPr>
        <w:t>S(4).</w:t>
      </w:r>
    </w:p>
    <w:p w14:paraId="06DCBBB5">
      <w:pPr>
        <w:rPr>
          <w:rFonts w:hint="eastAsia" w:ascii="宋体" w:hAnsi="宋体" w:eastAsia="宋体" w:cs="宋体"/>
          <w:b w:val="0"/>
          <w:bCs/>
          <w:color w:val="auto"/>
          <w:szCs w:val="24"/>
        </w:rPr>
      </w:pPr>
    </w:p>
    <w:p w14:paraId="1833931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1AE6A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Pharmaceutics, National Institute of Pharmaceutical Education </w:t>
      </w:r>
    </w:p>
    <w:p w14:paraId="4FE45866">
      <w:pPr>
        <w:rPr>
          <w:rFonts w:hint="eastAsia" w:ascii="宋体" w:hAnsi="宋体" w:eastAsia="宋体" w:cs="宋体"/>
          <w:b w:val="0"/>
          <w:bCs/>
          <w:color w:val="auto"/>
          <w:szCs w:val="24"/>
        </w:rPr>
      </w:pPr>
      <w:r>
        <w:rPr>
          <w:rFonts w:hint="eastAsia" w:ascii="宋体" w:hAnsi="宋体" w:eastAsia="宋体" w:cs="宋体"/>
          <w:b w:val="0"/>
          <w:bCs/>
          <w:color w:val="auto"/>
          <w:szCs w:val="24"/>
        </w:rPr>
        <w:t>and Research (NIPER)-Guwahati, Changsari, Assam, 781101, India.</w:t>
      </w:r>
    </w:p>
    <w:p w14:paraId="2906A5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Pharmaceutical Analysis, NIPER-Guwahati, Changsari, Assam, </w:t>
      </w:r>
    </w:p>
    <w:p w14:paraId="2AE52DBD">
      <w:pPr>
        <w:rPr>
          <w:rFonts w:hint="eastAsia" w:ascii="宋体" w:hAnsi="宋体" w:eastAsia="宋体" w:cs="宋体"/>
          <w:b w:val="0"/>
          <w:bCs/>
          <w:color w:val="auto"/>
          <w:szCs w:val="24"/>
        </w:rPr>
      </w:pPr>
      <w:r>
        <w:rPr>
          <w:rFonts w:hint="eastAsia" w:ascii="宋体" w:hAnsi="宋体" w:eastAsia="宋体" w:cs="宋体"/>
          <w:b w:val="0"/>
          <w:bCs/>
          <w:color w:val="auto"/>
          <w:szCs w:val="24"/>
        </w:rPr>
        <w:t>781101, India.</w:t>
      </w:r>
    </w:p>
    <w:p w14:paraId="2DD4F4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(3)Faculty of Pharmaceutical Science, Assam Down Town University, Sankar Madhab </w:t>
      </w:r>
    </w:p>
    <w:p w14:paraId="1E459764">
      <w:pPr>
        <w:rPr>
          <w:rFonts w:hint="eastAsia" w:ascii="宋体" w:hAnsi="宋体" w:eastAsia="宋体" w:cs="宋体"/>
          <w:b w:val="0"/>
          <w:bCs/>
          <w:color w:val="auto"/>
          <w:szCs w:val="24"/>
        </w:rPr>
      </w:pPr>
      <w:r>
        <w:rPr>
          <w:rFonts w:hint="eastAsia" w:ascii="宋体" w:hAnsi="宋体" w:eastAsia="宋体" w:cs="宋体"/>
          <w:b w:val="0"/>
          <w:bCs/>
          <w:color w:val="auto"/>
          <w:szCs w:val="24"/>
        </w:rPr>
        <w:t>Path, Gandhi Nagar, Panikhaiti, Guwahati, Assam, 781026, India.</w:t>
      </w:r>
    </w:p>
    <w:p w14:paraId="0407AF0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Pharmaceutics, National Institute of Pharmaceutical Education </w:t>
      </w:r>
    </w:p>
    <w:p w14:paraId="6A5DD86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Research (NIPER)-Guwahati, Changsari, Assam, 781101, India. </w:t>
      </w:r>
    </w:p>
    <w:p w14:paraId="16580309">
      <w:pPr>
        <w:rPr>
          <w:rFonts w:hint="eastAsia" w:ascii="宋体" w:hAnsi="宋体" w:eastAsia="宋体" w:cs="宋体"/>
          <w:b w:val="0"/>
          <w:bCs/>
          <w:color w:val="auto"/>
          <w:szCs w:val="24"/>
        </w:rPr>
      </w:pPr>
      <w:r>
        <w:rPr>
          <w:rFonts w:hint="eastAsia" w:ascii="宋体" w:hAnsi="宋体" w:eastAsia="宋体" w:cs="宋体"/>
          <w:b w:val="0"/>
          <w:bCs/>
          <w:color w:val="auto"/>
          <w:szCs w:val="24"/>
        </w:rPr>
        <w:t>banerjee.subham@yahoo.co.in.</w:t>
      </w:r>
    </w:p>
    <w:p w14:paraId="2C931FEB">
      <w:pPr>
        <w:rPr>
          <w:rFonts w:hint="eastAsia" w:ascii="宋体" w:hAnsi="宋体" w:eastAsia="宋体" w:cs="宋体"/>
          <w:b w:val="0"/>
          <w:bCs/>
          <w:color w:val="auto"/>
          <w:szCs w:val="24"/>
        </w:rPr>
      </w:pPr>
    </w:p>
    <w:p w14:paraId="1C0E3A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bioavailability of Rifampicin (RIF) in fixed-dose combination (FDC) with </w:t>
      </w:r>
    </w:p>
    <w:p w14:paraId="3AD173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(INH) poses a significant challenge in tuberculosis therapy due to </w:t>
      </w:r>
    </w:p>
    <w:p w14:paraId="26D18D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RIF's rapid degradation under gastric conditions when co-administered with INH, </w:t>
      </w:r>
    </w:p>
    <w:p w14:paraId="3B5935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resulting in subtherapeutic plasma levels and compromised therapeutic efficacy. </w:t>
      </w:r>
    </w:p>
    <w:p w14:paraId="457F2B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overcome this issue, we developed a novel Selective Laser Sintering </w:t>
      </w:r>
    </w:p>
    <w:p w14:paraId="3E2CA7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(SLS)-mediated 3D printing approach using SmartEx QD 100 and Eudragit L 100-55 </w:t>
      </w:r>
    </w:p>
    <w:p w14:paraId="50BB3B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polymers. This advanced technique enabled the fabrication of compartmentalized </w:t>
      </w:r>
    </w:p>
    <w:p w14:paraId="2C83FD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FDC 3D printed bilayer tablets, designed to release INH in the stomach and RIF </w:t>
      </w:r>
    </w:p>
    <w:p w14:paraId="3C0502C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the intestine, thereby preserving RIF stability while maintaining synergistic </w:t>
      </w:r>
    </w:p>
    <w:p w14:paraId="78BAE3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 action. The bilayer tablets met pharmacopeial standards for dimensional </w:t>
      </w:r>
    </w:p>
    <w:p w14:paraId="24D93C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accuracy, weight variation, friability, and hardness, with adequate tensile and </w:t>
      </w:r>
    </w:p>
    <w:p w14:paraId="6B5824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shear strength for ease of handling. Micro-CT and SEM-EDX analysis confirmed </w:t>
      </w:r>
    </w:p>
    <w:p w14:paraId="0FCB4F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uniform pore formation, drug distribution, and successful interlayer fusion. In </w:t>
      </w:r>
    </w:p>
    <w:p w14:paraId="3092C5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vitro dissolution demonstrated complete release of INH within 45 min in the </w:t>
      </w:r>
    </w:p>
    <w:p w14:paraId="49407B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gastric region, while RIF exhibited minimal release in the gastric environment </w:t>
      </w:r>
    </w:p>
    <w:p w14:paraId="040604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sustained release in the intestinal region. Pharmacokinetic studies in New </w:t>
      </w:r>
    </w:p>
    <w:p w14:paraId="21E97B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Zealand white rabbits indicated INH and RIF achieved respective Cmax values of </w:t>
      </w:r>
    </w:p>
    <w:p w14:paraId="04E59B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432.00 ± 109.16 ng/mL and 84.57 ± 43.79 ng/mL, with distinct Tmax profiles </w:t>
      </w:r>
    </w:p>
    <w:p w14:paraId="1A6D85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supporting compartmentalized release. This study concludes with the </w:t>
      </w:r>
    </w:p>
    <w:p w14:paraId="367E0C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transformative potential of SLS-mediated 3D printing in developing personalized, </w:t>
      </w:r>
    </w:p>
    <w:p w14:paraId="0FF263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stable, and effective anti-tuberculosis therapies. By ensuring precise </w:t>
      </w:r>
    </w:p>
    <w:p w14:paraId="4A8AF4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compartmentalized drug delivery, this innovation enhances treatment outcomes, </w:t>
      </w:r>
    </w:p>
    <w:p w14:paraId="11A30B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improves patient compliance, and offers a promising platform for future </w:t>
      </w:r>
    </w:p>
    <w:p w14:paraId="478C1796">
      <w:pPr>
        <w:rPr>
          <w:rFonts w:hint="eastAsia" w:ascii="宋体" w:hAnsi="宋体" w:eastAsia="宋体" w:cs="宋体"/>
          <w:b w:val="0"/>
          <w:bCs/>
          <w:color w:val="auto"/>
          <w:szCs w:val="24"/>
        </w:rPr>
      </w:pPr>
      <w:r>
        <w:rPr>
          <w:rFonts w:hint="eastAsia" w:ascii="宋体" w:hAnsi="宋体" w:eastAsia="宋体" w:cs="宋体"/>
          <w:b w:val="0"/>
          <w:bCs/>
          <w:color w:val="auto"/>
          <w:szCs w:val="24"/>
        </w:rPr>
        <w:t>advancements in complex drug delivery systems.</w:t>
      </w:r>
    </w:p>
    <w:p w14:paraId="44997B64">
      <w:pPr>
        <w:rPr>
          <w:rFonts w:hint="eastAsia" w:ascii="宋体" w:hAnsi="宋体" w:eastAsia="宋体" w:cs="宋体"/>
          <w:b w:val="0"/>
          <w:bCs/>
          <w:color w:val="auto"/>
          <w:szCs w:val="24"/>
        </w:rPr>
      </w:pPr>
    </w:p>
    <w:p w14:paraId="46B67B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under exclusive licence to American Association of </w:t>
      </w:r>
    </w:p>
    <w:p w14:paraId="469DD508">
      <w:pPr>
        <w:rPr>
          <w:rFonts w:hint="eastAsia" w:ascii="宋体" w:hAnsi="宋体" w:eastAsia="宋体" w:cs="宋体"/>
          <w:b w:val="0"/>
          <w:bCs/>
          <w:color w:val="auto"/>
          <w:szCs w:val="24"/>
        </w:rPr>
      </w:pPr>
      <w:r>
        <w:rPr>
          <w:rFonts w:hint="eastAsia" w:ascii="宋体" w:hAnsi="宋体" w:eastAsia="宋体" w:cs="宋体"/>
          <w:b w:val="0"/>
          <w:bCs/>
          <w:color w:val="auto"/>
          <w:szCs w:val="24"/>
        </w:rPr>
        <w:t>Pharmaceutical Scientists.</w:t>
      </w:r>
    </w:p>
    <w:p w14:paraId="04B6CF54">
      <w:pPr>
        <w:rPr>
          <w:rFonts w:hint="eastAsia" w:ascii="宋体" w:hAnsi="宋体" w:eastAsia="宋体" w:cs="宋体"/>
          <w:b w:val="0"/>
          <w:bCs/>
          <w:color w:val="auto"/>
          <w:szCs w:val="24"/>
        </w:rPr>
      </w:pPr>
    </w:p>
    <w:p w14:paraId="3BA87592">
      <w:pPr>
        <w:rPr>
          <w:rFonts w:hint="eastAsia" w:ascii="宋体" w:hAnsi="宋体" w:eastAsia="宋体" w:cs="宋体"/>
          <w:b w:val="0"/>
          <w:bCs/>
          <w:color w:val="auto"/>
          <w:szCs w:val="24"/>
        </w:rPr>
      </w:pPr>
      <w:r>
        <w:rPr>
          <w:rFonts w:hint="eastAsia" w:ascii="宋体" w:hAnsi="宋体" w:eastAsia="宋体" w:cs="宋体"/>
          <w:b w:val="0"/>
          <w:bCs/>
          <w:color w:val="auto"/>
          <w:szCs w:val="24"/>
        </w:rPr>
        <w:t>DOI: 10.1208/s12248-026-01286-z</w:t>
      </w:r>
    </w:p>
    <w:p w14:paraId="2BFB7F62">
      <w:pPr>
        <w:rPr>
          <w:rFonts w:hint="eastAsia" w:ascii="宋体" w:hAnsi="宋体" w:eastAsia="宋体" w:cs="宋体"/>
          <w:b w:val="0"/>
          <w:bCs/>
          <w:color w:val="auto"/>
          <w:szCs w:val="24"/>
        </w:rPr>
      </w:pPr>
      <w:r>
        <w:rPr>
          <w:rFonts w:hint="eastAsia" w:ascii="宋体" w:hAnsi="宋体" w:eastAsia="宋体" w:cs="宋体"/>
          <w:b w:val="0"/>
          <w:bCs/>
          <w:color w:val="auto"/>
          <w:szCs w:val="24"/>
        </w:rPr>
        <w:t>PMID: 42711607 [Indexed for MEDLINE]</w:t>
      </w:r>
    </w:p>
    <w:p w14:paraId="13F6A06C">
      <w:pPr>
        <w:rPr>
          <w:rFonts w:hint="eastAsia" w:ascii="宋体" w:hAnsi="宋体" w:eastAsia="宋体" w:cs="宋体"/>
          <w:b w:val="0"/>
          <w:bCs/>
          <w:color w:val="auto"/>
          <w:szCs w:val="24"/>
        </w:rPr>
      </w:pPr>
    </w:p>
    <w:p w14:paraId="5745328B">
      <w:pPr>
        <w:rPr>
          <w:rFonts w:hint="eastAsia" w:ascii="宋体" w:hAnsi="宋体" w:eastAsia="宋体" w:cs="宋体"/>
          <w:b/>
          <w:bCs w:val="0"/>
          <w:color w:val="FF0000"/>
          <w:szCs w:val="24"/>
        </w:rPr>
      </w:pPr>
      <w:r>
        <w:rPr>
          <w:rFonts w:hint="eastAsia" w:ascii="宋体" w:hAnsi="宋体" w:eastAsia="宋体" w:cs="宋体"/>
          <w:b/>
          <w:bCs w:val="0"/>
          <w:color w:val="FF0000"/>
          <w:szCs w:val="24"/>
        </w:rPr>
        <w:t>3</w:t>
      </w:r>
      <w:r>
        <w:rPr>
          <w:rFonts w:hint="eastAsia" w:ascii="宋体" w:hAnsi="宋体" w:eastAsia="宋体" w:cs="宋体"/>
          <w:b/>
          <w:bCs w:val="0"/>
          <w:color w:val="FF0000"/>
          <w:szCs w:val="24"/>
          <w:lang w:val="en-US" w:eastAsia="zh-CN"/>
        </w:rPr>
        <w:t>1</w:t>
      </w:r>
      <w:r>
        <w:rPr>
          <w:rFonts w:hint="eastAsia" w:ascii="宋体" w:hAnsi="宋体" w:eastAsia="宋体" w:cs="宋体"/>
          <w:b/>
          <w:bCs w:val="0"/>
          <w:color w:val="FF0000"/>
          <w:szCs w:val="24"/>
        </w:rPr>
        <w:t>. CMAJ. 2026 Sep 7;198(30):E1186-E1190. doi: 10.1503/cmaj.260343.</w:t>
      </w:r>
    </w:p>
    <w:p w14:paraId="5BC6D882">
      <w:pPr>
        <w:rPr>
          <w:rFonts w:hint="eastAsia" w:ascii="宋体" w:hAnsi="宋体" w:eastAsia="宋体" w:cs="宋体"/>
          <w:b w:val="0"/>
          <w:bCs/>
          <w:color w:val="auto"/>
          <w:szCs w:val="24"/>
        </w:rPr>
      </w:pPr>
    </w:p>
    <w:p w14:paraId="079CF5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Concurrent Rasmussen aneurysm and pulmonary embolism in a patient with cavitary </w:t>
      </w:r>
    </w:p>
    <w:p w14:paraId="7A5ADF07">
      <w:pPr>
        <w:rPr>
          <w:rFonts w:hint="eastAsia" w:ascii="宋体" w:hAnsi="宋体" w:eastAsia="宋体" w:cs="宋体"/>
          <w:b w:val="0"/>
          <w:bCs/>
          <w:color w:val="auto"/>
          <w:szCs w:val="24"/>
        </w:rPr>
      </w:pPr>
      <w:r>
        <w:rPr>
          <w:rFonts w:hint="eastAsia" w:ascii="宋体" w:hAnsi="宋体" w:eastAsia="宋体" w:cs="宋体"/>
          <w:b w:val="0"/>
          <w:bCs/>
          <w:color w:val="auto"/>
          <w:szCs w:val="24"/>
        </w:rPr>
        <w:t>pulmonary tuberculosis.</w:t>
      </w:r>
    </w:p>
    <w:p w14:paraId="1273EF08">
      <w:pPr>
        <w:rPr>
          <w:rFonts w:hint="eastAsia" w:ascii="宋体" w:hAnsi="宋体" w:eastAsia="宋体" w:cs="宋体"/>
          <w:b w:val="0"/>
          <w:bCs/>
          <w:color w:val="auto"/>
          <w:szCs w:val="24"/>
        </w:rPr>
      </w:pPr>
    </w:p>
    <w:p w14:paraId="0553D3BD">
      <w:pPr>
        <w:rPr>
          <w:rFonts w:hint="eastAsia" w:ascii="宋体" w:hAnsi="宋体" w:eastAsia="宋体" w:cs="宋体"/>
          <w:b w:val="0"/>
          <w:bCs/>
          <w:color w:val="auto"/>
          <w:szCs w:val="24"/>
        </w:rPr>
      </w:pPr>
      <w:r>
        <w:rPr>
          <w:rFonts w:hint="eastAsia" w:ascii="宋体" w:hAnsi="宋体" w:eastAsia="宋体" w:cs="宋体"/>
          <w:b w:val="0"/>
          <w:bCs/>
          <w:color w:val="auto"/>
          <w:szCs w:val="24"/>
        </w:rPr>
        <w:t>Shah D(1), Lau A(1), Barrie J(1), Pi Y(1), Long R(2).</w:t>
      </w:r>
    </w:p>
    <w:p w14:paraId="100B3731">
      <w:pPr>
        <w:rPr>
          <w:rFonts w:hint="eastAsia" w:ascii="宋体" w:hAnsi="宋体" w:eastAsia="宋体" w:cs="宋体"/>
          <w:b w:val="0"/>
          <w:bCs/>
          <w:color w:val="auto"/>
          <w:szCs w:val="24"/>
        </w:rPr>
      </w:pPr>
    </w:p>
    <w:p w14:paraId="1E479F63">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85E7E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(1)Departments of Medicine (Shah, Lau, Long), and Radiology and Diagnostic </w:t>
      </w:r>
    </w:p>
    <w:p w14:paraId="65B32E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Imaging (Barrie, Pi), Faculty of Medicine and Dentistry, University of Alberta, </w:t>
      </w:r>
    </w:p>
    <w:p w14:paraId="418D4246">
      <w:pPr>
        <w:rPr>
          <w:rFonts w:hint="eastAsia" w:ascii="宋体" w:hAnsi="宋体" w:eastAsia="宋体" w:cs="宋体"/>
          <w:b w:val="0"/>
          <w:bCs/>
          <w:color w:val="auto"/>
          <w:szCs w:val="24"/>
        </w:rPr>
      </w:pPr>
      <w:r>
        <w:rPr>
          <w:rFonts w:hint="eastAsia" w:ascii="宋体" w:hAnsi="宋体" w:eastAsia="宋体" w:cs="宋体"/>
          <w:b w:val="0"/>
          <w:bCs/>
          <w:color w:val="auto"/>
          <w:szCs w:val="24"/>
        </w:rPr>
        <w:t>Edmonton, Alta.</w:t>
      </w:r>
    </w:p>
    <w:p w14:paraId="1E2813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(2)Departments of Medicine (Shah, Lau, Long), and Radiology and Diagnostic </w:t>
      </w:r>
    </w:p>
    <w:p w14:paraId="66FC30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Imaging (Barrie, Pi), Faculty of Medicine and Dentistry, University of Alberta, </w:t>
      </w:r>
    </w:p>
    <w:p w14:paraId="72755C6C">
      <w:pPr>
        <w:rPr>
          <w:rFonts w:hint="eastAsia" w:ascii="宋体" w:hAnsi="宋体" w:eastAsia="宋体" w:cs="宋体"/>
          <w:b w:val="0"/>
          <w:bCs/>
          <w:color w:val="auto"/>
          <w:szCs w:val="24"/>
        </w:rPr>
      </w:pPr>
      <w:r>
        <w:rPr>
          <w:rFonts w:hint="eastAsia" w:ascii="宋体" w:hAnsi="宋体" w:eastAsia="宋体" w:cs="宋体"/>
          <w:b w:val="0"/>
          <w:bCs/>
          <w:color w:val="auto"/>
          <w:szCs w:val="24"/>
        </w:rPr>
        <w:t>Edmonton, Alta. rlong@ualberta.ca.</w:t>
      </w:r>
    </w:p>
    <w:p w14:paraId="58099083">
      <w:pPr>
        <w:rPr>
          <w:rFonts w:hint="eastAsia" w:ascii="宋体" w:hAnsi="宋体" w:eastAsia="宋体" w:cs="宋体"/>
          <w:b w:val="0"/>
          <w:bCs/>
          <w:color w:val="auto"/>
          <w:szCs w:val="24"/>
        </w:rPr>
      </w:pPr>
    </w:p>
    <w:p w14:paraId="7CFCD71B">
      <w:pPr>
        <w:rPr>
          <w:rFonts w:hint="eastAsia" w:ascii="宋体" w:hAnsi="宋体" w:eastAsia="宋体" w:cs="宋体"/>
          <w:b w:val="0"/>
          <w:bCs/>
          <w:color w:val="auto"/>
          <w:szCs w:val="24"/>
        </w:rPr>
      </w:pPr>
      <w:r>
        <w:rPr>
          <w:rFonts w:hint="eastAsia" w:ascii="宋体" w:hAnsi="宋体" w:eastAsia="宋体" w:cs="宋体"/>
          <w:b w:val="0"/>
          <w:bCs/>
          <w:color w:val="auto"/>
          <w:szCs w:val="24"/>
        </w:rPr>
        <w:t>DOI: 10.1503/cmaj.260343</w:t>
      </w:r>
    </w:p>
    <w:p w14:paraId="3273540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PMC13561452</w:t>
      </w:r>
    </w:p>
    <w:p w14:paraId="6CB652E2">
      <w:pPr>
        <w:rPr>
          <w:rFonts w:hint="eastAsia" w:ascii="宋体" w:hAnsi="宋体" w:eastAsia="宋体" w:cs="宋体"/>
          <w:b w:val="0"/>
          <w:bCs/>
          <w:color w:val="auto"/>
          <w:szCs w:val="24"/>
        </w:rPr>
      </w:pPr>
      <w:r>
        <w:rPr>
          <w:rFonts w:hint="eastAsia" w:ascii="宋体" w:hAnsi="宋体" w:eastAsia="宋体" w:cs="宋体"/>
          <w:b w:val="0"/>
          <w:bCs/>
          <w:color w:val="auto"/>
          <w:szCs w:val="24"/>
        </w:rPr>
        <w:t>PMID: 42710926</w:t>
      </w:r>
    </w:p>
    <w:p w14:paraId="217A869B">
      <w:pPr>
        <w:rPr>
          <w:rFonts w:hint="eastAsia" w:ascii="宋体" w:hAnsi="宋体" w:eastAsia="宋体" w:cs="宋体"/>
          <w:b w:val="0"/>
          <w:bCs/>
          <w:color w:val="auto"/>
          <w:szCs w:val="24"/>
        </w:rPr>
      </w:pPr>
    </w:p>
    <w:p w14:paraId="283B9AAB">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32</w:t>
      </w:r>
      <w:r>
        <w:rPr>
          <w:rFonts w:hint="eastAsia" w:ascii="宋体" w:hAnsi="宋体" w:eastAsia="宋体" w:cs="宋体"/>
          <w:b/>
          <w:bCs w:val="0"/>
          <w:color w:val="FF0000"/>
          <w:szCs w:val="24"/>
        </w:rPr>
        <w:t xml:space="preserve">. PLoS Negl Trop Dis. 2026 Sep 8;20(9):e0014711. doi: </w:t>
      </w:r>
    </w:p>
    <w:p w14:paraId="77929218">
      <w:pPr>
        <w:rPr>
          <w:rFonts w:hint="eastAsia" w:ascii="宋体" w:hAnsi="宋体" w:eastAsia="宋体" w:cs="宋体"/>
          <w:b/>
          <w:bCs w:val="0"/>
          <w:color w:val="FF0000"/>
          <w:szCs w:val="24"/>
        </w:rPr>
      </w:pPr>
      <w:r>
        <w:rPr>
          <w:rFonts w:hint="eastAsia" w:ascii="宋体" w:hAnsi="宋体" w:eastAsia="宋体" w:cs="宋体"/>
          <w:b/>
          <w:bCs w:val="0"/>
          <w:color w:val="FF0000"/>
          <w:szCs w:val="24"/>
        </w:rPr>
        <w:t>10.1371/journal.pntd.0014711. Online ahead of print.</w:t>
      </w:r>
    </w:p>
    <w:p w14:paraId="27577FDB">
      <w:pPr>
        <w:rPr>
          <w:rFonts w:hint="eastAsia" w:ascii="宋体" w:hAnsi="宋体" w:eastAsia="宋体" w:cs="宋体"/>
          <w:b w:val="0"/>
          <w:bCs/>
          <w:color w:val="auto"/>
          <w:szCs w:val="24"/>
        </w:rPr>
      </w:pPr>
    </w:p>
    <w:p w14:paraId="09A195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Gendered experiences of people living with tuberculosis or leprosy: A global </w:t>
      </w:r>
    </w:p>
    <w:p w14:paraId="53052672">
      <w:pPr>
        <w:rPr>
          <w:rFonts w:hint="eastAsia" w:ascii="宋体" w:hAnsi="宋体" w:eastAsia="宋体" w:cs="宋体"/>
          <w:b w:val="0"/>
          <w:bCs/>
          <w:color w:val="auto"/>
          <w:szCs w:val="24"/>
        </w:rPr>
      </w:pPr>
      <w:r>
        <w:rPr>
          <w:rFonts w:hint="eastAsia" w:ascii="宋体" w:hAnsi="宋体" w:eastAsia="宋体" w:cs="宋体"/>
          <w:b w:val="0"/>
          <w:bCs/>
          <w:color w:val="auto"/>
          <w:szCs w:val="24"/>
        </w:rPr>
        <w:t>systematic review.</w:t>
      </w:r>
    </w:p>
    <w:p w14:paraId="4DE33B4D">
      <w:pPr>
        <w:rPr>
          <w:rFonts w:hint="eastAsia" w:ascii="宋体" w:hAnsi="宋体" w:eastAsia="宋体" w:cs="宋体"/>
          <w:b w:val="0"/>
          <w:bCs/>
          <w:color w:val="auto"/>
          <w:szCs w:val="24"/>
        </w:rPr>
      </w:pPr>
    </w:p>
    <w:p w14:paraId="7E9BD0D9">
      <w:pPr>
        <w:rPr>
          <w:rFonts w:hint="eastAsia" w:ascii="宋体" w:hAnsi="宋体" w:eastAsia="宋体" w:cs="宋体"/>
          <w:b w:val="0"/>
          <w:bCs/>
          <w:color w:val="auto"/>
          <w:szCs w:val="24"/>
        </w:rPr>
      </w:pPr>
      <w:r>
        <w:rPr>
          <w:rFonts w:hint="eastAsia" w:ascii="宋体" w:hAnsi="宋体" w:eastAsia="宋体" w:cs="宋体"/>
          <w:b w:val="0"/>
          <w:bCs/>
          <w:color w:val="auto"/>
          <w:szCs w:val="24"/>
        </w:rPr>
        <w:t>Unterkircher SCW(1), Lenz J(1), Mwasuka G(2).</w:t>
      </w:r>
    </w:p>
    <w:p w14:paraId="78D3128F">
      <w:pPr>
        <w:rPr>
          <w:rFonts w:hint="eastAsia" w:ascii="宋体" w:hAnsi="宋体" w:eastAsia="宋体" w:cs="宋体"/>
          <w:b w:val="0"/>
          <w:bCs/>
          <w:color w:val="auto"/>
          <w:szCs w:val="24"/>
        </w:rPr>
      </w:pPr>
    </w:p>
    <w:p w14:paraId="7C394F9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93E294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Global Health, Institute of Public Health and Nursing Research, </w:t>
      </w:r>
    </w:p>
    <w:p w14:paraId="18433EC8">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Bremen, Bremen, Germany.</w:t>
      </w:r>
    </w:p>
    <w:p w14:paraId="5950D1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(2)German Leprosy and Tuberculosis Relief Association Tanzania (GLRA), Dar es </w:t>
      </w:r>
    </w:p>
    <w:p w14:paraId="08A4339D">
      <w:pPr>
        <w:rPr>
          <w:rFonts w:hint="eastAsia" w:ascii="宋体" w:hAnsi="宋体" w:eastAsia="宋体" w:cs="宋体"/>
          <w:b w:val="0"/>
          <w:bCs/>
          <w:color w:val="auto"/>
          <w:szCs w:val="24"/>
        </w:rPr>
      </w:pPr>
      <w:r>
        <w:rPr>
          <w:rFonts w:hint="eastAsia" w:ascii="宋体" w:hAnsi="宋体" w:eastAsia="宋体" w:cs="宋体"/>
          <w:b w:val="0"/>
          <w:bCs/>
          <w:color w:val="auto"/>
          <w:szCs w:val="24"/>
        </w:rPr>
        <w:t>Salaam, Tanzania.</w:t>
      </w:r>
    </w:p>
    <w:p w14:paraId="5FB5FBB0">
      <w:pPr>
        <w:rPr>
          <w:rFonts w:hint="eastAsia" w:ascii="宋体" w:hAnsi="宋体" w:eastAsia="宋体" w:cs="宋体"/>
          <w:b w:val="0"/>
          <w:bCs/>
          <w:color w:val="auto"/>
          <w:szCs w:val="24"/>
        </w:rPr>
      </w:pPr>
    </w:p>
    <w:p w14:paraId="50A71359">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Classified as poverty-related diseases (PRD) leprosy and </w:t>
      </w:r>
    </w:p>
    <w:p w14:paraId="688C4B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are long-standing mycobacterial diseases strongly linked to </w:t>
      </w:r>
    </w:p>
    <w:p w14:paraId="77EE70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poverty, stigma, and social exclusion, disproportionately affecting vulnerable </w:t>
      </w:r>
    </w:p>
    <w:p w14:paraId="7BB6DC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populations. Gender norms further shape how individuals experience illness, </w:t>
      </w:r>
    </w:p>
    <w:p w14:paraId="1A0B0B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access to care, and coping strategies, but evidence remains fragmented and </w:t>
      </w:r>
    </w:p>
    <w:p w14:paraId="703ED5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largely disease-specific. This systematic review synthesizes qualitative </w:t>
      </w:r>
    </w:p>
    <w:p w14:paraId="40C9EB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evidence on lived experiences of people affected by TB or leprosy worldwide and </w:t>
      </w:r>
    </w:p>
    <w:p w14:paraId="4B61D61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compares gender inequities across both diseases to identify shared social and </w:t>
      </w:r>
    </w:p>
    <w:p w14:paraId="52BF8EF1">
      <w:pPr>
        <w:rPr>
          <w:rFonts w:hint="eastAsia" w:ascii="宋体" w:hAnsi="宋体" w:eastAsia="宋体" w:cs="宋体"/>
          <w:b w:val="0"/>
          <w:bCs/>
          <w:color w:val="auto"/>
          <w:szCs w:val="24"/>
        </w:rPr>
      </w:pPr>
      <w:r>
        <w:rPr>
          <w:rFonts w:hint="eastAsia" w:ascii="宋体" w:hAnsi="宋体" w:eastAsia="宋体" w:cs="宋体"/>
          <w:b w:val="0"/>
          <w:bCs/>
          <w:color w:val="auto"/>
          <w:szCs w:val="24"/>
        </w:rPr>
        <w:t>structural determinants.</w:t>
      </w:r>
    </w:p>
    <w:p w14:paraId="7827DE22">
      <w:pPr>
        <w:rPr>
          <w:rFonts w:hint="eastAsia" w:ascii="宋体" w:hAnsi="宋体" w:eastAsia="宋体" w:cs="宋体"/>
          <w:b w:val="0"/>
          <w:bCs/>
          <w:color w:val="auto"/>
          <w:szCs w:val="24"/>
        </w:rPr>
      </w:pPr>
      <w:r>
        <w:rPr>
          <w:rFonts w:hint="eastAsia" w:ascii="宋体" w:hAnsi="宋体" w:eastAsia="宋体" w:cs="宋体"/>
          <w:b/>
          <w:bCs w:val="0"/>
          <w:color w:val="auto"/>
          <w:szCs w:val="24"/>
        </w:rPr>
        <w:t>METHODS/PRINCIPAL FINDINGS:</w:t>
      </w:r>
      <w:r>
        <w:rPr>
          <w:rFonts w:hint="eastAsia" w:ascii="宋体" w:hAnsi="宋体" w:eastAsia="宋体" w:cs="宋体"/>
          <w:b w:val="0"/>
          <w:bCs/>
          <w:color w:val="auto"/>
          <w:szCs w:val="24"/>
        </w:rPr>
        <w:t xml:space="preserve"> A systematic review following PRISMA guidelines </w:t>
      </w:r>
    </w:p>
    <w:p w14:paraId="127A125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searched PubMed, Embase, Scopus, and Web of Science for peer-reviewed </w:t>
      </w:r>
    </w:p>
    <w:p w14:paraId="7D7E42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qualitative and mixed methods studies (1995-08/2025) reporting primary </w:t>
      </w:r>
    </w:p>
    <w:p w14:paraId="060136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qualitative data on gendered experiences of people affected by TB or leprosy. </w:t>
      </w:r>
    </w:p>
    <w:p w14:paraId="09F6EC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Studies in all countries and languages were eligible. Screening and extraction </w:t>
      </w:r>
    </w:p>
    <w:p w14:paraId="0A6546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conducted using Rayyan. Inductive thematic synthesis was performed using </w:t>
      </w:r>
    </w:p>
    <w:p w14:paraId="0E6423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MAXQDA. Quality was assessed using the CASP checklist. A total of 3204 records </w:t>
      </w:r>
    </w:p>
    <w:p w14:paraId="78EA4E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identified, with 57 studies from 29 countries across five continents </w:t>
      </w:r>
    </w:p>
    <w:p w14:paraId="04234A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included. Across settings, women experienced greater barriers to diagnosis and </w:t>
      </w:r>
    </w:p>
    <w:p w14:paraId="789917E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care, more severe marital and familial consequences, higher stigma and social </w:t>
      </w:r>
    </w:p>
    <w:p w14:paraId="41C52B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exclusion, and greater psychosocial burden than men. Men's experiences were </w:t>
      </w:r>
    </w:p>
    <w:p w14:paraId="1A4584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shaped by norms of masculinity, particularly regarding economic provision and </w:t>
      </w:r>
    </w:p>
    <w:p w14:paraId="35F9F1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employment. Despite disease differences, psychosocial and socioeconomic impacts </w:t>
      </w:r>
    </w:p>
    <w:p w14:paraId="7A6134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similar across TB and leprosy, embedded in gendered social norms, power </w:t>
      </w:r>
    </w:p>
    <w:p w14:paraId="4CEBC1C4">
      <w:pPr>
        <w:rPr>
          <w:rFonts w:hint="eastAsia" w:ascii="宋体" w:hAnsi="宋体" w:eastAsia="宋体" w:cs="宋体"/>
          <w:b w:val="0"/>
          <w:bCs/>
          <w:color w:val="auto"/>
          <w:szCs w:val="24"/>
        </w:rPr>
      </w:pPr>
      <w:r>
        <w:rPr>
          <w:rFonts w:hint="eastAsia" w:ascii="宋体" w:hAnsi="宋体" w:eastAsia="宋体" w:cs="宋体"/>
          <w:b w:val="0"/>
          <w:bCs/>
          <w:color w:val="auto"/>
          <w:szCs w:val="24"/>
        </w:rPr>
        <w:t>relations, and social determinants of health.</w:t>
      </w:r>
    </w:p>
    <w:p w14:paraId="41518AF3">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CONCLUSIONS/SIGNIFICANCE:</w:t>
      </w:r>
      <w:r>
        <w:rPr>
          <w:rFonts w:hint="eastAsia" w:ascii="宋体" w:hAnsi="宋体" w:eastAsia="宋体" w:cs="宋体"/>
          <w:b w:val="0"/>
          <w:bCs/>
          <w:color w:val="auto"/>
          <w:szCs w:val="24"/>
        </w:rPr>
        <w:t xml:space="preserve"> Gender-based inequities are pervasive across TB and </w:t>
      </w:r>
    </w:p>
    <w:p w14:paraId="48D7F3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leprosy globally. Comparing both diseases reveals shared social mechanisms </w:t>
      </w:r>
    </w:p>
    <w:p w14:paraId="0754B0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beyond biomedical differences. Addressing them requires moving beyond biomedical </w:t>
      </w:r>
    </w:p>
    <w:p w14:paraId="321150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models and integrating gender as a structural determinant of health. </w:t>
      </w:r>
    </w:p>
    <w:p w14:paraId="60E7D7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Gender-sensitive, participatory, and intersectional interventions are needed to </w:t>
      </w:r>
    </w:p>
    <w:p w14:paraId="20E7FE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improve early diagnosis, treatment adherence, and psychosocial and socioeconomic </w:t>
      </w:r>
    </w:p>
    <w:p w14:paraId="18223162">
      <w:pPr>
        <w:rPr>
          <w:rFonts w:hint="eastAsia" w:ascii="宋体" w:hAnsi="宋体" w:eastAsia="宋体" w:cs="宋体"/>
          <w:b w:val="0"/>
          <w:bCs/>
          <w:color w:val="auto"/>
          <w:szCs w:val="24"/>
        </w:rPr>
      </w:pPr>
      <w:r>
        <w:rPr>
          <w:rFonts w:hint="eastAsia" w:ascii="宋体" w:hAnsi="宋体" w:eastAsia="宋体" w:cs="宋体"/>
          <w:b w:val="0"/>
          <w:bCs/>
          <w:color w:val="auto"/>
          <w:szCs w:val="24"/>
        </w:rPr>
        <w:t>outcomes.</w:t>
      </w:r>
    </w:p>
    <w:p w14:paraId="0016AAC0">
      <w:pPr>
        <w:rPr>
          <w:rFonts w:hint="eastAsia" w:ascii="宋体" w:hAnsi="宋体" w:eastAsia="宋体" w:cs="宋体"/>
          <w:b w:val="0"/>
          <w:bCs/>
          <w:color w:val="auto"/>
          <w:szCs w:val="24"/>
        </w:rPr>
      </w:pPr>
      <w:r>
        <w:rPr>
          <w:rFonts w:hint="eastAsia" w:ascii="宋体" w:hAnsi="宋体" w:eastAsia="宋体" w:cs="宋体"/>
          <w:b w:val="0"/>
          <w:bCs/>
          <w:color w:val="auto"/>
          <w:szCs w:val="24"/>
        </w:rPr>
        <w:t>REGISTRATION: Registered on Open Science Framework (OSF) on 01/09/2025.</w:t>
      </w:r>
    </w:p>
    <w:p w14:paraId="4CB472B9">
      <w:pPr>
        <w:rPr>
          <w:rFonts w:hint="eastAsia" w:ascii="宋体" w:hAnsi="宋体" w:eastAsia="宋体" w:cs="宋体"/>
          <w:b w:val="0"/>
          <w:bCs/>
          <w:color w:val="auto"/>
          <w:szCs w:val="24"/>
        </w:rPr>
      </w:pPr>
    </w:p>
    <w:p w14:paraId="4CB0B6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Unterkircher et al. This is an open access article distributed </w:t>
      </w:r>
    </w:p>
    <w:p w14:paraId="3D80D2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the terms of the Creative Commons Attribution License, which permits </w:t>
      </w:r>
    </w:p>
    <w:p w14:paraId="654B2D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0A2E4E72">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68BD4E34">
      <w:pPr>
        <w:rPr>
          <w:rFonts w:hint="eastAsia" w:ascii="宋体" w:hAnsi="宋体" w:eastAsia="宋体" w:cs="宋体"/>
          <w:b w:val="0"/>
          <w:bCs/>
          <w:color w:val="auto"/>
          <w:szCs w:val="24"/>
        </w:rPr>
      </w:pPr>
    </w:p>
    <w:p w14:paraId="333A5D8A">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10.1371/journal.pntd.0014711</w:t>
      </w:r>
    </w:p>
    <w:p w14:paraId="6551A555">
      <w:pPr>
        <w:rPr>
          <w:rFonts w:hint="eastAsia" w:ascii="宋体" w:hAnsi="宋体" w:eastAsia="宋体" w:cs="宋体"/>
          <w:b w:val="0"/>
          <w:bCs/>
          <w:color w:val="auto"/>
          <w:szCs w:val="24"/>
        </w:rPr>
      </w:pPr>
      <w:r>
        <w:rPr>
          <w:rFonts w:hint="eastAsia" w:ascii="宋体" w:hAnsi="宋体" w:eastAsia="宋体" w:cs="宋体"/>
          <w:b w:val="0"/>
          <w:bCs/>
          <w:color w:val="auto"/>
          <w:szCs w:val="24"/>
        </w:rPr>
        <w:t>PMID: 42709870</w:t>
      </w:r>
    </w:p>
    <w:p w14:paraId="26F43D1D">
      <w:pPr>
        <w:rPr>
          <w:rFonts w:hint="eastAsia" w:ascii="宋体" w:hAnsi="宋体" w:eastAsia="宋体" w:cs="宋体"/>
          <w:b w:val="0"/>
          <w:bCs/>
          <w:color w:val="auto"/>
          <w:szCs w:val="24"/>
        </w:rPr>
      </w:pPr>
    </w:p>
    <w:p w14:paraId="26EE1E27">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33</w:t>
      </w:r>
      <w:r>
        <w:rPr>
          <w:rFonts w:hint="eastAsia" w:ascii="宋体" w:hAnsi="宋体" w:eastAsia="宋体" w:cs="宋体"/>
          <w:b/>
          <w:bCs w:val="0"/>
          <w:color w:val="FF0000"/>
          <w:szCs w:val="24"/>
        </w:rPr>
        <w:t xml:space="preserve">. PLoS One. 2026 Sep 8;21(9):e0347436. doi: 10.1371/journal.pone.0347436. </w:t>
      </w:r>
    </w:p>
    <w:p w14:paraId="5F64F736">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113A7715">
      <w:pPr>
        <w:rPr>
          <w:rFonts w:hint="eastAsia" w:ascii="宋体" w:hAnsi="宋体" w:eastAsia="宋体" w:cs="宋体"/>
          <w:b w:val="0"/>
          <w:bCs/>
          <w:color w:val="auto"/>
          <w:szCs w:val="24"/>
        </w:rPr>
      </w:pPr>
    </w:p>
    <w:p w14:paraId="48164BE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Empiric tuberculosis treatment and 12-month mortality among sputum </w:t>
      </w:r>
    </w:p>
    <w:p w14:paraId="08DC95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GeneXpert-negative adults living with HIV in Uganda in the era of widespread </w:t>
      </w:r>
    </w:p>
    <w:p w14:paraId="08977D40">
      <w:pPr>
        <w:rPr>
          <w:rFonts w:hint="eastAsia" w:ascii="宋体" w:hAnsi="宋体" w:eastAsia="宋体" w:cs="宋体"/>
          <w:b w:val="0"/>
          <w:bCs/>
          <w:color w:val="auto"/>
          <w:szCs w:val="24"/>
        </w:rPr>
      </w:pPr>
      <w:r>
        <w:rPr>
          <w:rFonts w:hint="eastAsia" w:ascii="宋体" w:hAnsi="宋体" w:eastAsia="宋体" w:cs="宋体"/>
          <w:b w:val="0"/>
          <w:bCs/>
          <w:color w:val="auto"/>
          <w:szCs w:val="24"/>
        </w:rPr>
        <w:t>antiretroviral therapy: A prospective cohort study.</w:t>
      </w:r>
    </w:p>
    <w:p w14:paraId="19A601C6">
      <w:pPr>
        <w:rPr>
          <w:rFonts w:hint="eastAsia" w:ascii="宋体" w:hAnsi="宋体" w:eastAsia="宋体" w:cs="宋体"/>
          <w:b w:val="0"/>
          <w:bCs/>
          <w:color w:val="auto"/>
          <w:szCs w:val="24"/>
        </w:rPr>
      </w:pPr>
    </w:p>
    <w:p w14:paraId="6E9DF2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Nakiyingi L(1)(2)(3), Kikaire B(4)(5), Nakayenga S(2), Kamulegeya L(2), Nakabugo </w:t>
      </w:r>
    </w:p>
    <w:p w14:paraId="3BD00530">
      <w:pPr>
        <w:rPr>
          <w:rFonts w:hint="eastAsia" w:ascii="宋体" w:hAnsi="宋体" w:eastAsia="宋体" w:cs="宋体"/>
          <w:b w:val="0"/>
          <w:bCs/>
          <w:color w:val="auto"/>
          <w:szCs w:val="24"/>
        </w:rPr>
      </w:pPr>
      <w:r>
        <w:rPr>
          <w:rFonts w:hint="eastAsia" w:ascii="宋体" w:hAnsi="宋体" w:eastAsia="宋体" w:cs="宋体"/>
          <w:b w:val="0"/>
          <w:bCs/>
          <w:color w:val="auto"/>
          <w:szCs w:val="24"/>
        </w:rPr>
        <w:t>E(2), Asio JN(5), Bagaya B(6), Ssengooba W(6), Mayanja-Kizza H(1), Manabe YC(7).</w:t>
      </w:r>
    </w:p>
    <w:p w14:paraId="2E310835">
      <w:pPr>
        <w:rPr>
          <w:rFonts w:hint="eastAsia" w:ascii="宋体" w:hAnsi="宋体" w:eastAsia="宋体" w:cs="宋体"/>
          <w:b w:val="0"/>
          <w:bCs/>
          <w:color w:val="auto"/>
          <w:szCs w:val="24"/>
        </w:rPr>
      </w:pPr>
    </w:p>
    <w:p w14:paraId="6D0500AF">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CAC86F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Medicine, School of Medicine, Makerere University College of </w:t>
      </w:r>
    </w:p>
    <w:p w14:paraId="0E4633C2">
      <w:pPr>
        <w:rPr>
          <w:rFonts w:hint="eastAsia" w:ascii="宋体" w:hAnsi="宋体" w:eastAsia="宋体" w:cs="宋体"/>
          <w:b w:val="0"/>
          <w:bCs/>
          <w:color w:val="auto"/>
          <w:szCs w:val="24"/>
        </w:rPr>
      </w:pPr>
      <w:r>
        <w:rPr>
          <w:rFonts w:hint="eastAsia" w:ascii="宋体" w:hAnsi="宋体" w:eastAsia="宋体" w:cs="宋体"/>
          <w:b w:val="0"/>
          <w:bCs/>
          <w:color w:val="auto"/>
          <w:szCs w:val="24"/>
        </w:rPr>
        <w:t>Health Sciences, Kampala, Uganda.</w:t>
      </w:r>
    </w:p>
    <w:p w14:paraId="3C0B590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(2)Makerere University Biomedical Research Centre, Makerere University College </w:t>
      </w:r>
    </w:p>
    <w:p w14:paraId="4295C4BA">
      <w:pPr>
        <w:rPr>
          <w:rFonts w:hint="eastAsia" w:ascii="宋体" w:hAnsi="宋体" w:eastAsia="宋体" w:cs="宋体"/>
          <w:b w:val="0"/>
          <w:bCs/>
          <w:color w:val="auto"/>
          <w:szCs w:val="24"/>
        </w:rPr>
      </w:pPr>
      <w:r>
        <w:rPr>
          <w:rFonts w:hint="eastAsia" w:ascii="宋体" w:hAnsi="宋体" w:eastAsia="宋体" w:cs="宋体"/>
          <w:b w:val="0"/>
          <w:bCs/>
          <w:color w:val="auto"/>
          <w:szCs w:val="24"/>
        </w:rPr>
        <w:t>of Health Sciences, Kampala, Uganda.</w:t>
      </w:r>
    </w:p>
    <w:p w14:paraId="53EDF3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(3)Infectious Diseases Institute, Makerere University College of Health </w:t>
      </w:r>
    </w:p>
    <w:p w14:paraId="3DA76555">
      <w:pPr>
        <w:rPr>
          <w:rFonts w:hint="eastAsia" w:ascii="宋体" w:hAnsi="宋体" w:eastAsia="宋体" w:cs="宋体"/>
          <w:b w:val="0"/>
          <w:bCs/>
          <w:color w:val="auto"/>
          <w:szCs w:val="24"/>
        </w:rPr>
      </w:pPr>
      <w:r>
        <w:rPr>
          <w:rFonts w:hint="eastAsia" w:ascii="宋体" w:hAnsi="宋体" w:eastAsia="宋体" w:cs="宋体"/>
          <w:b w:val="0"/>
          <w:bCs/>
          <w:color w:val="auto"/>
          <w:szCs w:val="24"/>
        </w:rPr>
        <w:t>Sciences, Kampala, Uganda.</w:t>
      </w:r>
    </w:p>
    <w:p w14:paraId="674521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Pediatrics and Child Health, School of Medicine, College of </w:t>
      </w:r>
    </w:p>
    <w:p w14:paraId="5D9A7CAB">
      <w:pPr>
        <w:rPr>
          <w:rFonts w:hint="eastAsia" w:ascii="宋体" w:hAnsi="宋体" w:eastAsia="宋体" w:cs="宋体"/>
          <w:b w:val="0"/>
          <w:bCs/>
          <w:color w:val="auto"/>
          <w:szCs w:val="24"/>
        </w:rPr>
      </w:pPr>
      <w:r>
        <w:rPr>
          <w:rFonts w:hint="eastAsia" w:ascii="宋体" w:hAnsi="宋体" w:eastAsia="宋体" w:cs="宋体"/>
          <w:b w:val="0"/>
          <w:bCs/>
          <w:color w:val="auto"/>
          <w:szCs w:val="24"/>
        </w:rPr>
        <w:t>Health Sciences, Makerere University, Kampala, Uganda.</w:t>
      </w:r>
    </w:p>
    <w:p w14:paraId="3985B9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General Virology, Uganda Virus Research Institute, Entebbe, </w:t>
      </w:r>
    </w:p>
    <w:p w14:paraId="7B670441">
      <w:pPr>
        <w:rPr>
          <w:rFonts w:hint="eastAsia" w:ascii="宋体" w:hAnsi="宋体" w:eastAsia="宋体" w:cs="宋体"/>
          <w:b w:val="0"/>
          <w:bCs/>
          <w:color w:val="auto"/>
          <w:szCs w:val="24"/>
        </w:rPr>
      </w:pPr>
      <w:r>
        <w:rPr>
          <w:rFonts w:hint="eastAsia" w:ascii="宋体" w:hAnsi="宋体" w:eastAsia="宋体" w:cs="宋体"/>
          <w:b w:val="0"/>
          <w:bCs/>
          <w:color w:val="auto"/>
          <w:szCs w:val="24"/>
        </w:rPr>
        <w:t>Uganda.</w:t>
      </w:r>
    </w:p>
    <w:p w14:paraId="27B0D1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Immunology and Molecular Biology, School of Biomedical </w:t>
      </w:r>
    </w:p>
    <w:p w14:paraId="21F3A170">
      <w:pPr>
        <w:rPr>
          <w:rFonts w:hint="eastAsia" w:ascii="宋体" w:hAnsi="宋体" w:eastAsia="宋体" w:cs="宋体"/>
          <w:b w:val="0"/>
          <w:bCs/>
          <w:color w:val="auto"/>
          <w:szCs w:val="24"/>
        </w:rPr>
      </w:pPr>
      <w:r>
        <w:rPr>
          <w:rFonts w:hint="eastAsia" w:ascii="宋体" w:hAnsi="宋体" w:eastAsia="宋体" w:cs="宋体"/>
          <w:b w:val="0"/>
          <w:bCs/>
          <w:color w:val="auto"/>
          <w:szCs w:val="24"/>
        </w:rPr>
        <w:t>Sciences, College of Health Sciences, Makerere University, Kampala, Uganda.</w:t>
      </w:r>
    </w:p>
    <w:p w14:paraId="053D77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(7)Division of Infectious Diseases, Johns Hopkins School of Medicine, Baltimore, </w:t>
      </w:r>
    </w:p>
    <w:p w14:paraId="6CC7A4DF">
      <w:pPr>
        <w:rPr>
          <w:rFonts w:hint="eastAsia" w:ascii="宋体" w:hAnsi="宋体" w:eastAsia="宋体" w:cs="宋体"/>
          <w:b w:val="0"/>
          <w:bCs/>
          <w:color w:val="auto"/>
          <w:szCs w:val="24"/>
        </w:rPr>
      </w:pPr>
      <w:r>
        <w:rPr>
          <w:rFonts w:hint="eastAsia" w:ascii="宋体" w:hAnsi="宋体" w:eastAsia="宋体" w:cs="宋体"/>
          <w:b w:val="0"/>
          <w:bCs/>
          <w:color w:val="auto"/>
          <w:szCs w:val="24"/>
        </w:rPr>
        <w:t>United States of America.</w:t>
      </w:r>
    </w:p>
    <w:p w14:paraId="1D11C61B">
      <w:pPr>
        <w:rPr>
          <w:rFonts w:hint="eastAsia" w:ascii="宋体" w:hAnsi="宋体" w:eastAsia="宋体" w:cs="宋体"/>
          <w:b w:val="0"/>
          <w:bCs/>
          <w:color w:val="auto"/>
          <w:szCs w:val="24"/>
        </w:rPr>
      </w:pPr>
    </w:p>
    <w:p w14:paraId="34A77193">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In sub-Saharan Africa where both tuberculosis (TB) and HIV are </w:t>
      </w:r>
    </w:p>
    <w:p w14:paraId="15E412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prevalent, empiric TB treatment in people living with HIV (PLHIV) persists due </w:t>
      </w:r>
    </w:p>
    <w:p w14:paraId="28FE82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limited sensitivity of sputum-based TB tests. We evaluated mortality among </w:t>
      </w:r>
    </w:p>
    <w:p w14:paraId="7257E2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molecular test-negative presumptive TB adult PLHIV in a population with </w:t>
      </w:r>
    </w:p>
    <w:p w14:paraId="10D646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widespread antiretroviral therapy (ART) coverage, comparing those empirically </w:t>
      </w:r>
    </w:p>
    <w:p w14:paraId="340D3D34">
      <w:pPr>
        <w:rPr>
          <w:rFonts w:hint="eastAsia" w:ascii="宋体" w:hAnsi="宋体" w:eastAsia="宋体" w:cs="宋体"/>
          <w:b w:val="0"/>
          <w:bCs/>
          <w:color w:val="auto"/>
          <w:szCs w:val="24"/>
        </w:rPr>
      </w:pPr>
      <w:r>
        <w:rPr>
          <w:rFonts w:hint="eastAsia" w:ascii="宋体" w:hAnsi="宋体" w:eastAsia="宋体" w:cs="宋体"/>
          <w:b w:val="0"/>
          <w:bCs/>
          <w:color w:val="auto"/>
          <w:szCs w:val="24"/>
        </w:rPr>
        <w:t>treated and not treated for TB.</w:t>
      </w:r>
    </w:p>
    <w:p w14:paraId="259CF3DB">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MATERIALS AND METHODS: </w:t>
      </w:r>
      <w:r>
        <w:rPr>
          <w:rFonts w:hint="eastAsia" w:ascii="宋体" w:hAnsi="宋体" w:eastAsia="宋体" w:cs="宋体"/>
          <w:b w:val="0"/>
          <w:bCs/>
          <w:color w:val="auto"/>
          <w:szCs w:val="24"/>
        </w:rPr>
        <w:t xml:space="preserve">From November 2017 to December 2020, Xpert-negative adult </w:t>
      </w:r>
    </w:p>
    <w:p w14:paraId="29B4A5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PLHIV were recruited at Mulago Referral Hospital and Kisenyi Health Centre-IV in </w:t>
      </w:r>
    </w:p>
    <w:p w14:paraId="4462F3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Kampala, Uganda. Clinical data including TB symptoms, chest X-ray, and empiric </w:t>
      </w:r>
    </w:p>
    <w:p w14:paraId="6D1E76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treatment decision were collected. Laboratory investigations included CD4 </w:t>
      </w:r>
    </w:p>
    <w:p w14:paraId="624CA6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cell count, serum cryptococcal antigen (CrAg), urine TB-lipoarabinomannan </w:t>
      </w:r>
    </w:p>
    <w:p w14:paraId="6B0DA1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(TB-LAM), microbiological blood cultures, and sputum mycobacterial growth </w:t>
      </w:r>
    </w:p>
    <w:p w14:paraId="1834D9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indicator tube (MGIT) cultures. Participants were followed monthly for 12 months </w:t>
      </w:r>
    </w:p>
    <w:p w14:paraId="1C8A7DC9">
      <w:pPr>
        <w:rPr>
          <w:rFonts w:hint="eastAsia" w:ascii="宋体" w:hAnsi="宋体" w:eastAsia="宋体" w:cs="宋体"/>
          <w:b w:val="0"/>
          <w:bCs/>
          <w:color w:val="auto"/>
          <w:szCs w:val="24"/>
        </w:rPr>
      </w:pPr>
      <w:r>
        <w:rPr>
          <w:rFonts w:hint="eastAsia" w:ascii="宋体" w:hAnsi="宋体" w:eastAsia="宋体" w:cs="宋体"/>
          <w:b w:val="0"/>
          <w:bCs/>
          <w:color w:val="auto"/>
          <w:szCs w:val="24"/>
        </w:rPr>
        <w:t>to ascertain vital status.</w:t>
      </w:r>
    </w:p>
    <w:p w14:paraId="6AE1A46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Overall, 300 participants were enrolled; 61.3% inpatients, 55.7% </w:t>
      </w:r>
    </w:p>
    <w:p w14:paraId="15FE90F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female, median age 37 (IQR 29-45) years, 82.3% on ART, median CD4 206 cells/mm³ </w:t>
      </w:r>
    </w:p>
    <w:p w14:paraId="0FECB2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(IQR 36-507). Of the 300, 68 (22.7%) received empiric TB treatment, of which 53 </w:t>
      </w:r>
    </w:p>
    <w:p w14:paraId="6EF8EF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(77.9%) were inpatients. 12-month mortality was 31.0% (93/300); 72% within three </w:t>
      </w:r>
    </w:p>
    <w:p w14:paraId="043A51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months post-enrolment. TB cultures were positive in 5.0% (15/300), 12.3% had </w:t>
      </w:r>
    </w:p>
    <w:p w14:paraId="0FA46C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positive CrAg, and 3.7% had positive blood culture. Empirically treated </w:t>
      </w:r>
    </w:p>
    <w:p w14:paraId="11DFC8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participants had higher mortality (42.7%) than non-treated (27.6%) although the </w:t>
      </w:r>
    </w:p>
    <w:p w14:paraId="331AF7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difference was not statistically significant after adjusting for factors </w:t>
      </w:r>
    </w:p>
    <w:p w14:paraId="527DC6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indicative of severe illness (adjusted Mortality Rate Ratio- aMRR 1.05, </w:t>
      </w:r>
    </w:p>
    <w:p w14:paraId="74A278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 = 0.850). Inpatient (aMRR 3.80, p = 0.008) and poor functional status (aMRR </w:t>
      </w:r>
    </w:p>
    <w:p w14:paraId="105BCBD6">
      <w:pPr>
        <w:rPr>
          <w:rFonts w:hint="eastAsia" w:ascii="宋体" w:hAnsi="宋体" w:eastAsia="宋体" w:cs="宋体"/>
          <w:b w:val="0"/>
          <w:bCs/>
          <w:color w:val="auto"/>
          <w:szCs w:val="24"/>
        </w:rPr>
      </w:pPr>
      <w:r>
        <w:rPr>
          <w:rFonts w:hint="eastAsia" w:ascii="宋体" w:hAnsi="宋体" w:eastAsia="宋体" w:cs="宋体"/>
          <w:b w:val="0"/>
          <w:bCs/>
          <w:color w:val="auto"/>
          <w:szCs w:val="24"/>
        </w:rPr>
        <w:t>3.5 95%, p = 0.001) were independently associated with 12-month mortality.</w:t>
      </w:r>
    </w:p>
    <w:p w14:paraId="5ECBDED7">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We found high 12-month mortality among Xpert-negative PLHIV, </w:t>
      </w:r>
    </w:p>
    <w:p w14:paraId="203FE9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predominantly inpatients and within three months post-enrolment. Although </w:t>
      </w:r>
    </w:p>
    <w:p w14:paraId="538B12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empiric TB treatment was associated with higher mortality, this association was </w:t>
      </w:r>
    </w:p>
    <w:p w14:paraId="5CEB0B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lost after adjustment for severe illness indicators. Cryptococcal antigenemia </w:t>
      </w:r>
    </w:p>
    <w:p w14:paraId="283597E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bacteremia were not uncommon, underscoring need for comprehensive </w:t>
      </w:r>
    </w:p>
    <w:p w14:paraId="5BCE138B">
      <w:pPr>
        <w:rPr>
          <w:rFonts w:hint="eastAsia" w:ascii="宋体" w:hAnsi="宋体" w:eastAsia="宋体" w:cs="宋体"/>
          <w:b w:val="0"/>
          <w:bCs/>
          <w:color w:val="auto"/>
          <w:szCs w:val="24"/>
        </w:rPr>
      </w:pPr>
      <w:r>
        <w:rPr>
          <w:rFonts w:hint="eastAsia" w:ascii="宋体" w:hAnsi="宋体" w:eastAsia="宋体" w:cs="宋体"/>
          <w:b w:val="0"/>
          <w:bCs/>
          <w:color w:val="auto"/>
          <w:szCs w:val="24"/>
        </w:rPr>
        <w:t>evaluations for non-TB conditions alongside empiric TB treatment.</w:t>
      </w:r>
    </w:p>
    <w:p w14:paraId="58A98704">
      <w:pPr>
        <w:rPr>
          <w:rFonts w:hint="eastAsia" w:ascii="宋体" w:hAnsi="宋体" w:eastAsia="宋体" w:cs="宋体"/>
          <w:b w:val="0"/>
          <w:bCs/>
          <w:color w:val="auto"/>
          <w:szCs w:val="24"/>
        </w:rPr>
      </w:pPr>
    </w:p>
    <w:p w14:paraId="0A73EF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Nakiyingi et al. This is an open access article distributed </w:t>
      </w:r>
    </w:p>
    <w:p w14:paraId="3B2696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the terms of the Creative Commons Attribution License, which permits </w:t>
      </w:r>
    </w:p>
    <w:p w14:paraId="730124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unrestricted use, distribution, and reproduction in any medium, provided the </w:t>
      </w:r>
    </w:p>
    <w:p w14:paraId="6BAEAF1B">
      <w:pPr>
        <w:rPr>
          <w:rFonts w:hint="eastAsia" w:ascii="宋体" w:hAnsi="宋体" w:eastAsia="宋体" w:cs="宋体"/>
          <w:b w:val="0"/>
          <w:bCs/>
          <w:color w:val="auto"/>
          <w:szCs w:val="24"/>
        </w:rPr>
      </w:pPr>
      <w:r>
        <w:rPr>
          <w:rFonts w:hint="eastAsia" w:ascii="宋体" w:hAnsi="宋体" w:eastAsia="宋体" w:cs="宋体"/>
          <w:b w:val="0"/>
          <w:bCs/>
          <w:color w:val="auto"/>
          <w:szCs w:val="24"/>
        </w:rPr>
        <w:t>original author and source are credited.</w:t>
      </w:r>
    </w:p>
    <w:p w14:paraId="5545A6EF">
      <w:pPr>
        <w:rPr>
          <w:rFonts w:hint="eastAsia" w:ascii="宋体" w:hAnsi="宋体" w:eastAsia="宋体" w:cs="宋体"/>
          <w:b w:val="0"/>
          <w:bCs/>
          <w:color w:val="auto"/>
          <w:szCs w:val="24"/>
        </w:rPr>
      </w:pPr>
    </w:p>
    <w:p w14:paraId="2A05A69F">
      <w:pPr>
        <w:rPr>
          <w:rFonts w:hint="eastAsia" w:ascii="宋体" w:hAnsi="宋体" w:eastAsia="宋体" w:cs="宋体"/>
          <w:b w:val="0"/>
          <w:bCs/>
          <w:color w:val="auto"/>
          <w:szCs w:val="24"/>
        </w:rPr>
      </w:pPr>
      <w:r>
        <w:rPr>
          <w:rFonts w:hint="eastAsia" w:ascii="宋体" w:hAnsi="宋体" w:eastAsia="宋体" w:cs="宋体"/>
          <w:b w:val="0"/>
          <w:bCs/>
          <w:color w:val="auto"/>
          <w:szCs w:val="24"/>
        </w:rPr>
        <w:t>DOI: 10.1371/journal.pone.0347436</w:t>
      </w:r>
    </w:p>
    <w:p w14:paraId="3DABD56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PMC13552750</w:t>
      </w:r>
    </w:p>
    <w:p w14:paraId="26BDD8B0">
      <w:pPr>
        <w:rPr>
          <w:rFonts w:hint="eastAsia" w:ascii="宋体" w:hAnsi="宋体" w:eastAsia="宋体" w:cs="宋体"/>
          <w:b w:val="0"/>
          <w:bCs/>
          <w:color w:val="auto"/>
          <w:szCs w:val="24"/>
        </w:rPr>
      </w:pPr>
      <w:r>
        <w:rPr>
          <w:rFonts w:hint="eastAsia" w:ascii="宋体" w:hAnsi="宋体" w:eastAsia="宋体" w:cs="宋体"/>
          <w:b w:val="0"/>
          <w:bCs/>
          <w:color w:val="auto"/>
          <w:szCs w:val="24"/>
        </w:rPr>
        <w:t>PMID: 42709757 [Indexed for MEDLINE]</w:t>
      </w:r>
    </w:p>
    <w:p w14:paraId="65513B73">
      <w:pPr>
        <w:rPr>
          <w:rFonts w:hint="eastAsia" w:ascii="宋体" w:hAnsi="宋体" w:eastAsia="宋体" w:cs="宋体"/>
          <w:b w:val="0"/>
          <w:bCs/>
          <w:color w:val="auto"/>
          <w:szCs w:val="24"/>
        </w:rPr>
      </w:pPr>
    </w:p>
    <w:p w14:paraId="721F2F2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34</w:t>
      </w:r>
      <w:r>
        <w:rPr>
          <w:rFonts w:hint="eastAsia" w:ascii="宋体" w:hAnsi="宋体" w:eastAsia="宋体" w:cs="宋体"/>
          <w:b/>
          <w:bCs w:val="0"/>
          <w:color w:val="FF0000"/>
          <w:szCs w:val="24"/>
        </w:rPr>
        <w:t>. JCI Insight. 2026 Sep 8:e199853. doi: 10.1172/jci.insight.199853. Online ahead of print.</w:t>
      </w:r>
    </w:p>
    <w:p w14:paraId="5D16BF39">
      <w:pPr>
        <w:rPr>
          <w:rFonts w:hint="eastAsia" w:ascii="宋体" w:hAnsi="宋体" w:eastAsia="宋体" w:cs="宋体"/>
          <w:b w:val="0"/>
          <w:bCs/>
          <w:color w:val="auto"/>
          <w:szCs w:val="24"/>
        </w:rPr>
      </w:pPr>
    </w:p>
    <w:p w14:paraId="596EE645">
      <w:pPr>
        <w:rPr>
          <w:rFonts w:hint="eastAsia" w:ascii="宋体" w:hAnsi="宋体" w:eastAsia="宋体" w:cs="宋体"/>
          <w:b w:val="0"/>
          <w:bCs/>
          <w:color w:val="auto"/>
          <w:szCs w:val="24"/>
        </w:rPr>
      </w:pPr>
      <w:r>
        <w:rPr>
          <w:rFonts w:hint="eastAsia" w:ascii="宋体" w:hAnsi="宋体" w:eastAsia="宋体" w:cs="宋体"/>
          <w:b w:val="0"/>
          <w:bCs/>
          <w:color w:val="auto"/>
          <w:szCs w:val="24"/>
        </w:rPr>
        <w:t>SMURF2 inhibits autophagic control of Mycobacterium tuberculosis in macrophages.</w:t>
      </w:r>
    </w:p>
    <w:p w14:paraId="613C5F2C">
      <w:pPr>
        <w:rPr>
          <w:rFonts w:hint="eastAsia" w:ascii="宋体" w:hAnsi="宋体" w:eastAsia="宋体" w:cs="宋体"/>
          <w:b w:val="0"/>
          <w:bCs/>
          <w:color w:val="auto"/>
          <w:szCs w:val="24"/>
        </w:rPr>
      </w:pPr>
    </w:p>
    <w:p w14:paraId="1BD0E2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Campos PC(1), Rahlwes KC(1), Ektnitphong VA(1), Dias BR(1), Naqvi KF(1), </w:t>
      </w:r>
    </w:p>
    <w:p w14:paraId="5A83227F">
      <w:pPr>
        <w:rPr>
          <w:rFonts w:hint="eastAsia" w:ascii="宋体" w:hAnsi="宋体" w:eastAsia="宋体" w:cs="宋体"/>
          <w:b w:val="0"/>
          <w:bCs/>
          <w:color w:val="auto"/>
          <w:szCs w:val="24"/>
        </w:rPr>
      </w:pPr>
      <w:r>
        <w:rPr>
          <w:rFonts w:hint="eastAsia" w:ascii="宋体" w:hAnsi="宋体" w:eastAsia="宋体" w:cs="宋体"/>
          <w:b w:val="0"/>
          <w:bCs/>
          <w:color w:val="auto"/>
          <w:szCs w:val="24"/>
        </w:rPr>
        <w:t>Alvarez-Arguedas S(1), Shiloh MU(1).</w:t>
      </w:r>
    </w:p>
    <w:p w14:paraId="05800B36">
      <w:pPr>
        <w:rPr>
          <w:rFonts w:hint="eastAsia" w:ascii="宋体" w:hAnsi="宋体" w:eastAsia="宋体" w:cs="宋体"/>
          <w:b w:val="0"/>
          <w:bCs/>
          <w:color w:val="auto"/>
          <w:szCs w:val="24"/>
        </w:rPr>
      </w:pPr>
    </w:p>
    <w:p w14:paraId="283A3693">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B21D1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Internal Medicine, University of Texas Southwestern Medical </w:t>
      </w:r>
    </w:p>
    <w:p w14:paraId="6089E120">
      <w:pPr>
        <w:rPr>
          <w:rFonts w:hint="eastAsia" w:ascii="宋体" w:hAnsi="宋体" w:eastAsia="宋体" w:cs="宋体"/>
          <w:b w:val="0"/>
          <w:bCs/>
          <w:color w:val="auto"/>
          <w:szCs w:val="24"/>
        </w:rPr>
      </w:pPr>
      <w:r>
        <w:rPr>
          <w:rFonts w:hint="eastAsia" w:ascii="宋体" w:hAnsi="宋体" w:eastAsia="宋体" w:cs="宋体"/>
          <w:b w:val="0"/>
          <w:bCs/>
          <w:color w:val="auto"/>
          <w:szCs w:val="24"/>
        </w:rPr>
        <w:t>Center, Dallas, United States of America.</w:t>
      </w:r>
    </w:p>
    <w:p w14:paraId="1270BED2">
      <w:pPr>
        <w:rPr>
          <w:rFonts w:hint="eastAsia" w:ascii="宋体" w:hAnsi="宋体" w:eastAsia="宋体" w:cs="宋体"/>
          <w:b w:val="0"/>
          <w:bCs/>
          <w:color w:val="auto"/>
          <w:szCs w:val="24"/>
        </w:rPr>
      </w:pPr>
    </w:p>
    <w:p w14:paraId="6F4870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Autophagy is a critical host defense mechanism that restricts intracellular </w:t>
      </w:r>
    </w:p>
    <w:p w14:paraId="7EB28C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pathogens such as Mycobacterium tuberculosis (Mtb). A key step in this process </w:t>
      </w:r>
    </w:p>
    <w:p w14:paraId="47C4064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 the ubiquitination of Mtb or Mtb-associated structures. The E3 ligase SMURF1 </w:t>
      </w:r>
    </w:p>
    <w:p w14:paraId="74FBB9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catalyzes K48-linked ubiquitination, promoting bacterial clearance. However, the </w:t>
      </w:r>
    </w:p>
    <w:p w14:paraId="6C9021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function of its homolog, SMURF2, in host defense remains undefined. Here, we </w:t>
      </w:r>
    </w:p>
    <w:p w14:paraId="02AEAC0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demonstrate that Smurf2 deletion in murine macrophages increases SMURF1 levels, </w:t>
      </w:r>
    </w:p>
    <w:p w14:paraId="64BB74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enhances LC3B lipidation, augments K48 ubiquitination of Mtb-associated </w:t>
      </w:r>
    </w:p>
    <w:p w14:paraId="6568CF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structures, and reduces intracellular Mtb replication. These effects are </w:t>
      </w:r>
    </w:p>
    <w:p w14:paraId="475871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reversed by Smurf1 deletion, supporting a role for SMURF1 in SMURF2-dependent </w:t>
      </w:r>
    </w:p>
    <w:p w14:paraId="22B5F4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control of Mtb. Mice with myeloid-specific Smurf2 deletion exhibit modestly </w:t>
      </w:r>
    </w:p>
    <w:p w14:paraId="1250E5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prolonged survival following aerosol Mtb infection. In human macrophages, SMURF2 </w:t>
      </w:r>
    </w:p>
    <w:p w14:paraId="61D0EF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knockdown or its pharmacological inhibition with the HECT E3-ligase inhibitor </w:t>
      </w:r>
    </w:p>
    <w:p w14:paraId="75AE85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Heclin reduces Mtb replication. Together, our findings identify SMURF2 as a </w:t>
      </w:r>
    </w:p>
    <w:p w14:paraId="7A35C7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negative regulator of macrophage control of Mtb and support further </w:t>
      </w:r>
    </w:p>
    <w:p w14:paraId="0DACF8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investigation of SMURF2 as a potential target for host-directed therapy in </w:t>
      </w:r>
    </w:p>
    <w:p w14:paraId="5155562E">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w:t>
      </w:r>
    </w:p>
    <w:p w14:paraId="57EF89FD">
      <w:pPr>
        <w:rPr>
          <w:rFonts w:hint="eastAsia" w:ascii="宋体" w:hAnsi="宋体" w:eastAsia="宋体" w:cs="宋体"/>
          <w:b w:val="0"/>
          <w:bCs/>
          <w:color w:val="auto"/>
          <w:szCs w:val="24"/>
        </w:rPr>
      </w:pPr>
    </w:p>
    <w:p w14:paraId="6BAA2EE1">
      <w:pPr>
        <w:rPr>
          <w:rFonts w:hint="eastAsia" w:ascii="宋体" w:hAnsi="宋体" w:eastAsia="宋体" w:cs="宋体"/>
          <w:b w:val="0"/>
          <w:bCs/>
          <w:color w:val="auto"/>
          <w:szCs w:val="24"/>
        </w:rPr>
      </w:pPr>
      <w:r>
        <w:rPr>
          <w:rFonts w:hint="eastAsia" w:ascii="宋体" w:hAnsi="宋体" w:eastAsia="宋体" w:cs="宋体"/>
          <w:b w:val="0"/>
          <w:bCs/>
          <w:color w:val="auto"/>
          <w:szCs w:val="24"/>
        </w:rPr>
        <w:t>DOI: 10.1172/jci.insight.199853</w:t>
      </w:r>
    </w:p>
    <w:p w14:paraId="3E57F8D0">
      <w:pPr>
        <w:rPr>
          <w:rFonts w:hint="eastAsia" w:ascii="宋体" w:hAnsi="宋体" w:eastAsia="宋体" w:cs="宋体"/>
          <w:b w:val="0"/>
          <w:bCs/>
          <w:color w:val="auto"/>
          <w:szCs w:val="24"/>
        </w:rPr>
      </w:pPr>
      <w:r>
        <w:rPr>
          <w:rFonts w:hint="eastAsia" w:ascii="宋体" w:hAnsi="宋体" w:eastAsia="宋体" w:cs="宋体"/>
          <w:b w:val="0"/>
          <w:bCs/>
          <w:color w:val="auto"/>
          <w:szCs w:val="24"/>
        </w:rPr>
        <w:t>PMID: 42709675</w:t>
      </w:r>
    </w:p>
    <w:p w14:paraId="2C5D4E9A">
      <w:pPr>
        <w:rPr>
          <w:rFonts w:hint="eastAsia" w:ascii="宋体" w:hAnsi="宋体" w:eastAsia="宋体" w:cs="宋体"/>
          <w:b w:val="0"/>
          <w:bCs/>
          <w:color w:val="auto"/>
          <w:szCs w:val="24"/>
        </w:rPr>
      </w:pPr>
    </w:p>
    <w:p w14:paraId="562D6E7D">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35</w:t>
      </w:r>
      <w:r>
        <w:rPr>
          <w:rFonts w:hint="eastAsia" w:ascii="宋体" w:hAnsi="宋体" w:eastAsia="宋体" w:cs="宋体"/>
          <w:b/>
          <w:bCs w:val="0"/>
          <w:color w:val="FF0000"/>
          <w:szCs w:val="24"/>
        </w:rPr>
        <w:t xml:space="preserve">. Global Spine J. 2026 Sep 8:21925682261488395. doi: 10.1177/21925682261488395. </w:t>
      </w:r>
    </w:p>
    <w:p w14:paraId="69624B79">
      <w:pPr>
        <w:rPr>
          <w:rFonts w:hint="eastAsia" w:ascii="宋体" w:hAnsi="宋体" w:eastAsia="宋体" w:cs="宋体"/>
          <w:b/>
          <w:bCs w:val="0"/>
          <w:color w:val="FF0000"/>
          <w:szCs w:val="24"/>
        </w:rPr>
      </w:pPr>
      <w:r>
        <w:rPr>
          <w:rFonts w:hint="eastAsia" w:ascii="宋体" w:hAnsi="宋体" w:eastAsia="宋体" w:cs="宋体"/>
          <w:b/>
          <w:bCs w:val="0"/>
          <w:color w:val="FF0000"/>
          <w:szCs w:val="24"/>
        </w:rPr>
        <w:t>Online ahead of print.</w:t>
      </w:r>
    </w:p>
    <w:p w14:paraId="0BEEDF3A">
      <w:pPr>
        <w:rPr>
          <w:rFonts w:hint="eastAsia" w:ascii="宋体" w:hAnsi="宋体" w:eastAsia="宋体" w:cs="宋体"/>
          <w:b w:val="0"/>
          <w:bCs/>
          <w:color w:val="auto"/>
          <w:szCs w:val="24"/>
        </w:rPr>
      </w:pPr>
    </w:p>
    <w:p w14:paraId="4CF58A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 and Regional Patterns of Drug Resistance and Treatment Regimens in Spinal </w:t>
      </w:r>
    </w:p>
    <w:p w14:paraId="2E281B73">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A Systematic Review and Meta-Analysis.</w:t>
      </w:r>
    </w:p>
    <w:p w14:paraId="534CB94B">
      <w:pPr>
        <w:rPr>
          <w:rFonts w:hint="eastAsia" w:ascii="宋体" w:hAnsi="宋体" w:eastAsia="宋体" w:cs="宋体"/>
          <w:b w:val="0"/>
          <w:bCs/>
          <w:color w:val="auto"/>
          <w:szCs w:val="24"/>
        </w:rPr>
      </w:pPr>
    </w:p>
    <w:p w14:paraId="55ABD8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Rajasekaran S(1), Gurusamy G(1), Shetty AP(1), Kanna RM(1), Bicholkar AU(2), </w:t>
      </w:r>
    </w:p>
    <w:p w14:paraId="4DBA3D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Sathwik N(3), Bindu Vasanthi N(3), Gogul SP(1), Gandhi AP(4), Vv G(5), </w:t>
      </w:r>
    </w:p>
    <w:p w14:paraId="6CDD6746">
      <w:pPr>
        <w:rPr>
          <w:rFonts w:hint="eastAsia" w:ascii="宋体" w:hAnsi="宋体" w:eastAsia="宋体" w:cs="宋体"/>
          <w:b w:val="0"/>
          <w:bCs/>
          <w:color w:val="auto"/>
          <w:szCs w:val="24"/>
        </w:rPr>
      </w:pPr>
      <w:r>
        <w:rPr>
          <w:rFonts w:hint="eastAsia" w:ascii="宋体" w:hAnsi="宋体" w:eastAsia="宋体" w:cs="宋体"/>
          <w:b w:val="0"/>
          <w:bCs/>
          <w:color w:val="auto"/>
          <w:szCs w:val="24"/>
        </w:rPr>
        <w:t>Kaviprawin M(6).</w:t>
      </w:r>
    </w:p>
    <w:p w14:paraId="7A483FB3">
      <w:pPr>
        <w:rPr>
          <w:rFonts w:hint="eastAsia" w:ascii="宋体" w:hAnsi="宋体" w:eastAsia="宋体" w:cs="宋体"/>
          <w:b w:val="0"/>
          <w:bCs/>
          <w:color w:val="auto"/>
          <w:szCs w:val="24"/>
        </w:rPr>
      </w:pPr>
    </w:p>
    <w:p w14:paraId="71C5CD4E">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9C5C6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Orthopaedics and Spine Surgery, Ganga Medical Centre and </w:t>
      </w:r>
    </w:p>
    <w:p w14:paraId="1F9E1BD7">
      <w:pPr>
        <w:rPr>
          <w:rFonts w:hint="eastAsia" w:ascii="宋体" w:hAnsi="宋体" w:eastAsia="宋体" w:cs="宋体"/>
          <w:b w:val="0"/>
          <w:bCs/>
          <w:color w:val="auto"/>
          <w:szCs w:val="24"/>
        </w:rPr>
      </w:pPr>
      <w:r>
        <w:rPr>
          <w:rFonts w:hint="eastAsia" w:ascii="宋体" w:hAnsi="宋体" w:eastAsia="宋体" w:cs="宋体"/>
          <w:b w:val="0"/>
          <w:bCs/>
          <w:color w:val="auto"/>
          <w:szCs w:val="24"/>
        </w:rPr>
        <w:t>Hospital, Coimbatore, India.</w:t>
      </w:r>
    </w:p>
    <w:p w14:paraId="2B640A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(2)Consultant Epidemiologist, South Asia Field Epidemiology and Technology </w:t>
      </w:r>
    </w:p>
    <w:p w14:paraId="437BC105">
      <w:pPr>
        <w:rPr>
          <w:rFonts w:hint="eastAsia" w:ascii="宋体" w:hAnsi="宋体" w:eastAsia="宋体" w:cs="宋体"/>
          <w:b w:val="0"/>
          <w:bCs/>
          <w:color w:val="auto"/>
          <w:szCs w:val="24"/>
        </w:rPr>
      </w:pPr>
      <w:r>
        <w:rPr>
          <w:rFonts w:hint="eastAsia" w:ascii="宋体" w:hAnsi="宋体" w:eastAsia="宋体" w:cs="宋体"/>
          <w:b w:val="0"/>
          <w:bCs/>
          <w:color w:val="auto"/>
          <w:szCs w:val="24"/>
        </w:rPr>
        <w:t>Network (SAFETYNET), Delhi, India.</w:t>
      </w:r>
    </w:p>
    <w:p w14:paraId="2C2BA491">
      <w:pPr>
        <w:rPr>
          <w:rFonts w:hint="eastAsia" w:ascii="宋体" w:hAnsi="宋体" w:eastAsia="宋体" w:cs="宋体"/>
          <w:b w:val="0"/>
          <w:bCs/>
          <w:color w:val="auto"/>
          <w:szCs w:val="24"/>
        </w:rPr>
      </w:pPr>
      <w:r>
        <w:rPr>
          <w:rFonts w:hint="eastAsia" w:ascii="宋体" w:hAnsi="宋体" w:eastAsia="宋体" w:cs="宋体"/>
          <w:b w:val="0"/>
          <w:bCs/>
          <w:color w:val="auto"/>
          <w:szCs w:val="24"/>
        </w:rPr>
        <w:t>(3)Department of Medicine, Andhra Medical College, Visakhapatnam, India.</w:t>
      </w:r>
    </w:p>
    <w:p w14:paraId="3E55BB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Community Medicine, All India Institute of Medical Sciences, </w:t>
      </w:r>
    </w:p>
    <w:p w14:paraId="5D590167">
      <w:pPr>
        <w:rPr>
          <w:rFonts w:hint="eastAsia" w:ascii="宋体" w:hAnsi="宋体" w:eastAsia="宋体" w:cs="宋体"/>
          <w:b w:val="0"/>
          <w:bCs/>
          <w:color w:val="auto"/>
          <w:szCs w:val="24"/>
        </w:rPr>
      </w:pPr>
      <w:r>
        <w:rPr>
          <w:rFonts w:hint="eastAsia" w:ascii="宋体" w:hAnsi="宋体" w:eastAsia="宋体" w:cs="宋体"/>
          <w:b w:val="0"/>
          <w:bCs/>
          <w:color w:val="auto"/>
          <w:szCs w:val="24"/>
        </w:rPr>
        <w:t>Nagpur, India.</w:t>
      </w:r>
    </w:p>
    <w:p w14:paraId="30D1A2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Community Medicine, Seth Gordhandas Sunderdas Medical College </w:t>
      </w:r>
    </w:p>
    <w:p w14:paraId="56143ADC">
      <w:pPr>
        <w:rPr>
          <w:rFonts w:hint="eastAsia" w:ascii="宋体" w:hAnsi="宋体" w:eastAsia="宋体" w:cs="宋体"/>
          <w:b w:val="0"/>
          <w:bCs/>
          <w:color w:val="auto"/>
          <w:szCs w:val="24"/>
        </w:rPr>
      </w:pPr>
      <w:r>
        <w:rPr>
          <w:rFonts w:hint="eastAsia" w:ascii="宋体" w:hAnsi="宋体" w:eastAsia="宋体" w:cs="宋体"/>
          <w:b w:val="0"/>
          <w:bCs/>
          <w:color w:val="auto"/>
          <w:szCs w:val="24"/>
        </w:rPr>
        <w:t>(GSMC) and King Edward Memorial (KEM) Hospital, Mumbai, India.</w:t>
      </w:r>
    </w:p>
    <w:p w14:paraId="59EBB7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Clinical Research, Ganga Medical Centre and Hospital, </w:t>
      </w:r>
    </w:p>
    <w:p w14:paraId="3C5813A6">
      <w:pPr>
        <w:rPr>
          <w:rFonts w:hint="eastAsia" w:ascii="宋体" w:hAnsi="宋体" w:eastAsia="宋体" w:cs="宋体"/>
          <w:b w:val="0"/>
          <w:bCs/>
          <w:color w:val="auto"/>
          <w:szCs w:val="24"/>
        </w:rPr>
      </w:pPr>
      <w:r>
        <w:rPr>
          <w:rFonts w:hint="eastAsia" w:ascii="宋体" w:hAnsi="宋体" w:eastAsia="宋体" w:cs="宋体"/>
          <w:b w:val="0"/>
          <w:bCs/>
          <w:color w:val="auto"/>
          <w:szCs w:val="24"/>
        </w:rPr>
        <w:t>Coimbatore, India.</w:t>
      </w:r>
    </w:p>
    <w:p w14:paraId="73363723">
      <w:pPr>
        <w:rPr>
          <w:rFonts w:hint="eastAsia" w:ascii="宋体" w:hAnsi="宋体" w:eastAsia="宋体" w:cs="宋体"/>
          <w:b w:val="0"/>
          <w:bCs/>
          <w:color w:val="auto"/>
          <w:szCs w:val="24"/>
        </w:rPr>
      </w:pPr>
    </w:p>
    <w:p w14:paraId="35572D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DesignSystematic review and meta-analysis.ObjectiveTo evaluate the </w:t>
      </w:r>
    </w:p>
    <w:p w14:paraId="3EB70E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prevalence, patterns, diagnosis, and management of drug-resistant spinal </w:t>
      </w:r>
    </w:p>
    <w:p w14:paraId="652432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(TB).MethodsWe systematically searched PubMed, Embase, Scopus, Web </w:t>
      </w:r>
    </w:p>
    <w:p w14:paraId="739E3A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Science, and the Cochrane database from database inception to 14 February </w:t>
      </w:r>
    </w:p>
    <w:p w14:paraId="0402C4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2026, adhering to the Preferred Reporting Items for Systematic Reviews and </w:t>
      </w:r>
    </w:p>
    <w:p w14:paraId="194AD6F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Meta-Analyses (PRISMA) checklist. Observational and experimental studies </w:t>
      </w:r>
    </w:p>
    <w:p w14:paraId="50AD41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reporting drug resistance among patients with spinal TB were included. A </w:t>
      </w:r>
    </w:p>
    <w:p w14:paraId="249B33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random-effects meta-analysis was performed to estimate pooled proportions with </w:t>
      </w:r>
    </w:p>
    <w:p w14:paraId="4A9E96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95% confidence intervals (CI). Risk of bias was assessed using the Joanna Briggs </w:t>
      </w:r>
    </w:p>
    <w:p w14:paraId="7A8293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Institute checklist.ResultsNineteen studies involving 5,475 patients with spinal </w:t>
      </w:r>
    </w:p>
    <w:p w14:paraId="3B8C05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were included. The pooled prevalence of multidrug-resistant (MDR)-TB among </w:t>
      </w:r>
    </w:p>
    <w:p w14:paraId="0E9B12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spinal TB was 4.69% (95% CI: 3.03-7.20%; 16 studies). Rifampicin resistance was </w:t>
      </w:r>
    </w:p>
    <w:p w14:paraId="27BFF4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noted in 13.84% (95% CI: 3.07-44.90%; 6 studies). Drug susceptibility testing </w:t>
      </w:r>
    </w:p>
    <w:p w14:paraId="7B1F67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was most commonly performed after clinical or radiological non-response rather </w:t>
      </w:r>
    </w:p>
    <w:p w14:paraId="441EA9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than as routine practice. Treatment approaches were heterogeneous, with MDR </w:t>
      </w:r>
    </w:p>
    <w:p w14:paraId="295F4A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spinal TB typically managed using individualized second-line anti-TB regimens, </w:t>
      </w:r>
    </w:p>
    <w:p w14:paraId="42D0615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frequently combined with surgical intervention. Low risk of bias was documented </w:t>
      </w:r>
    </w:p>
    <w:p w14:paraId="2CF819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47.4% of studies.ConclusionsThe prevalence of MDR-TB among spinal </w:t>
      </w:r>
    </w:p>
    <w:p w14:paraId="3BD14D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was 4.69%. Considerable heterogeneity exists in drug susceptibility </w:t>
      </w:r>
    </w:p>
    <w:p w14:paraId="2AAB0F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testing, diagnosis, medical treatment, and surgical management. The available </w:t>
      </w:r>
    </w:p>
    <w:p w14:paraId="369549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evidence remains limited, underscoring the need for prospective studies </w:t>
      </w:r>
    </w:p>
    <w:p w14:paraId="0BD7FB30">
      <w:pPr>
        <w:rPr>
          <w:rFonts w:hint="eastAsia" w:ascii="宋体" w:hAnsi="宋体" w:eastAsia="宋体" w:cs="宋体"/>
          <w:b w:val="0"/>
          <w:bCs/>
          <w:color w:val="auto"/>
          <w:szCs w:val="24"/>
        </w:rPr>
      </w:pPr>
      <w:r>
        <w:rPr>
          <w:rFonts w:hint="eastAsia" w:ascii="宋体" w:hAnsi="宋体" w:eastAsia="宋体" w:cs="宋体"/>
          <w:b w:val="0"/>
          <w:bCs/>
          <w:color w:val="auto"/>
          <w:szCs w:val="24"/>
        </w:rPr>
        <w:t>evaluating the effectiveness of anti-TB regimens in MDR spinal tuberculosis.</w:t>
      </w:r>
    </w:p>
    <w:p w14:paraId="304FAA0A">
      <w:pPr>
        <w:rPr>
          <w:rFonts w:hint="eastAsia" w:ascii="宋体" w:hAnsi="宋体" w:eastAsia="宋体" w:cs="宋体"/>
          <w:b w:val="0"/>
          <w:bCs/>
          <w:color w:val="auto"/>
          <w:szCs w:val="24"/>
        </w:rPr>
      </w:pPr>
    </w:p>
    <w:p w14:paraId="472DE932">
      <w:pPr>
        <w:rPr>
          <w:rFonts w:hint="eastAsia" w:ascii="宋体" w:hAnsi="宋体" w:eastAsia="宋体" w:cs="宋体"/>
          <w:b w:val="0"/>
          <w:bCs/>
          <w:color w:val="auto"/>
          <w:szCs w:val="24"/>
        </w:rPr>
      </w:pPr>
      <w:r>
        <w:rPr>
          <w:rFonts w:hint="eastAsia" w:ascii="宋体" w:hAnsi="宋体" w:eastAsia="宋体" w:cs="宋体"/>
          <w:b w:val="0"/>
          <w:bCs/>
          <w:color w:val="auto"/>
          <w:szCs w:val="24"/>
        </w:rPr>
        <w:t>DOI: 10.1177/21925682261488395</w:t>
      </w:r>
    </w:p>
    <w:p w14:paraId="33BE0D32">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PMC13553976</w:t>
      </w:r>
    </w:p>
    <w:p w14:paraId="33BFD50D">
      <w:pPr>
        <w:rPr>
          <w:rFonts w:hint="eastAsia" w:ascii="宋体" w:hAnsi="宋体" w:eastAsia="宋体" w:cs="宋体"/>
          <w:b w:val="0"/>
          <w:bCs/>
          <w:color w:val="auto"/>
          <w:szCs w:val="24"/>
        </w:rPr>
      </w:pPr>
      <w:r>
        <w:rPr>
          <w:rFonts w:hint="eastAsia" w:ascii="宋体" w:hAnsi="宋体" w:eastAsia="宋体" w:cs="宋体"/>
          <w:b w:val="0"/>
          <w:bCs/>
          <w:color w:val="auto"/>
          <w:szCs w:val="24"/>
        </w:rPr>
        <w:t>PMID: 42709643</w:t>
      </w:r>
    </w:p>
    <w:p w14:paraId="10D80F01">
      <w:pPr>
        <w:rPr>
          <w:rFonts w:hint="eastAsia" w:ascii="宋体" w:hAnsi="宋体" w:eastAsia="宋体" w:cs="宋体"/>
          <w:b w:val="0"/>
          <w:bCs/>
          <w:color w:val="auto"/>
          <w:szCs w:val="24"/>
        </w:rPr>
      </w:pPr>
    </w:p>
    <w:p w14:paraId="4779C247">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36</w:t>
      </w:r>
      <w:r>
        <w:rPr>
          <w:rFonts w:hint="eastAsia" w:ascii="宋体" w:hAnsi="宋体" w:eastAsia="宋体" w:cs="宋体"/>
          <w:b/>
          <w:bCs w:val="0"/>
          <w:color w:val="FF0000"/>
          <w:szCs w:val="24"/>
        </w:rPr>
        <w:t>. J Infect Dis. 2026 Sep 8:jiag464. doi: 10.1093/infdis/jiag464. Online ahead of print.</w:t>
      </w:r>
    </w:p>
    <w:p w14:paraId="38F20716">
      <w:pPr>
        <w:rPr>
          <w:rFonts w:hint="eastAsia" w:ascii="宋体" w:hAnsi="宋体" w:eastAsia="宋体" w:cs="宋体"/>
          <w:b w:val="0"/>
          <w:bCs/>
          <w:color w:val="auto"/>
          <w:szCs w:val="24"/>
        </w:rPr>
      </w:pPr>
    </w:p>
    <w:p w14:paraId="285656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Attenuated Mycobacterium tuberculosis-specific Th1 cytokine responses in </w:t>
      </w:r>
    </w:p>
    <w:p w14:paraId="4B298E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household contacts with undernutrition and their partial reconstitution during </w:t>
      </w:r>
    </w:p>
    <w:p w14:paraId="5CE645CB">
      <w:pPr>
        <w:rPr>
          <w:rFonts w:hint="eastAsia" w:ascii="宋体" w:hAnsi="宋体" w:eastAsia="宋体" w:cs="宋体"/>
          <w:b w:val="0"/>
          <w:bCs/>
          <w:color w:val="auto"/>
          <w:szCs w:val="24"/>
        </w:rPr>
      </w:pPr>
      <w:r>
        <w:rPr>
          <w:rFonts w:hint="eastAsia" w:ascii="宋体" w:hAnsi="宋体" w:eastAsia="宋体" w:cs="宋体"/>
          <w:b w:val="0"/>
          <w:bCs/>
          <w:color w:val="auto"/>
          <w:szCs w:val="24"/>
        </w:rPr>
        <w:t>six months of nutritional support.</w:t>
      </w:r>
    </w:p>
    <w:p w14:paraId="744583B0">
      <w:pPr>
        <w:rPr>
          <w:rFonts w:hint="eastAsia" w:ascii="宋体" w:hAnsi="宋体" w:eastAsia="宋体" w:cs="宋体"/>
          <w:b w:val="0"/>
          <w:bCs/>
          <w:color w:val="auto"/>
          <w:szCs w:val="24"/>
        </w:rPr>
      </w:pPr>
    </w:p>
    <w:p w14:paraId="1716C7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Locks LM(1)(2), Kaipilyawar V(3), Jain K(4), VanValkenburg A(5), Karoly M(6), </w:t>
      </w:r>
    </w:p>
    <w:p w14:paraId="453B460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Dauphinais MR(7), Cintron C(6), Babu SP(4), Maloomian K(8), Verma S(3), Joseph </w:t>
      </w:r>
    </w:p>
    <w:p w14:paraId="6EA7A4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NM(9), Sarkar S(4), Rajkumari N(4), Johnson WE(5), Horsburgh CR Jr(10), Ellner </w:t>
      </w:r>
    </w:p>
    <w:p w14:paraId="354627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JJ(3), Salgame P(3), Hochberg NS(7)(10), Lakshminarayanan S(4), Narasimhan </w:t>
      </w:r>
    </w:p>
    <w:p w14:paraId="65DDE3AD">
      <w:pPr>
        <w:rPr>
          <w:rFonts w:hint="eastAsia" w:ascii="宋体" w:hAnsi="宋体" w:eastAsia="宋体" w:cs="宋体"/>
          <w:b w:val="0"/>
          <w:bCs/>
          <w:color w:val="auto"/>
          <w:szCs w:val="24"/>
        </w:rPr>
      </w:pPr>
      <w:r>
        <w:rPr>
          <w:rFonts w:hint="eastAsia" w:ascii="宋体" w:hAnsi="宋体" w:eastAsia="宋体" w:cs="宋体"/>
          <w:b w:val="0"/>
          <w:bCs/>
          <w:color w:val="auto"/>
          <w:szCs w:val="24"/>
        </w:rPr>
        <w:t>PB(4), Sinha P(7)(6).</w:t>
      </w:r>
    </w:p>
    <w:p w14:paraId="4F52BD68">
      <w:pPr>
        <w:rPr>
          <w:rFonts w:hint="eastAsia" w:ascii="宋体" w:hAnsi="宋体" w:eastAsia="宋体" w:cs="宋体"/>
          <w:b w:val="0"/>
          <w:bCs/>
          <w:color w:val="auto"/>
          <w:szCs w:val="24"/>
        </w:rPr>
      </w:pPr>
    </w:p>
    <w:p w14:paraId="4D581FC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72125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Health Sciences, Boston University Sargent College of Health </w:t>
      </w:r>
    </w:p>
    <w:p w14:paraId="4DCDF353">
      <w:pPr>
        <w:rPr>
          <w:rFonts w:hint="eastAsia" w:ascii="宋体" w:hAnsi="宋体" w:eastAsia="宋体" w:cs="宋体"/>
          <w:b w:val="0"/>
          <w:bCs/>
          <w:color w:val="auto"/>
          <w:szCs w:val="24"/>
        </w:rPr>
      </w:pPr>
      <w:r>
        <w:rPr>
          <w:rFonts w:hint="eastAsia" w:ascii="宋体" w:hAnsi="宋体" w:eastAsia="宋体" w:cs="宋体"/>
          <w:b w:val="0"/>
          <w:bCs/>
          <w:color w:val="auto"/>
          <w:szCs w:val="24"/>
        </w:rPr>
        <w:t>and Rehabilitation Sciences, Boston, MA, USA.</w:t>
      </w:r>
    </w:p>
    <w:p w14:paraId="5E5035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Global Health, Boston University School of Public Health, </w:t>
      </w:r>
    </w:p>
    <w:p w14:paraId="0460634E">
      <w:pPr>
        <w:rPr>
          <w:rFonts w:hint="eastAsia" w:ascii="宋体" w:hAnsi="宋体" w:eastAsia="宋体" w:cs="宋体"/>
          <w:b w:val="0"/>
          <w:bCs/>
          <w:color w:val="auto"/>
          <w:szCs w:val="24"/>
        </w:rPr>
      </w:pPr>
      <w:r>
        <w:rPr>
          <w:rFonts w:hint="eastAsia" w:ascii="宋体" w:hAnsi="宋体" w:eastAsia="宋体" w:cs="宋体"/>
          <w:b w:val="0"/>
          <w:bCs/>
          <w:color w:val="auto"/>
          <w:szCs w:val="24"/>
        </w:rPr>
        <w:t>Boston, MA, USA.</w:t>
      </w:r>
    </w:p>
    <w:p w14:paraId="073A27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Medicine, Center for Emerging Pathogens, Rutgers New Jersey </w:t>
      </w:r>
    </w:p>
    <w:p w14:paraId="417DFA37">
      <w:pPr>
        <w:rPr>
          <w:rFonts w:hint="eastAsia" w:ascii="宋体" w:hAnsi="宋体" w:eastAsia="宋体" w:cs="宋体"/>
          <w:b w:val="0"/>
          <w:bCs/>
          <w:color w:val="auto"/>
          <w:szCs w:val="24"/>
        </w:rPr>
      </w:pPr>
      <w:r>
        <w:rPr>
          <w:rFonts w:hint="eastAsia" w:ascii="宋体" w:hAnsi="宋体" w:eastAsia="宋体" w:cs="宋体"/>
          <w:b w:val="0"/>
          <w:bCs/>
          <w:color w:val="auto"/>
          <w:szCs w:val="24"/>
        </w:rPr>
        <w:t>Medical School, Newark, NJ, USA.</w:t>
      </w:r>
    </w:p>
    <w:p w14:paraId="73A292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Preventive and Social Medicine, Jawaharlal Institute of </w:t>
      </w:r>
    </w:p>
    <w:p w14:paraId="6EB2D6F1">
      <w:pPr>
        <w:rPr>
          <w:rFonts w:hint="eastAsia" w:ascii="宋体" w:hAnsi="宋体" w:eastAsia="宋体" w:cs="宋体"/>
          <w:b w:val="0"/>
          <w:bCs/>
          <w:color w:val="auto"/>
          <w:szCs w:val="24"/>
        </w:rPr>
      </w:pPr>
      <w:r>
        <w:rPr>
          <w:rFonts w:hint="eastAsia" w:ascii="宋体" w:hAnsi="宋体" w:eastAsia="宋体" w:cs="宋体"/>
          <w:b w:val="0"/>
          <w:bCs/>
          <w:color w:val="auto"/>
          <w:szCs w:val="24"/>
        </w:rPr>
        <w:t>Postgraduate Medical Education and Research (JIPMER), Puducherry, India.</w:t>
      </w:r>
    </w:p>
    <w:p w14:paraId="762CD6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(5)Center for Data Science, Division of Infectious Disease, Department of </w:t>
      </w:r>
    </w:p>
    <w:p w14:paraId="40EA3914">
      <w:pPr>
        <w:rPr>
          <w:rFonts w:hint="eastAsia" w:ascii="宋体" w:hAnsi="宋体" w:eastAsia="宋体" w:cs="宋体"/>
          <w:b w:val="0"/>
          <w:bCs/>
          <w:color w:val="auto"/>
          <w:szCs w:val="24"/>
        </w:rPr>
      </w:pPr>
      <w:r>
        <w:rPr>
          <w:rFonts w:hint="eastAsia" w:ascii="宋体" w:hAnsi="宋体" w:eastAsia="宋体" w:cs="宋体"/>
          <w:b w:val="0"/>
          <w:bCs/>
          <w:color w:val="auto"/>
          <w:szCs w:val="24"/>
        </w:rPr>
        <w:t>Medicine, Rutgers New Jersey Medical School, Newark, NJ, USA.</w:t>
      </w:r>
    </w:p>
    <w:p w14:paraId="13E81A4B">
      <w:pPr>
        <w:rPr>
          <w:rFonts w:hint="eastAsia" w:ascii="宋体" w:hAnsi="宋体" w:eastAsia="宋体" w:cs="宋体"/>
          <w:b w:val="0"/>
          <w:bCs/>
          <w:color w:val="auto"/>
          <w:szCs w:val="24"/>
        </w:rPr>
      </w:pPr>
      <w:r>
        <w:rPr>
          <w:rFonts w:hint="eastAsia" w:ascii="宋体" w:hAnsi="宋体" w:eastAsia="宋体" w:cs="宋体"/>
          <w:b w:val="0"/>
          <w:bCs/>
          <w:color w:val="auto"/>
          <w:szCs w:val="24"/>
        </w:rPr>
        <w:t>(6)Boston Medical Center, Boston, MA, USA.</w:t>
      </w:r>
    </w:p>
    <w:p w14:paraId="59BE08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(7)Section of Infectious Diseases, Department of Medicine, Boston University </w:t>
      </w:r>
    </w:p>
    <w:p w14:paraId="0B21D0F7">
      <w:pPr>
        <w:rPr>
          <w:rFonts w:hint="eastAsia" w:ascii="宋体" w:hAnsi="宋体" w:eastAsia="宋体" w:cs="宋体"/>
          <w:b w:val="0"/>
          <w:bCs/>
          <w:color w:val="auto"/>
          <w:szCs w:val="24"/>
        </w:rPr>
      </w:pPr>
      <w:r>
        <w:rPr>
          <w:rFonts w:hint="eastAsia" w:ascii="宋体" w:hAnsi="宋体" w:eastAsia="宋体" w:cs="宋体"/>
          <w:b w:val="0"/>
          <w:bCs/>
          <w:color w:val="auto"/>
          <w:szCs w:val="24"/>
        </w:rPr>
        <w:t>Chobanian &amp; Avedisian School of Medicine, Boston, MA, USA.</w:t>
      </w:r>
    </w:p>
    <w:p w14:paraId="3E7DCB1E">
      <w:pPr>
        <w:rPr>
          <w:rFonts w:hint="eastAsia" w:ascii="宋体" w:hAnsi="宋体" w:eastAsia="宋体" w:cs="宋体"/>
          <w:b w:val="0"/>
          <w:bCs/>
          <w:color w:val="auto"/>
          <w:szCs w:val="24"/>
        </w:rPr>
      </w:pPr>
      <w:r>
        <w:rPr>
          <w:rFonts w:hint="eastAsia" w:ascii="宋体" w:hAnsi="宋体" w:eastAsia="宋体" w:cs="宋体"/>
          <w:b w:val="0"/>
          <w:bCs/>
          <w:color w:val="auto"/>
          <w:szCs w:val="24"/>
        </w:rPr>
        <w:t>(8)The Miriam Hospital, Providence, RI, USA.</w:t>
      </w:r>
    </w:p>
    <w:p w14:paraId="0D9E76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(9)Department of Microbiology, Jawaharlal Institute of Postgraduate Medical </w:t>
      </w:r>
    </w:p>
    <w:p w14:paraId="5C1FEA3C">
      <w:pPr>
        <w:rPr>
          <w:rFonts w:hint="eastAsia" w:ascii="宋体" w:hAnsi="宋体" w:eastAsia="宋体" w:cs="宋体"/>
          <w:b w:val="0"/>
          <w:bCs/>
          <w:color w:val="auto"/>
          <w:szCs w:val="24"/>
        </w:rPr>
      </w:pPr>
      <w:r>
        <w:rPr>
          <w:rFonts w:hint="eastAsia" w:ascii="宋体" w:hAnsi="宋体" w:eastAsia="宋体" w:cs="宋体"/>
          <w:b w:val="0"/>
          <w:bCs/>
          <w:color w:val="auto"/>
          <w:szCs w:val="24"/>
        </w:rPr>
        <w:t>Education and Research (JIPMER), Puducherry, India.</w:t>
      </w:r>
    </w:p>
    <w:p w14:paraId="39B1C2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(10)Department of Epidemiology, Boston University School of Public Health, </w:t>
      </w:r>
    </w:p>
    <w:p w14:paraId="000EEEC5">
      <w:pPr>
        <w:rPr>
          <w:rFonts w:hint="eastAsia" w:ascii="宋体" w:hAnsi="宋体" w:eastAsia="宋体" w:cs="宋体"/>
          <w:b w:val="0"/>
          <w:bCs/>
          <w:color w:val="auto"/>
          <w:szCs w:val="24"/>
        </w:rPr>
      </w:pPr>
      <w:r>
        <w:rPr>
          <w:rFonts w:hint="eastAsia" w:ascii="宋体" w:hAnsi="宋体" w:eastAsia="宋体" w:cs="宋体"/>
          <w:b w:val="0"/>
          <w:bCs/>
          <w:color w:val="auto"/>
          <w:szCs w:val="24"/>
        </w:rPr>
        <w:t>Boston, MA, USA.</w:t>
      </w:r>
    </w:p>
    <w:p w14:paraId="0CA51FB3">
      <w:pPr>
        <w:rPr>
          <w:rFonts w:hint="eastAsia" w:ascii="宋体" w:hAnsi="宋体" w:eastAsia="宋体" w:cs="宋体"/>
          <w:b w:val="0"/>
          <w:bCs/>
          <w:color w:val="auto"/>
          <w:szCs w:val="24"/>
        </w:rPr>
      </w:pPr>
    </w:p>
    <w:p w14:paraId="05AB3C42">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Undernutrition is the leading population-attributable risk factor </w:t>
      </w:r>
    </w:p>
    <w:p w14:paraId="6DF086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tuberculosis (TB), yet whether associated immune impairments are reversible </w:t>
      </w:r>
    </w:p>
    <w:p w14:paraId="57B1485C">
      <w:pPr>
        <w:rPr>
          <w:rFonts w:hint="eastAsia" w:ascii="宋体" w:hAnsi="宋体" w:eastAsia="宋体" w:cs="宋体"/>
          <w:b w:val="0"/>
          <w:bCs/>
          <w:color w:val="auto"/>
          <w:szCs w:val="24"/>
        </w:rPr>
      </w:pPr>
      <w:r>
        <w:rPr>
          <w:rFonts w:hint="eastAsia" w:ascii="宋体" w:hAnsi="宋体" w:eastAsia="宋体" w:cs="宋体"/>
          <w:b w:val="0"/>
          <w:bCs/>
          <w:color w:val="auto"/>
          <w:szCs w:val="24"/>
        </w:rPr>
        <w:t>with nutritional rehabilitation remains unclear.</w:t>
      </w:r>
    </w:p>
    <w:p w14:paraId="31F84CC8">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In TB LION (Puducherry, India), 105 QuantiFERON-positive household </w:t>
      </w:r>
    </w:p>
    <w:p w14:paraId="5ACCC6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contacts were stratified by BMI (&lt;18.5 vs ≥18.5 kg/m2). Participants with low </w:t>
      </w:r>
    </w:p>
    <w:p w14:paraId="038017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BMI (n=53) received 6 months of food rations plus daily multiple micronutrient </w:t>
      </w:r>
    </w:p>
    <w:p w14:paraId="12E400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supplement (MMS) without iron. Fourteen cytokines were measured by Luminex in </w:t>
      </w:r>
    </w:p>
    <w:p w14:paraId="2C3737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supernatants from the unstimulated (Nil) and M. tuberculosis </w:t>
      </w:r>
    </w:p>
    <w:p w14:paraId="2A6275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(Mtb)-antigen-stimulated (TB2) IGRA assay at baseline and 6 months; 11 with </w:t>
      </w:r>
    </w:p>
    <w:p w14:paraId="1F5CF0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acceptable detection rates constituted the primary analytic set. Linear </w:t>
      </w:r>
    </w:p>
    <w:p w14:paraId="0A8D53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regression tested associations of weight and hemoglobin change with composite </w:t>
      </w:r>
    </w:p>
    <w:p w14:paraId="5C5A6979">
      <w:pPr>
        <w:rPr>
          <w:rFonts w:hint="eastAsia" w:ascii="宋体" w:hAnsi="宋体" w:eastAsia="宋体" w:cs="宋体"/>
          <w:b w:val="0"/>
          <w:bCs/>
          <w:color w:val="auto"/>
          <w:szCs w:val="24"/>
        </w:rPr>
      </w:pPr>
      <w:r>
        <w:rPr>
          <w:rFonts w:hint="eastAsia" w:ascii="宋体" w:hAnsi="宋体" w:eastAsia="宋体" w:cs="宋体"/>
          <w:b w:val="0"/>
          <w:bCs/>
          <w:color w:val="auto"/>
          <w:szCs w:val="24"/>
        </w:rPr>
        <w:t>immune pathway scores.</w:t>
      </w:r>
    </w:p>
    <w:p w14:paraId="5002174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At baseline, participants with low BMI had attenuated Mtb-specific Th1 </w:t>
      </w:r>
    </w:p>
    <w:p w14:paraId="4F88BC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cytokine responses (interaction GMR 0.70 for IFN-γ, 0.55 for IL-2; both </w:t>
      </w:r>
    </w:p>
    <w:p w14:paraId="1C80ED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p=0.005), despite comparable or elevated innate and regulatory cytokines. After </w:t>
      </w:r>
    </w:p>
    <w:p w14:paraId="7A2514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 months, Th1 responses increased (IFN-γ change GMR 1.41, 95% CI 1.10-1.80, </w:t>
      </w:r>
    </w:p>
    <w:p w14:paraId="209D86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p=0.005, q=0.06; IL-2 1.63, 1.01-2.63, p=0.046, q=0.25, suggestive). This </w:t>
      </w:r>
    </w:p>
    <w:p w14:paraId="6CB2E3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increase reflected falling unstimulated background, not higher stimulated </w:t>
      </w:r>
    </w:p>
    <w:p w14:paraId="30F4F31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output. Weight gain was unrelated to composite scores but associated with </w:t>
      </w:r>
    </w:p>
    <w:p w14:paraId="463578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elevated concentrations of 7 of 14 cytokines (all p&lt;0.05). Hemoglobin gain was </w:t>
      </w:r>
    </w:p>
    <w:p w14:paraId="272BCFA1">
      <w:pPr>
        <w:rPr>
          <w:rFonts w:hint="eastAsia" w:ascii="宋体" w:hAnsi="宋体" w:eastAsia="宋体" w:cs="宋体"/>
          <w:b w:val="0"/>
          <w:bCs/>
          <w:color w:val="auto"/>
          <w:szCs w:val="24"/>
        </w:rPr>
      </w:pPr>
      <w:r>
        <w:rPr>
          <w:rFonts w:hint="eastAsia" w:ascii="宋体" w:hAnsi="宋体" w:eastAsia="宋体" w:cs="宋体"/>
          <w:b w:val="0"/>
          <w:bCs/>
          <w:color w:val="auto"/>
          <w:szCs w:val="24"/>
        </w:rPr>
        <w:t>inversely associated with Th17 and pro-inflammatory scores but not Th1.</w:t>
      </w:r>
    </w:p>
    <w:p w14:paraId="11B3B39B">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w:t>
      </w:r>
      <w:r>
        <w:rPr>
          <w:rFonts w:hint="eastAsia" w:ascii="宋体" w:hAnsi="宋体" w:eastAsia="宋体" w:cs="宋体"/>
          <w:b w:val="0"/>
          <w:bCs/>
          <w:color w:val="auto"/>
          <w:szCs w:val="24"/>
        </w:rPr>
        <w:t xml:space="preserve"> Six months of combined food rations and daily MMS was followed by </w:t>
      </w:r>
    </w:p>
    <w:p w14:paraId="579AF0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improved antigen-specific Th1 cytokine responses, suggesting this impairment may </w:t>
      </w:r>
    </w:p>
    <w:p w14:paraId="6B28C7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 partially reversible on a clinically feasible timescale. As a single-arm </w:t>
      </w:r>
    </w:p>
    <w:p w14:paraId="255F22E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without a concurrent comparator with undernutrition measured at follow-up, </w:t>
      </w:r>
    </w:p>
    <w:p w14:paraId="64AEC0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observed changes cannot be causally attributed to the intervention. Trial </w:t>
      </w:r>
    </w:p>
    <w:p w14:paraId="5F92FC72">
      <w:pPr>
        <w:rPr>
          <w:rFonts w:hint="eastAsia" w:ascii="宋体" w:hAnsi="宋体" w:eastAsia="宋体" w:cs="宋体"/>
          <w:b w:val="0"/>
          <w:bCs/>
          <w:color w:val="auto"/>
          <w:szCs w:val="24"/>
        </w:rPr>
      </w:pPr>
      <w:r>
        <w:rPr>
          <w:rFonts w:hint="eastAsia" w:ascii="宋体" w:hAnsi="宋体" w:eastAsia="宋体" w:cs="宋体"/>
          <w:b w:val="0"/>
          <w:bCs/>
          <w:color w:val="auto"/>
          <w:szCs w:val="24"/>
        </w:rPr>
        <w:t>registration: NCT03598842.</w:t>
      </w:r>
    </w:p>
    <w:p w14:paraId="26E0EB90">
      <w:pPr>
        <w:rPr>
          <w:rFonts w:hint="eastAsia" w:ascii="宋体" w:hAnsi="宋体" w:eastAsia="宋体" w:cs="宋体"/>
          <w:b w:val="0"/>
          <w:bCs/>
          <w:color w:val="auto"/>
          <w:szCs w:val="24"/>
        </w:rPr>
      </w:pPr>
    </w:p>
    <w:p w14:paraId="3EA7BC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The Author(s) 2026. Published by Oxford University Press on behalf of </w:t>
      </w:r>
    </w:p>
    <w:p w14:paraId="09369B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Infectious Diseases Society of America. All rights reserved. For commercial </w:t>
      </w:r>
    </w:p>
    <w:p w14:paraId="3E99F7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re-use, please contact reprints@oup.com for reprints and translation rights for </w:t>
      </w:r>
    </w:p>
    <w:p w14:paraId="30AE8B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reprints. All other permissions can be obtained through our RightsLink service </w:t>
      </w:r>
    </w:p>
    <w:p w14:paraId="35FB67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via the Permissions link on the article page on our site—for further information </w:t>
      </w:r>
    </w:p>
    <w:p w14:paraId="4C559B31">
      <w:pPr>
        <w:rPr>
          <w:rFonts w:hint="eastAsia" w:ascii="宋体" w:hAnsi="宋体" w:eastAsia="宋体" w:cs="宋体"/>
          <w:b w:val="0"/>
          <w:bCs/>
          <w:color w:val="auto"/>
          <w:szCs w:val="24"/>
        </w:rPr>
      </w:pPr>
      <w:r>
        <w:rPr>
          <w:rFonts w:hint="eastAsia" w:ascii="宋体" w:hAnsi="宋体" w:eastAsia="宋体" w:cs="宋体"/>
          <w:b w:val="0"/>
          <w:bCs/>
          <w:color w:val="auto"/>
          <w:szCs w:val="24"/>
        </w:rPr>
        <w:t>please contact journals.permissions@oup.com.</w:t>
      </w:r>
    </w:p>
    <w:p w14:paraId="1412B664">
      <w:pPr>
        <w:rPr>
          <w:rFonts w:hint="eastAsia" w:ascii="宋体" w:hAnsi="宋体" w:eastAsia="宋体" w:cs="宋体"/>
          <w:b w:val="0"/>
          <w:bCs/>
          <w:color w:val="auto"/>
          <w:szCs w:val="24"/>
        </w:rPr>
      </w:pPr>
    </w:p>
    <w:p w14:paraId="2D1E1D3D">
      <w:pPr>
        <w:rPr>
          <w:rFonts w:hint="eastAsia" w:ascii="宋体" w:hAnsi="宋体" w:eastAsia="宋体" w:cs="宋体"/>
          <w:b w:val="0"/>
          <w:bCs/>
          <w:color w:val="auto"/>
          <w:szCs w:val="24"/>
        </w:rPr>
      </w:pPr>
      <w:r>
        <w:rPr>
          <w:rFonts w:hint="eastAsia" w:ascii="宋体" w:hAnsi="宋体" w:eastAsia="宋体" w:cs="宋体"/>
          <w:b w:val="0"/>
          <w:bCs/>
          <w:color w:val="auto"/>
          <w:szCs w:val="24"/>
        </w:rPr>
        <w:t>DOI: 10.1093/infdis/jiag464</w:t>
      </w:r>
    </w:p>
    <w:p w14:paraId="56AE7896">
      <w:pPr>
        <w:rPr>
          <w:rFonts w:hint="eastAsia" w:ascii="宋体" w:hAnsi="宋体" w:eastAsia="宋体" w:cs="宋体"/>
          <w:b w:val="0"/>
          <w:bCs/>
          <w:color w:val="auto"/>
          <w:szCs w:val="24"/>
        </w:rPr>
      </w:pPr>
      <w:r>
        <w:rPr>
          <w:rFonts w:hint="eastAsia" w:ascii="宋体" w:hAnsi="宋体" w:eastAsia="宋体" w:cs="宋体"/>
          <w:b w:val="0"/>
          <w:bCs/>
          <w:color w:val="auto"/>
          <w:szCs w:val="24"/>
        </w:rPr>
        <w:t>PMID: 42708885</w:t>
      </w:r>
    </w:p>
    <w:p w14:paraId="33D8DF8F">
      <w:pPr>
        <w:rPr>
          <w:rFonts w:hint="eastAsia" w:ascii="宋体" w:hAnsi="宋体" w:eastAsia="宋体" w:cs="宋体"/>
          <w:b w:val="0"/>
          <w:bCs/>
          <w:color w:val="auto"/>
          <w:szCs w:val="24"/>
        </w:rPr>
      </w:pPr>
    </w:p>
    <w:p w14:paraId="4DC8BC24">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7. mBio. 2026 Sep 8:e0081626. doi: 10.1128/mbio.00816-26. Online ahead of print.</w:t>
      </w:r>
    </w:p>
    <w:p w14:paraId="19E1ADAD">
      <w:pPr>
        <w:rPr>
          <w:rFonts w:hint="eastAsia" w:ascii="宋体" w:hAnsi="宋体" w:eastAsia="宋体" w:cs="宋体"/>
          <w:b w:val="0"/>
          <w:bCs/>
          <w:color w:val="auto"/>
          <w:szCs w:val="24"/>
        </w:rPr>
      </w:pPr>
    </w:p>
    <w:p w14:paraId="574C2BA6">
      <w:pPr>
        <w:rPr>
          <w:rFonts w:hint="eastAsia" w:ascii="宋体" w:hAnsi="宋体" w:eastAsia="宋体" w:cs="宋体"/>
          <w:b w:val="0"/>
          <w:bCs/>
          <w:color w:val="auto"/>
          <w:szCs w:val="24"/>
        </w:rPr>
      </w:pPr>
      <w:r>
        <w:rPr>
          <w:rFonts w:hint="eastAsia" w:ascii="宋体" w:hAnsi="宋体" w:eastAsia="宋体" w:cs="宋体"/>
          <w:b w:val="0"/>
          <w:bCs/>
          <w:color w:val="auto"/>
          <w:szCs w:val="24"/>
        </w:rPr>
        <w:t>CysK2 couples copper sensing to redox adaptation in Mycobacterium tuberculosis.</w:t>
      </w:r>
    </w:p>
    <w:p w14:paraId="6122FBDB">
      <w:pPr>
        <w:rPr>
          <w:rFonts w:hint="eastAsia" w:ascii="宋体" w:hAnsi="宋体" w:eastAsia="宋体" w:cs="宋体"/>
          <w:b w:val="0"/>
          <w:bCs/>
          <w:color w:val="auto"/>
          <w:szCs w:val="24"/>
        </w:rPr>
      </w:pPr>
    </w:p>
    <w:p w14:paraId="0CA118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 Mouëllic W(#)(1), Levillain F(#)(1), Wu T-D(2), Larrouy-Maummus G(3), </w:t>
      </w:r>
    </w:p>
    <w:p w14:paraId="7DA22B9C">
      <w:pPr>
        <w:rPr>
          <w:rFonts w:hint="eastAsia" w:ascii="宋体" w:hAnsi="宋体" w:eastAsia="宋体" w:cs="宋体"/>
          <w:b w:val="0"/>
          <w:bCs/>
          <w:color w:val="auto"/>
          <w:szCs w:val="24"/>
        </w:rPr>
      </w:pPr>
      <w:r>
        <w:rPr>
          <w:rFonts w:hint="eastAsia" w:ascii="宋体" w:hAnsi="宋体" w:eastAsia="宋体" w:cs="宋体"/>
          <w:b w:val="0"/>
          <w:bCs/>
          <w:color w:val="auto"/>
          <w:szCs w:val="24"/>
        </w:rPr>
        <w:t>Lagarrigue F(1), Vidal E(1), Rombouts Y(1), Poquet Y(#)(1), Neyrolles O(#)(1).</w:t>
      </w:r>
    </w:p>
    <w:p w14:paraId="580FD3E5">
      <w:pPr>
        <w:rPr>
          <w:rFonts w:hint="eastAsia" w:ascii="宋体" w:hAnsi="宋体" w:eastAsia="宋体" w:cs="宋体"/>
          <w:b w:val="0"/>
          <w:bCs/>
          <w:color w:val="auto"/>
          <w:szCs w:val="24"/>
        </w:rPr>
      </w:pPr>
    </w:p>
    <w:p w14:paraId="584F544D">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BC1DCB3">
      <w:pPr>
        <w:rPr>
          <w:rFonts w:hint="eastAsia" w:ascii="宋体" w:hAnsi="宋体" w:eastAsia="宋体" w:cs="宋体"/>
          <w:b w:val="0"/>
          <w:bCs/>
          <w:color w:val="auto"/>
          <w:szCs w:val="24"/>
        </w:rPr>
      </w:pPr>
      <w:r>
        <w:rPr>
          <w:rFonts w:hint="eastAsia" w:ascii="宋体" w:hAnsi="宋体" w:eastAsia="宋体" w:cs="宋体"/>
          <w:b w:val="0"/>
          <w:bCs/>
          <w:color w:val="auto"/>
          <w:szCs w:val="24"/>
        </w:rPr>
        <w:t>(1)Univ Toulouse, CNRS, IPBS, Toulouse, France.</w:t>
      </w:r>
    </w:p>
    <w:p w14:paraId="462525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(2)Institut Curie, CNRS Unité d'Appui et de Recherche UAR2016, Inserm Unité de </w:t>
      </w:r>
    </w:p>
    <w:p w14:paraId="5014EA1A">
      <w:pPr>
        <w:rPr>
          <w:rFonts w:hint="eastAsia" w:ascii="宋体" w:hAnsi="宋体" w:eastAsia="宋体" w:cs="宋体"/>
          <w:b w:val="0"/>
          <w:bCs/>
          <w:color w:val="auto"/>
          <w:szCs w:val="24"/>
        </w:rPr>
      </w:pPr>
      <w:r>
        <w:rPr>
          <w:rFonts w:hint="eastAsia" w:ascii="宋体" w:hAnsi="宋体" w:eastAsia="宋体" w:cs="宋体"/>
          <w:b w:val="0"/>
          <w:bCs/>
          <w:color w:val="auto"/>
          <w:szCs w:val="24"/>
        </w:rPr>
        <w:t>Service US43, Université Paris-Saclay, Multimodal Imaging Center, Orsay, France.</w:t>
      </w:r>
    </w:p>
    <w:p w14:paraId="7F54CA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(3)Centre for Bacterial Resistance Biology, Department of Life Sciences, Faculty </w:t>
      </w:r>
    </w:p>
    <w:p w14:paraId="7D8555C3">
      <w:pPr>
        <w:rPr>
          <w:rFonts w:hint="eastAsia" w:ascii="宋体" w:hAnsi="宋体" w:eastAsia="宋体" w:cs="宋体"/>
          <w:b w:val="0"/>
          <w:bCs/>
          <w:color w:val="auto"/>
          <w:szCs w:val="24"/>
        </w:rPr>
      </w:pPr>
      <w:r>
        <w:rPr>
          <w:rFonts w:hint="eastAsia" w:ascii="宋体" w:hAnsi="宋体" w:eastAsia="宋体" w:cs="宋体"/>
          <w:b w:val="0"/>
          <w:bCs/>
          <w:color w:val="auto"/>
          <w:szCs w:val="24"/>
        </w:rPr>
        <w:t>of Natural Sciences, Imperial College London, London, United Kingdom.</w:t>
      </w:r>
    </w:p>
    <w:p w14:paraId="4BA33987">
      <w:pPr>
        <w:rPr>
          <w:rFonts w:hint="eastAsia" w:ascii="宋体" w:hAnsi="宋体" w:eastAsia="宋体" w:cs="宋体"/>
          <w:b w:val="0"/>
          <w:bCs/>
          <w:color w:val="auto"/>
          <w:szCs w:val="24"/>
        </w:rPr>
      </w:pPr>
      <w:r>
        <w:rPr>
          <w:rFonts w:hint="eastAsia" w:ascii="宋体" w:hAnsi="宋体" w:eastAsia="宋体" w:cs="宋体"/>
          <w:b w:val="0"/>
          <w:bCs/>
          <w:color w:val="auto"/>
          <w:szCs w:val="24"/>
        </w:rPr>
        <w:t>(#)Contributed equally</w:t>
      </w:r>
    </w:p>
    <w:p w14:paraId="6D271D5F">
      <w:pPr>
        <w:rPr>
          <w:rFonts w:hint="eastAsia" w:ascii="宋体" w:hAnsi="宋体" w:eastAsia="宋体" w:cs="宋体"/>
          <w:b w:val="0"/>
          <w:bCs/>
          <w:color w:val="auto"/>
          <w:szCs w:val="24"/>
        </w:rPr>
      </w:pPr>
    </w:p>
    <w:p w14:paraId="1C6651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Copper is recognized as a host-derived cue encountered by Mycobacterium </w:t>
      </w:r>
    </w:p>
    <w:p w14:paraId="671F87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and other microbes during infections, yet the magnitude, </w:t>
      </w:r>
    </w:p>
    <w:p w14:paraId="0C3B85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intracellular distribution, and physiological consequences of this exposure </w:t>
      </w:r>
    </w:p>
    <w:p w14:paraId="078D61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remain incompletely understood. Here, we combined high-resolution imaging, </w:t>
      </w:r>
    </w:p>
    <w:p w14:paraId="298352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transcriptomic profiling, intracellular reporter assays, and mouse infection </w:t>
      </w:r>
    </w:p>
    <w:p w14:paraId="399931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models to define how M. tuberculosis responds to physiologically relevant copper </w:t>
      </w:r>
    </w:p>
    <w:p w14:paraId="286E1B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levels during infection. NanoSIMS analysis showed that copper reaches </w:t>
      </w:r>
    </w:p>
    <w:p w14:paraId="56F097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intracellular bacilli and accumulates in discrete phosphorus-rich foci in </w:t>
      </w:r>
    </w:p>
    <w:p w14:paraId="277E58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bacteria. Exposure to physiological copper concentrations in vitro triggered a </w:t>
      </w:r>
    </w:p>
    <w:p w14:paraId="1505BB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highly specific transcriptional response dominated by the copper-inducible CsoR </w:t>
      </w:r>
    </w:p>
    <w:p w14:paraId="1D53212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RicR regulons. The RicR-regulated cysK2 gene, encoding the (S-sulfo)cysteine </w:t>
      </w:r>
    </w:p>
    <w:p w14:paraId="6E34B5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synthase CysK2, was one of the most strongly induced loci. In infected </w:t>
      </w:r>
    </w:p>
    <w:p w14:paraId="143D73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macrophages, cysK2 expression was modulated by extracellular copper </w:t>
      </w:r>
    </w:p>
    <w:p w14:paraId="68C9B70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availability, host copper transport pathways, and hypoxia. In vivo, the H37Rv </w:t>
      </w:r>
    </w:p>
    <w:p w14:paraId="04BE25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cysK2-deficient mutant showed reduced long-term persistence in mice and a shift </w:t>
      </w:r>
    </w:p>
    <w:p w14:paraId="046EC37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toward a more oxidized redox potential. Together, these findings identify CysK2 </w:t>
      </w:r>
    </w:p>
    <w:p w14:paraId="77C468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 a copper-responsive effector linking host-derived copper sensing to redox </w:t>
      </w:r>
    </w:p>
    <w:p w14:paraId="3C1BAC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homeostasis and contributing to long-term persistence during </w:t>
      </w:r>
    </w:p>
    <w:p w14:paraId="379B16E8">
      <w:pPr>
        <w:rPr>
          <w:rFonts w:hint="eastAsia" w:ascii="宋体" w:hAnsi="宋体" w:eastAsia="宋体" w:cs="宋体"/>
          <w:b w:val="0"/>
          <w:bCs/>
          <w:color w:val="auto"/>
          <w:szCs w:val="24"/>
        </w:rPr>
      </w:pPr>
      <w:r>
        <w:rPr>
          <w:rFonts w:hint="eastAsia" w:ascii="宋体" w:hAnsi="宋体" w:eastAsia="宋体" w:cs="宋体"/>
          <w:b w:val="0"/>
          <w:bCs/>
          <w:color w:val="auto"/>
          <w:szCs w:val="24"/>
        </w:rPr>
        <w:t>infection.</w:t>
      </w:r>
      <w:r>
        <w:rPr>
          <w:rFonts w:hint="eastAsia" w:ascii="宋体" w:hAnsi="宋体" w:eastAsia="宋体" w:cs="宋体"/>
          <w:b/>
          <w:bCs w:val="0"/>
          <w:color w:val="auto"/>
          <w:szCs w:val="24"/>
        </w:rPr>
        <w:t>IMPORTANCE</w:t>
      </w:r>
      <w:r>
        <w:rPr>
          <w:rFonts w:hint="eastAsia" w:ascii="宋体" w:hAnsi="宋体" w:eastAsia="宋体" w:cs="宋体"/>
          <w:b w:val="0"/>
          <w:bCs/>
          <w:color w:val="auto"/>
          <w:szCs w:val="24"/>
          <w:lang w:val="en-US" w:eastAsia="zh-CN"/>
        </w:rPr>
        <w:t xml:space="preserve"> </w:t>
      </w:r>
      <w:r>
        <w:rPr>
          <w:rFonts w:hint="eastAsia" w:ascii="宋体" w:hAnsi="宋体" w:eastAsia="宋体" w:cs="宋体"/>
          <w:b w:val="0"/>
          <w:bCs/>
          <w:color w:val="auto"/>
          <w:szCs w:val="24"/>
        </w:rPr>
        <w:t xml:space="preserve">Successful infection by Mycobacterium tuberculosis depends </w:t>
      </w:r>
    </w:p>
    <w:p w14:paraId="656D70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on its ability to detect and adapt to host-imposed changes in the phagosomal </w:t>
      </w:r>
    </w:p>
    <w:p w14:paraId="574C48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environment. Our work shows that copper contributes to this adaptation not </w:t>
      </w:r>
    </w:p>
    <w:p w14:paraId="5CD5BE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simply by imposing toxicity, but by triggering a response that helps sustain </w:t>
      </w:r>
    </w:p>
    <w:p w14:paraId="40C127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bacterial fitness within host cells. We identify CysK2 as a key component of </w:t>
      </w:r>
    </w:p>
    <w:p w14:paraId="141C5E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response, linking copper sensing to sulfur metabolism, redox balance, and </w:t>
      </w:r>
    </w:p>
    <w:p w14:paraId="183ABF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persistence during infection. These findings shift the view of copper from a </w:t>
      </w:r>
    </w:p>
    <w:p w14:paraId="5C4F22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purely antimicrobial factor to a host-derived environmental signal that remodels </w:t>
      </w:r>
    </w:p>
    <w:p w14:paraId="0CB3B4E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 tuberculosis physiology, and they uncover a new mechanism by which the </w:t>
      </w:r>
    </w:p>
    <w:p w14:paraId="2FAC149D">
      <w:pPr>
        <w:rPr>
          <w:rFonts w:hint="eastAsia" w:ascii="宋体" w:hAnsi="宋体" w:eastAsia="宋体" w:cs="宋体"/>
          <w:b w:val="0"/>
          <w:bCs/>
          <w:color w:val="auto"/>
          <w:szCs w:val="24"/>
        </w:rPr>
      </w:pPr>
      <w:r>
        <w:rPr>
          <w:rFonts w:hint="eastAsia" w:ascii="宋体" w:hAnsi="宋体" w:eastAsia="宋体" w:cs="宋体"/>
          <w:b w:val="0"/>
          <w:bCs/>
          <w:color w:val="auto"/>
          <w:szCs w:val="24"/>
        </w:rPr>
        <w:t>pathogen maintains intracellular survival.</w:t>
      </w:r>
    </w:p>
    <w:p w14:paraId="66A7893E">
      <w:pPr>
        <w:rPr>
          <w:rFonts w:hint="eastAsia" w:ascii="宋体" w:hAnsi="宋体" w:eastAsia="宋体" w:cs="宋体"/>
          <w:b w:val="0"/>
          <w:bCs/>
          <w:color w:val="auto"/>
          <w:szCs w:val="24"/>
        </w:rPr>
      </w:pPr>
    </w:p>
    <w:p w14:paraId="2790ABCE">
      <w:pPr>
        <w:rPr>
          <w:rFonts w:hint="eastAsia" w:ascii="宋体" w:hAnsi="宋体" w:eastAsia="宋体" w:cs="宋体"/>
          <w:b w:val="0"/>
          <w:bCs/>
          <w:color w:val="auto"/>
          <w:szCs w:val="24"/>
        </w:rPr>
      </w:pPr>
      <w:r>
        <w:rPr>
          <w:rFonts w:hint="eastAsia" w:ascii="宋体" w:hAnsi="宋体" w:eastAsia="宋体" w:cs="宋体"/>
          <w:b w:val="0"/>
          <w:bCs/>
          <w:color w:val="auto"/>
          <w:szCs w:val="24"/>
        </w:rPr>
        <w:t>DOI: 10.1128/mbio.00816-26</w:t>
      </w:r>
    </w:p>
    <w:p w14:paraId="7818360F">
      <w:pPr>
        <w:rPr>
          <w:rFonts w:hint="eastAsia" w:ascii="宋体" w:hAnsi="宋体" w:eastAsia="宋体" w:cs="宋体"/>
          <w:b w:val="0"/>
          <w:bCs/>
          <w:color w:val="auto"/>
          <w:szCs w:val="24"/>
        </w:rPr>
      </w:pPr>
      <w:r>
        <w:rPr>
          <w:rFonts w:hint="eastAsia" w:ascii="宋体" w:hAnsi="宋体" w:eastAsia="宋体" w:cs="宋体"/>
          <w:b w:val="0"/>
          <w:bCs/>
          <w:color w:val="auto"/>
          <w:szCs w:val="24"/>
        </w:rPr>
        <w:t>PMID: 42708649</w:t>
      </w:r>
    </w:p>
    <w:p w14:paraId="13C1E7BB">
      <w:pPr>
        <w:rPr>
          <w:rFonts w:hint="eastAsia" w:ascii="宋体" w:hAnsi="宋体" w:eastAsia="宋体" w:cs="宋体"/>
          <w:b w:val="0"/>
          <w:bCs/>
          <w:color w:val="auto"/>
          <w:szCs w:val="24"/>
        </w:rPr>
      </w:pPr>
    </w:p>
    <w:p w14:paraId="5B8B5740">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 xml:space="preserve">8. ACG Case Rep J. 2026 Sep 7;13(9):e02297. doi: 10.14309/crj.0000000000002297. </w:t>
      </w:r>
    </w:p>
    <w:p w14:paraId="699F065F">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 Sep.</w:t>
      </w:r>
    </w:p>
    <w:p w14:paraId="581396D6">
      <w:pPr>
        <w:rPr>
          <w:rFonts w:hint="eastAsia" w:ascii="宋体" w:hAnsi="宋体" w:eastAsia="宋体" w:cs="宋体"/>
          <w:b w:val="0"/>
          <w:bCs/>
          <w:color w:val="auto"/>
          <w:szCs w:val="24"/>
        </w:rPr>
      </w:pPr>
    </w:p>
    <w:p w14:paraId="5BCC4F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Probable Isolated Rectal Tuberculosis Presenting as Mild Chronic Proctitis in an </w:t>
      </w:r>
    </w:p>
    <w:p w14:paraId="02B6471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Immunocompetent Adolescent: A Diagnostic Pitfall and Mini-Review of the </w:t>
      </w:r>
    </w:p>
    <w:p w14:paraId="7E8960DB">
      <w:pPr>
        <w:rPr>
          <w:rFonts w:hint="eastAsia" w:ascii="宋体" w:hAnsi="宋体" w:eastAsia="宋体" w:cs="宋体"/>
          <w:b w:val="0"/>
          <w:bCs/>
          <w:color w:val="auto"/>
          <w:szCs w:val="24"/>
        </w:rPr>
      </w:pPr>
      <w:r>
        <w:rPr>
          <w:rFonts w:hint="eastAsia" w:ascii="宋体" w:hAnsi="宋体" w:eastAsia="宋体" w:cs="宋体"/>
          <w:b w:val="0"/>
          <w:bCs/>
          <w:color w:val="auto"/>
          <w:szCs w:val="24"/>
        </w:rPr>
        <w:t>Literature.</w:t>
      </w:r>
    </w:p>
    <w:p w14:paraId="4E97B4A5">
      <w:pPr>
        <w:rPr>
          <w:rFonts w:hint="eastAsia" w:ascii="宋体" w:hAnsi="宋体" w:eastAsia="宋体" w:cs="宋体"/>
          <w:b w:val="0"/>
          <w:bCs/>
          <w:color w:val="auto"/>
          <w:szCs w:val="24"/>
        </w:rPr>
      </w:pPr>
    </w:p>
    <w:p w14:paraId="559EDA0E">
      <w:pPr>
        <w:rPr>
          <w:rFonts w:hint="eastAsia" w:ascii="宋体" w:hAnsi="宋体" w:eastAsia="宋体" w:cs="宋体"/>
          <w:b w:val="0"/>
          <w:bCs/>
          <w:color w:val="auto"/>
          <w:szCs w:val="24"/>
        </w:rPr>
      </w:pPr>
      <w:r>
        <w:rPr>
          <w:rFonts w:hint="eastAsia" w:ascii="宋体" w:hAnsi="宋体" w:eastAsia="宋体" w:cs="宋体"/>
          <w:b w:val="0"/>
          <w:bCs/>
          <w:color w:val="auto"/>
          <w:szCs w:val="24"/>
        </w:rPr>
        <w:t>Bhaduri G(1), Basak B(2), Saha B(3), Ahmed AA(1), Bandopadhyay B(1).</w:t>
      </w:r>
    </w:p>
    <w:p w14:paraId="2089E6B7">
      <w:pPr>
        <w:rPr>
          <w:rFonts w:hint="eastAsia" w:ascii="宋体" w:hAnsi="宋体" w:eastAsia="宋体" w:cs="宋体"/>
          <w:b w:val="0"/>
          <w:bCs/>
          <w:color w:val="auto"/>
          <w:szCs w:val="24"/>
        </w:rPr>
      </w:pPr>
    </w:p>
    <w:p w14:paraId="4518458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65FEE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Gastroenterology, The Mission Hospital, Durgapur, West Bengal, </w:t>
      </w:r>
    </w:p>
    <w:p w14:paraId="1A0D3573">
      <w:pPr>
        <w:rPr>
          <w:rFonts w:hint="eastAsia" w:ascii="宋体" w:hAnsi="宋体" w:eastAsia="宋体" w:cs="宋体"/>
          <w:b w:val="0"/>
          <w:bCs/>
          <w:color w:val="auto"/>
          <w:szCs w:val="24"/>
        </w:rPr>
      </w:pPr>
      <w:r>
        <w:rPr>
          <w:rFonts w:hint="eastAsia" w:ascii="宋体" w:hAnsi="宋体" w:eastAsia="宋体" w:cs="宋体"/>
          <w:b w:val="0"/>
          <w:bCs/>
          <w:color w:val="auto"/>
          <w:szCs w:val="24"/>
        </w:rPr>
        <w:t>India.</w:t>
      </w:r>
    </w:p>
    <w:p w14:paraId="5CA1F6F7">
      <w:pPr>
        <w:rPr>
          <w:rFonts w:hint="eastAsia" w:ascii="宋体" w:hAnsi="宋体" w:eastAsia="宋体" w:cs="宋体"/>
          <w:b w:val="0"/>
          <w:bCs/>
          <w:color w:val="auto"/>
          <w:szCs w:val="24"/>
        </w:rPr>
      </w:pPr>
      <w:r>
        <w:rPr>
          <w:rFonts w:hint="eastAsia" w:ascii="宋体" w:hAnsi="宋体" w:eastAsia="宋体" w:cs="宋体"/>
          <w:b w:val="0"/>
          <w:bCs/>
          <w:color w:val="auto"/>
          <w:szCs w:val="24"/>
        </w:rPr>
        <w:t>(2)Department of Pathology, The Mission Hospital, Durgapur, West Bengal, India.</w:t>
      </w:r>
    </w:p>
    <w:p w14:paraId="4CA855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Surgical Gastroenterology, The Mission Hospital, Durgapur, West </w:t>
      </w:r>
    </w:p>
    <w:p w14:paraId="0F62DB4D">
      <w:pPr>
        <w:rPr>
          <w:rFonts w:hint="eastAsia" w:ascii="宋体" w:hAnsi="宋体" w:eastAsia="宋体" w:cs="宋体"/>
          <w:b w:val="0"/>
          <w:bCs/>
          <w:color w:val="auto"/>
          <w:szCs w:val="24"/>
        </w:rPr>
      </w:pPr>
      <w:r>
        <w:rPr>
          <w:rFonts w:hint="eastAsia" w:ascii="宋体" w:hAnsi="宋体" w:eastAsia="宋体" w:cs="宋体"/>
          <w:b w:val="0"/>
          <w:bCs/>
          <w:color w:val="auto"/>
          <w:szCs w:val="24"/>
        </w:rPr>
        <w:t>Bengal, India.</w:t>
      </w:r>
    </w:p>
    <w:p w14:paraId="53C2CF0E">
      <w:pPr>
        <w:rPr>
          <w:rFonts w:hint="eastAsia" w:ascii="宋体" w:hAnsi="宋体" w:eastAsia="宋体" w:cs="宋体"/>
          <w:b w:val="0"/>
          <w:bCs/>
          <w:color w:val="auto"/>
          <w:szCs w:val="24"/>
        </w:rPr>
      </w:pPr>
    </w:p>
    <w:p w14:paraId="56D770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Rectal involvement in gastrointestinal tuberculosis (TB) is uncommon and may </w:t>
      </w:r>
    </w:p>
    <w:p w14:paraId="30E28E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mimic inflammatory bowel disease or nonspecific proctitis, leading to diagnostic </w:t>
      </w:r>
    </w:p>
    <w:p w14:paraId="15D7A8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uncertainty. We report the case of an 18-year-old immunocompetent man presenting </w:t>
      </w:r>
    </w:p>
    <w:p w14:paraId="7266FB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chronic increased stool frequency and mucus passage, occasionally </w:t>
      </w:r>
    </w:p>
    <w:p w14:paraId="455966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blood-streaked, without constitutional symptoms. Colonoscopy revealed </w:t>
      </w:r>
    </w:p>
    <w:p w14:paraId="3CCF2D4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nonspecific proctitis. Histopathological examination demonstrated confluent </w:t>
      </w:r>
    </w:p>
    <w:p w14:paraId="4EF269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granulomas with Langhans giant cells. Microbiological confirmation including </w:t>
      </w:r>
    </w:p>
    <w:p w14:paraId="19B95E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GeneXpert was negative. In view of the strongly suggestive histopathological </w:t>
      </w:r>
    </w:p>
    <w:p w14:paraId="0FE699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and the endemic setting, a diagnosis of probable isolated TB was made, </w:t>
      </w:r>
    </w:p>
    <w:p w14:paraId="07EAE5E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anti-tubercular therapy was initiated. Probable rectal TB should be </w:t>
      </w:r>
    </w:p>
    <w:p w14:paraId="605A73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considered in the differential diagnosis of chronic proctitis, even in the </w:t>
      </w:r>
    </w:p>
    <w:p w14:paraId="6AB097C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absence of systemic features. Histopathology remains crucial, particularly in </w:t>
      </w:r>
    </w:p>
    <w:p w14:paraId="797BD858">
      <w:pPr>
        <w:rPr>
          <w:rFonts w:hint="eastAsia" w:ascii="宋体" w:hAnsi="宋体" w:eastAsia="宋体" w:cs="宋体"/>
          <w:b w:val="0"/>
          <w:bCs/>
          <w:color w:val="auto"/>
          <w:szCs w:val="24"/>
        </w:rPr>
      </w:pPr>
      <w:r>
        <w:rPr>
          <w:rFonts w:hint="eastAsia" w:ascii="宋体" w:hAnsi="宋体" w:eastAsia="宋体" w:cs="宋体"/>
          <w:b w:val="0"/>
          <w:bCs/>
          <w:color w:val="auto"/>
          <w:szCs w:val="24"/>
        </w:rPr>
        <w:t>endemic regions where microbiological tests may be negative.</w:t>
      </w:r>
    </w:p>
    <w:p w14:paraId="6F2D4B35">
      <w:pPr>
        <w:rPr>
          <w:rFonts w:hint="eastAsia" w:ascii="宋体" w:hAnsi="宋体" w:eastAsia="宋体" w:cs="宋体"/>
          <w:b w:val="0"/>
          <w:bCs/>
          <w:color w:val="auto"/>
          <w:szCs w:val="24"/>
        </w:rPr>
      </w:pPr>
    </w:p>
    <w:p w14:paraId="45585E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Published by Wolters Kluwer Health, LLC. on behalf of The </w:t>
      </w:r>
    </w:p>
    <w:p w14:paraId="75926DF4">
      <w:pPr>
        <w:rPr>
          <w:rFonts w:hint="eastAsia" w:ascii="宋体" w:hAnsi="宋体" w:eastAsia="宋体" w:cs="宋体"/>
          <w:b w:val="0"/>
          <w:bCs/>
          <w:color w:val="auto"/>
          <w:szCs w:val="24"/>
        </w:rPr>
      </w:pPr>
      <w:r>
        <w:rPr>
          <w:rFonts w:hint="eastAsia" w:ascii="宋体" w:hAnsi="宋体" w:eastAsia="宋体" w:cs="宋体"/>
          <w:b w:val="0"/>
          <w:bCs/>
          <w:color w:val="auto"/>
          <w:szCs w:val="24"/>
        </w:rPr>
        <w:t>American College of Gastroenterology.</w:t>
      </w:r>
    </w:p>
    <w:p w14:paraId="16ECB2AC">
      <w:pPr>
        <w:rPr>
          <w:rFonts w:hint="eastAsia" w:ascii="宋体" w:hAnsi="宋体" w:eastAsia="宋体" w:cs="宋体"/>
          <w:b w:val="0"/>
          <w:bCs/>
          <w:color w:val="auto"/>
          <w:szCs w:val="24"/>
        </w:rPr>
      </w:pPr>
    </w:p>
    <w:p w14:paraId="5896DF94">
      <w:pPr>
        <w:rPr>
          <w:rFonts w:hint="eastAsia" w:ascii="宋体" w:hAnsi="宋体" w:eastAsia="宋体" w:cs="宋体"/>
          <w:b w:val="0"/>
          <w:bCs/>
          <w:color w:val="auto"/>
          <w:szCs w:val="24"/>
        </w:rPr>
      </w:pPr>
      <w:r>
        <w:rPr>
          <w:rFonts w:hint="eastAsia" w:ascii="宋体" w:hAnsi="宋体" w:eastAsia="宋体" w:cs="宋体"/>
          <w:b w:val="0"/>
          <w:bCs/>
          <w:color w:val="auto"/>
          <w:szCs w:val="24"/>
        </w:rPr>
        <w:t>DOI: 10.14309/crj.0000000000002297</w:t>
      </w:r>
    </w:p>
    <w:p w14:paraId="25EBF16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PMC13549541</w:t>
      </w:r>
    </w:p>
    <w:p w14:paraId="01D102EC">
      <w:pPr>
        <w:rPr>
          <w:rFonts w:hint="eastAsia" w:ascii="宋体" w:hAnsi="宋体" w:eastAsia="宋体" w:cs="宋体"/>
          <w:b w:val="0"/>
          <w:bCs/>
          <w:color w:val="auto"/>
          <w:szCs w:val="24"/>
        </w:rPr>
      </w:pPr>
      <w:r>
        <w:rPr>
          <w:rFonts w:hint="eastAsia" w:ascii="宋体" w:hAnsi="宋体" w:eastAsia="宋体" w:cs="宋体"/>
          <w:b w:val="0"/>
          <w:bCs/>
          <w:color w:val="auto"/>
          <w:szCs w:val="24"/>
        </w:rPr>
        <w:t>PMID: 42708115</w:t>
      </w:r>
    </w:p>
    <w:p w14:paraId="49F963C1">
      <w:pPr>
        <w:rPr>
          <w:rFonts w:hint="eastAsia" w:ascii="宋体" w:hAnsi="宋体" w:eastAsia="宋体" w:cs="宋体"/>
          <w:b w:val="0"/>
          <w:bCs/>
          <w:color w:val="auto"/>
          <w:szCs w:val="24"/>
        </w:rPr>
      </w:pPr>
    </w:p>
    <w:p w14:paraId="25B87E7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 xml:space="preserve">9. Case Rep Infect Dis. 2026 Sep 7;2026:3276122. doi: 10.1155/crdi/3276122. </w:t>
      </w:r>
    </w:p>
    <w:p w14:paraId="6E23314C">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66F456E1">
      <w:pPr>
        <w:rPr>
          <w:rFonts w:hint="eastAsia" w:ascii="宋体" w:hAnsi="宋体" w:eastAsia="宋体" w:cs="宋体"/>
          <w:b w:val="0"/>
          <w:bCs/>
          <w:color w:val="auto"/>
          <w:szCs w:val="24"/>
        </w:rPr>
      </w:pPr>
    </w:p>
    <w:p w14:paraId="5386BE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Beyond Bartonellosis: A Case Report of Hepatic Tuberculosis as a Final Diagnosis </w:t>
      </w:r>
    </w:p>
    <w:p w14:paraId="373DC060">
      <w:pPr>
        <w:rPr>
          <w:rFonts w:hint="eastAsia" w:ascii="宋体" w:hAnsi="宋体" w:eastAsia="宋体" w:cs="宋体"/>
          <w:b w:val="0"/>
          <w:bCs/>
          <w:color w:val="auto"/>
          <w:szCs w:val="24"/>
        </w:rPr>
      </w:pPr>
      <w:r>
        <w:rPr>
          <w:rFonts w:hint="eastAsia" w:ascii="宋体" w:hAnsi="宋体" w:eastAsia="宋体" w:cs="宋体"/>
          <w:b w:val="0"/>
          <w:bCs/>
          <w:color w:val="auto"/>
          <w:szCs w:val="24"/>
        </w:rPr>
        <w:t>in a Child With Down Syndrome.</w:t>
      </w:r>
    </w:p>
    <w:p w14:paraId="404640D2">
      <w:pPr>
        <w:rPr>
          <w:rFonts w:hint="eastAsia" w:ascii="宋体" w:hAnsi="宋体" w:eastAsia="宋体" w:cs="宋体"/>
          <w:b w:val="0"/>
          <w:bCs/>
          <w:color w:val="auto"/>
          <w:szCs w:val="24"/>
        </w:rPr>
      </w:pPr>
    </w:p>
    <w:p w14:paraId="409438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Camargos P(1), Filho AO(2), Silva JB(2), da Silva MC(2), Farias MG(2), Tosta </w:t>
      </w:r>
    </w:p>
    <w:p w14:paraId="092E6A84">
      <w:pPr>
        <w:rPr>
          <w:rFonts w:hint="eastAsia" w:ascii="宋体" w:hAnsi="宋体" w:eastAsia="宋体" w:cs="宋体"/>
          <w:b w:val="0"/>
          <w:bCs/>
          <w:color w:val="auto"/>
          <w:szCs w:val="24"/>
        </w:rPr>
      </w:pPr>
      <w:r>
        <w:rPr>
          <w:rFonts w:hint="eastAsia" w:ascii="宋体" w:hAnsi="宋体" w:eastAsia="宋体" w:cs="宋体"/>
          <w:b w:val="0"/>
          <w:bCs/>
          <w:color w:val="auto"/>
          <w:szCs w:val="24"/>
        </w:rPr>
        <w:t>P(1), Pereira R(1), Romaneli MTDN(1).</w:t>
      </w:r>
    </w:p>
    <w:p w14:paraId="527CC11C">
      <w:pPr>
        <w:rPr>
          <w:rFonts w:hint="eastAsia" w:ascii="宋体" w:hAnsi="宋体" w:eastAsia="宋体" w:cs="宋体"/>
          <w:b w:val="0"/>
          <w:bCs/>
          <w:color w:val="auto"/>
          <w:szCs w:val="24"/>
        </w:rPr>
      </w:pPr>
    </w:p>
    <w:p w14:paraId="46760413">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D210F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(1)Hospital de Clínicas, School of Medical Sciences, University of Campinas </w:t>
      </w:r>
    </w:p>
    <w:p w14:paraId="13B262A3">
      <w:pPr>
        <w:rPr>
          <w:rFonts w:hint="eastAsia" w:ascii="宋体" w:hAnsi="宋体" w:eastAsia="宋体" w:cs="宋体"/>
          <w:b w:val="0"/>
          <w:bCs/>
          <w:color w:val="auto"/>
          <w:szCs w:val="24"/>
        </w:rPr>
      </w:pPr>
      <w:r>
        <w:rPr>
          <w:rFonts w:hint="eastAsia" w:ascii="宋体" w:hAnsi="宋体" w:eastAsia="宋体" w:cs="宋体"/>
          <w:b w:val="0"/>
          <w:bCs/>
          <w:color w:val="auto"/>
          <w:szCs w:val="24"/>
        </w:rPr>
        <w:t>(UNICAMP), Campinas, São Paulo, Brazil, unicamp.br.</w:t>
      </w:r>
    </w:p>
    <w:p w14:paraId="0B3F95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Pediatric Surgery, School of Medical Sciences, University of </w:t>
      </w:r>
    </w:p>
    <w:p w14:paraId="7F5C8063">
      <w:pPr>
        <w:rPr>
          <w:rFonts w:hint="eastAsia" w:ascii="宋体" w:hAnsi="宋体" w:eastAsia="宋体" w:cs="宋体"/>
          <w:b w:val="0"/>
          <w:bCs/>
          <w:color w:val="auto"/>
          <w:szCs w:val="24"/>
        </w:rPr>
      </w:pPr>
      <w:r>
        <w:rPr>
          <w:rFonts w:hint="eastAsia" w:ascii="宋体" w:hAnsi="宋体" w:eastAsia="宋体" w:cs="宋体"/>
          <w:b w:val="0"/>
          <w:bCs/>
          <w:color w:val="auto"/>
          <w:szCs w:val="24"/>
        </w:rPr>
        <w:t>Campinas (UNICAMP), Campinas, São Paulo, Brazil, unicamp.br.</w:t>
      </w:r>
    </w:p>
    <w:p w14:paraId="24433674">
      <w:pPr>
        <w:rPr>
          <w:rFonts w:hint="eastAsia" w:ascii="宋体" w:hAnsi="宋体" w:eastAsia="宋体" w:cs="宋体"/>
          <w:b w:val="0"/>
          <w:bCs/>
          <w:color w:val="auto"/>
          <w:szCs w:val="24"/>
        </w:rPr>
      </w:pPr>
    </w:p>
    <w:p w14:paraId="7DA24C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Hepatic tuberculosis is a rare form of extrapulmonary manifestation. This case </w:t>
      </w:r>
    </w:p>
    <w:p w14:paraId="0A0312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report depicts a 6-year-old boy with Down syndrome who presented with prolonged </w:t>
      </w:r>
    </w:p>
    <w:p w14:paraId="7F2AD0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fever, weight loss, and hepatomegaly. The investigation revealed liver </w:t>
      </w:r>
    </w:p>
    <w:p w14:paraId="276DD5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abnormalities suggestive of a granulomatous process, with the initial diagnosis </w:t>
      </w:r>
    </w:p>
    <w:p w14:paraId="3FB6B1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bartonellosis and, later, tuberculosis, with molecular testing and culture </w:t>
      </w:r>
    </w:p>
    <w:p w14:paraId="24A656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from a fragment of the liver biopsy. He underwent treatment and exhibited an </w:t>
      </w:r>
    </w:p>
    <w:p w14:paraId="06D4D1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excellent clinical response. This case highlights the importance of including </w:t>
      </w:r>
    </w:p>
    <w:p w14:paraId="6A0F69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hepatic tuberculosis in the differential diagnosis of liver diseases in </w:t>
      </w:r>
    </w:p>
    <w:p w14:paraId="429A87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children, even in the absence of evident pulmonary signs, especially in endemic </w:t>
      </w:r>
    </w:p>
    <w:p w14:paraId="73B12CDC">
      <w:pPr>
        <w:rPr>
          <w:rFonts w:hint="eastAsia" w:ascii="宋体" w:hAnsi="宋体" w:eastAsia="宋体" w:cs="宋体"/>
          <w:b w:val="0"/>
          <w:bCs/>
          <w:color w:val="auto"/>
          <w:szCs w:val="24"/>
        </w:rPr>
      </w:pPr>
      <w:r>
        <w:rPr>
          <w:rFonts w:hint="eastAsia" w:ascii="宋体" w:hAnsi="宋体" w:eastAsia="宋体" w:cs="宋体"/>
          <w:b w:val="0"/>
          <w:bCs/>
          <w:color w:val="auto"/>
          <w:szCs w:val="24"/>
        </w:rPr>
        <w:t>regions including Brazil.</w:t>
      </w:r>
    </w:p>
    <w:p w14:paraId="67F2B615">
      <w:pPr>
        <w:rPr>
          <w:rFonts w:hint="eastAsia" w:ascii="宋体" w:hAnsi="宋体" w:eastAsia="宋体" w:cs="宋体"/>
          <w:b w:val="0"/>
          <w:bCs/>
          <w:color w:val="auto"/>
          <w:szCs w:val="24"/>
        </w:rPr>
      </w:pPr>
    </w:p>
    <w:p w14:paraId="7EDD30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Paula Camargos et al. Case Reports in Infectious Diseases </w:t>
      </w:r>
    </w:p>
    <w:p w14:paraId="41C04E6C">
      <w:pPr>
        <w:rPr>
          <w:rFonts w:hint="eastAsia" w:ascii="宋体" w:hAnsi="宋体" w:eastAsia="宋体" w:cs="宋体"/>
          <w:b w:val="0"/>
          <w:bCs/>
          <w:color w:val="auto"/>
          <w:szCs w:val="24"/>
        </w:rPr>
      </w:pPr>
      <w:r>
        <w:rPr>
          <w:rFonts w:hint="eastAsia" w:ascii="宋体" w:hAnsi="宋体" w:eastAsia="宋体" w:cs="宋体"/>
          <w:b w:val="0"/>
          <w:bCs/>
          <w:color w:val="auto"/>
          <w:szCs w:val="24"/>
        </w:rPr>
        <w:t>published by John Wiley &amp; Sons Ltd.</w:t>
      </w:r>
    </w:p>
    <w:p w14:paraId="28A5DC47">
      <w:pPr>
        <w:rPr>
          <w:rFonts w:hint="eastAsia" w:ascii="宋体" w:hAnsi="宋体" w:eastAsia="宋体" w:cs="宋体"/>
          <w:b w:val="0"/>
          <w:bCs/>
          <w:color w:val="auto"/>
          <w:szCs w:val="24"/>
        </w:rPr>
      </w:pPr>
    </w:p>
    <w:p w14:paraId="406B6DA5">
      <w:pPr>
        <w:rPr>
          <w:rFonts w:hint="eastAsia" w:ascii="宋体" w:hAnsi="宋体" w:eastAsia="宋体" w:cs="宋体"/>
          <w:b w:val="0"/>
          <w:bCs/>
          <w:color w:val="auto"/>
          <w:szCs w:val="24"/>
        </w:rPr>
      </w:pPr>
      <w:r>
        <w:rPr>
          <w:rFonts w:hint="eastAsia" w:ascii="宋体" w:hAnsi="宋体" w:eastAsia="宋体" w:cs="宋体"/>
          <w:b w:val="0"/>
          <w:bCs/>
          <w:color w:val="auto"/>
          <w:szCs w:val="24"/>
        </w:rPr>
        <w:t>DOI: 10.1155/crdi/3276122</w:t>
      </w:r>
    </w:p>
    <w:p w14:paraId="1ECD0132">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PMC13548135</w:t>
      </w:r>
    </w:p>
    <w:p w14:paraId="34240BC2">
      <w:pPr>
        <w:rPr>
          <w:rFonts w:hint="eastAsia" w:ascii="宋体" w:hAnsi="宋体" w:eastAsia="宋体" w:cs="宋体"/>
          <w:b w:val="0"/>
          <w:bCs/>
          <w:color w:val="auto"/>
          <w:szCs w:val="24"/>
        </w:rPr>
      </w:pPr>
      <w:r>
        <w:rPr>
          <w:rFonts w:hint="eastAsia" w:ascii="宋体" w:hAnsi="宋体" w:eastAsia="宋体" w:cs="宋体"/>
          <w:b w:val="0"/>
          <w:bCs/>
          <w:color w:val="auto"/>
          <w:szCs w:val="24"/>
        </w:rPr>
        <w:t>PMID: 42707429</w:t>
      </w:r>
    </w:p>
    <w:p w14:paraId="76A1FBBE">
      <w:pPr>
        <w:rPr>
          <w:rFonts w:hint="eastAsia" w:ascii="宋体" w:hAnsi="宋体" w:eastAsia="宋体" w:cs="宋体"/>
          <w:b w:val="0"/>
          <w:bCs/>
          <w:color w:val="auto"/>
          <w:szCs w:val="24"/>
        </w:rPr>
      </w:pPr>
    </w:p>
    <w:p w14:paraId="7317F20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w:t>
      </w:r>
      <w:r>
        <w:rPr>
          <w:rFonts w:hint="eastAsia" w:ascii="宋体" w:hAnsi="宋体" w:eastAsia="宋体" w:cs="宋体"/>
          <w:b/>
          <w:bCs w:val="0"/>
          <w:color w:val="FF0000"/>
          <w:szCs w:val="24"/>
        </w:rPr>
        <w:t>0. Pulmonology. 2026 Dec;32(1):2720832. doi: 10.1080/25310429.2026.2720832. Epub 2026 Sep 8.</w:t>
      </w:r>
    </w:p>
    <w:p w14:paraId="6BCF0B83">
      <w:pPr>
        <w:rPr>
          <w:rFonts w:hint="eastAsia" w:ascii="宋体" w:hAnsi="宋体" w:eastAsia="宋体" w:cs="宋体"/>
          <w:b w:val="0"/>
          <w:bCs/>
          <w:color w:val="auto"/>
          <w:szCs w:val="24"/>
        </w:rPr>
      </w:pPr>
    </w:p>
    <w:p w14:paraId="3CC170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Drivers of delay in tuberculosis diagnosis among underserved groups in Portugal: </w:t>
      </w:r>
    </w:p>
    <w:p w14:paraId="2B9CF509">
      <w:pPr>
        <w:rPr>
          <w:rFonts w:hint="eastAsia" w:ascii="宋体" w:hAnsi="宋体" w:eastAsia="宋体" w:cs="宋体"/>
          <w:b w:val="0"/>
          <w:bCs/>
          <w:color w:val="auto"/>
          <w:szCs w:val="24"/>
        </w:rPr>
      </w:pPr>
      <w:r>
        <w:rPr>
          <w:rFonts w:hint="eastAsia" w:ascii="宋体" w:hAnsi="宋体" w:eastAsia="宋体" w:cs="宋体"/>
          <w:b w:val="0"/>
          <w:bCs/>
          <w:color w:val="auto"/>
          <w:szCs w:val="24"/>
        </w:rPr>
        <w:t>An exploratory convergent parallel mixed-methods study.</w:t>
      </w:r>
    </w:p>
    <w:p w14:paraId="3D990BAA">
      <w:pPr>
        <w:rPr>
          <w:rFonts w:hint="eastAsia" w:ascii="宋体" w:hAnsi="宋体" w:eastAsia="宋体" w:cs="宋体"/>
          <w:b w:val="0"/>
          <w:bCs/>
          <w:color w:val="auto"/>
          <w:szCs w:val="24"/>
        </w:rPr>
      </w:pPr>
    </w:p>
    <w:p w14:paraId="5D2C6E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Vieira M(1)(2), Ramos JP(1)(2), Aguiar A(1)(2), Silva T(3), Pinto M(4), Duarte </w:t>
      </w:r>
    </w:p>
    <w:p w14:paraId="1CD88252">
      <w:pPr>
        <w:rPr>
          <w:rFonts w:hint="eastAsia" w:ascii="宋体" w:hAnsi="宋体" w:eastAsia="宋体" w:cs="宋体"/>
          <w:b w:val="0"/>
          <w:bCs/>
          <w:color w:val="auto"/>
          <w:szCs w:val="24"/>
        </w:rPr>
      </w:pPr>
      <w:r>
        <w:rPr>
          <w:rFonts w:hint="eastAsia" w:ascii="宋体" w:hAnsi="宋体" w:eastAsia="宋体" w:cs="宋体"/>
          <w:b w:val="0"/>
          <w:bCs/>
          <w:color w:val="auto"/>
          <w:szCs w:val="24"/>
        </w:rPr>
        <w:t>R(1)(2)(5).</w:t>
      </w:r>
    </w:p>
    <w:p w14:paraId="0CCB5F1B">
      <w:pPr>
        <w:rPr>
          <w:rFonts w:hint="eastAsia" w:ascii="宋体" w:hAnsi="宋体" w:eastAsia="宋体" w:cs="宋体"/>
          <w:b w:val="0"/>
          <w:bCs/>
          <w:color w:val="auto"/>
          <w:szCs w:val="24"/>
        </w:rPr>
      </w:pPr>
    </w:p>
    <w:p w14:paraId="0D2D56E0">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FB772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(1)EPIUnit ITR, Institute of Public Health of the University of Porto, Porto, </w:t>
      </w:r>
    </w:p>
    <w:p w14:paraId="1651A3F2">
      <w:pPr>
        <w:rPr>
          <w:rFonts w:hint="eastAsia" w:ascii="宋体" w:hAnsi="宋体" w:eastAsia="宋体" w:cs="宋体"/>
          <w:b w:val="0"/>
          <w:bCs/>
          <w:color w:val="auto"/>
          <w:szCs w:val="24"/>
        </w:rPr>
      </w:pPr>
      <w:r>
        <w:rPr>
          <w:rFonts w:hint="eastAsia" w:ascii="宋体" w:hAnsi="宋体" w:eastAsia="宋体" w:cs="宋体"/>
          <w:b w:val="0"/>
          <w:bCs/>
          <w:color w:val="auto"/>
          <w:szCs w:val="24"/>
        </w:rPr>
        <w:t>Portugal.</w:t>
      </w:r>
    </w:p>
    <w:p w14:paraId="10E2F7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(2)School of Biomedical Sciences, University of Porto, Universidade Do Porto, </w:t>
      </w:r>
    </w:p>
    <w:p w14:paraId="79A51690">
      <w:pPr>
        <w:rPr>
          <w:rFonts w:hint="eastAsia" w:ascii="宋体" w:hAnsi="宋体" w:eastAsia="宋体" w:cs="宋体"/>
          <w:b w:val="0"/>
          <w:bCs/>
          <w:color w:val="auto"/>
          <w:szCs w:val="24"/>
        </w:rPr>
      </w:pPr>
      <w:r>
        <w:rPr>
          <w:rFonts w:hint="eastAsia" w:ascii="宋体" w:hAnsi="宋体" w:eastAsia="宋体" w:cs="宋体"/>
          <w:b w:val="0"/>
          <w:bCs/>
          <w:color w:val="auto"/>
          <w:szCs w:val="24"/>
        </w:rPr>
        <w:t>Porto, Portugal.</w:t>
      </w:r>
    </w:p>
    <w:p w14:paraId="1504D8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(3)Public Healthy Unit - Vale do Sousa Norte, Tâmega and Sousa Local Health </w:t>
      </w:r>
    </w:p>
    <w:p w14:paraId="3B059469">
      <w:pPr>
        <w:rPr>
          <w:rFonts w:hint="eastAsia" w:ascii="宋体" w:hAnsi="宋体" w:eastAsia="宋体" w:cs="宋体"/>
          <w:b w:val="0"/>
          <w:bCs/>
          <w:color w:val="auto"/>
          <w:szCs w:val="24"/>
        </w:rPr>
      </w:pPr>
      <w:r>
        <w:rPr>
          <w:rFonts w:hint="eastAsia" w:ascii="宋体" w:hAnsi="宋体" w:eastAsia="宋体" w:cs="宋体"/>
          <w:b w:val="0"/>
          <w:bCs/>
          <w:color w:val="auto"/>
          <w:szCs w:val="24"/>
        </w:rPr>
        <w:t>Unit, Paços de Ferreira, Portugal.</w:t>
      </w:r>
    </w:p>
    <w:p w14:paraId="241381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(4)Faculty of Psychology and Education Sciences, University of Porto, Porto, </w:t>
      </w:r>
    </w:p>
    <w:p w14:paraId="29F750B4">
      <w:pPr>
        <w:rPr>
          <w:rFonts w:hint="eastAsia" w:ascii="宋体" w:hAnsi="宋体" w:eastAsia="宋体" w:cs="宋体"/>
          <w:b w:val="0"/>
          <w:bCs/>
          <w:color w:val="auto"/>
          <w:szCs w:val="24"/>
        </w:rPr>
      </w:pPr>
      <w:r>
        <w:rPr>
          <w:rFonts w:hint="eastAsia" w:ascii="宋体" w:hAnsi="宋体" w:eastAsia="宋体" w:cs="宋体"/>
          <w:b w:val="0"/>
          <w:bCs/>
          <w:color w:val="auto"/>
          <w:szCs w:val="24"/>
        </w:rPr>
        <w:t>Portugal.</w:t>
      </w:r>
    </w:p>
    <w:p w14:paraId="27BD43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(5)Centre for Public Health Dr. Gonçalves Ferreira, Institute of Public Health </w:t>
      </w:r>
    </w:p>
    <w:p w14:paraId="4A9F2C34">
      <w:pPr>
        <w:rPr>
          <w:rFonts w:hint="eastAsia" w:ascii="宋体" w:hAnsi="宋体" w:eastAsia="宋体" w:cs="宋体"/>
          <w:b w:val="0"/>
          <w:bCs/>
          <w:color w:val="auto"/>
          <w:szCs w:val="24"/>
        </w:rPr>
      </w:pPr>
      <w:r>
        <w:rPr>
          <w:rFonts w:hint="eastAsia" w:ascii="宋体" w:hAnsi="宋体" w:eastAsia="宋体" w:cs="宋体"/>
          <w:b w:val="0"/>
          <w:bCs/>
          <w:color w:val="auto"/>
          <w:szCs w:val="24"/>
        </w:rPr>
        <w:t>Doutor Ricardo Jorge (INSA Porto), Porto, Portugal.</w:t>
      </w:r>
    </w:p>
    <w:p w14:paraId="22D790B3">
      <w:pPr>
        <w:rPr>
          <w:rFonts w:hint="eastAsia" w:ascii="宋体" w:hAnsi="宋体" w:eastAsia="宋体" w:cs="宋体"/>
          <w:b w:val="0"/>
          <w:bCs/>
          <w:color w:val="auto"/>
          <w:szCs w:val="24"/>
        </w:rPr>
      </w:pPr>
    </w:p>
    <w:p w14:paraId="237B135A">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Tuberculosis (TB) remains the leading infectious cause of death </w:t>
      </w:r>
    </w:p>
    <w:p w14:paraId="37D0AE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globally, disproportionately affecting people living with HIV and those with </w:t>
      </w:r>
    </w:p>
    <w:p w14:paraId="1E5263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drug-resistant TB. In Portugal, TB incidence and notification rates exceed the </w:t>
      </w:r>
    </w:p>
    <w:p w14:paraId="6C20DC26">
      <w:pPr>
        <w:rPr>
          <w:rFonts w:hint="eastAsia" w:ascii="宋体" w:hAnsi="宋体" w:eastAsia="宋体" w:cs="宋体"/>
          <w:b w:val="0"/>
          <w:bCs/>
          <w:color w:val="auto"/>
          <w:szCs w:val="24"/>
        </w:rPr>
      </w:pPr>
      <w:r>
        <w:rPr>
          <w:rFonts w:hint="eastAsia" w:ascii="宋体" w:hAnsi="宋体" w:eastAsia="宋体" w:cs="宋体"/>
          <w:b w:val="0"/>
          <w:bCs/>
          <w:color w:val="auto"/>
          <w:szCs w:val="24"/>
        </w:rPr>
        <w:t>European average, with diagnostic delays affecting underserved populations.</w:t>
      </w:r>
    </w:p>
    <w:p w14:paraId="3F02F2F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RESEARCH QUESTION: </w:t>
      </w:r>
      <w:r>
        <w:rPr>
          <w:rFonts w:hint="eastAsia" w:ascii="宋体" w:hAnsi="宋体" w:eastAsia="宋体" w:cs="宋体"/>
          <w:b w:val="0"/>
          <w:bCs/>
          <w:color w:val="auto"/>
          <w:szCs w:val="24"/>
        </w:rPr>
        <w:t xml:space="preserve">This study investigated factors contributing to total </w:t>
      </w:r>
    </w:p>
    <w:p w14:paraId="703477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diagnostic delay among people with TB in Portugal, particularly underserved </w:t>
      </w:r>
    </w:p>
    <w:p w14:paraId="724769CA">
      <w:pPr>
        <w:rPr>
          <w:rFonts w:hint="eastAsia" w:ascii="宋体" w:hAnsi="宋体" w:eastAsia="宋体" w:cs="宋体"/>
          <w:b w:val="0"/>
          <w:bCs/>
          <w:color w:val="auto"/>
          <w:szCs w:val="24"/>
        </w:rPr>
      </w:pPr>
      <w:r>
        <w:rPr>
          <w:rFonts w:hint="eastAsia" w:ascii="宋体" w:hAnsi="宋体" w:eastAsia="宋体" w:cs="宋体"/>
          <w:b w:val="0"/>
          <w:bCs/>
          <w:color w:val="auto"/>
          <w:szCs w:val="24"/>
        </w:rPr>
        <w:t>groups, and identified strategies to reduce these delays.</w:t>
      </w:r>
    </w:p>
    <w:p w14:paraId="071453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DESIGN AND METHODS: A convergent-parallel mixed-methods approach was used. </w:t>
      </w:r>
    </w:p>
    <w:p w14:paraId="34789E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Quantitative data came from 55 surveys, and qualitative data through 27 </w:t>
      </w:r>
    </w:p>
    <w:p w14:paraId="469FA0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semi-structured interviews and two focus group discussions. Descriptive </w:t>
      </w:r>
    </w:p>
    <w:p w14:paraId="042C4C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statistics and thematic analysis identified patterns of total diagnostic delay, </w:t>
      </w:r>
    </w:p>
    <w:p w14:paraId="326F13DC">
      <w:pPr>
        <w:rPr>
          <w:rFonts w:hint="eastAsia" w:ascii="宋体" w:hAnsi="宋体" w:eastAsia="宋体" w:cs="宋体"/>
          <w:b w:val="0"/>
          <w:bCs/>
          <w:color w:val="auto"/>
          <w:szCs w:val="24"/>
        </w:rPr>
      </w:pPr>
      <w:r>
        <w:rPr>
          <w:rFonts w:hint="eastAsia" w:ascii="宋体" w:hAnsi="宋体" w:eastAsia="宋体" w:cs="宋体"/>
          <w:b w:val="0"/>
          <w:bCs/>
          <w:color w:val="auto"/>
          <w:szCs w:val="24"/>
        </w:rPr>
        <w:t>contributing factors, and potential interventions.</w:t>
      </w:r>
    </w:p>
    <w:p w14:paraId="3E6C2C02">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Median total diagnostic delay was 45 days (IQR 21-60 days). In </w:t>
      </w:r>
    </w:p>
    <w:p w14:paraId="7376B3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exploratory comparisons, underserved groups reported longer total diagnostic </w:t>
      </w:r>
    </w:p>
    <w:p w14:paraId="23C591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delay than the general population. Key person-related barriers included symptom </w:t>
      </w:r>
    </w:p>
    <w:p w14:paraId="278525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normalisation, financial and logistical constraints, stigma, and fragmented </w:t>
      </w:r>
    </w:p>
    <w:p w14:paraId="4F8B8E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referral pathways. System-level obstacles such as complex paperwork, limited </w:t>
      </w:r>
    </w:p>
    <w:p w14:paraId="3D476B3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 hours, staff indifference, and language barriers compounded delays. </w:t>
      </w:r>
    </w:p>
    <w:p w14:paraId="0F9940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Proposed solutions included clear and non-judgemental communication, mobile </w:t>
      </w:r>
    </w:p>
    <w:p w14:paraId="2E621A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units, integrated electronic records, anti-stigma campaigns, and </w:t>
      </w:r>
    </w:p>
    <w:p w14:paraId="1CCC09D9">
      <w:pPr>
        <w:rPr>
          <w:rFonts w:hint="eastAsia" w:ascii="宋体" w:hAnsi="宋体" w:eastAsia="宋体" w:cs="宋体"/>
          <w:b w:val="0"/>
          <w:bCs/>
          <w:color w:val="auto"/>
          <w:szCs w:val="24"/>
        </w:rPr>
      </w:pPr>
      <w:r>
        <w:rPr>
          <w:rFonts w:hint="eastAsia" w:ascii="宋体" w:hAnsi="宋体" w:eastAsia="宋体" w:cs="宋体"/>
          <w:b w:val="0"/>
          <w:bCs/>
          <w:color w:val="auto"/>
          <w:szCs w:val="24"/>
        </w:rPr>
        <w:t>social support teams for healthcare navigation.</w:t>
      </w:r>
    </w:p>
    <w:p w14:paraId="59F9670D">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Diagnostic delays remain a major challenge in TB control in </w:t>
      </w:r>
    </w:p>
    <w:p w14:paraId="22FF76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Portugal, especially among underserved populations. Reducing these delays </w:t>
      </w:r>
    </w:p>
    <w:p w14:paraId="5A7DF6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requires multi-level interventions, including enhanced primary care awareness, </w:t>
      </w:r>
    </w:p>
    <w:p w14:paraId="3CF297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stigma reduction, compensation for indirect costs, and simpler administrative </w:t>
      </w:r>
    </w:p>
    <w:p w14:paraId="56F323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procedures. Addressing these barriers is essential to reduce preventable </w:t>
      </w:r>
    </w:p>
    <w:p w14:paraId="2B66D6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morbidity, limit ongoing transmission, and tackle health inequities, while </w:t>
      </w:r>
    </w:p>
    <w:p w14:paraId="30A21D7A">
      <w:pPr>
        <w:rPr>
          <w:rFonts w:hint="eastAsia" w:ascii="宋体" w:hAnsi="宋体" w:eastAsia="宋体" w:cs="宋体"/>
          <w:b w:val="0"/>
          <w:bCs/>
          <w:color w:val="auto"/>
          <w:szCs w:val="24"/>
        </w:rPr>
      </w:pPr>
      <w:r>
        <w:rPr>
          <w:rFonts w:hint="eastAsia" w:ascii="宋体" w:hAnsi="宋体" w:eastAsia="宋体" w:cs="宋体"/>
          <w:b w:val="0"/>
          <w:bCs/>
          <w:color w:val="auto"/>
          <w:szCs w:val="24"/>
        </w:rPr>
        <w:t>supporting progress towards national and global TB targets.</w:t>
      </w:r>
    </w:p>
    <w:p w14:paraId="21D59ED6">
      <w:pPr>
        <w:rPr>
          <w:rFonts w:hint="eastAsia" w:ascii="宋体" w:hAnsi="宋体" w:eastAsia="宋体" w:cs="宋体"/>
          <w:b w:val="0"/>
          <w:bCs/>
          <w:color w:val="auto"/>
          <w:szCs w:val="24"/>
        </w:rPr>
      </w:pPr>
    </w:p>
    <w:p w14:paraId="78715172">
      <w:pPr>
        <w:rPr>
          <w:rFonts w:hint="eastAsia" w:ascii="宋体" w:hAnsi="宋体" w:eastAsia="宋体" w:cs="宋体"/>
          <w:b w:val="0"/>
          <w:bCs/>
          <w:color w:val="auto"/>
          <w:szCs w:val="24"/>
        </w:rPr>
      </w:pPr>
      <w:r>
        <w:rPr>
          <w:rFonts w:hint="eastAsia" w:ascii="宋体" w:hAnsi="宋体" w:eastAsia="宋体" w:cs="宋体"/>
          <w:b w:val="0"/>
          <w:bCs/>
          <w:color w:val="auto"/>
          <w:szCs w:val="24"/>
        </w:rPr>
        <w:t>DOI: 10.1080/25310429.2026.2720832</w:t>
      </w:r>
    </w:p>
    <w:p w14:paraId="36284DD6">
      <w:pPr>
        <w:rPr>
          <w:rFonts w:hint="eastAsia" w:ascii="宋体" w:hAnsi="宋体" w:eastAsia="宋体" w:cs="宋体"/>
          <w:b w:val="0"/>
          <w:bCs/>
          <w:color w:val="auto"/>
          <w:szCs w:val="24"/>
        </w:rPr>
      </w:pPr>
      <w:r>
        <w:rPr>
          <w:rFonts w:hint="eastAsia" w:ascii="宋体" w:hAnsi="宋体" w:eastAsia="宋体" w:cs="宋体"/>
          <w:b w:val="0"/>
          <w:bCs/>
          <w:color w:val="auto"/>
          <w:szCs w:val="24"/>
        </w:rPr>
        <w:t>PMID: 42706887 [Indexed for MEDLINE]</w:t>
      </w:r>
    </w:p>
    <w:p w14:paraId="324CA5C0">
      <w:pPr>
        <w:rPr>
          <w:rFonts w:hint="eastAsia" w:ascii="宋体" w:hAnsi="宋体" w:eastAsia="宋体" w:cs="宋体"/>
          <w:b w:val="0"/>
          <w:bCs/>
          <w:color w:val="auto"/>
          <w:szCs w:val="24"/>
        </w:rPr>
      </w:pPr>
    </w:p>
    <w:p w14:paraId="2D9D93BD">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41</w:t>
      </w:r>
      <w:r>
        <w:rPr>
          <w:rFonts w:hint="eastAsia" w:ascii="宋体" w:hAnsi="宋体" w:eastAsia="宋体" w:cs="宋体"/>
          <w:b/>
          <w:bCs w:val="0"/>
          <w:color w:val="FF0000"/>
          <w:szCs w:val="24"/>
        </w:rPr>
        <w:t>. BMJ Open. 2026 Sep 7;16(9):e121274. doi: 10.1136/bmjopen-2026-121274.</w:t>
      </w:r>
    </w:p>
    <w:p w14:paraId="5A2A490D">
      <w:pPr>
        <w:rPr>
          <w:rFonts w:hint="eastAsia" w:ascii="宋体" w:hAnsi="宋体" w:eastAsia="宋体" w:cs="宋体"/>
          <w:b w:val="0"/>
          <w:bCs/>
          <w:color w:val="auto"/>
          <w:szCs w:val="24"/>
        </w:rPr>
      </w:pPr>
    </w:p>
    <w:p w14:paraId="7FC994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Two-phase study to optimise diagnosis and treatment for children and adolescents </w:t>
      </w:r>
    </w:p>
    <w:p w14:paraId="20D003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tuberculosis in Namibia: knowledge, attitudes and practices of healthcare </w:t>
      </w:r>
    </w:p>
    <w:p w14:paraId="28DCE1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workers before and after the rollout of updated child and adolescent </w:t>
      </w:r>
    </w:p>
    <w:p w14:paraId="6CCF3C7C">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clinical guidelines.</w:t>
      </w:r>
    </w:p>
    <w:p w14:paraId="7DC8F6DC">
      <w:pPr>
        <w:rPr>
          <w:rFonts w:hint="eastAsia" w:ascii="宋体" w:hAnsi="宋体" w:eastAsia="宋体" w:cs="宋体"/>
          <w:b w:val="0"/>
          <w:bCs/>
          <w:color w:val="auto"/>
          <w:szCs w:val="24"/>
        </w:rPr>
      </w:pPr>
    </w:p>
    <w:p w14:paraId="5BEFA4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Hsia MA(1), Ruswa N(2), Shililifa R(2), Talbot EA(3), Mungunda H(4), Shiweva </w:t>
      </w:r>
    </w:p>
    <w:p w14:paraId="70DB4E4B">
      <w:pPr>
        <w:rPr>
          <w:rFonts w:hint="eastAsia" w:ascii="宋体" w:hAnsi="宋体" w:eastAsia="宋体" w:cs="宋体"/>
          <w:b w:val="0"/>
          <w:bCs/>
          <w:color w:val="auto"/>
          <w:szCs w:val="24"/>
        </w:rPr>
      </w:pPr>
      <w:r>
        <w:rPr>
          <w:rFonts w:hint="eastAsia" w:ascii="宋体" w:hAnsi="宋体" w:eastAsia="宋体" w:cs="宋体"/>
          <w:b w:val="0"/>
          <w:bCs/>
          <w:color w:val="auto"/>
          <w:szCs w:val="24"/>
        </w:rPr>
        <w:t>L(4), Steenkamp P(5), Zvavaamwe C(6), Claassens MM(4), Adams LV(7).</w:t>
      </w:r>
    </w:p>
    <w:p w14:paraId="25CDAB47">
      <w:pPr>
        <w:rPr>
          <w:rFonts w:hint="eastAsia" w:ascii="宋体" w:hAnsi="宋体" w:eastAsia="宋体" w:cs="宋体"/>
          <w:b w:val="0"/>
          <w:bCs/>
          <w:color w:val="auto"/>
          <w:szCs w:val="24"/>
        </w:rPr>
      </w:pPr>
    </w:p>
    <w:p w14:paraId="77C8E84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F127F34">
      <w:pPr>
        <w:rPr>
          <w:rFonts w:hint="eastAsia" w:ascii="宋体" w:hAnsi="宋体" w:eastAsia="宋体" w:cs="宋体"/>
          <w:b w:val="0"/>
          <w:bCs/>
          <w:color w:val="auto"/>
          <w:szCs w:val="24"/>
        </w:rPr>
      </w:pPr>
      <w:r>
        <w:rPr>
          <w:rFonts w:hint="eastAsia" w:ascii="宋体" w:hAnsi="宋体" w:eastAsia="宋体" w:cs="宋体"/>
          <w:b w:val="0"/>
          <w:bCs/>
          <w:color w:val="auto"/>
          <w:szCs w:val="24"/>
        </w:rPr>
        <w:t>(1)Dartmouth College, Hanover, New Hampshire, USA.</w:t>
      </w:r>
    </w:p>
    <w:p w14:paraId="5367EA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(2)National Tuberculosis and Leprosy Programme, Republic of Namibia Ministry of </w:t>
      </w:r>
    </w:p>
    <w:p w14:paraId="62E5F00B">
      <w:pPr>
        <w:rPr>
          <w:rFonts w:hint="eastAsia" w:ascii="宋体" w:hAnsi="宋体" w:eastAsia="宋体" w:cs="宋体"/>
          <w:b w:val="0"/>
          <w:bCs/>
          <w:color w:val="auto"/>
          <w:szCs w:val="24"/>
        </w:rPr>
      </w:pPr>
      <w:r>
        <w:rPr>
          <w:rFonts w:hint="eastAsia" w:ascii="宋体" w:hAnsi="宋体" w:eastAsia="宋体" w:cs="宋体"/>
          <w:b w:val="0"/>
          <w:bCs/>
          <w:color w:val="auto"/>
          <w:szCs w:val="24"/>
        </w:rPr>
        <w:t>Health and Social Services, Windhoek, Khomas Region, Namibia.</w:t>
      </w:r>
    </w:p>
    <w:p w14:paraId="2044FA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(3)Medicine, Geisel School of Medicine at Dartmouth, Hanover, New Hampshire, </w:t>
      </w:r>
    </w:p>
    <w:p w14:paraId="2716B766">
      <w:pPr>
        <w:rPr>
          <w:rFonts w:hint="eastAsia" w:ascii="宋体" w:hAnsi="宋体" w:eastAsia="宋体" w:cs="宋体"/>
          <w:b w:val="0"/>
          <w:bCs/>
          <w:color w:val="auto"/>
          <w:szCs w:val="24"/>
        </w:rPr>
      </w:pPr>
      <w:r>
        <w:rPr>
          <w:rFonts w:hint="eastAsia" w:ascii="宋体" w:hAnsi="宋体" w:eastAsia="宋体" w:cs="宋体"/>
          <w:b w:val="0"/>
          <w:bCs/>
          <w:color w:val="auto"/>
          <w:szCs w:val="24"/>
        </w:rPr>
        <w:t>USA.</w:t>
      </w:r>
    </w:p>
    <w:p w14:paraId="56DE1F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Human, Biological and Translational Medical Sciences, </w:t>
      </w:r>
    </w:p>
    <w:p w14:paraId="7AE2A083">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Namibia, Windhoek, Khomas Region, Namibia.</w:t>
      </w:r>
    </w:p>
    <w:p w14:paraId="10528812">
      <w:pPr>
        <w:rPr>
          <w:rFonts w:hint="eastAsia" w:ascii="宋体" w:hAnsi="宋体" w:eastAsia="宋体" w:cs="宋体"/>
          <w:b w:val="0"/>
          <w:bCs/>
          <w:color w:val="auto"/>
          <w:szCs w:val="24"/>
        </w:rPr>
      </w:pPr>
      <w:r>
        <w:rPr>
          <w:rFonts w:hint="eastAsia" w:ascii="宋体" w:hAnsi="宋体" w:eastAsia="宋体" w:cs="宋体"/>
          <w:b w:val="0"/>
          <w:bCs/>
          <w:color w:val="auto"/>
          <w:szCs w:val="24"/>
        </w:rPr>
        <w:t>(5)Health Poverty Action, Gobabis, Namibia.</w:t>
      </w:r>
    </w:p>
    <w:p w14:paraId="7F7F3590">
      <w:pPr>
        <w:rPr>
          <w:rFonts w:hint="eastAsia" w:ascii="宋体" w:hAnsi="宋体" w:eastAsia="宋体" w:cs="宋体"/>
          <w:b w:val="0"/>
          <w:bCs/>
          <w:color w:val="auto"/>
          <w:szCs w:val="24"/>
        </w:rPr>
      </w:pPr>
      <w:r>
        <w:rPr>
          <w:rFonts w:hint="eastAsia" w:ascii="宋体" w:hAnsi="宋体" w:eastAsia="宋体" w:cs="宋体"/>
          <w:b w:val="0"/>
          <w:bCs/>
          <w:color w:val="auto"/>
          <w:szCs w:val="24"/>
        </w:rPr>
        <w:t>(6)Advanced Community Health Care Services Namibia, Windhoek, Namibia.</w:t>
      </w:r>
    </w:p>
    <w:p w14:paraId="6A7D9C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(7)Medicine; Epidemiology; Community and Family Medicine, Geisel School of </w:t>
      </w:r>
    </w:p>
    <w:p w14:paraId="4CB91225">
      <w:pPr>
        <w:rPr>
          <w:rFonts w:hint="eastAsia" w:ascii="宋体" w:hAnsi="宋体" w:eastAsia="宋体" w:cs="宋体"/>
          <w:b w:val="0"/>
          <w:bCs/>
          <w:color w:val="auto"/>
          <w:szCs w:val="24"/>
        </w:rPr>
      </w:pPr>
      <w:r>
        <w:rPr>
          <w:rFonts w:hint="eastAsia" w:ascii="宋体" w:hAnsi="宋体" w:eastAsia="宋体" w:cs="宋体"/>
          <w:b w:val="0"/>
          <w:bCs/>
          <w:color w:val="auto"/>
          <w:szCs w:val="24"/>
        </w:rPr>
        <w:t>Medicine at Dartmouth, Hanover, New Hampshire, USA Lisa.V.Adams@dartmouth.edu.</w:t>
      </w:r>
    </w:p>
    <w:p w14:paraId="4D6934B3">
      <w:pPr>
        <w:rPr>
          <w:rFonts w:hint="eastAsia" w:ascii="宋体" w:hAnsi="宋体" w:eastAsia="宋体" w:cs="宋体"/>
          <w:b w:val="0"/>
          <w:bCs/>
          <w:color w:val="auto"/>
          <w:szCs w:val="24"/>
        </w:rPr>
      </w:pPr>
    </w:p>
    <w:p w14:paraId="6E60742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INTRODUCTION: </w:t>
      </w:r>
      <w:r>
        <w:rPr>
          <w:rFonts w:hint="eastAsia" w:ascii="宋体" w:hAnsi="宋体" w:eastAsia="宋体" w:cs="宋体"/>
          <w:b w:val="0"/>
          <w:bCs/>
          <w:color w:val="auto"/>
          <w:szCs w:val="24"/>
        </w:rPr>
        <w:t xml:space="preserve">Child and adolescent tuberculosis (CATB) poses a significant </w:t>
      </w:r>
    </w:p>
    <w:p w14:paraId="4E4D65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 burden with an estimated 1.25 million diagnoses and 191 000 deaths </w:t>
      </w:r>
    </w:p>
    <w:p w14:paraId="5CE412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annually, disproportionately higher than adult rates. Over half of CATB cases </w:t>
      </w:r>
    </w:p>
    <w:p w14:paraId="219D09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remain unreported, and burden increases are expected following the USA's </w:t>
      </w:r>
    </w:p>
    <w:p w14:paraId="0EC381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aid withdrawal, particularly affecting high-burden countries </w:t>
      </w:r>
    </w:p>
    <w:p w14:paraId="6AA5D77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Namibia. Namibian children under the age of 15 years account for 10% </w:t>
      </w:r>
    </w:p>
    <w:p w14:paraId="0BCDEBC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notified TB cases, with under-reporting suggesting higher actual morbidity </w:t>
      </w:r>
    </w:p>
    <w:p w14:paraId="029E3E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mortality. Through a multistakeholder process in 2024, Namibia's National </w:t>
      </w:r>
    </w:p>
    <w:p w14:paraId="339D38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and Leprosy Programme (NTLP) updated its National Clinical </w:t>
      </w:r>
    </w:p>
    <w:p w14:paraId="59FFF2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Guidelines for CATB management. We aim to (1) assess baseline levels of CATB </w:t>
      </w:r>
    </w:p>
    <w:p w14:paraId="7FD5B1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diagnosis and management knowledge and (2) evaluate post-training knowledge, </w:t>
      </w:r>
    </w:p>
    <w:p w14:paraId="19E344A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attitudes and practices (KAP) with updated guidelines to identify gaps informing </w:t>
      </w:r>
    </w:p>
    <w:p w14:paraId="70562AF7">
      <w:pPr>
        <w:rPr>
          <w:rFonts w:hint="eastAsia" w:ascii="宋体" w:hAnsi="宋体" w:eastAsia="宋体" w:cs="宋体"/>
          <w:b w:val="0"/>
          <w:bCs/>
          <w:color w:val="auto"/>
          <w:szCs w:val="24"/>
        </w:rPr>
      </w:pPr>
      <w:r>
        <w:rPr>
          <w:rFonts w:hint="eastAsia" w:ascii="宋体" w:hAnsi="宋体" w:eastAsia="宋体" w:cs="宋体"/>
          <w:b w:val="0"/>
          <w:bCs/>
          <w:color w:val="auto"/>
          <w:szCs w:val="24"/>
        </w:rPr>
        <w:t>targeted interventions and policy refinement.</w:t>
      </w:r>
    </w:p>
    <w:p w14:paraId="2DD8578E">
      <w:pPr>
        <w:rPr>
          <w:rFonts w:hint="eastAsia" w:ascii="宋体" w:hAnsi="宋体" w:eastAsia="宋体" w:cs="宋体"/>
          <w:b w:val="0"/>
          <w:bCs/>
          <w:color w:val="auto"/>
          <w:szCs w:val="24"/>
        </w:rPr>
      </w:pPr>
      <w:r>
        <w:rPr>
          <w:rFonts w:hint="eastAsia" w:ascii="宋体" w:hAnsi="宋体" w:eastAsia="宋体" w:cs="宋体"/>
          <w:b/>
          <w:bCs w:val="0"/>
          <w:color w:val="auto"/>
          <w:szCs w:val="24"/>
        </w:rPr>
        <w:t>METHODS AND ANALYSIS:</w:t>
      </w:r>
      <w:r>
        <w:rPr>
          <w:rFonts w:hint="eastAsia" w:ascii="宋体" w:hAnsi="宋体" w:eastAsia="宋体" w:cs="宋体"/>
          <w:b w:val="0"/>
          <w:bCs/>
          <w:color w:val="auto"/>
          <w:szCs w:val="24"/>
        </w:rPr>
        <w:t xml:space="preserve"> We plan to conduct a two-phase evaluation of healthcare </w:t>
      </w:r>
    </w:p>
    <w:p w14:paraId="6CF6EF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workers' (HCWs) KAP regarding CATB diagnosis and management across Namibia. A </w:t>
      </w:r>
    </w:p>
    <w:p w14:paraId="4C915E1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collaborative team from Dartmouth, the University of Namibia (UNAM) and NTLP </w:t>
      </w:r>
    </w:p>
    <w:p w14:paraId="0435D0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developed, piloted and refined a standardised assessment tool. 256 HCWs involved </w:t>
      </w:r>
    </w:p>
    <w:p w14:paraId="722C1B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all TB care levels are selected at three facilities per district across 16 </w:t>
      </w:r>
    </w:p>
    <w:p w14:paraId="65DCE6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districts stratified by TB burden (high, medium and low). Baseline data (KAP1) </w:t>
      </w:r>
    </w:p>
    <w:p w14:paraId="462FBB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collected before national training on updated guidelines, with follow-up </w:t>
      </w:r>
    </w:p>
    <w:p w14:paraId="241DDB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assessment (KAP2) planned at 6 months post-training using the same procedures on </w:t>
      </w:r>
    </w:p>
    <w:p w14:paraId="228B630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secure Research Electronic Data Capture (REDCap) platform. Descriptive </w:t>
      </w:r>
    </w:p>
    <w:p w14:paraId="34F3A8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analyses and regression models will summarise baseline KAP, while McNemar tests </w:t>
      </w:r>
    </w:p>
    <w:p w14:paraId="5E2B98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paired t-tests will evaluate changes over time for participants who </w:t>
      </w:r>
    </w:p>
    <w:p w14:paraId="341A1EC9">
      <w:pPr>
        <w:rPr>
          <w:rFonts w:hint="eastAsia" w:ascii="宋体" w:hAnsi="宋体" w:eastAsia="宋体" w:cs="宋体"/>
          <w:b w:val="0"/>
          <w:bCs/>
          <w:color w:val="auto"/>
          <w:szCs w:val="24"/>
        </w:rPr>
      </w:pPr>
      <w:r>
        <w:rPr>
          <w:rFonts w:hint="eastAsia" w:ascii="宋体" w:hAnsi="宋体" w:eastAsia="宋体" w:cs="宋体"/>
          <w:b w:val="0"/>
          <w:bCs/>
          <w:color w:val="auto"/>
          <w:szCs w:val="24"/>
        </w:rPr>
        <w:t>completed both KAP assessments.</w:t>
      </w:r>
    </w:p>
    <w:p w14:paraId="7E130C44">
      <w:pPr>
        <w:rPr>
          <w:rFonts w:hint="eastAsia" w:ascii="宋体" w:hAnsi="宋体" w:eastAsia="宋体" w:cs="宋体"/>
          <w:b w:val="0"/>
          <w:bCs/>
          <w:color w:val="auto"/>
          <w:szCs w:val="24"/>
        </w:rPr>
      </w:pPr>
      <w:r>
        <w:rPr>
          <w:rFonts w:hint="eastAsia" w:ascii="宋体" w:hAnsi="宋体" w:eastAsia="宋体" w:cs="宋体"/>
          <w:b/>
          <w:bCs w:val="0"/>
          <w:color w:val="auto"/>
          <w:szCs w:val="24"/>
        </w:rPr>
        <w:t>ETHICS AND DISSEMINATION:</w:t>
      </w:r>
      <w:r>
        <w:rPr>
          <w:rFonts w:hint="eastAsia" w:ascii="宋体" w:hAnsi="宋体" w:eastAsia="宋体" w:cs="宋体"/>
          <w:b w:val="0"/>
          <w:bCs/>
          <w:color w:val="auto"/>
          <w:szCs w:val="24"/>
        </w:rPr>
        <w:t xml:space="preserve"> Ethics approval was obtained from the UNAM and the </w:t>
      </w:r>
    </w:p>
    <w:p w14:paraId="7C68D9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Ministry of Health and Social Services (MoHSS). Written informed consent is </w:t>
      </w:r>
    </w:p>
    <w:p w14:paraId="53348E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obtained from all participants, protecting confidentiality and using secure data </w:t>
      </w:r>
    </w:p>
    <w:p w14:paraId="3262E9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storage. Findings will be disseminated through Namibian MoHSS reports, </w:t>
      </w:r>
    </w:p>
    <w:p w14:paraId="1FFF2ED9">
      <w:pPr>
        <w:rPr>
          <w:rFonts w:hint="eastAsia" w:ascii="宋体" w:hAnsi="宋体" w:eastAsia="宋体" w:cs="宋体"/>
          <w:b w:val="0"/>
          <w:bCs/>
          <w:color w:val="auto"/>
          <w:szCs w:val="24"/>
        </w:rPr>
      </w:pPr>
      <w:r>
        <w:rPr>
          <w:rFonts w:hint="eastAsia" w:ascii="宋体" w:hAnsi="宋体" w:eastAsia="宋体" w:cs="宋体"/>
          <w:b w:val="0"/>
          <w:bCs/>
          <w:color w:val="auto"/>
          <w:szCs w:val="24"/>
        </w:rPr>
        <w:t>conference presentations, peer-reviewed publications and policy briefs.</w:t>
      </w:r>
    </w:p>
    <w:p w14:paraId="1EB30612">
      <w:pPr>
        <w:rPr>
          <w:rFonts w:hint="eastAsia" w:ascii="宋体" w:hAnsi="宋体" w:eastAsia="宋体" w:cs="宋体"/>
          <w:b w:val="0"/>
          <w:bCs/>
          <w:color w:val="auto"/>
          <w:szCs w:val="24"/>
        </w:rPr>
      </w:pPr>
    </w:p>
    <w:p w14:paraId="039BBF8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Author(s) (or their employer(s)) 2026. Re-use permitted under CC BY-NC. No </w:t>
      </w:r>
    </w:p>
    <w:p w14:paraId="063B56C6">
      <w:pPr>
        <w:rPr>
          <w:rFonts w:hint="eastAsia" w:ascii="宋体" w:hAnsi="宋体" w:eastAsia="宋体" w:cs="宋体"/>
          <w:b w:val="0"/>
          <w:bCs/>
          <w:color w:val="auto"/>
          <w:szCs w:val="24"/>
        </w:rPr>
      </w:pPr>
      <w:r>
        <w:rPr>
          <w:rFonts w:hint="eastAsia" w:ascii="宋体" w:hAnsi="宋体" w:eastAsia="宋体" w:cs="宋体"/>
          <w:b w:val="0"/>
          <w:bCs/>
          <w:color w:val="auto"/>
          <w:szCs w:val="24"/>
        </w:rPr>
        <w:t>commercial re-use. See rights and permissions. Published by BMJ Group.</w:t>
      </w:r>
    </w:p>
    <w:p w14:paraId="252CBF1E">
      <w:pPr>
        <w:rPr>
          <w:rFonts w:hint="eastAsia" w:ascii="宋体" w:hAnsi="宋体" w:eastAsia="宋体" w:cs="宋体"/>
          <w:b w:val="0"/>
          <w:bCs/>
          <w:color w:val="auto"/>
          <w:szCs w:val="24"/>
        </w:rPr>
      </w:pPr>
    </w:p>
    <w:p w14:paraId="30370CB7">
      <w:pPr>
        <w:rPr>
          <w:rFonts w:hint="eastAsia" w:ascii="宋体" w:hAnsi="宋体" w:eastAsia="宋体" w:cs="宋体"/>
          <w:b w:val="0"/>
          <w:bCs/>
          <w:color w:val="auto"/>
          <w:szCs w:val="24"/>
        </w:rPr>
      </w:pPr>
      <w:r>
        <w:rPr>
          <w:rFonts w:hint="eastAsia" w:ascii="宋体" w:hAnsi="宋体" w:eastAsia="宋体" w:cs="宋体"/>
          <w:b w:val="0"/>
          <w:bCs/>
          <w:color w:val="auto"/>
          <w:szCs w:val="24"/>
        </w:rPr>
        <w:t>DOI: 10.1136/bmjopen-2026-121274</w:t>
      </w:r>
    </w:p>
    <w:p w14:paraId="28952975">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PMC13560955</w:t>
      </w:r>
    </w:p>
    <w:p w14:paraId="4604F70C">
      <w:pPr>
        <w:rPr>
          <w:rFonts w:hint="eastAsia" w:ascii="宋体" w:hAnsi="宋体" w:eastAsia="宋体" w:cs="宋体"/>
          <w:b w:val="0"/>
          <w:bCs/>
          <w:color w:val="auto"/>
          <w:szCs w:val="24"/>
        </w:rPr>
      </w:pPr>
      <w:r>
        <w:rPr>
          <w:rFonts w:hint="eastAsia" w:ascii="宋体" w:hAnsi="宋体" w:eastAsia="宋体" w:cs="宋体"/>
          <w:b w:val="0"/>
          <w:bCs/>
          <w:color w:val="auto"/>
          <w:szCs w:val="24"/>
        </w:rPr>
        <w:t>PMID: 42705669 [Indexed for MEDLINE]</w:t>
      </w:r>
    </w:p>
    <w:p w14:paraId="517234CB">
      <w:pPr>
        <w:rPr>
          <w:rFonts w:hint="eastAsia" w:ascii="宋体" w:hAnsi="宋体" w:eastAsia="宋体" w:cs="宋体"/>
          <w:b w:val="0"/>
          <w:bCs/>
          <w:color w:val="auto"/>
          <w:szCs w:val="24"/>
        </w:rPr>
      </w:pPr>
    </w:p>
    <w:p w14:paraId="766620CD">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42</w:t>
      </w:r>
      <w:r>
        <w:rPr>
          <w:rFonts w:hint="eastAsia" w:ascii="宋体" w:hAnsi="宋体" w:eastAsia="宋体" w:cs="宋体"/>
          <w:b/>
          <w:bCs w:val="0"/>
          <w:color w:val="FF0000"/>
          <w:szCs w:val="24"/>
        </w:rPr>
        <w:t xml:space="preserve">. Clin Microbiol Infect. 2026 Sep 7:S1198-743X(26)00496-9. doi: </w:t>
      </w:r>
    </w:p>
    <w:p w14:paraId="023F40FD">
      <w:pPr>
        <w:rPr>
          <w:rFonts w:hint="eastAsia" w:ascii="宋体" w:hAnsi="宋体" w:eastAsia="宋体" w:cs="宋体"/>
          <w:b/>
          <w:bCs w:val="0"/>
          <w:color w:val="FF0000"/>
          <w:szCs w:val="24"/>
        </w:rPr>
      </w:pPr>
      <w:r>
        <w:rPr>
          <w:rFonts w:hint="eastAsia" w:ascii="宋体" w:hAnsi="宋体" w:eastAsia="宋体" w:cs="宋体"/>
          <w:b/>
          <w:bCs w:val="0"/>
          <w:color w:val="FF0000"/>
          <w:szCs w:val="24"/>
        </w:rPr>
        <w:t>10.1016/j.cmi.2026.09.001. Online ahead of print.</w:t>
      </w:r>
    </w:p>
    <w:p w14:paraId="3195ECC6">
      <w:pPr>
        <w:rPr>
          <w:rFonts w:hint="eastAsia" w:ascii="宋体" w:hAnsi="宋体" w:eastAsia="宋体" w:cs="宋体"/>
          <w:b w:val="0"/>
          <w:bCs/>
          <w:color w:val="auto"/>
          <w:szCs w:val="24"/>
        </w:rPr>
      </w:pPr>
    </w:p>
    <w:p w14:paraId="24F4FD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'Immune-response magnitude to tuberculosis infection tests and short-term </w:t>
      </w:r>
    </w:p>
    <w:p w14:paraId="69121CD4">
      <w:pPr>
        <w:rPr>
          <w:rFonts w:hint="eastAsia" w:ascii="宋体" w:hAnsi="宋体" w:eastAsia="宋体" w:cs="宋体"/>
          <w:b w:val="0"/>
          <w:bCs/>
          <w:color w:val="auto"/>
          <w:szCs w:val="24"/>
        </w:rPr>
      </w:pPr>
      <w:r>
        <w:rPr>
          <w:rFonts w:hint="eastAsia" w:ascii="宋体" w:hAnsi="宋体" w:eastAsia="宋体" w:cs="宋体"/>
          <w:b w:val="0"/>
          <w:bCs/>
          <w:color w:val="auto"/>
          <w:szCs w:val="24"/>
        </w:rPr>
        <w:t>disease risk' - Author's reply.</w:t>
      </w:r>
    </w:p>
    <w:p w14:paraId="1D8D31B4">
      <w:pPr>
        <w:rPr>
          <w:rFonts w:hint="eastAsia" w:ascii="宋体" w:hAnsi="宋体" w:eastAsia="宋体" w:cs="宋体"/>
          <w:b w:val="0"/>
          <w:bCs/>
          <w:color w:val="auto"/>
          <w:szCs w:val="24"/>
        </w:rPr>
      </w:pPr>
    </w:p>
    <w:p w14:paraId="4779BC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Ratovoson R(1), Donkeng Donfack VF(2), Ranaivomanana P(3), Rakotosamimanana </w:t>
      </w:r>
    </w:p>
    <w:p w14:paraId="28B0F04B">
      <w:pPr>
        <w:rPr>
          <w:rFonts w:hint="eastAsia" w:ascii="宋体" w:hAnsi="宋体" w:eastAsia="宋体" w:cs="宋体"/>
          <w:b w:val="0"/>
          <w:bCs/>
          <w:color w:val="auto"/>
          <w:szCs w:val="24"/>
        </w:rPr>
      </w:pPr>
      <w:r>
        <w:rPr>
          <w:rFonts w:hint="eastAsia" w:ascii="宋体" w:hAnsi="宋体" w:eastAsia="宋体" w:cs="宋体"/>
          <w:b w:val="0"/>
          <w:bCs/>
          <w:color w:val="auto"/>
          <w:szCs w:val="24"/>
        </w:rPr>
        <w:t>N(3), Hoffmann J(4).</w:t>
      </w:r>
    </w:p>
    <w:p w14:paraId="61896654">
      <w:pPr>
        <w:rPr>
          <w:rFonts w:hint="eastAsia" w:ascii="宋体" w:hAnsi="宋体" w:eastAsia="宋体" w:cs="宋体"/>
          <w:b w:val="0"/>
          <w:bCs/>
          <w:color w:val="auto"/>
          <w:szCs w:val="24"/>
        </w:rPr>
      </w:pPr>
    </w:p>
    <w:p w14:paraId="29DE61D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3490F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(1)Institut Pasteur de Madagascar, Unité d'Épidémiologie et de Recherche </w:t>
      </w:r>
    </w:p>
    <w:p w14:paraId="5911C174">
      <w:pPr>
        <w:rPr>
          <w:rFonts w:hint="eastAsia" w:ascii="宋体" w:hAnsi="宋体" w:eastAsia="宋体" w:cs="宋体"/>
          <w:b w:val="0"/>
          <w:bCs/>
          <w:color w:val="auto"/>
          <w:szCs w:val="24"/>
        </w:rPr>
      </w:pPr>
      <w:r>
        <w:rPr>
          <w:rFonts w:hint="eastAsia" w:ascii="宋体" w:hAnsi="宋体" w:eastAsia="宋体" w:cs="宋体"/>
          <w:b w:val="0"/>
          <w:bCs/>
          <w:color w:val="auto"/>
          <w:szCs w:val="24"/>
        </w:rPr>
        <w:t>Clinique, Antananarivo, Madagascar.</w:t>
      </w:r>
    </w:p>
    <w:p w14:paraId="6A2F473F">
      <w:pPr>
        <w:rPr>
          <w:rFonts w:hint="eastAsia" w:ascii="宋体" w:hAnsi="宋体" w:eastAsia="宋体" w:cs="宋体"/>
          <w:b w:val="0"/>
          <w:bCs/>
          <w:color w:val="auto"/>
          <w:szCs w:val="24"/>
        </w:rPr>
      </w:pPr>
      <w:r>
        <w:rPr>
          <w:rFonts w:hint="eastAsia" w:ascii="宋体" w:hAnsi="宋体" w:eastAsia="宋体" w:cs="宋体"/>
          <w:b w:val="0"/>
          <w:bCs/>
          <w:color w:val="auto"/>
          <w:szCs w:val="24"/>
        </w:rPr>
        <w:t>(2)Centre Pasteur du Cameroun, Unité de Mycobactériologie, Yaoundé, Cameroon.</w:t>
      </w:r>
    </w:p>
    <w:p w14:paraId="2A1D7A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(3)Institut Pasteur de Madagascar, Unité des Mycobactéries, Antananarivo, </w:t>
      </w:r>
    </w:p>
    <w:p w14:paraId="5BA6BFD9">
      <w:pPr>
        <w:rPr>
          <w:rFonts w:hint="eastAsia" w:ascii="宋体" w:hAnsi="宋体" w:eastAsia="宋体" w:cs="宋体"/>
          <w:b w:val="0"/>
          <w:bCs/>
          <w:color w:val="auto"/>
          <w:szCs w:val="24"/>
        </w:rPr>
      </w:pPr>
      <w:r>
        <w:rPr>
          <w:rFonts w:hint="eastAsia" w:ascii="宋体" w:hAnsi="宋体" w:eastAsia="宋体" w:cs="宋体"/>
          <w:b w:val="0"/>
          <w:bCs/>
          <w:color w:val="auto"/>
          <w:szCs w:val="24"/>
        </w:rPr>
        <w:t>Madagascar.</w:t>
      </w:r>
    </w:p>
    <w:p w14:paraId="50DC97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(4)Fondation Mérieux, Lyon, France. Electronic address: </w:t>
      </w:r>
    </w:p>
    <w:p w14:paraId="582B2A10">
      <w:pPr>
        <w:rPr>
          <w:rFonts w:hint="eastAsia" w:ascii="宋体" w:hAnsi="宋体" w:eastAsia="宋体" w:cs="宋体"/>
          <w:b w:val="0"/>
          <w:bCs/>
          <w:color w:val="auto"/>
          <w:szCs w:val="24"/>
        </w:rPr>
      </w:pPr>
      <w:r>
        <w:rPr>
          <w:rFonts w:hint="eastAsia" w:ascii="宋体" w:hAnsi="宋体" w:eastAsia="宋体" w:cs="宋体"/>
          <w:b w:val="0"/>
          <w:bCs/>
          <w:color w:val="auto"/>
          <w:szCs w:val="24"/>
        </w:rPr>
        <w:t>jonathan.hoffmann@fondation-merieux.org.</w:t>
      </w:r>
    </w:p>
    <w:p w14:paraId="4DFE1B39">
      <w:pPr>
        <w:rPr>
          <w:rFonts w:hint="eastAsia" w:ascii="宋体" w:hAnsi="宋体" w:eastAsia="宋体" w:cs="宋体"/>
          <w:b w:val="0"/>
          <w:bCs/>
          <w:color w:val="auto"/>
          <w:szCs w:val="24"/>
        </w:rPr>
      </w:pPr>
    </w:p>
    <w:p w14:paraId="514A2C84">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10.1016/j.cmi.2026.09.001</w:t>
      </w:r>
    </w:p>
    <w:p w14:paraId="10B8F10D">
      <w:pPr>
        <w:rPr>
          <w:rFonts w:hint="eastAsia" w:ascii="宋体" w:hAnsi="宋体" w:eastAsia="宋体" w:cs="宋体"/>
          <w:b w:val="0"/>
          <w:bCs/>
          <w:color w:val="auto"/>
          <w:szCs w:val="24"/>
        </w:rPr>
      </w:pPr>
      <w:r>
        <w:rPr>
          <w:rFonts w:hint="eastAsia" w:ascii="宋体" w:hAnsi="宋体" w:eastAsia="宋体" w:cs="宋体"/>
          <w:b w:val="0"/>
          <w:bCs/>
          <w:color w:val="auto"/>
          <w:szCs w:val="24"/>
        </w:rPr>
        <w:t>PMID: 42705535</w:t>
      </w:r>
    </w:p>
    <w:p w14:paraId="291BBFEA">
      <w:pPr>
        <w:rPr>
          <w:rFonts w:hint="eastAsia" w:ascii="宋体" w:hAnsi="宋体" w:eastAsia="宋体" w:cs="宋体"/>
          <w:b w:val="0"/>
          <w:bCs/>
          <w:color w:val="auto"/>
          <w:szCs w:val="24"/>
        </w:rPr>
      </w:pPr>
    </w:p>
    <w:p w14:paraId="0AAB0CF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43</w:t>
      </w:r>
      <w:r>
        <w:rPr>
          <w:rFonts w:hint="eastAsia" w:ascii="宋体" w:hAnsi="宋体" w:eastAsia="宋体" w:cs="宋体"/>
          <w:b/>
          <w:bCs w:val="0"/>
          <w:color w:val="FF0000"/>
          <w:szCs w:val="24"/>
        </w:rPr>
        <w:t>. Ann Intern Med. 2026 Sep 8. doi: 10.7326/ANNALS-26-03002. Online ahead of print.</w:t>
      </w:r>
    </w:p>
    <w:p w14:paraId="4C0510A5">
      <w:pPr>
        <w:rPr>
          <w:rFonts w:hint="eastAsia" w:ascii="宋体" w:hAnsi="宋体" w:eastAsia="宋体" w:cs="宋体"/>
          <w:b w:val="0"/>
          <w:bCs/>
          <w:color w:val="auto"/>
          <w:szCs w:val="24"/>
        </w:rPr>
      </w:pPr>
    </w:p>
    <w:p w14:paraId="24893B9F">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w:t>
      </w:r>
    </w:p>
    <w:p w14:paraId="3FE2FF6A">
      <w:pPr>
        <w:rPr>
          <w:rFonts w:hint="eastAsia" w:ascii="宋体" w:hAnsi="宋体" w:eastAsia="宋体" w:cs="宋体"/>
          <w:b w:val="0"/>
          <w:bCs/>
          <w:color w:val="auto"/>
          <w:szCs w:val="24"/>
        </w:rPr>
      </w:pPr>
    </w:p>
    <w:p w14:paraId="748BAC8D">
      <w:pPr>
        <w:rPr>
          <w:rFonts w:hint="eastAsia" w:ascii="宋体" w:hAnsi="宋体" w:eastAsia="宋体" w:cs="宋体"/>
          <w:b w:val="0"/>
          <w:bCs/>
          <w:color w:val="auto"/>
          <w:szCs w:val="24"/>
        </w:rPr>
      </w:pPr>
      <w:r>
        <w:rPr>
          <w:rFonts w:hint="eastAsia" w:ascii="宋体" w:hAnsi="宋体" w:eastAsia="宋体" w:cs="宋体"/>
          <w:b w:val="0"/>
          <w:bCs/>
          <w:color w:val="auto"/>
          <w:szCs w:val="24"/>
        </w:rPr>
        <w:t>Pillay T(1), Kon OM(2), Lalvani A(2).</w:t>
      </w:r>
    </w:p>
    <w:p w14:paraId="18D4748E">
      <w:pPr>
        <w:rPr>
          <w:rFonts w:hint="eastAsia" w:ascii="宋体" w:hAnsi="宋体" w:eastAsia="宋体" w:cs="宋体"/>
          <w:b w:val="0"/>
          <w:bCs/>
          <w:color w:val="auto"/>
          <w:szCs w:val="24"/>
        </w:rPr>
      </w:pPr>
    </w:p>
    <w:p w14:paraId="1941896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902BE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(1)University College London and Francis Crick Institute, London, United </w:t>
      </w:r>
    </w:p>
    <w:p w14:paraId="21C7DA41">
      <w:pPr>
        <w:rPr>
          <w:rFonts w:hint="eastAsia" w:ascii="宋体" w:hAnsi="宋体" w:eastAsia="宋体" w:cs="宋体"/>
          <w:b w:val="0"/>
          <w:bCs/>
          <w:color w:val="auto"/>
          <w:szCs w:val="24"/>
        </w:rPr>
      </w:pPr>
      <w:r>
        <w:rPr>
          <w:rFonts w:hint="eastAsia" w:ascii="宋体" w:hAnsi="宋体" w:eastAsia="宋体" w:cs="宋体"/>
          <w:b w:val="0"/>
          <w:bCs/>
          <w:color w:val="auto"/>
          <w:szCs w:val="24"/>
        </w:rPr>
        <w:t>Kingdom.</w:t>
      </w:r>
    </w:p>
    <w:p w14:paraId="20C2571A">
      <w:pPr>
        <w:rPr>
          <w:rFonts w:hint="eastAsia" w:ascii="宋体" w:hAnsi="宋体" w:eastAsia="宋体" w:cs="宋体"/>
          <w:b w:val="0"/>
          <w:bCs/>
          <w:color w:val="auto"/>
          <w:szCs w:val="24"/>
        </w:rPr>
      </w:pPr>
      <w:r>
        <w:rPr>
          <w:rFonts w:hint="eastAsia" w:ascii="宋体" w:hAnsi="宋体" w:eastAsia="宋体" w:cs="宋体"/>
          <w:b w:val="0"/>
          <w:bCs/>
          <w:color w:val="auto"/>
          <w:szCs w:val="24"/>
        </w:rPr>
        <w:t>(2)Imperial College London, London, United Kingdom.</w:t>
      </w:r>
    </w:p>
    <w:p w14:paraId="34B3FD9B">
      <w:pPr>
        <w:rPr>
          <w:rFonts w:hint="eastAsia" w:ascii="宋体" w:hAnsi="宋体" w:eastAsia="宋体" w:cs="宋体"/>
          <w:b w:val="0"/>
          <w:bCs/>
          <w:color w:val="auto"/>
          <w:szCs w:val="24"/>
        </w:rPr>
      </w:pPr>
    </w:p>
    <w:p w14:paraId="6766D1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is the leading cause of infection-related mortality in the </w:t>
      </w:r>
    </w:p>
    <w:p w14:paraId="577E7C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world, and cases in the United States are increasing. Prompt diagnosis, </w:t>
      </w:r>
    </w:p>
    <w:p w14:paraId="7907E8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isolation, and treatment improve patient outcomes and reduce onward </w:t>
      </w:r>
    </w:p>
    <w:p w14:paraId="3E4BC5B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transmission. Screening of contacts and high-risk persons for asymptomatic TB </w:t>
      </w:r>
    </w:p>
    <w:p w14:paraId="16F82D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infection and treatment of those testing positive reduces progression to </w:t>
      </w:r>
    </w:p>
    <w:p w14:paraId="3557CF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TB disease should be suspected in persons with compatible symptoms, </w:t>
      </w:r>
    </w:p>
    <w:p w14:paraId="7D0154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risk factors, and consistent imaging. Microbiological confirmation requires an </w:t>
      </w:r>
    </w:p>
    <w:p w14:paraId="079B06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acid-fast smear, nucleic acid amplification test, and culture. Treatment, guided </w:t>
      </w:r>
    </w:p>
    <w:p w14:paraId="3D6D33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by drug sensitivity testing, requires multiple antibiotics given for 4 to 9 </w:t>
      </w:r>
    </w:p>
    <w:p w14:paraId="780340DA">
      <w:pPr>
        <w:rPr>
          <w:rFonts w:hint="eastAsia" w:ascii="宋体" w:hAnsi="宋体" w:eastAsia="宋体" w:cs="宋体"/>
          <w:b w:val="0"/>
          <w:bCs/>
          <w:color w:val="auto"/>
          <w:szCs w:val="24"/>
        </w:rPr>
      </w:pPr>
      <w:r>
        <w:rPr>
          <w:rFonts w:hint="eastAsia" w:ascii="宋体" w:hAnsi="宋体" w:eastAsia="宋体" w:cs="宋体"/>
          <w:b w:val="0"/>
          <w:bCs/>
          <w:color w:val="auto"/>
          <w:szCs w:val="24"/>
        </w:rPr>
        <w:t>months and monitoring for drug toxicity and clinical response.</w:t>
      </w:r>
    </w:p>
    <w:p w14:paraId="52578D12">
      <w:pPr>
        <w:rPr>
          <w:rFonts w:hint="eastAsia" w:ascii="宋体" w:hAnsi="宋体" w:eastAsia="宋体" w:cs="宋体"/>
          <w:b w:val="0"/>
          <w:bCs/>
          <w:color w:val="auto"/>
          <w:szCs w:val="24"/>
        </w:rPr>
      </w:pPr>
    </w:p>
    <w:p w14:paraId="31AEEE17">
      <w:pPr>
        <w:rPr>
          <w:rFonts w:hint="eastAsia" w:ascii="宋体" w:hAnsi="宋体" w:eastAsia="宋体" w:cs="宋体"/>
          <w:b w:val="0"/>
          <w:bCs/>
          <w:color w:val="auto"/>
          <w:szCs w:val="24"/>
        </w:rPr>
      </w:pPr>
      <w:r>
        <w:rPr>
          <w:rFonts w:hint="eastAsia" w:ascii="宋体" w:hAnsi="宋体" w:eastAsia="宋体" w:cs="宋体"/>
          <w:b w:val="0"/>
          <w:bCs/>
          <w:color w:val="auto"/>
          <w:szCs w:val="24"/>
        </w:rPr>
        <w:t>DOI: 10.7326/ANNALS-26-03002</w:t>
      </w:r>
    </w:p>
    <w:p w14:paraId="610741FA">
      <w:pPr>
        <w:rPr>
          <w:rFonts w:hint="eastAsia" w:ascii="宋体" w:hAnsi="宋体" w:eastAsia="宋体" w:cs="宋体"/>
          <w:b w:val="0"/>
          <w:bCs/>
          <w:color w:val="auto"/>
          <w:szCs w:val="24"/>
        </w:rPr>
      </w:pPr>
      <w:r>
        <w:rPr>
          <w:rFonts w:hint="eastAsia" w:ascii="宋体" w:hAnsi="宋体" w:eastAsia="宋体" w:cs="宋体"/>
          <w:b w:val="0"/>
          <w:bCs/>
          <w:color w:val="auto"/>
          <w:szCs w:val="24"/>
        </w:rPr>
        <w:t>PMID: 42704895</w:t>
      </w:r>
    </w:p>
    <w:p w14:paraId="1D1E1EAC">
      <w:pPr>
        <w:rPr>
          <w:rFonts w:hint="eastAsia" w:ascii="宋体" w:hAnsi="宋体" w:eastAsia="宋体" w:cs="宋体"/>
          <w:b w:val="0"/>
          <w:bCs/>
          <w:color w:val="auto"/>
          <w:szCs w:val="24"/>
        </w:rPr>
      </w:pPr>
    </w:p>
    <w:p w14:paraId="5F1B7BB3">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44</w:t>
      </w:r>
      <w:r>
        <w:rPr>
          <w:rFonts w:hint="eastAsia" w:ascii="宋体" w:hAnsi="宋体" w:eastAsia="宋体" w:cs="宋体"/>
          <w:b/>
          <w:bCs w:val="0"/>
          <w:color w:val="FF0000"/>
          <w:szCs w:val="24"/>
        </w:rPr>
        <w:t>. Indian J Pediatr. 2026 Sep 7. doi: 10.1007/s12098-026-06437-w. Online ahead of print.</w:t>
      </w:r>
    </w:p>
    <w:p w14:paraId="41F83093">
      <w:pPr>
        <w:rPr>
          <w:rFonts w:hint="eastAsia" w:ascii="宋体" w:hAnsi="宋体" w:eastAsia="宋体" w:cs="宋体"/>
          <w:b w:val="0"/>
          <w:bCs/>
          <w:color w:val="auto"/>
          <w:szCs w:val="24"/>
        </w:rPr>
      </w:pPr>
    </w:p>
    <w:p w14:paraId="2EF0280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Diagnosis of Pulmonary Tuberculosis by Cartridge-Based Nucleic Acid </w:t>
      </w:r>
    </w:p>
    <w:p w14:paraId="0A6A59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Amplification Test in Bronchoalveolar Lavage Fluid Among Children with Negative </w:t>
      </w:r>
    </w:p>
    <w:p w14:paraId="3D41DD2F">
      <w:pPr>
        <w:rPr>
          <w:rFonts w:hint="eastAsia" w:ascii="宋体" w:hAnsi="宋体" w:eastAsia="宋体" w:cs="宋体"/>
          <w:b w:val="0"/>
          <w:bCs/>
          <w:color w:val="auto"/>
          <w:szCs w:val="24"/>
        </w:rPr>
      </w:pPr>
      <w:r>
        <w:rPr>
          <w:rFonts w:hint="eastAsia" w:ascii="宋体" w:hAnsi="宋体" w:eastAsia="宋体" w:cs="宋体"/>
          <w:b w:val="0"/>
          <w:bCs/>
          <w:color w:val="auto"/>
          <w:szCs w:val="24"/>
        </w:rPr>
        <w:t>Gastric Aspirate Test Results.</w:t>
      </w:r>
    </w:p>
    <w:p w14:paraId="5503B41F">
      <w:pPr>
        <w:rPr>
          <w:rFonts w:hint="eastAsia" w:ascii="宋体" w:hAnsi="宋体" w:eastAsia="宋体" w:cs="宋体"/>
          <w:b w:val="0"/>
          <w:bCs/>
          <w:color w:val="auto"/>
          <w:szCs w:val="24"/>
        </w:rPr>
      </w:pPr>
    </w:p>
    <w:p w14:paraId="649D1AC4">
      <w:pPr>
        <w:rPr>
          <w:rFonts w:hint="eastAsia" w:ascii="宋体" w:hAnsi="宋体" w:eastAsia="宋体" w:cs="宋体"/>
          <w:b w:val="0"/>
          <w:bCs/>
          <w:color w:val="auto"/>
          <w:szCs w:val="24"/>
        </w:rPr>
      </w:pPr>
      <w:r>
        <w:rPr>
          <w:rFonts w:hint="eastAsia" w:ascii="宋体" w:hAnsi="宋体" w:eastAsia="宋体" w:cs="宋体"/>
          <w:b w:val="0"/>
          <w:bCs/>
          <w:color w:val="auto"/>
          <w:szCs w:val="24"/>
        </w:rPr>
        <w:t>Chemban H(1), Jain A(2), Jhamb U(1), Bhargava R(1).</w:t>
      </w:r>
    </w:p>
    <w:p w14:paraId="6DAEA711">
      <w:pPr>
        <w:rPr>
          <w:rFonts w:hint="eastAsia" w:ascii="宋体" w:hAnsi="宋体" w:eastAsia="宋体" w:cs="宋体"/>
          <w:b w:val="0"/>
          <w:bCs/>
          <w:color w:val="auto"/>
          <w:szCs w:val="24"/>
        </w:rPr>
      </w:pPr>
    </w:p>
    <w:p w14:paraId="2579429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598D989">
      <w:pPr>
        <w:rPr>
          <w:rFonts w:hint="eastAsia" w:ascii="宋体" w:hAnsi="宋体" w:eastAsia="宋体" w:cs="宋体"/>
          <w:b w:val="0"/>
          <w:bCs/>
          <w:color w:val="auto"/>
          <w:szCs w:val="24"/>
        </w:rPr>
      </w:pPr>
      <w:r>
        <w:rPr>
          <w:rFonts w:hint="eastAsia" w:ascii="宋体" w:hAnsi="宋体" w:eastAsia="宋体" w:cs="宋体"/>
          <w:b w:val="0"/>
          <w:bCs/>
          <w:color w:val="auto"/>
          <w:szCs w:val="24"/>
        </w:rPr>
        <w:t>(1)Department of Pediatrics, Santosh Deemed to be University, Ghaziabad, India.</w:t>
      </w:r>
    </w:p>
    <w:p w14:paraId="1AFBDF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Pediatrics, Santosh Deemed to be University, Ghaziabad, India. </w:t>
      </w:r>
    </w:p>
    <w:p w14:paraId="0EB26C8C">
      <w:pPr>
        <w:rPr>
          <w:rFonts w:hint="eastAsia" w:ascii="宋体" w:hAnsi="宋体" w:eastAsia="宋体" w:cs="宋体"/>
          <w:b w:val="0"/>
          <w:bCs/>
          <w:color w:val="auto"/>
          <w:szCs w:val="24"/>
        </w:rPr>
      </w:pPr>
      <w:r>
        <w:rPr>
          <w:rFonts w:hint="eastAsia" w:ascii="宋体" w:hAnsi="宋体" w:eastAsia="宋体" w:cs="宋体"/>
          <w:b w:val="0"/>
          <w:bCs/>
          <w:color w:val="auto"/>
          <w:szCs w:val="24"/>
        </w:rPr>
        <w:t>ajajain1@gmail.com.</w:t>
      </w:r>
    </w:p>
    <w:p w14:paraId="5811EAFF">
      <w:pPr>
        <w:rPr>
          <w:rFonts w:hint="eastAsia" w:ascii="宋体" w:hAnsi="宋体" w:eastAsia="宋体" w:cs="宋体"/>
          <w:b w:val="0"/>
          <w:bCs/>
          <w:color w:val="auto"/>
          <w:szCs w:val="24"/>
        </w:rPr>
      </w:pPr>
    </w:p>
    <w:p w14:paraId="54DB9EFE">
      <w:pPr>
        <w:rPr>
          <w:rFonts w:hint="eastAsia" w:ascii="宋体" w:hAnsi="宋体" w:eastAsia="宋体" w:cs="宋体"/>
          <w:b w:val="0"/>
          <w:bCs/>
          <w:color w:val="auto"/>
          <w:szCs w:val="24"/>
        </w:rPr>
      </w:pPr>
      <w:r>
        <w:rPr>
          <w:rFonts w:hint="eastAsia" w:ascii="宋体" w:hAnsi="宋体" w:eastAsia="宋体" w:cs="宋体"/>
          <w:b w:val="0"/>
          <w:bCs/>
          <w:color w:val="auto"/>
          <w:szCs w:val="24"/>
        </w:rPr>
        <w:t>DOI: 10.1007/s12098-026-06437-w</w:t>
      </w:r>
    </w:p>
    <w:p w14:paraId="33097FEC">
      <w:pPr>
        <w:rPr>
          <w:rFonts w:hint="eastAsia" w:ascii="宋体" w:hAnsi="宋体" w:eastAsia="宋体" w:cs="宋体"/>
          <w:b w:val="0"/>
          <w:bCs/>
          <w:color w:val="auto"/>
          <w:szCs w:val="24"/>
        </w:rPr>
      </w:pPr>
      <w:r>
        <w:rPr>
          <w:rFonts w:hint="eastAsia" w:ascii="宋体" w:hAnsi="宋体" w:eastAsia="宋体" w:cs="宋体"/>
          <w:b w:val="0"/>
          <w:bCs/>
          <w:color w:val="auto"/>
          <w:szCs w:val="24"/>
        </w:rPr>
        <w:t>PMID: 42704617</w:t>
      </w:r>
    </w:p>
    <w:p w14:paraId="301E7B09">
      <w:pPr>
        <w:rPr>
          <w:rFonts w:hint="eastAsia" w:ascii="宋体" w:hAnsi="宋体" w:eastAsia="宋体" w:cs="宋体"/>
          <w:b w:val="0"/>
          <w:bCs/>
          <w:color w:val="auto"/>
          <w:szCs w:val="24"/>
        </w:rPr>
      </w:pPr>
    </w:p>
    <w:p w14:paraId="7FB6E6B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45</w:t>
      </w:r>
      <w:r>
        <w:rPr>
          <w:rFonts w:hint="eastAsia" w:ascii="宋体" w:hAnsi="宋体" w:eastAsia="宋体" w:cs="宋体"/>
          <w:b/>
          <w:bCs w:val="0"/>
          <w:color w:val="FF0000"/>
          <w:szCs w:val="24"/>
        </w:rPr>
        <w:t>. Metab Brain Dis. 2026 Sep 7;41(1):206. doi: 10.1007/s11011-026-01981-y.</w:t>
      </w:r>
    </w:p>
    <w:p w14:paraId="673E5780">
      <w:pPr>
        <w:rPr>
          <w:rFonts w:hint="eastAsia" w:ascii="宋体" w:hAnsi="宋体" w:eastAsia="宋体" w:cs="宋体"/>
          <w:b w:val="0"/>
          <w:bCs/>
          <w:color w:val="auto"/>
          <w:szCs w:val="24"/>
        </w:rPr>
      </w:pPr>
    </w:p>
    <w:p w14:paraId="4C39AA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impairs memory function in male Swiss mice by elevating </w:t>
      </w:r>
    </w:p>
    <w:p w14:paraId="43FD56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pro-inflammatory cytokines and disruption of hippocampal, and prefrontal cortex </w:t>
      </w:r>
    </w:p>
    <w:p w14:paraId="439794B6">
      <w:pPr>
        <w:rPr>
          <w:rFonts w:hint="eastAsia" w:ascii="宋体" w:hAnsi="宋体" w:eastAsia="宋体" w:cs="宋体"/>
          <w:b w:val="0"/>
          <w:bCs/>
          <w:color w:val="auto"/>
          <w:szCs w:val="24"/>
        </w:rPr>
      </w:pPr>
      <w:r>
        <w:rPr>
          <w:rFonts w:hint="eastAsia" w:ascii="宋体" w:hAnsi="宋体" w:eastAsia="宋体" w:cs="宋体"/>
          <w:b w:val="0"/>
          <w:bCs/>
          <w:color w:val="auto"/>
          <w:szCs w:val="24"/>
        </w:rPr>
        <w:t>neuronal morphology.</w:t>
      </w:r>
    </w:p>
    <w:p w14:paraId="78AA9289">
      <w:pPr>
        <w:rPr>
          <w:rFonts w:hint="eastAsia" w:ascii="宋体" w:hAnsi="宋体" w:eastAsia="宋体" w:cs="宋体"/>
          <w:b w:val="0"/>
          <w:bCs/>
          <w:color w:val="auto"/>
          <w:szCs w:val="24"/>
        </w:rPr>
      </w:pPr>
    </w:p>
    <w:p w14:paraId="294D1F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Gefu MO(1), Adeleke PA(1), Ajiboye BO(2), Abbas GA(1)(3), Jegede FB(1), Ijirigho </w:t>
      </w:r>
    </w:p>
    <w:p w14:paraId="73D87013">
      <w:pPr>
        <w:rPr>
          <w:rFonts w:hint="eastAsia" w:ascii="宋体" w:hAnsi="宋体" w:eastAsia="宋体" w:cs="宋体"/>
          <w:b w:val="0"/>
          <w:bCs/>
          <w:color w:val="auto"/>
          <w:szCs w:val="24"/>
        </w:rPr>
      </w:pPr>
      <w:r>
        <w:rPr>
          <w:rFonts w:hint="eastAsia" w:ascii="宋体" w:hAnsi="宋体" w:eastAsia="宋体" w:cs="宋体"/>
          <w:b w:val="0"/>
          <w:bCs/>
          <w:color w:val="auto"/>
          <w:szCs w:val="24"/>
        </w:rPr>
        <w:t>C(1), Ajayi AM(1), Umukoro S(4).</w:t>
      </w:r>
    </w:p>
    <w:p w14:paraId="539C12B2">
      <w:pPr>
        <w:rPr>
          <w:rFonts w:hint="eastAsia" w:ascii="宋体" w:hAnsi="宋体" w:eastAsia="宋体" w:cs="宋体"/>
          <w:b w:val="0"/>
          <w:bCs/>
          <w:color w:val="auto"/>
          <w:szCs w:val="24"/>
        </w:rPr>
      </w:pPr>
    </w:p>
    <w:p w14:paraId="48E460E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33D40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Pharmacology and Therapeutics, College of Medicine, University </w:t>
      </w:r>
    </w:p>
    <w:p w14:paraId="7B7A0C6E">
      <w:pPr>
        <w:rPr>
          <w:rFonts w:hint="eastAsia" w:ascii="宋体" w:hAnsi="宋体" w:eastAsia="宋体" w:cs="宋体"/>
          <w:b w:val="0"/>
          <w:bCs/>
          <w:color w:val="auto"/>
          <w:szCs w:val="24"/>
        </w:rPr>
      </w:pPr>
      <w:r>
        <w:rPr>
          <w:rFonts w:hint="eastAsia" w:ascii="宋体" w:hAnsi="宋体" w:eastAsia="宋体" w:cs="宋体"/>
          <w:b w:val="0"/>
          <w:bCs/>
          <w:color w:val="auto"/>
          <w:szCs w:val="24"/>
        </w:rPr>
        <w:t>of Ibadan, Sango-Ojo Road, Ibadan, Oyo State, Nigeria.</w:t>
      </w:r>
    </w:p>
    <w:p w14:paraId="60A9D2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Pharmacology, Federal University of Health Sciences, Ila </w:t>
      </w:r>
    </w:p>
    <w:p w14:paraId="6D5D9A39">
      <w:pPr>
        <w:rPr>
          <w:rFonts w:hint="eastAsia" w:ascii="宋体" w:hAnsi="宋体" w:eastAsia="宋体" w:cs="宋体"/>
          <w:b w:val="0"/>
          <w:bCs/>
          <w:color w:val="auto"/>
          <w:szCs w:val="24"/>
        </w:rPr>
      </w:pPr>
      <w:r>
        <w:rPr>
          <w:rFonts w:hint="eastAsia" w:ascii="宋体" w:hAnsi="宋体" w:eastAsia="宋体" w:cs="宋体"/>
          <w:b w:val="0"/>
          <w:bCs/>
          <w:color w:val="auto"/>
          <w:szCs w:val="24"/>
        </w:rPr>
        <w:t>Orangun, Osun State, Nigeria.</w:t>
      </w:r>
    </w:p>
    <w:p w14:paraId="161328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Pharmacology and Toxicology, Faculty of Pharmacy, Lead City </w:t>
      </w:r>
    </w:p>
    <w:p w14:paraId="5914ACDA">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Ibadan, Oyo State, Nigeria.</w:t>
      </w:r>
    </w:p>
    <w:p w14:paraId="3EB24D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Pharmacology and Therapeutics, College of Medicine, University </w:t>
      </w:r>
    </w:p>
    <w:p w14:paraId="1D4CDE26">
      <w:pPr>
        <w:rPr>
          <w:rFonts w:hint="eastAsia" w:ascii="宋体" w:hAnsi="宋体" w:eastAsia="宋体" w:cs="宋体"/>
          <w:b w:val="0"/>
          <w:bCs/>
          <w:color w:val="auto"/>
          <w:szCs w:val="24"/>
        </w:rPr>
      </w:pPr>
      <w:r>
        <w:rPr>
          <w:rFonts w:hint="eastAsia" w:ascii="宋体" w:hAnsi="宋体" w:eastAsia="宋体" w:cs="宋体"/>
          <w:b w:val="0"/>
          <w:bCs/>
          <w:color w:val="auto"/>
          <w:szCs w:val="24"/>
        </w:rPr>
        <w:t>of Ibadan, Sango-Ojo Road, Ibadan, Oyo State, Nigeria. umusolo@yahoo.com.</w:t>
      </w:r>
    </w:p>
    <w:p w14:paraId="3E8002FB">
      <w:pPr>
        <w:rPr>
          <w:rFonts w:hint="eastAsia" w:ascii="宋体" w:hAnsi="宋体" w:eastAsia="宋体" w:cs="宋体"/>
          <w:b w:val="0"/>
          <w:bCs/>
          <w:color w:val="auto"/>
          <w:szCs w:val="24"/>
        </w:rPr>
      </w:pPr>
    </w:p>
    <w:p w14:paraId="6715DB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(INH), a first-line antibiotic for tuberculosis treatment, is known </w:t>
      </w:r>
    </w:p>
    <w:p w14:paraId="7AB0AB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its efficacy but also for its potential to cause neurotoxic side effects, </w:t>
      </w:r>
    </w:p>
    <w:p w14:paraId="42C52C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which include peripheral neuropathy, seizures, and in rare cases, psychosis. </w:t>
      </w:r>
    </w:p>
    <w:p w14:paraId="136075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study aimed to evaluate the neurotoxic effects of INH on memory function </w:t>
      </w:r>
    </w:p>
    <w:p w14:paraId="53214C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its underlying mechanisms in male Swiss mice. Eighteen male Swiss mice (n = </w:t>
      </w:r>
    </w:p>
    <w:p w14:paraId="490B9C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 per group) were treated orally with INH at doses of 5, 10, and 20 mg/kg for 28 </w:t>
      </w:r>
    </w:p>
    <w:p w14:paraId="5AC2D1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days. The behavioral tests for memory using Y-maze and Morris water maze were </w:t>
      </w:r>
    </w:p>
    <w:p w14:paraId="5143F0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afterwards. The brain tissues of the animals were processed for </w:t>
      </w:r>
    </w:p>
    <w:p w14:paraId="523ED5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determination of oxidative stress/antioxidant markers, pro-inflammatory </w:t>
      </w:r>
    </w:p>
    <w:p w14:paraId="57E593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cytokines, and neurotransmitter enzymes (acetylcholinesterase and glutamate </w:t>
      </w:r>
    </w:p>
    <w:p w14:paraId="4D6064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decarboxylase).The histomorphology of the hippocampus and prefrontal cortex </w:t>
      </w:r>
    </w:p>
    <w:p w14:paraId="324D22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regions of the brains of the animals was done using the Hematoxylin and Eosin </w:t>
      </w:r>
    </w:p>
    <w:p w14:paraId="7D1478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staining techniques. The results of the study showed that INH produced a </w:t>
      </w:r>
    </w:p>
    <w:p w14:paraId="70ECA3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reduction in memory function, with significant impairments at higher doses in </w:t>
      </w:r>
    </w:p>
    <w:p w14:paraId="0C22C63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Morris water maze test. Biochemical analyses revealed increased lipid </w:t>
      </w:r>
    </w:p>
    <w:p w14:paraId="7B0A39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peroxidative product, reduced antioxidant defenses, and elevated </w:t>
      </w:r>
    </w:p>
    <w:p w14:paraId="550A0A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pro-inflammatory cytokines in the hippocampus and prefrontal cortex of mice </w:t>
      </w:r>
    </w:p>
    <w:p w14:paraId="4FE8D1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treated with INH. It also produced neurotransmitter enzymes dysregulations of </w:t>
      </w:r>
    </w:p>
    <w:p w14:paraId="7330A8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discrete brain regions of mice treated with INH. The histomorphorological </w:t>
      </w:r>
    </w:p>
    <w:p w14:paraId="402C5D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studies revealed that INH produced structural changes in the hippocampus and </w:t>
      </w:r>
    </w:p>
    <w:p w14:paraId="35E890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prefrontal cortex and marked loss of viable neuronal cells. The results obtained </w:t>
      </w:r>
    </w:p>
    <w:p w14:paraId="59843E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from these studies suggest that INH treatment causes memory impairment. These </w:t>
      </w:r>
    </w:p>
    <w:p w14:paraId="63F07E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highlight the need for strategies to minimize cognitive side effects in </w:t>
      </w:r>
    </w:p>
    <w:p w14:paraId="02A097E4">
      <w:pPr>
        <w:rPr>
          <w:rFonts w:hint="eastAsia" w:ascii="宋体" w:hAnsi="宋体" w:eastAsia="宋体" w:cs="宋体"/>
          <w:b w:val="0"/>
          <w:bCs/>
          <w:color w:val="auto"/>
          <w:szCs w:val="24"/>
        </w:rPr>
      </w:pPr>
      <w:r>
        <w:rPr>
          <w:rFonts w:hint="eastAsia" w:ascii="宋体" w:hAnsi="宋体" w:eastAsia="宋体" w:cs="宋体"/>
          <w:b w:val="0"/>
          <w:bCs/>
          <w:color w:val="auto"/>
          <w:szCs w:val="24"/>
        </w:rPr>
        <w:t>patients with tuberculosis on INH therapy.</w:t>
      </w:r>
    </w:p>
    <w:p w14:paraId="0EA46C7B">
      <w:pPr>
        <w:rPr>
          <w:rFonts w:hint="eastAsia" w:ascii="宋体" w:hAnsi="宋体" w:eastAsia="宋体" w:cs="宋体"/>
          <w:b w:val="0"/>
          <w:bCs/>
          <w:color w:val="auto"/>
          <w:szCs w:val="24"/>
        </w:rPr>
      </w:pPr>
    </w:p>
    <w:p w14:paraId="1CE9B4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under exclusive licence to Springer Science+Business </w:t>
      </w:r>
    </w:p>
    <w:p w14:paraId="7E82ACC3">
      <w:pPr>
        <w:rPr>
          <w:rFonts w:hint="eastAsia" w:ascii="宋体" w:hAnsi="宋体" w:eastAsia="宋体" w:cs="宋体"/>
          <w:b w:val="0"/>
          <w:bCs/>
          <w:color w:val="auto"/>
          <w:szCs w:val="24"/>
        </w:rPr>
      </w:pPr>
      <w:r>
        <w:rPr>
          <w:rFonts w:hint="eastAsia" w:ascii="宋体" w:hAnsi="宋体" w:eastAsia="宋体" w:cs="宋体"/>
          <w:b w:val="0"/>
          <w:bCs/>
          <w:color w:val="auto"/>
          <w:szCs w:val="24"/>
        </w:rPr>
        <w:t>Media, LLC, part of Springer Nature.</w:t>
      </w:r>
    </w:p>
    <w:p w14:paraId="30EFFB1A">
      <w:pPr>
        <w:rPr>
          <w:rFonts w:hint="eastAsia" w:ascii="宋体" w:hAnsi="宋体" w:eastAsia="宋体" w:cs="宋体"/>
          <w:b w:val="0"/>
          <w:bCs/>
          <w:color w:val="auto"/>
          <w:szCs w:val="24"/>
        </w:rPr>
      </w:pPr>
    </w:p>
    <w:p w14:paraId="75C56BB8">
      <w:pPr>
        <w:rPr>
          <w:rFonts w:hint="eastAsia" w:ascii="宋体" w:hAnsi="宋体" w:eastAsia="宋体" w:cs="宋体"/>
          <w:b w:val="0"/>
          <w:bCs/>
          <w:color w:val="auto"/>
          <w:szCs w:val="24"/>
        </w:rPr>
      </w:pPr>
      <w:r>
        <w:rPr>
          <w:rFonts w:hint="eastAsia" w:ascii="宋体" w:hAnsi="宋体" w:eastAsia="宋体" w:cs="宋体"/>
          <w:b w:val="0"/>
          <w:bCs/>
          <w:color w:val="auto"/>
          <w:szCs w:val="24"/>
        </w:rPr>
        <w:t>DOI: 10.1007/s11011-026-01981-y</w:t>
      </w:r>
    </w:p>
    <w:p w14:paraId="62549B74">
      <w:pPr>
        <w:rPr>
          <w:rFonts w:hint="eastAsia" w:ascii="宋体" w:hAnsi="宋体" w:eastAsia="宋体" w:cs="宋体"/>
          <w:b w:val="0"/>
          <w:bCs/>
          <w:color w:val="auto"/>
          <w:szCs w:val="24"/>
        </w:rPr>
      </w:pPr>
      <w:r>
        <w:rPr>
          <w:rFonts w:hint="eastAsia" w:ascii="宋体" w:hAnsi="宋体" w:eastAsia="宋体" w:cs="宋体"/>
          <w:b w:val="0"/>
          <w:bCs/>
          <w:color w:val="auto"/>
          <w:szCs w:val="24"/>
        </w:rPr>
        <w:t>PMID: 42704558 [Indexed for MEDLINE]</w:t>
      </w:r>
    </w:p>
    <w:p w14:paraId="343DB3B8">
      <w:pPr>
        <w:rPr>
          <w:rFonts w:hint="eastAsia" w:ascii="宋体" w:hAnsi="宋体" w:eastAsia="宋体" w:cs="宋体"/>
          <w:b w:val="0"/>
          <w:bCs/>
          <w:color w:val="auto"/>
          <w:szCs w:val="24"/>
        </w:rPr>
      </w:pPr>
    </w:p>
    <w:p w14:paraId="5603E632">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46</w:t>
      </w:r>
      <w:r>
        <w:rPr>
          <w:rFonts w:hint="eastAsia" w:ascii="宋体" w:hAnsi="宋体" w:eastAsia="宋体" w:cs="宋体"/>
          <w:b/>
          <w:bCs w:val="0"/>
          <w:color w:val="FF0000"/>
          <w:szCs w:val="24"/>
        </w:rPr>
        <w:t>. Expert Rev Anti Infect Ther. 2026 Sep 8:1-3. doi: 10.1080/14787210.2026.2719692. Online ahead of print.</w:t>
      </w:r>
    </w:p>
    <w:p w14:paraId="277DEEEE">
      <w:pPr>
        <w:rPr>
          <w:rFonts w:hint="eastAsia" w:ascii="宋体" w:hAnsi="宋体" w:eastAsia="宋体" w:cs="宋体"/>
          <w:b w:val="0"/>
          <w:bCs/>
          <w:color w:val="auto"/>
          <w:szCs w:val="24"/>
        </w:rPr>
      </w:pPr>
    </w:p>
    <w:p w14:paraId="319BC993">
      <w:pPr>
        <w:rPr>
          <w:rFonts w:hint="eastAsia" w:ascii="宋体" w:hAnsi="宋体" w:eastAsia="宋体" w:cs="宋体"/>
          <w:b w:val="0"/>
          <w:bCs/>
          <w:color w:val="auto"/>
          <w:szCs w:val="24"/>
        </w:rPr>
      </w:pPr>
      <w:r>
        <w:rPr>
          <w:rFonts w:hint="eastAsia" w:ascii="宋体" w:hAnsi="宋体" w:eastAsia="宋体" w:cs="宋体"/>
          <w:b w:val="0"/>
          <w:bCs/>
          <w:color w:val="auto"/>
          <w:szCs w:val="24"/>
        </w:rPr>
        <w:t>Pan-TB regimens: too good to be true?</w:t>
      </w:r>
    </w:p>
    <w:p w14:paraId="665292F7">
      <w:pPr>
        <w:rPr>
          <w:rFonts w:hint="eastAsia" w:ascii="宋体" w:hAnsi="宋体" w:eastAsia="宋体" w:cs="宋体"/>
          <w:b w:val="0"/>
          <w:bCs/>
          <w:color w:val="auto"/>
          <w:szCs w:val="24"/>
        </w:rPr>
      </w:pPr>
    </w:p>
    <w:p w14:paraId="3F6A2B85">
      <w:pPr>
        <w:rPr>
          <w:rFonts w:hint="eastAsia" w:ascii="宋体" w:hAnsi="宋体" w:eastAsia="宋体" w:cs="宋体"/>
          <w:b w:val="0"/>
          <w:bCs/>
          <w:color w:val="auto"/>
          <w:szCs w:val="24"/>
        </w:rPr>
      </w:pPr>
      <w:r>
        <w:rPr>
          <w:rFonts w:hint="eastAsia" w:ascii="宋体" w:hAnsi="宋体" w:eastAsia="宋体" w:cs="宋体"/>
          <w:b w:val="0"/>
          <w:bCs/>
          <w:color w:val="auto"/>
          <w:szCs w:val="24"/>
        </w:rPr>
        <w:t>Aston SJ(1)(2), Davies GR(2)(3).</w:t>
      </w:r>
    </w:p>
    <w:p w14:paraId="28CC773D">
      <w:pPr>
        <w:rPr>
          <w:rFonts w:hint="eastAsia" w:ascii="宋体" w:hAnsi="宋体" w:eastAsia="宋体" w:cs="宋体"/>
          <w:b w:val="0"/>
          <w:bCs/>
          <w:color w:val="auto"/>
          <w:szCs w:val="24"/>
        </w:rPr>
      </w:pPr>
    </w:p>
    <w:p w14:paraId="60282736">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51CBB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(1)Institute of Systems, Molecular and Integrative Biology, University of </w:t>
      </w:r>
    </w:p>
    <w:p w14:paraId="25EFF94C">
      <w:pPr>
        <w:rPr>
          <w:rFonts w:hint="eastAsia" w:ascii="宋体" w:hAnsi="宋体" w:eastAsia="宋体" w:cs="宋体"/>
          <w:b w:val="0"/>
          <w:bCs/>
          <w:color w:val="auto"/>
          <w:szCs w:val="24"/>
        </w:rPr>
      </w:pPr>
      <w:r>
        <w:rPr>
          <w:rFonts w:hint="eastAsia" w:ascii="宋体" w:hAnsi="宋体" w:eastAsia="宋体" w:cs="宋体"/>
          <w:b w:val="0"/>
          <w:bCs/>
          <w:color w:val="auto"/>
          <w:szCs w:val="24"/>
        </w:rPr>
        <w:t>Liverpool, Liverpool, UK.</w:t>
      </w:r>
    </w:p>
    <w:p w14:paraId="6540C2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(2)Tropical and Infectious Diseases Unit, Royal Liverpool Hospital, Liverpool </w:t>
      </w:r>
    </w:p>
    <w:p w14:paraId="7B52329B">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Hospital NHS Foundation Trust, Liverpool, UK.</w:t>
      </w:r>
    </w:p>
    <w:p w14:paraId="02C253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(3)Institute of Infection, Veterinary and Ecological Sciences, University of </w:t>
      </w:r>
    </w:p>
    <w:p w14:paraId="5859AFA6">
      <w:pPr>
        <w:rPr>
          <w:rFonts w:hint="eastAsia" w:ascii="宋体" w:hAnsi="宋体" w:eastAsia="宋体" w:cs="宋体"/>
          <w:b w:val="0"/>
          <w:bCs/>
          <w:color w:val="auto"/>
          <w:szCs w:val="24"/>
        </w:rPr>
      </w:pPr>
      <w:r>
        <w:rPr>
          <w:rFonts w:hint="eastAsia" w:ascii="宋体" w:hAnsi="宋体" w:eastAsia="宋体" w:cs="宋体"/>
          <w:b w:val="0"/>
          <w:bCs/>
          <w:color w:val="auto"/>
          <w:szCs w:val="24"/>
        </w:rPr>
        <w:t>Liverpool, Liverpool, UK.</w:t>
      </w:r>
    </w:p>
    <w:p w14:paraId="29DECF90">
      <w:pPr>
        <w:rPr>
          <w:rFonts w:hint="eastAsia" w:ascii="宋体" w:hAnsi="宋体" w:eastAsia="宋体" w:cs="宋体"/>
          <w:b w:val="0"/>
          <w:bCs/>
          <w:color w:val="auto"/>
          <w:szCs w:val="24"/>
        </w:rPr>
      </w:pPr>
    </w:p>
    <w:p w14:paraId="050A479C">
      <w:pPr>
        <w:rPr>
          <w:rFonts w:hint="eastAsia" w:ascii="宋体" w:hAnsi="宋体" w:eastAsia="宋体" w:cs="宋体"/>
          <w:b w:val="0"/>
          <w:bCs/>
          <w:color w:val="auto"/>
          <w:szCs w:val="24"/>
        </w:rPr>
      </w:pPr>
      <w:r>
        <w:rPr>
          <w:rFonts w:hint="eastAsia" w:ascii="宋体" w:hAnsi="宋体" w:eastAsia="宋体" w:cs="宋体"/>
          <w:b w:val="0"/>
          <w:bCs/>
          <w:color w:val="auto"/>
          <w:szCs w:val="24"/>
        </w:rPr>
        <w:t>DOI: 10.1080/14787210.2026.2719692</w:t>
      </w:r>
    </w:p>
    <w:p w14:paraId="748B6F3C">
      <w:pPr>
        <w:rPr>
          <w:rFonts w:hint="eastAsia" w:ascii="宋体" w:hAnsi="宋体" w:eastAsia="宋体" w:cs="宋体"/>
          <w:b w:val="0"/>
          <w:bCs/>
          <w:color w:val="auto"/>
          <w:szCs w:val="24"/>
        </w:rPr>
      </w:pPr>
      <w:r>
        <w:rPr>
          <w:rFonts w:hint="eastAsia" w:ascii="宋体" w:hAnsi="宋体" w:eastAsia="宋体" w:cs="宋体"/>
          <w:b w:val="0"/>
          <w:bCs/>
          <w:color w:val="auto"/>
          <w:szCs w:val="24"/>
        </w:rPr>
        <w:t>PMID: 42704337</w:t>
      </w:r>
    </w:p>
    <w:p w14:paraId="14A0BFAE">
      <w:pPr>
        <w:rPr>
          <w:rFonts w:hint="eastAsia" w:ascii="宋体" w:hAnsi="宋体" w:eastAsia="宋体" w:cs="宋体"/>
          <w:b w:val="0"/>
          <w:bCs/>
          <w:color w:val="auto"/>
          <w:szCs w:val="24"/>
        </w:rPr>
      </w:pPr>
    </w:p>
    <w:p w14:paraId="223FEE8B">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47</w:t>
      </w:r>
      <w:r>
        <w:rPr>
          <w:rFonts w:hint="eastAsia" w:ascii="宋体" w:hAnsi="宋体" w:eastAsia="宋体" w:cs="宋体"/>
          <w:b/>
          <w:bCs w:val="0"/>
          <w:color w:val="FF0000"/>
          <w:szCs w:val="24"/>
        </w:rPr>
        <w:t xml:space="preserve">. Immunol Invest. 2026 Sep 7:1-27. doi: 10.1080/08820139.2026.2719706. Online </w:t>
      </w:r>
    </w:p>
    <w:p w14:paraId="6C308E1A">
      <w:pPr>
        <w:rPr>
          <w:rFonts w:hint="eastAsia" w:ascii="宋体" w:hAnsi="宋体" w:eastAsia="宋体" w:cs="宋体"/>
          <w:b/>
          <w:bCs w:val="0"/>
          <w:color w:val="FF0000"/>
          <w:szCs w:val="24"/>
        </w:rPr>
      </w:pPr>
      <w:r>
        <w:rPr>
          <w:rFonts w:hint="eastAsia" w:ascii="宋体" w:hAnsi="宋体" w:eastAsia="宋体" w:cs="宋体"/>
          <w:b/>
          <w:bCs w:val="0"/>
          <w:color w:val="FF0000"/>
          <w:szCs w:val="24"/>
        </w:rPr>
        <w:t>ahead of print.</w:t>
      </w:r>
    </w:p>
    <w:p w14:paraId="475CE7D0">
      <w:pPr>
        <w:rPr>
          <w:rFonts w:hint="eastAsia" w:ascii="宋体" w:hAnsi="宋体" w:eastAsia="宋体" w:cs="宋体"/>
          <w:b w:val="0"/>
          <w:bCs/>
          <w:color w:val="auto"/>
          <w:szCs w:val="24"/>
        </w:rPr>
      </w:pPr>
    </w:p>
    <w:p w14:paraId="6C2649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Maternal Tuberculosis and Infant Gut and Immune Development: Implications for </w:t>
      </w:r>
    </w:p>
    <w:p w14:paraId="451CDFF6">
      <w:pPr>
        <w:rPr>
          <w:rFonts w:hint="eastAsia" w:ascii="宋体" w:hAnsi="宋体" w:eastAsia="宋体" w:cs="宋体"/>
          <w:b w:val="0"/>
          <w:bCs/>
          <w:color w:val="auto"/>
          <w:szCs w:val="24"/>
        </w:rPr>
      </w:pPr>
      <w:r>
        <w:rPr>
          <w:rFonts w:hint="eastAsia" w:ascii="宋体" w:hAnsi="宋体" w:eastAsia="宋体" w:cs="宋体"/>
          <w:b w:val="0"/>
          <w:bCs/>
          <w:color w:val="auto"/>
          <w:szCs w:val="24"/>
        </w:rPr>
        <w:t>Maternal-Child Health.</w:t>
      </w:r>
    </w:p>
    <w:p w14:paraId="67359D29">
      <w:pPr>
        <w:rPr>
          <w:rFonts w:hint="eastAsia" w:ascii="宋体" w:hAnsi="宋体" w:eastAsia="宋体" w:cs="宋体"/>
          <w:b w:val="0"/>
          <w:bCs/>
          <w:color w:val="auto"/>
          <w:szCs w:val="24"/>
        </w:rPr>
      </w:pPr>
    </w:p>
    <w:p w14:paraId="65FD5C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Ohaeri C(1)(2), Brito Gourlart D(3), Zainulabidin AA(1), Phyu AN(4), Pemi MD(5), </w:t>
      </w:r>
    </w:p>
    <w:p w14:paraId="00D1A4DE">
      <w:pPr>
        <w:rPr>
          <w:rFonts w:hint="eastAsia" w:ascii="宋体" w:hAnsi="宋体" w:eastAsia="宋体" w:cs="宋体"/>
          <w:b w:val="0"/>
          <w:bCs/>
          <w:color w:val="auto"/>
          <w:szCs w:val="24"/>
        </w:rPr>
      </w:pPr>
      <w:r>
        <w:rPr>
          <w:rFonts w:hint="eastAsia" w:ascii="宋体" w:hAnsi="宋体" w:eastAsia="宋体" w:cs="宋体"/>
          <w:b w:val="0"/>
          <w:bCs/>
          <w:color w:val="auto"/>
          <w:szCs w:val="24"/>
        </w:rPr>
        <w:t>Usman A(6), Aung HL(7), Davies-Bolorunduro OF(1)(2)(8).</w:t>
      </w:r>
    </w:p>
    <w:p w14:paraId="7402AA2B">
      <w:pPr>
        <w:rPr>
          <w:rFonts w:hint="eastAsia" w:ascii="宋体" w:hAnsi="宋体" w:eastAsia="宋体" w:cs="宋体"/>
          <w:b w:val="0"/>
          <w:bCs/>
          <w:color w:val="auto"/>
          <w:szCs w:val="24"/>
        </w:rPr>
      </w:pPr>
    </w:p>
    <w:p w14:paraId="73AEACCA">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344E2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(1)Floret Center for Advanced Genomics and Bioinformatics Research, Lagos, </w:t>
      </w:r>
    </w:p>
    <w:p w14:paraId="0EB1E1C1">
      <w:pPr>
        <w:rPr>
          <w:rFonts w:hint="eastAsia" w:ascii="宋体" w:hAnsi="宋体" w:eastAsia="宋体" w:cs="宋体"/>
          <w:b w:val="0"/>
          <w:bCs/>
          <w:color w:val="auto"/>
          <w:szCs w:val="24"/>
        </w:rPr>
      </w:pPr>
      <w:r>
        <w:rPr>
          <w:rFonts w:hint="eastAsia" w:ascii="宋体" w:hAnsi="宋体" w:eastAsia="宋体" w:cs="宋体"/>
          <w:b w:val="0"/>
          <w:bCs/>
          <w:color w:val="auto"/>
          <w:szCs w:val="24"/>
        </w:rPr>
        <w:t>Nigeria.</w:t>
      </w:r>
    </w:p>
    <w:p w14:paraId="6B90322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(2)JBI Nigerian Evidence-Based Healthcare and Genomics Center: A JBI </w:t>
      </w:r>
    </w:p>
    <w:p w14:paraId="7C8D34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Collaborating Entity (Adelaide University, Australia), Floret Center for </w:t>
      </w:r>
    </w:p>
    <w:p w14:paraId="4C71FADE">
      <w:pPr>
        <w:rPr>
          <w:rFonts w:hint="eastAsia" w:ascii="宋体" w:hAnsi="宋体" w:eastAsia="宋体" w:cs="宋体"/>
          <w:b w:val="0"/>
          <w:bCs/>
          <w:color w:val="auto"/>
          <w:szCs w:val="24"/>
        </w:rPr>
      </w:pPr>
      <w:r>
        <w:rPr>
          <w:rFonts w:hint="eastAsia" w:ascii="宋体" w:hAnsi="宋体" w:eastAsia="宋体" w:cs="宋体"/>
          <w:b w:val="0"/>
          <w:bCs/>
          <w:color w:val="auto"/>
          <w:szCs w:val="24"/>
        </w:rPr>
        <w:t>Advanced Genomics and Bioinformatics Research, Lagos, Nigeria.</w:t>
      </w:r>
    </w:p>
    <w:p w14:paraId="71BFA5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Veterinary Microbiology and Preventive Medicine, Iowa State </w:t>
      </w:r>
    </w:p>
    <w:p w14:paraId="4DCAC679">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Ames, Iowa, USA.</w:t>
      </w:r>
    </w:p>
    <w:p w14:paraId="067E0A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(4)National TB Programme (Central- Naypyitaw and Mandalay), Department of Public </w:t>
      </w:r>
    </w:p>
    <w:p w14:paraId="6ADAB94A">
      <w:pPr>
        <w:rPr>
          <w:rFonts w:hint="eastAsia" w:ascii="宋体" w:hAnsi="宋体" w:eastAsia="宋体" w:cs="宋体"/>
          <w:b w:val="0"/>
          <w:bCs/>
          <w:color w:val="auto"/>
          <w:szCs w:val="24"/>
        </w:rPr>
      </w:pPr>
      <w:r>
        <w:rPr>
          <w:rFonts w:hint="eastAsia" w:ascii="宋体" w:hAnsi="宋体" w:eastAsia="宋体" w:cs="宋体"/>
          <w:b w:val="0"/>
          <w:bCs/>
          <w:color w:val="auto"/>
          <w:szCs w:val="24"/>
        </w:rPr>
        <w:t>Health, Ministry of Health, Naypyitaw, Myanmar.</w:t>
      </w:r>
    </w:p>
    <w:p w14:paraId="5A263F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(5)Family medicine Practice Center, Gawu-Babangida, Department of Family </w:t>
      </w:r>
    </w:p>
    <w:p w14:paraId="762F526D">
      <w:pPr>
        <w:rPr>
          <w:rFonts w:hint="eastAsia" w:ascii="宋体" w:hAnsi="宋体" w:eastAsia="宋体" w:cs="宋体"/>
          <w:b w:val="0"/>
          <w:bCs/>
          <w:color w:val="auto"/>
          <w:szCs w:val="24"/>
        </w:rPr>
      </w:pPr>
      <w:r>
        <w:rPr>
          <w:rFonts w:hint="eastAsia" w:ascii="宋体" w:hAnsi="宋体" w:eastAsia="宋体" w:cs="宋体"/>
          <w:b w:val="0"/>
          <w:bCs/>
          <w:color w:val="auto"/>
          <w:szCs w:val="24"/>
        </w:rPr>
        <w:t>Medicine, Federal Medical Centre, Bida, Niger State, Nigeria.</w:t>
      </w:r>
    </w:p>
    <w:p w14:paraId="34864B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Paediatrics, Federal Medical Center, Bida, Niger State, </w:t>
      </w:r>
    </w:p>
    <w:p w14:paraId="341EB15D">
      <w:pPr>
        <w:rPr>
          <w:rFonts w:hint="eastAsia" w:ascii="宋体" w:hAnsi="宋体" w:eastAsia="宋体" w:cs="宋体"/>
          <w:b w:val="0"/>
          <w:bCs/>
          <w:color w:val="auto"/>
          <w:szCs w:val="24"/>
        </w:rPr>
      </w:pPr>
      <w:r>
        <w:rPr>
          <w:rFonts w:hint="eastAsia" w:ascii="宋体" w:hAnsi="宋体" w:eastAsia="宋体" w:cs="宋体"/>
          <w:b w:val="0"/>
          <w:bCs/>
          <w:color w:val="auto"/>
          <w:szCs w:val="24"/>
        </w:rPr>
        <w:t>Nigeria.</w:t>
      </w:r>
    </w:p>
    <w:p w14:paraId="6BE7BE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Microbiology and Immunology, Division of Health Sciences, </w:t>
      </w:r>
    </w:p>
    <w:p w14:paraId="769755A3">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of Otago, Dunedin, New Zealand.</w:t>
      </w:r>
    </w:p>
    <w:p w14:paraId="5C3E5A46">
      <w:pPr>
        <w:rPr>
          <w:rFonts w:hint="eastAsia" w:ascii="宋体" w:hAnsi="宋体" w:eastAsia="宋体" w:cs="宋体"/>
          <w:b w:val="0"/>
          <w:bCs/>
          <w:color w:val="auto"/>
          <w:szCs w:val="24"/>
        </w:rPr>
      </w:pPr>
      <w:r>
        <w:rPr>
          <w:rFonts w:hint="eastAsia" w:ascii="宋体" w:hAnsi="宋体" w:eastAsia="宋体" w:cs="宋体"/>
          <w:b w:val="0"/>
          <w:bCs/>
          <w:color w:val="auto"/>
          <w:szCs w:val="24"/>
        </w:rPr>
        <w:t>(8)TallinnBiotech OÜ, Tallinn 10115, Estonia.</w:t>
      </w:r>
    </w:p>
    <w:p w14:paraId="4509F473">
      <w:pPr>
        <w:rPr>
          <w:rFonts w:hint="eastAsia" w:ascii="宋体" w:hAnsi="宋体" w:eastAsia="宋体" w:cs="宋体"/>
          <w:b w:val="0"/>
          <w:bCs/>
          <w:color w:val="auto"/>
          <w:szCs w:val="24"/>
        </w:rPr>
      </w:pPr>
    </w:p>
    <w:p w14:paraId="20D092A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Maternal tuberculosis (TB) during pregnancy involves chronic </w:t>
      </w:r>
    </w:p>
    <w:p w14:paraId="2DE635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infection, immune activation, and antimicrobial therapy, which may alter the </w:t>
      </w:r>
    </w:p>
    <w:p w14:paraId="36D03F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maternal gut, vaginal, and breast milk microbiomes and influence neonatal immune </w:t>
      </w:r>
    </w:p>
    <w:p w14:paraId="5BB10658">
      <w:pPr>
        <w:rPr>
          <w:rFonts w:hint="eastAsia" w:ascii="宋体" w:hAnsi="宋体" w:eastAsia="宋体" w:cs="宋体"/>
          <w:b w:val="0"/>
          <w:bCs/>
          <w:color w:val="auto"/>
          <w:szCs w:val="24"/>
        </w:rPr>
      </w:pPr>
      <w:r>
        <w:rPr>
          <w:rFonts w:hint="eastAsia" w:ascii="宋体" w:hAnsi="宋体" w:eastAsia="宋体" w:cs="宋体"/>
          <w:b w:val="0"/>
          <w:bCs/>
          <w:color w:val="auto"/>
          <w:szCs w:val="24"/>
        </w:rPr>
        <w:t>development.</w:t>
      </w:r>
    </w:p>
    <w:p w14:paraId="117245B1">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We conducted a narrative review of studies identified through PubMed </w:t>
      </w:r>
    </w:p>
    <w:p w14:paraId="236C1C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GoogleScholar addressing the maternal TB-microbiome-infant immunity axis. </w:t>
      </w:r>
    </w:p>
    <w:p w14:paraId="176942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Where evidence from pregnant women with TB was limited, findings were </w:t>
      </w:r>
    </w:p>
    <w:p w14:paraId="7DE8CA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extrapolated from non-pregnant TB populations, antibiotic exposure studies, and </w:t>
      </w:r>
    </w:p>
    <w:p w14:paraId="6E74F205">
      <w:pPr>
        <w:rPr>
          <w:rFonts w:hint="eastAsia" w:ascii="宋体" w:hAnsi="宋体" w:eastAsia="宋体" w:cs="宋体"/>
          <w:b w:val="0"/>
          <w:bCs/>
          <w:color w:val="auto"/>
          <w:szCs w:val="24"/>
        </w:rPr>
      </w:pPr>
      <w:r>
        <w:rPr>
          <w:rFonts w:hint="eastAsia" w:ascii="宋体" w:hAnsi="宋体" w:eastAsia="宋体" w:cs="宋体"/>
          <w:b w:val="0"/>
          <w:bCs/>
          <w:color w:val="auto"/>
          <w:szCs w:val="24"/>
        </w:rPr>
        <w:t>broader maternal-infant microbiome research.</w:t>
      </w:r>
    </w:p>
    <w:p w14:paraId="0F1C83A3">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Maternal TB and its treatment may alter gut, vaginal, and breast milk </w:t>
      </w:r>
    </w:p>
    <w:p w14:paraId="0C5E12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microbiomes and the immune-metabolic composition of milk. These changes could </w:t>
      </w:r>
    </w:p>
    <w:p w14:paraId="3CAF0B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influence perinatal microbial transmission, mucosal maturation, and infant </w:t>
      </w:r>
    </w:p>
    <w:p w14:paraId="77D6BF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immune responses, including vaccine responsiveness, BCG immunogenicity, and IGRA </w:t>
      </w:r>
    </w:p>
    <w:p w14:paraId="1BC1C4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conversion. Treatment timing, antibiotic exposure, and maternal nutrition may </w:t>
      </w:r>
    </w:p>
    <w:p w14:paraId="0F6C0BB7">
      <w:pPr>
        <w:rPr>
          <w:rFonts w:hint="eastAsia" w:ascii="宋体" w:hAnsi="宋体" w:eastAsia="宋体" w:cs="宋体"/>
          <w:b w:val="0"/>
          <w:bCs/>
          <w:color w:val="auto"/>
          <w:szCs w:val="24"/>
        </w:rPr>
      </w:pPr>
      <w:r>
        <w:rPr>
          <w:rFonts w:hint="eastAsia" w:ascii="宋体" w:hAnsi="宋体" w:eastAsia="宋体" w:cs="宋体"/>
          <w:b w:val="0"/>
          <w:bCs/>
          <w:color w:val="auto"/>
          <w:szCs w:val="24"/>
        </w:rPr>
        <w:t>modify these effects.</w:t>
      </w:r>
    </w:p>
    <w:p w14:paraId="7A16BE9E">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Understanding the maternal TB-microbiome-immune axis may help </w:t>
      </w:r>
    </w:p>
    <w:p w14:paraId="55E9D0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optimize infant immune outcomes. Longitudinal mother-infant studies, multi-omic </w:t>
      </w:r>
    </w:p>
    <w:p w14:paraId="56473A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analyses, and mechanistic models are needed to clarify these interactions and </w:t>
      </w:r>
    </w:p>
    <w:p w14:paraId="08E0E0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evaluate microbiome informed strategies, including nutritional optimization, </w:t>
      </w:r>
    </w:p>
    <w:p w14:paraId="1779C4CA">
      <w:pPr>
        <w:rPr>
          <w:rFonts w:hint="eastAsia" w:ascii="宋体" w:hAnsi="宋体" w:eastAsia="宋体" w:cs="宋体"/>
          <w:b w:val="0"/>
          <w:bCs/>
          <w:color w:val="auto"/>
          <w:szCs w:val="24"/>
        </w:rPr>
      </w:pPr>
      <w:r>
        <w:rPr>
          <w:rFonts w:hint="eastAsia" w:ascii="宋体" w:hAnsi="宋体" w:eastAsia="宋体" w:cs="宋体"/>
          <w:b w:val="0"/>
          <w:bCs/>
          <w:color w:val="auto"/>
          <w:szCs w:val="24"/>
        </w:rPr>
        <w:t>targeted probiotics/prebiotics, and antibiotic stewardship.</w:t>
      </w:r>
    </w:p>
    <w:p w14:paraId="3BB366D2">
      <w:pPr>
        <w:rPr>
          <w:rFonts w:hint="eastAsia" w:ascii="宋体" w:hAnsi="宋体" w:eastAsia="宋体" w:cs="宋体"/>
          <w:b w:val="0"/>
          <w:bCs/>
          <w:color w:val="auto"/>
          <w:szCs w:val="24"/>
        </w:rPr>
      </w:pPr>
    </w:p>
    <w:p w14:paraId="1FE76149">
      <w:pPr>
        <w:rPr>
          <w:rFonts w:hint="eastAsia" w:ascii="宋体" w:hAnsi="宋体" w:eastAsia="宋体" w:cs="宋体"/>
          <w:b w:val="0"/>
          <w:bCs/>
          <w:color w:val="auto"/>
          <w:szCs w:val="24"/>
        </w:rPr>
      </w:pPr>
      <w:r>
        <w:rPr>
          <w:rFonts w:hint="eastAsia" w:ascii="宋体" w:hAnsi="宋体" w:eastAsia="宋体" w:cs="宋体"/>
          <w:b w:val="0"/>
          <w:bCs/>
          <w:color w:val="auto"/>
          <w:szCs w:val="24"/>
        </w:rPr>
        <w:t>DOI: 10.1080/08820139.2026.2719706</w:t>
      </w:r>
    </w:p>
    <w:p w14:paraId="4B7C2F7B">
      <w:pPr>
        <w:rPr>
          <w:rFonts w:hint="eastAsia" w:ascii="宋体" w:hAnsi="宋体" w:eastAsia="宋体" w:cs="宋体"/>
          <w:b w:val="0"/>
          <w:bCs/>
          <w:color w:val="auto"/>
          <w:szCs w:val="24"/>
        </w:rPr>
      </w:pPr>
      <w:r>
        <w:rPr>
          <w:rFonts w:hint="eastAsia" w:ascii="宋体" w:hAnsi="宋体" w:eastAsia="宋体" w:cs="宋体"/>
          <w:b w:val="0"/>
          <w:bCs/>
          <w:color w:val="auto"/>
          <w:szCs w:val="24"/>
        </w:rPr>
        <w:t>PMID: 42703853</w:t>
      </w:r>
    </w:p>
    <w:p w14:paraId="5154BA73">
      <w:pPr>
        <w:rPr>
          <w:rFonts w:hint="eastAsia" w:ascii="宋体" w:hAnsi="宋体" w:eastAsia="宋体" w:cs="宋体"/>
          <w:b w:val="0"/>
          <w:bCs/>
          <w:color w:val="auto"/>
          <w:szCs w:val="24"/>
        </w:rPr>
      </w:pPr>
    </w:p>
    <w:p w14:paraId="32C3142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48</w:t>
      </w:r>
      <w:r>
        <w:rPr>
          <w:rFonts w:hint="eastAsia" w:ascii="宋体" w:hAnsi="宋体" w:eastAsia="宋体" w:cs="宋体"/>
          <w:b/>
          <w:bCs w:val="0"/>
          <w:color w:val="FF0000"/>
          <w:szCs w:val="24"/>
        </w:rPr>
        <w:t>. J Infect Dis. 2026 Sep 7:jiag458. doi: 10.1093/infdis/jiag458. Online ahead of print.</w:t>
      </w:r>
    </w:p>
    <w:p w14:paraId="4694BC0F">
      <w:pPr>
        <w:rPr>
          <w:rFonts w:hint="eastAsia" w:ascii="宋体" w:hAnsi="宋体" w:eastAsia="宋体" w:cs="宋体"/>
          <w:b w:val="0"/>
          <w:bCs/>
          <w:color w:val="auto"/>
          <w:szCs w:val="24"/>
        </w:rPr>
      </w:pPr>
    </w:p>
    <w:p w14:paraId="7CFD51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Hyperinflammatory Profiles and Early Mortality in HIV-Associated Tuberculosis: A </w:t>
      </w:r>
    </w:p>
    <w:p w14:paraId="74C0FB12">
      <w:pPr>
        <w:rPr>
          <w:rFonts w:hint="eastAsia" w:ascii="宋体" w:hAnsi="宋体" w:eastAsia="宋体" w:cs="宋体"/>
          <w:b w:val="0"/>
          <w:bCs/>
          <w:color w:val="auto"/>
          <w:szCs w:val="24"/>
        </w:rPr>
      </w:pPr>
      <w:r>
        <w:rPr>
          <w:rFonts w:hint="eastAsia" w:ascii="宋体" w:hAnsi="宋体" w:eastAsia="宋体" w:cs="宋体"/>
          <w:b w:val="0"/>
          <w:bCs/>
          <w:color w:val="auto"/>
          <w:szCs w:val="24"/>
        </w:rPr>
        <w:t>Prospective Cohort Study in Brazil.</w:t>
      </w:r>
    </w:p>
    <w:p w14:paraId="46112076">
      <w:pPr>
        <w:rPr>
          <w:rFonts w:hint="eastAsia" w:ascii="宋体" w:hAnsi="宋体" w:eastAsia="宋体" w:cs="宋体"/>
          <w:b w:val="0"/>
          <w:bCs/>
          <w:color w:val="auto"/>
          <w:szCs w:val="24"/>
        </w:rPr>
      </w:pPr>
    </w:p>
    <w:p w14:paraId="4FAAA7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Nogueira BMF(1)(2)(3), Vinhaes CL(2)(4)(5), Rangel FA(2)(5)(6), Fukutani </w:t>
      </w:r>
    </w:p>
    <w:p w14:paraId="776941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ER(2)(5)(6), Neves ES(1)(7), Damasceno CSA(1), Ferreira ESO(1), Oliveira FSF(1), </w:t>
      </w:r>
    </w:p>
    <w:p w14:paraId="6141F4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Junior GTS(1), Santos RJR(1), Cersosimo TAB(1), Araujo JTT(1), Akrami KM(8), </w:t>
      </w:r>
    </w:p>
    <w:p w14:paraId="0A365E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Rebouças R(2)(5)(6), Araujo-Pereira M(2)(5)(6), Nunes C(1), Benson C(9), Andrade </w:t>
      </w:r>
    </w:p>
    <w:p w14:paraId="17849AED">
      <w:pPr>
        <w:rPr>
          <w:rFonts w:hint="eastAsia" w:ascii="宋体" w:hAnsi="宋体" w:eastAsia="宋体" w:cs="宋体"/>
          <w:b w:val="0"/>
          <w:bCs/>
          <w:color w:val="auto"/>
          <w:szCs w:val="24"/>
        </w:rPr>
      </w:pPr>
      <w:r>
        <w:rPr>
          <w:rFonts w:hint="eastAsia" w:ascii="宋体" w:hAnsi="宋体" w:eastAsia="宋体" w:cs="宋体"/>
          <w:b w:val="0"/>
          <w:bCs/>
          <w:color w:val="auto"/>
          <w:szCs w:val="24"/>
        </w:rPr>
        <w:t>BB(2)(5)(6)(10), Queiroz ATL(2)(5)(6).</w:t>
      </w:r>
    </w:p>
    <w:p w14:paraId="29CA2605">
      <w:pPr>
        <w:rPr>
          <w:rFonts w:hint="eastAsia" w:ascii="宋体" w:hAnsi="宋体" w:eastAsia="宋体" w:cs="宋体"/>
          <w:b w:val="0"/>
          <w:bCs/>
          <w:color w:val="auto"/>
          <w:szCs w:val="24"/>
        </w:rPr>
      </w:pPr>
    </w:p>
    <w:p w14:paraId="689D4C00">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739E5A5">
      <w:pPr>
        <w:rPr>
          <w:rFonts w:hint="eastAsia" w:ascii="宋体" w:hAnsi="宋体" w:eastAsia="宋体" w:cs="宋体"/>
          <w:b w:val="0"/>
          <w:bCs/>
          <w:color w:val="auto"/>
          <w:szCs w:val="24"/>
        </w:rPr>
      </w:pPr>
      <w:r>
        <w:rPr>
          <w:rFonts w:hint="eastAsia" w:ascii="宋体" w:hAnsi="宋体" w:eastAsia="宋体" w:cs="宋体"/>
          <w:b w:val="0"/>
          <w:bCs/>
          <w:color w:val="auto"/>
          <w:szCs w:val="24"/>
        </w:rPr>
        <w:t>(1)Instituto Couto Maia, Salvador, Brazil.</w:t>
      </w:r>
    </w:p>
    <w:p w14:paraId="733FA2E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(2)Multinational Organization Network Sponsoring Translational and </w:t>
      </w:r>
    </w:p>
    <w:p w14:paraId="7B8E414E">
      <w:pPr>
        <w:rPr>
          <w:rFonts w:hint="eastAsia" w:ascii="宋体" w:hAnsi="宋体" w:eastAsia="宋体" w:cs="宋体"/>
          <w:b w:val="0"/>
          <w:bCs/>
          <w:color w:val="auto"/>
          <w:szCs w:val="24"/>
        </w:rPr>
      </w:pPr>
      <w:r>
        <w:rPr>
          <w:rFonts w:hint="eastAsia" w:ascii="宋体" w:hAnsi="宋体" w:eastAsia="宋体" w:cs="宋体"/>
          <w:b w:val="0"/>
          <w:bCs/>
          <w:color w:val="auto"/>
          <w:szCs w:val="24"/>
        </w:rPr>
        <w:t>Epidemiological Research (MONSTER) Initiative, Salvador, Brazil.</w:t>
      </w:r>
    </w:p>
    <w:p w14:paraId="23B3960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(3)Curso de Medicina, Escola Bahiana de Medicina e Saúde Pública (EBMSP), </w:t>
      </w:r>
    </w:p>
    <w:p w14:paraId="7EC6C409">
      <w:pPr>
        <w:rPr>
          <w:rFonts w:hint="eastAsia" w:ascii="宋体" w:hAnsi="宋体" w:eastAsia="宋体" w:cs="宋体"/>
          <w:b w:val="0"/>
          <w:bCs/>
          <w:color w:val="auto"/>
          <w:szCs w:val="24"/>
        </w:rPr>
      </w:pPr>
      <w:r>
        <w:rPr>
          <w:rFonts w:hint="eastAsia" w:ascii="宋体" w:hAnsi="宋体" w:eastAsia="宋体" w:cs="宋体"/>
          <w:b w:val="0"/>
          <w:bCs/>
          <w:color w:val="auto"/>
          <w:szCs w:val="24"/>
        </w:rPr>
        <w:t>Salvador, Brazil.</w:t>
      </w:r>
    </w:p>
    <w:p w14:paraId="3A97E3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(4)Instituto Nacional de Infectologia Evandro Chagas, Fundação Oswaldo Cruz, Rio </w:t>
      </w:r>
    </w:p>
    <w:p w14:paraId="715F0BF7">
      <w:pPr>
        <w:rPr>
          <w:rFonts w:hint="eastAsia" w:ascii="宋体" w:hAnsi="宋体" w:eastAsia="宋体" w:cs="宋体"/>
          <w:b w:val="0"/>
          <w:bCs/>
          <w:color w:val="auto"/>
          <w:szCs w:val="24"/>
        </w:rPr>
      </w:pPr>
      <w:r>
        <w:rPr>
          <w:rFonts w:hint="eastAsia" w:ascii="宋体" w:hAnsi="宋体" w:eastAsia="宋体" w:cs="宋体"/>
          <w:b w:val="0"/>
          <w:bCs/>
          <w:color w:val="auto"/>
          <w:szCs w:val="24"/>
        </w:rPr>
        <w:t>de Janeiro, Brazil.</w:t>
      </w:r>
    </w:p>
    <w:p w14:paraId="62E89C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(5)Instituto de Pesquisa Clínica e Translacional, Medicina Zarns, Clariens </w:t>
      </w:r>
    </w:p>
    <w:p w14:paraId="677E3ADC">
      <w:pPr>
        <w:rPr>
          <w:rFonts w:hint="eastAsia" w:ascii="宋体" w:hAnsi="宋体" w:eastAsia="宋体" w:cs="宋体"/>
          <w:b w:val="0"/>
          <w:bCs/>
          <w:color w:val="auto"/>
          <w:szCs w:val="24"/>
        </w:rPr>
      </w:pPr>
      <w:r>
        <w:rPr>
          <w:rFonts w:hint="eastAsia" w:ascii="宋体" w:hAnsi="宋体" w:eastAsia="宋体" w:cs="宋体"/>
          <w:b w:val="0"/>
          <w:bCs/>
          <w:color w:val="auto"/>
          <w:szCs w:val="24"/>
        </w:rPr>
        <w:t>Educação, Salvador, Brazil.</w:t>
      </w:r>
    </w:p>
    <w:p w14:paraId="313843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(6)Laboratório de Pesquisa Clínica e Translacional, Instituto Gonçalo Moniz, </w:t>
      </w:r>
    </w:p>
    <w:p w14:paraId="325489BD">
      <w:pPr>
        <w:rPr>
          <w:rFonts w:hint="eastAsia" w:ascii="宋体" w:hAnsi="宋体" w:eastAsia="宋体" w:cs="宋体"/>
          <w:b w:val="0"/>
          <w:bCs/>
          <w:color w:val="auto"/>
          <w:szCs w:val="24"/>
        </w:rPr>
      </w:pPr>
      <w:r>
        <w:rPr>
          <w:rFonts w:hint="eastAsia" w:ascii="宋体" w:hAnsi="宋体" w:eastAsia="宋体" w:cs="宋体"/>
          <w:b w:val="0"/>
          <w:bCs/>
          <w:color w:val="auto"/>
          <w:szCs w:val="24"/>
        </w:rPr>
        <w:t>Fundação Oswaldo Cruz, Salvador, Brazil.</w:t>
      </w:r>
    </w:p>
    <w:p w14:paraId="5DB016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(7)Programa de Pós-graduação em Farmácia, Universidade Federal da Bahia, </w:t>
      </w:r>
    </w:p>
    <w:p w14:paraId="5495663D">
      <w:pPr>
        <w:rPr>
          <w:rFonts w:hint="eastAsia" w:ascii="宋体" w:hAnsi="宋体" w:eastAsia="宋体" w:cs="宋体"/>
          <w:b w:val="0"/>
          <w:bCs/>
          <w:color w:val="auto"/>
          <w:szCs w:val="24"/>
        </w:rPr>
      </w:pPr>
      <w:r>
        <w:rPr>
          <w:rFonts w:hint="eastAsia" w:ascii="宋体" w:hAnsi="宋体" w:eastAsia="宋体" w:cs="宋体"/>
          <w:b w:val="0"/>
          <w:bCs/>
          <w:color w:val="auto"/>
          <w:szCs w:val="24"/>
        </w:rPr>
        <w:t>Salvador, Brazil.</w:t>
      </w:r>
    </w:p>
    <w:p w14:paraId="4C5AB6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Medicine, Division of Pulmonary and Critical Care, University </w:t>
      </w:r>
    </w:p>
    <w:p w14:paraId="76760EBD">
      <w:pPr>
        <w:rPr>
          <w:rFonts w:hint="eastAsia" w:ascii="宋体" w:hAnsi="宋体" w:eastAsia="宋体" w:cs="宋体"/>
          <w:b w:val="0"/>
          <w:bCs/>
          <w:color w:val="auto"/>
          <w:szCs w:val="24"/>
        </w:rPr>
      </w:pPr>
      <w:r>
        <w:rPr>
          <w:rFonts w:hint="eastAsia" w:ascii="宋体" w:hAnsi="宋体" w:eastAsia="宋体" w:cs="宋体"/>
          <w:b w:val="0"/>
          <w:bCs/>
          <w:color w:val="auto"/>
          <w:szCs w:val="24"/>
        </w:rPr>
        <w:t>of California- San Diego, California, USA.</w:t>
      </w:r>
    </w:p>
    <w:p w14:paraId="51D46CF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(9)Department of Medicine, Division of Infectious Disease, University of </w:t>
      </w:r>
    </w:p>
    <w:p w14:paraId="33B86A21">
      <w:pPr>
        <w:rPr>
          <w:rFonts w:hint="eastAsia" w:ascii="宋体" w:hAnsi="宋体" w:eastAsia="宋体" w:cs="宋体"/>
          <w:b w:val="0"/>
          <w:bCs/>
          <w:color w:val="auto"/>
          <w:szCs w:val="24"/>
        </w:rPr>
      </w:pPr>
      <w:r>
        <w:rPr>
          <w:rFonts w:hint="eastAsia" w:ascii="宋体" w:hAnsi="宋体" w:eastAsia="宋体" w:cs="宋体"/>
          <w:b w:val="0"/>
          <w:bCs/>
          <w:color w:val="auto"/>
          <w:szCs w:val="24"/>
        </w:rPr>
        <w:t>California- San Diego, California, USA.</w:t>
      </w:r>
    </w:p>
    <w:p w14:paraId="165752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(10)Division of Infectious Diseases, Johns Hopkins University, Baltimore, </w:t>
      </w:r>
    </w:p>
    <w:p w14:paraId="43FED2F3">
      <w:pPr>
        <w:rPr>
          <w:rFonts w:hint="eastAsia" w:ascii="宋体" w:hAnsi="宋体" w:eastAsia="宋体" w:cs="宋体"/>
          <w:b w:val="0"/>
          <w:bCs/>
          <w:color w:val="auto"/>
          <w:szCs w:val="24"/>
        </w:rPr>
      </w:pPr>
      <w:r>
        <w:rPr>
          <w:rFonts w:hint="eastAsia" w:ascii="宋体" w:hAnsi="宋体" w:eastAsia="宋体" w:cs="宋体"/>
          <w:b w:val="0"/>
          <w:bCs/>
          <w:color w:val="auto"/>
          <w:szCs w:val="24"/>
        </w:rPr>
        <w:t>Maryland, USA.</w:t>
      </w:r>
    </w:p>
    <w:p w14:paraId="177D0B24">
      <w:pPr>
        <w:rPr>
          <w:rFonts w:hint="eastAsia" w:ascii="宋体" w:hAnsi="宋体" w:eastAsia="宋体" w:cs="宋体"/>
          <w:b w:val="0"/>
          <w:bCs/>
          <w:color w:val="auto"/>
          <w:szCs w:val="24"/>
        </w:rPr>
      </w:pPr>
    </w:p>
    <w:p w14:paraId="1D8CC00B">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w:t>
      </w:r>
      <w:r>
        <w:rPr>
          <w:rFonts w:hint="eastAsia" w:ascii="宋体" w:hAnsi="宋体" w:eastAsia="宋体" w:cs="宋体"/>
          <w:b w:val="0"/>
          <w:bCs/>
          <w:color w:val="auto"/>
          <w:szCs w:val="24"/>
        </w:rPr>
        <w:t xml:space="preserve"> Tuberculosis remains the leading cause of death among people with </w:t>
      </w:r>
    </w:p>
    <w:p w14:paraId="3616E9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HIV, yet the immunological mechanisms underlying early mortality are </w:t>
      </w:r>
    </w:p>
    <w:p w14:paraId="3B546900">
      <w:pPr>
        <w:rPr>
          <w:rFonts w:hint="eastAsia" w:ascii="宋体" w:hAnsi="宋体" w:eastAsia="宋体" w:cs="宋体"/>
          <w:b w:val="0"/>
          <w:bCs/>
          <w:color w:val="auto"/>
          <w:szCs w:val="24"/>
        </w:rPr>
      </w:pPr>
      <w:r>
        <w:rPr>
          <w:rFonts w:hint="eastAsia" w:ascii="宋体" w:hAnsi="宋体" w:eastAsia="宋体" w:cs="宋体"/>
          <w:b w:val="0"/>
          <w:bCs/>
          <w:color w:val="auto"/>
          <w:szCs w:val="24"/>
        </w:rPr>
        <w:t>incompletely defined.</w:t>
      </w:r>
    </w:p>
    <w:p w14:paraId="76794D0B">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In this prospective cohort, 152 adults hospitalized with HIV-associated </w:t>
      </w:r>
    </w:p>
    <w:p w14:paraId="728CE2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in Bahia, Brazil, had clinical/laboratory data and plasma cytokines measured </w:t>
      </w:r>
    </w:p>
    <w:p w14:paraId="3176DC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 admission and day 7. Participants were followed for 100 days; deaths were </w:t>
      </w:r>
    </w:p>
    <w:p w14:paraId="6B0554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classified as early (≤14 days) or late (15-100 days). We used clustering, </w:t>
      </w:r>
    </w:p>
    <w:p w14:paraId="179FD1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canonical discriminant analysis, bootstrapped correlation networks, and </w:t>
      </w:r>
    </w:p>
    <w:p w14:paraId="41E29CC4">
      <w:pPr>
        <w:rPr>
          <w:rFonts w:hint="eastAsia" w:ascii="宋体" w:hAnsi="宋体" w:eastAsia="宋体" w:cs="宋体"/>
          <w:b w:val="0"/>
          <w:bCs/>
          <w:color w:val="auto"/>
          <w:szCs w:val="24"/>
        </w:rPr>
      </w:pPr>
      <w:r>
        <w:rPr>
          <w:rFonts w:hint="eastAsia" w:ascii="宋体" w:hAnsi="宋体" w:eastAsia="宋体" w:cs="宋体"/>
          <w:b w:val="0"/>
          <w:bCs/>
          <w:color w:val="auto"/>
          <w:szCs w:val="24"/>
        </w:rPr>
        <w:t>multivariable logistic regression.</w:t>
      </w:r>
    </w:p>
    <w:p w14:paraId="20B8D1F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Twenty-eight participants (18.4%) died: 13 early and 15 late. Early </w:t>
      </w:r>
    </w:p>
    <w:p w14:paraId="375A9A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deaths had poorer functional status, greater organ dysfunction, less frequent </w:t>
      </w:r>
    </w:p>
    <w:p w14:paraId="19A59A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early antiretroviral initiation, and biochemical evidence of intense systemic </w:t>
      </w:r>
    </w:p>
    <w:p w14:paraId="6C07D6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inflammation and coagulopathy. Unsupervised clustering did not clearly segregate </w:t>
      </w:r>
    </w:p>
    <w:p w14:paraId="439B2E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outcomes, but early deaths displayed higher innate/chemotactic mediators and </w:t>
      </w:r>
    </w:p>
    <w:p w14:paraId="6EB842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persistently dense, hyperconnected cytokine networks at baseline and day 7. </w:t>
      </w:r>
    </w:p>
    <w:p w14:paraId="3603B72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Mortality was associated with higher day-7 TNF-α, IL-6 and GM-CSF and lower </w:t>
      </w:r>
    </w:p>
    <w:p w14:paraId="166E07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day-7 IL-2, as well as higher baseline IL-1ra and lower baseline TNF-β and IL-5; baseline International Normalized Ratio (INR) was the only biochemical </w:t>
      </w:r>
    </w:p>
    <w:p w14:paraId="09D1BC71">
      <w:pPr>
        <w:rPr>
          <w:rFonts w:hint="eastAsia" w:ascii="宋体" w:hAnsi="宋体" w:eastAsia="宋体" w:cs="宋体"/>
          <w:b w:val="0"/>
          <w:bCs/>
          <w:color w:val="auto"/>
          <w:szCs w:val="24"/>
        </w:rPr>
      </w:pPr>
      <w:r>
        <w:rPr>
          <w:rFonts w:hint="eastAsia" w:ascii="宋体" w:hAnsi="宋体" w:eastAsia="宋体" w:cs="宋体"/>
          <w:b w:val="0"/>
          <w:bCs/>
          <w:color w:val="auto"/>
          <w:szCs w:val="24"/>
        </w:rPr>
        <w:t>predictor.</w:t>
      </w:r>
    </w:p>
    <w:p w14:paraId="78CA8289">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Early mortality in this Brazilian cohort was characterized by a </w:t>
      </w:r>
    </w:p>
    <w:p w14:paraId="06DDF0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dysregulated, hyperconnected inflammatory state consistent with sepsis-like </w:t>
      </w:r>
    </w:p>
    <w:p w14:paraId="3F5072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hyperinflammation, supporting immune-informed risk stratification and carefully </w:t>
      </w:r>
    </w:p>
    <w:p w14:paraId="326B3D56">
      <w:pPr>
        <w:rPr>
          <w:rFonts w:hint="eastAsia" w:ascii="宋体" w:hAnsi="宋体" w:eastAsia="宋体" w:cs="宋体"/>
          <w:b w:val="0"/>
          <w:bCs/>
          <w:color w:val="auto"/>
          <w:szCs w:val="24"/>
        </w:rPr>
      </w:pPr>
      <w:r>
        <w:rPr>
          <w:rFonts w:hint="eastAsia" w:ascii="宋体" w:hAnsi="宋体" w:eastAsia="宋体" w:cs="宋体"/>
          <w:b w:val="0"/>
          <w:bCs/>
          <w:color w:val="auto"/>
          <w:szCs w:val="24"/>
        </w:rPr>
        <w:t>designed host-directed studies.</w:t>
      </w:r>
    </w:p>
    <w:p w14:paraId="70796687">
      <w:pPr>
        <w:rPr>
          <w:rFonts w:hint="eastAsia" w:ascii="宋体" w:hAnsi="宋体" w:eastAsia="宋体" w:cs="宋体"/>
          <w:b w:val="0"/>
          <w:bCs/>
          <w:color w:val="auto"/>
          <w:szCs w:val="24"/>
        </w:rPr>
      </w:pPr>
    </w:p>
    <w:p w14:paraId="2ED023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The Author(s) 2026. Published by Oxford University Press on behalf of </w:t>
      </w:r>
    </w:p>
    <w:p w14:paraId="224411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Infectious Diseases Society of America. All rights reserved. For commercial </w:t>
      </w:r>
    </w:p>
    <w:p w14:paraId="7800DB6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re-use, please contact reprints@oup.com for reprints and translation rights for </w:t>
      </w:r>
    </w:p>
    <w:p w14:paraId="0BE6D3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reprints. All other permissions can be obtained through our RightsLink service </w:t>
      </w:r>
    </w:p>
    <w:p w14:paraId="63D5EF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via the Permissions link on the article page on our site—for further information </w:t>
      </w:r>
    </w:p>
    <w:p w14:paraId="61DF4AD2">
      <w:pPr>
        <w:rPr>
          <w:rFonts w:hint="eastAsia" w:ascii="宋体" w:hAnsi="宋体" w:eastAsia="宋体" w:cs="宋体"/>
          <w:b w:val="0"/>
          <w:bCs/>
          <w:color w:val="auto"/>
          <w:szCs w:val="24"/>
        </w:rPr>
      </w:pPr>
      <w:r>
        <w:rPr>
          <w:rFonts w:hint="eastAsia" w:ascii="宋体" w:hAnsi="宋体" w:eastAsia="宋体" w:cs="宋体"/>
          <w:b w:val="0"/>
          <w:bCs/>
          <w:color w:val="auto"/>
          <w:szCs w:val="24"/>
        </w:rPr>
        <w:t>please contact journals.permissions@oup.com.</w:t>
      </w:r>
    </w:p>
    <w:p w14:paraId="6D276690">
      <w:pPr>
        <w:rPr>
          <w:rFonts w:hint="eastAsia" w:ascii="宋体" w:hAnsi="宋体" w:eastAsia="宋体" w:cs="宋体"/>
          <w:b w:val="0"/>
          <w:bCs/>
          <w:color w:val="auto"/>
          <w:szCs w:val="24"/>
        </w:rPr>
      </w:pPr>
    </w:p>
    <w:p w14:paraId="7B68C1F4">
      <w:pPr>
        <w:rPr>
          <w:rFonts w:hint="eastAsia" w:ascii="宋体" w:hAnsi="宋体" w:eastAsia="宋体" w:cs="宋体"/>
          <w:b w:val="0"/>
          <w:bCs/>
          <w:color w:val="auto"/>
          <w:szCs w:val="24"/>
        </w:rPr>
      </w:pPr>
      <w:r>
        <w:rPr>
          <w:rFonts w:hint="eastAsia" w:ascii="宋体" w:hAnsi="宋体" w:eastAsia="宋体" w:cs="宋体"/>
          <w:b w:val="0"/>
          <w:bCs/>
          <w:color w:val="auto"/>
          <w:szCs w:val="24"/>
        </w:rPr>
        <w:t>DOI: 10.1093/infdis/jiag458</w:t>
      </w:r>
    </w:p>
    <w:p w14:paraId="3734A956">
      <w:pPr>
        <w:rPr>
          <w:rFonts w:hint="eastAsia" w:ascii="宋体" w:hAnsi="宋体" w:eastAsia="宋体" w:cs="宋体"/>
          <w:b w:val="0"/>
          <w:bCs/>
          <w:color w:val="auto"/>
          <w:szCs w:val="24"/>
        </w:rPr>
      </w:pPr>
      <w:r>
        <w:rPr>
          <w:rFonts w:hint="eastAsia" w:ascii="宋体" w:hAnsi="宋体" w:eastAsia="宋体" w:cs="宋体"/>
          <w:b w:val="0"/>
          <w:bCs/>
          <w:color w:val="auto"/>
          <w:szCs w:val="24"/>
        </w:rPr>
        <w:t>PMID: 42703724</w:t>
      </w:r>
    </w:p>
    <w:p w14:paraId="00A77409">
      <w:pPr>
        <w:rPr>
          <w:rFonts w:hint="eastAsia" w:ascii="宋体" w:hAnsi="宋体" w:eastAsia="宋体" w:cs="宋体"/>
          <w:b w:val="0"/>
          <w:bCs/>
          <w:color w:val="auto"/>
          <w:szCs w:val="24"/>
        </w:rPr>
      </w:pPr>
    </w:p>
    <w:p w14:paraId="40F6810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49</w:t>
      </w:r>
      <w:r>
        <w:rPr>
          <w:rFonts w:hint="eastAsia" w:ascii="宋体" w:hAnsi="宋体" w:eastAsia="宋体" w:cs="宋体"/>
          <w:b/>
          <w:bCs w:val="0"/>
          <w:color w:val="FF0000"/>
          <w:szCs w:val="24"/>
        </w:rPr>
        <w:t xml:space="preserve">. Open Forum Infect Dis. 2026 Sep 7;13(9):ofag497. doi: 10.1093/ofid/ofag497. </w:t>
      </w:r>
    </w:p>
    <w:p w14:paraId="19EAA656">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 Sep.</w:t>
      </w:r>
    </w:p>
    <w:p w14:paraId="69401A36">
      <w:pPr>
        <w:rPr>
          <w:rFonts w:hint="eastAsia" w:ascii="宋体" w:hAnsi="宋体" w:eastAsia="宋体" w:cs="宋体"/>
          <w:b/>
          <w:bCs w:val="0"/>
          <w:color w:val="FF0000"/>
          <w:szCs w:val="24"/>
        </w:rPr>
      </w:pPr>
    </w:p>
    <w:p w14:paraId="3C0BAE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Incidence of and Risk Factors for Tuberculosis Among Patients Treated for </w:t>
      </w:r>
    </w:p>
    <w:p w14:paraId="062ACED1">
      <w:pPr>
        <w:rPr>
          <w:rFonts w:hint="eastAsia" w:ascii="宋体" w:hAnsi="宋体" w:eastAsia="宋体" w:cs="宋体"/>
          <w:b w:val="0"/>
          <w:bCs/>
          <w:color w:val="auto"/>
          <w:szCs w:val="24"/>
        </w:rPr>
      </w:pPr>
      <w:r>
        <w:rPr>
          <w:rFonts w:hint="eastAsia" w:ascii="宋体" w:hAnsi="宋体" w:eastAsia="宋体" w:cs="宋体"/>
          <w:b w:val="0"/>
          <w:bCs/>
          <w:color w:val="auto"/>
          <w:szCs w:val="24"/>
        </w:rPr>
        <w:t>Hepatitis C: a Population-based Cohort Study.</w:t>
      </w:r>
    </w:p>
    <w:p w14:paraId="0DD67A62">
      <w:pPr>
        <w:rPr>
          <w:rFonts w:hint="eastAsia" w:ascii="宋体" w:hAnsi="宋体" w:eastAsia="宋体" w:cs="宋体"/>
          <w:b w:val="0"/>
          <w:bCs/>
          <w:color w:val="auto"/>
          <w:szCs w:val="24"/>
        </w:rPr>
      </w:pPr>
    </w:p>
    <w:p w14:paraId="5B0947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Korinteli T(1), Tukvadze N(1)(2), Chincharauli M(1), Avaliani Z(1)(3), Kipiani </w:t>
      </w:r>
    </w:p>
    <w:p w14:paraId="22D32B03">
      <w:pPr>
        <w:rPr>
          <w:rFonts w:hint="eastAsia" w:ascii="宋体" w:hAnsi="宋体" w:eastAsia="宋体" w:cs="宋体"/>
          <w:b w:val="0"/>
          <w:bCs/>
          <w:color w:val="auto"/>
          <w:szCs w:val="24"/>
        </w:rPr>
      </w:pPr>
      <w:r>
        <w:rPr>
          <w:rFonts w:hint="eastAsia" w:ascii="宋体" w:hAnsi="宋体" w:eastAsia="宋体" w:cs="宋体"/>
          <w:b w:val="0"/>
          <w:bCs/>
          <w:color w:val="auto"/>
          <w:szCs w:val="24"/>
        </w:rPr>
        <w:t>M(1)(4)(5), Getia V(6), Magee MJ(7), Blumberg HM(8), Baliashvili D(9).</w:t>
      </w:r>
    </w:p>
    <w:p w14:paraId="5BA611C3">
      <w:pPr>
        <w:rPr>
          <w:rFonts w:hint="eastAsia" w:ascii="宋体" w:hAnsi="宋体" w:eastAsia="宋体" w:cs="宋体"/>
          <w:b w:val="0"/>
          <w:bCs/>
          <w:color w:val="auto"/>
          <w:szCs w:val="24"/>
        </w:rPr>
      </w:pPr>
    </w:p>
    <w:p w14:paraId="72BC4228">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56C13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(1)Scientific Research Unit of The National Center for Lung Health, Tbilisi, </w:t>
      </w:r>
    </w:p>
    <w:p w14:paraId="26F71E54">
      <w:pPr>
        <w:rPr>
          <w:rFonts w:hint="eastAsia" w:ascii="宋体" w:hAnsi="宋体" w:eastAsia="宋体" w:cs="宋体"/>
          <w:b w:val="0"/>
          <w:bCs/>
          <w:color w:val="auto"/>
          <w:szCs w:val="24"/>
        </w:rPr>
      </w:pPr>
      <w:r>
        <w:rPr>
          <w:rFonts w:hint="eastAsia" w:ascii="宋体" w:hAnsi="宋体" w:eastAsia="宋体" w:cs="宋体"/>
          <w:b w:val="0"/>
          <w:bCs/>
          <w:color w:val="auto"/>
          <w:szCs w:val="24"/>
        </w:rPr>
        <w:t>Georgia.</w:t>
      </w:r>
    </w:p>
    <w:p w14:paraId="1A5FFF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(2)Research Department of Swiss Tropical and Public Health Institute, Allschwil, </w:t>
      </w:r>
    </w:p>
    <w:p w14:paraId="3F27D825">
      <w:pPr>
        <w:rPr>
          <w:rFonts w:hint="eastAsia" w:ascii="宋体" w:hAnsi="宋体" w:eastAsia="宋体" w:cs="宋体"/>
          <w:b w:val="0"/>
          <w:bCs/>
          <w:color w:val="auto"/>
          <w:szCs w:val="24"/>
        </w:rPr>
      </w:pPr>
      <w:r>
        <w:rPr>
          <w:rFonts w:hint="eastAsia" w:ascii="宋体" w:hAnsi="宋体" w:eastAsia="宋体" w:cs="宋体"/>
          <w:b w:val="0"/>
          <w:bCs/>
          <w:color w:val="auto"/>
          <w:szCs w:val="24"/>
        </w:rPr>
        <w:t>Switzerland.</w:t>
      </w:r>
    </w:p>
    <w:p w14:paraId="08C7D661">
      <w:pPr>
        <w:rPr>
          <w:rFonts w:hint="eastAsia" w:ascii="宋体" w:hAnsi="宋体" w:eastAsia="宋体" w:cs="宋体"/>
          <w:b w:val="0"/>
          <w:bCs/>
          <w:color w:val="auto"/>
          <w:szCs w:val="24"/>
        </w:rPr>
      </w:pPr>
      <w:r>
        <w:rPr>
          <w:rFonts w:hint="eastAsia" w:ascii="宋体" w:hAnsi="宋体" w:eastAsia="宋体" w:cs="宋体"/>
          <w:b w:val="0"/>
          <w:bCs/>
          <w:color w:val="auto"/>
          <w:szCs w:val="24"/>
        </w:rPr>
        <w:t>(3)Department of Pathology of European University, Tbilisi, Georgia.</w:t>
      </w:r>
    </w:p>
    <w:p w14:paraId="76A75C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Medicine of David Tvildiani Medical University, Tbilisi, </w:t>
      </w:r>
    </w:p>
    <w:p w14:paraId="532CE3AB">
      <w:pPr>
        <w:rPr>
          <w:rFonts w:hint="eastAsia" w:ascii="宋体" w:hAnsi="宋体" w:eastAsia="宋体" w:cs="宋体"/>
          <w:b w:val="0"/>
          <w:bCs/>
          <w:color w:val="auto"/>
          <w:szCs w:val="24"/>
        </w:rPr>
      </w:pPr>
      <w:r>
        <w:rPr>
          <w:rFonts w:hint="eastAsia" w:ascii="宋体" w:hAnsi="宋体" w:eastAsia="宋体" w:cs="宋体"/>
          <w:b w:val="0"/>
          <w:bCs/>
          <w:color w:val="auto"/>
          <w:szCs w:val="24"/>
        </w:rPr>
        <w:t>Georgia.</w:t>
      </w:r>
    </w:p>
    <w:p w14:paraId="21B9CFAB">
      <w:pPr>
        <w:rPr>
          <w:rFonts w:hint="eastAsia" w:ascii="宋体" w:hAnsi="宋体" w:eastAsia="宋体" w:cs="宋体"/>
          <w:b w:val="0"/>
          <w:bCs/>
          <w:color w:val="auto"/>
          <w:szCs w:val="24"/>
        </w:rPr>
      </w:pPr>
      <w:r>
        <w:rPr>
          <w:rFonts w:hint="eastAsia" w:ascii="宋体" w:hAnsi="宋体" w:eastAsia="宋体" w:cs="宋体"/>
          <w:b w:val="0"/>
          <w:bCs/>
          <w:color w:val="auto"/>
          <w:szCs w:val="24"/>
        </w:rPr>
        <w:t>(5)School of Health Science of The University of Georgia, Tbilisi, Georgia.</w:t>
      </w:r>
    </w:p>
    <w:p w14:paraId="1AF72C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(6)State Public Health Programs and Regional Management, Department of National </w:t>
      </w:r>
    </w:p>
    <w:p w14:paraId="641813B5">
      <w:pPr>
        <w:rPr>
          <w:rFonts w:hint="eastAsia" w:ascii="宋体" w:hAnsi="宋体" w:eastAsia="宋体" w:cs="宋体"/>
          <w:b w:val="0"/>
          <w:bCs/>
          <w:color w:val="auto"/>
          <w:szCs w:val="24"/>
        </w:rPr>
      </w:pPr>
      <w:r>
        <w:rPr>
          <w:rFonts w:hint="eastAsia" w:ascii="宋体" w:hAnsi="宋体" w:eastAsia="宋体" w:cs="宋体"/>
          <w:b w:val="0"/>
          <w:bCs/>
          <w:color w:val="auto"/>
          <w:szCs w:val="24"/>
        </w:rPr>
        <w:t>Center for Disease Control and Public Health, Tbilisi, Georgia.</w:t>
      </w:r>
    </w:p>
    <w:p w14:paraId="330D6E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(7)Departments of Global Health and Epidemiology, Rollins School of Public </w:t>
      </w:r>
    </w:p>
    <w:p w14:paraId="416B4340">
      <w:pPr>
        <w:rPr>
          <w:rFonts w:hint="eastAsia" w:ascii="宋体" w:hAnsi="宋体" w:eastAsia="宋体" w:cs="宋体"/>
          <w:b w:val="0"/>
          <w:bCs/>
          <w:color w:val="auto"/>
          <w:szCs w:val="24"/>
        </w:rPr>
      </w:pPr>
      <w:r>
        <w:rPr>
          <w:rFonts w:hint="eastAsia" w:ascii="宋体" w:hAnsi="宋体" w:eastAsia="宋体" w:cs="宋体"/>
          <w:b w:val="0"/>
          <w:bCs/>
          <w:color w:val="auto"/>
          <w:szCs w:val="24"/>
        </w:rPr>
        <w:t>Health, Emory University, Atlanta, Georgia, USA.</w:t>
      </w:r>
    </w:p>
    <w:p w14:paraId="132B02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(8)Division of Infectious Diseases, Department of Medicine, Emory University </w:t>
      </w:r>
    </w:p>
    <w:p w14:paraId="28BFEE88">
      <w:pPr>
        <w:rPr>
          <w:rFonts w:hint="eastAsia" w:ascii="宋体" w:hAnsi="宋体" w:eastAsia="宋体" w:cs="宋体"/>
          <w:b w:val="0"/>
          <w:bCs/>
          <w:color w:val="auto"/>
          <w:szCs w:val="24"/>
        </w:rPr>
      </w:pPr>
      <w:r>
        <w:rPr>
          <w:rFonts w:hint="eastAsia" w:ascii="宋体" w:hAnsi="宋体" w:eastAsia="宋体" w:cs="宋体"/>
          <w:b w:val="0"/>
          <w:bCs/>
          <w:color w:val="auto"/>
          <w:szCs w:val="24"/>
        </w:rPr>
        <w:t>School of Medicine, Atlanta, Georgia, USA.</w:t>
      </w:r>
    </w:p>
    <w:p w14:paraId="1B07D9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(9)School of Graduate and Professional Development, Public Health and Health </w:t>
      </w:r>
    </w:p>
    <w:p w14:paraId="6ADCF3E0">
      <w:pPr>
        <w:rPr>
          <w:rFonts w:hint="eastAsia" w:ascii="宋体" w:hAnsi="宋体" w:eastAsia="宋体" w:cs="宋体"/>
          <w:b w:val="0"/>
          <w:bCs/>
          <w:color w:val="auto"/>
          <w:szCs w:val="24"/>
        </w:rPr>
      </w:pPr>
      <w:r>
        <w:rPr>
          <w:rFonts w:hint="eastAsia" w:ascii="宋体" w:hAnsi="宋体" w:eastAsia="宋体" w:cs="宋体"/>
          <w:b w:val="0"/>
          <w:bCs/>
          <w:color w:val="auto"/>
          <w:szCs w:val="24"/>
        </w:rPr>
        <w:t>Policy Program of BAU Batumi International University, Batumi, Georgia.</w:t>
      </w:r>
    </w:p>
    <w:p w14:paraId="7944901B">
      <w:pPr>
        <w:rPr>
          <w:rFonts w:hint="eastAsia" w:ascii="宋体" w:hAnsi="宋体" w:eastAsia="宋体" w:cs="宋体"/>
          <w:b w:val="0"/>
          <w:bCs/>
          <w:color w:val="auto"/>
          <w:szCs w:val="24"/>
        </w:rPr>
      </w:pPr>
    </w:p>
    <w:p w14:paraId="43337FF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There is limited evidence on factors affecting tuberculosis (TB) </w:t>
      </w:r>
    </w:p>
    <w:p w14:paraId="02D457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development among patients treated for hepatitis C virus (HCV) </w:t>
      </w:r>
    </w:p>
    <w:p w14:paraId="1BCD120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infection. This study aimed to estimate the incidence of and risk factors for TB </w:t>
      </w:r>
    </w:p>
    <w:p w14:paraId="02D666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among patients treated within a national hepatitis C elimination </w:t>
      </w:r>
    </w:p>
    <w:p w14:paraId="16DD7418">
      <w:pPr>
        <w:rPr>
          <w:rFonts w:hint="eastAsia" w:ascii="宋体" w:hAnsi="宋体" w:eastAsia="宋体" w:cs="宋体"/>
          <w:b w:val="0"/>
          <w:bCs/>
          <w:color w:val="auto"/>
          <w:szCs w:val="24"/>
        </w:rPr>
      </w:pPr>
      <w:r>
        <w:rPr>
          <w:rFonts w:hint="eastAsia" w:ascii="宋体" w:hAnsi="宋体" w:eastAsia="宋体" w:cs="宋体"/>
          <w:b w:val="0"/>
          <w:bCs/>
          <w:color w:val="auto"/>
          <w:szCs w:val="24"/>
        </w:rPr>
        <w:t>program.</w:t>
      </w:r>
    </w:p>
    <w:p w14:paraId="4340490A">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We conducted a cohort study using nationwide electronic TB and HCV </w:t>
      </w:r>
    </w:p>
    <w:p w14:paraId="0BCB4E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databases. The study population included adults who completed HCV treatment </w:t>
      </w:r>
    </w:p>
    <w:p w14:paraId="017816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April 2015 and December 2022. We calculated TB disease incidence rate </w:t>
      </w:r>
    </w:p>
    <w:p w14:paraId="270FDD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(IR) per 100 000 person-years (PY) with 95% confidence intervals (CIs) overall </w:t>
      </w:r>
    </w:p>
    <w:p w14:paraId="3E6128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by subgroups: advanced liver fibrosis (fibroscan ≥ F3 or FIB-4 &gt; 3.25), </w:t>
      </w:r>
    </w:p>
    <w:p w14:paraId="10A6BF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diabetes mellitus (DM) (fasting glucose level≥7 mmol/l or self-reported </w:t>
      </w:r>
    </w:p>
    <w:p w14:paraId="1A755D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diabetes), and low body mass index (BMI &lt; 18.5). Poisson regression was used to </w:t>
      </w:r>
    </w:p>
    <w:p w14:paraId="20D0EE2F">
      <w:pPr>
        <w:rPr>
          <w:rFonts w:hint="eastAsia" w:ascii="宋体" w:hAnsi="宋体" w:eastAsia="宋体" w:cs="宋体"/>
          <w:b w:val="0"/>
          <w:bCs/>
          <w:color w:val="auto"/>
          <w:szCs w:val="24"/>
        </w:rPr>
      </w:pPr>
      <w:r>
        <w:rPr>
          <w:rFonts w:hint="eastAsia" w:ascii="宋体" w:hAnsi="宋体" w:eastAsia="宋体" w:cs="宋体"/>
          <w:b w:val="0"/>
          <w:bCs/>
          <w:color w:val="auto"/>
          <w:szCs w:val="24"/>
        </w:rPr>
        <w:t>estimate adjusted incidence rate ratio (aIRR) and 95% CIs.</w:t>
      </w:r>
    </w:p>
    <w:p w14:paraId="6C729E74">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Among 75 693 individuals who completed treatment for hepatitis C, 544 </w:t>
      </w:r>
    </w:p>
    <w:p w14:paraId="145683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new TB cases were identified over a median follow-up period of 69 months, </w:t>
      </w:r>
    </w:p>
    <w:p w14:paraId="0A4B92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corresponding to an IR of 136 per 100 000 PY (95% CI: 125, 148). Individuals </w:t>
      </w:r>
    </w:p>
    <w:p w14:paraId="1A58AF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DM had a 53% higher incidence of TB (aIRR = 1.53; 95% CI: 1.09, 2.07) </w:t>
      </w:r>
    </w:p>
    <w:p w14:paraId="4DC8EB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compared to those without. Underweight individuals (BMI &lt; 18.5) had a higher </w:t>
      </w:r>
    </w:p>
    <w:p w14:paraId="25268C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incidence of TB compared with those of normal weight (aIRR 2.8; 95% CI: 1.67, </w:t>
      </w:r>
    </w:p>
    <w:p w14:paraId="153363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4.41). Advanced liver fibrosis was not significantly associated with TB disease </w:t>
      </w:r>
    </w:p>
    <w:p w14:paraId="774B974D">
      <w:pPr>
        <w:rPr>
          <w:rFonts w:hint="eastAsia" w:ascii="宋体" w:hAnsi="宋体" w:eastAsia="宋体" w:cs="宋体"/>
          <w:b w:val="0"/>
          <w:bCs/>
          <w:color w:val="auto"/>
          <w:szCs w:val="24"/>
        </w:rPr>
      </w:pPr>
      <w:r>
        <w:rPr>
          <w:rFonts w:hint="eastAsia" w:ascii="宋体" w:hAnsi="宋体" w:eastAsia="宋体" w:cs="宋体"/>
          <w:b w:val="0"/>
          <w:bCs/>
          <w:color w:val="auto"/>
          <w:szCs w:val="24"/>
        </w:rPr>
        <w:t>(aIRR = .95, 95% CI: 0.72, 1.24).</w:t>
      </w:r>
    </w:p>
    <w:p w14:paraId="602A132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CONCLUSIONS: </w:t>
      </w:r>
      <w:r>
        <w:rPr>
          <w:rFonts w:hint="eastAsia" w:ascii="宋体" w:hAnsi="宋体" w:eastAsia="宋体" w:cs="宋体"/>
          <w:b w:val="0"/>
          <w:bCs/>
          <w:color w:val="auto"/>
          <w:szCs w:val="24"/>
        </w:rPr>
        <w:t xml:space="preserve">Individuals successfully treated for hepatitis C experienced high </w:t>
      </w:r>
    </w:p>
    <w:p w14:paraId="1EC9E0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incidence of TB disease. Our findings suggest hepatitis C care programs may </w:t>
      </w:r>
    </w:p>
    <w:p w14:paraId="02066266">
      <w:pPr>
        <w:rPr>
          <w:rFonts w:hint="eastAsia" w:ascii="宋体" w:hAnsi="宋体" w:eastAsia="宋体" w:cs="宋体"/>
          <w:b w:val="0"/>
          <w:bCs/>
          <w:color w:val="auto"/>
          <w:szCs w:val="24"/>
        </w:rPr>
      </w:pPr>
      <w:r>
        <w:rPr>
          <w:rFonts w:hint="eastAsia" w:ascii="宋体" w:hAnsi="宋体" w:eastAsia="宋体" w:cs="宋体"/>
          <w:b w:val="0"/>
          <w:bCs/>
          <w:color w:val="auto"/>
          <w:szCs w:val="24"/>
        </w:rPr>
        <w:t>reduce TB risk by including DM screening and nutritional assessments.</w:t>
      </w:r>
    </w:p>
    <w:p w14:paraId="64A33EFF">
      <w:pPr>
        <w:rPr>
          <w:rFonts w:hint="eastAsia" w:ascii="宋体" w:hAnsi="宋体" w:eastAsia="宋体" w:cs="宋体"/>
          <w:b w:val="0"/>
          <w:bCs/>
          <w:color w:val="auto"/>
          <w:szCs w:val="24"/>
        </w:rPr>
      </w:pPr>
    </w:p>
    <w:p w14:paraId="270EC4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The Author(s) 2026. Published by Oxford University Press on behalf of </w:t>
      </w:r>
    </w:p>
    <w:p w14:paraId="7F820B11">
      <w:pPr>
        <w:rPr>
          <w:rFonts w:hint="eastAsia" w:ascii="宋体" w:hAnsi="宋体" w:eastAsia="宋体" w:cs="宋体"/>
          <w:b w:val="0"/>
          <w:bCs/>
          <w:color w:val="auto"/>
          <w:szCs w:val="24"/>
        </w:rPr>
      </w:pPr>
      <w:r>
        <w:rPr>
          <w:rFonts w:hint="eastAsia" w:ascii="宋体" w:hAnsi="宋体" w:eastAsia="宋体" w:cs="宋体"/>
          <w:b w:val="0"/>
          <w:bCs/>
          <w:color w:val="auto"/>
          <w:szCs w:val="24"/>
        </w:rPr>
        <w:t>Infectious Diseases Society of America.</w:t>
      </w:r>
    </w:p>
    <w:p w14:paraId="129FE6B6">
      <w:pPr>
        <w:rPr>
          <w:rFonts w:hint="eastAsia" w:ascii="宋体" w:hAnsi="宋体" w:eastAsia="宋体" w:cs="宋体"/>
          <w:b w:val="0"/>
          <w:bCs/>
          <w:color w:val="auto"/>
          <w:szCs w:val="24"/>
        </w:rPr>
      </w:pPr>
    </w:p>
    <w:p w14:paraId="236E5A2E">
      <w:pPr>
        <w:rPr>
          <w:rFonts w:hint="eastAsia" w:ascii="宋体" w:hAnsi="宋体" w:eastAsia="宋体" w:cs="宋体"/>
          <w:b w:val="0"/>
          <w:bCs/>
          <w:color w:val="auto"/>
          <w:szCs w:val="24"/>
        </w:rPr>
      </w:pPr>
      <w:r>
        <w:rPr>
          <w:rFonts w:hint="eastAsia" w:ascii="宋体" w:hAnsi="宋体" w:eastAsia="宋体" w:cs="宋体"/>
          <w:b w:val="0"/>
          <w:bCs/>
          <w:color w:val="auto"/>
          <w:szCs w:val="24"/>
        </w:rPr>
        <w:t>DOI: 10.1093/ofid/ofag497</w:t>
      </w:r>
    </w:p>
    <w:p w14:paraId="742B962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PMC13546780</w:t>
      </w:r>
    </w:p>
    <w:p w14:paraId="6DCB2F5A">
      <w:pPr>
        <w:rPr>
          <w:rFonts w:hint="eastAsia" w:ascii="宋体" w:hAnsi="宋体" w:eastAsia="宋体" w:cs="宋体"/>
          <w:b w:val="0"/>
          <w:bCs/>
          <w:color w:val="auto"/>
          <w:szCs w:val="24"/>
        </w:rPr>
      </w:pPr>
      <w:r>
        <w:rPr>
          <w:rFonts w:hint="eastAsia" w:ascii="宋体" w:hAnsi="宋体" w:eastAsia="宋体" w:cs="宋体"/>
          <w:b w:val="0"/>
          <w:bCs/>
          <w:color w:val="auto"/>
          <w:szCs w:val="24"/>
        </w:rPr>
        <w:t>PMID: 42703519</w:t>
      </w:r>
    </w:p>
    <w:p w14:paraId="77FC49CE">
      <w:pPr>
        <w:rPr>
          <w:rFonts w:hint="eastAsia" w:ascii="宋体" w:hAnsi="宋体" w:eastAsia="宋体" w:cs="宋体"/>
          <w:b w:val="0"/>
          <w:bCs/>
          <w:color w:val="auto"/>
          <w:szCs w:val="24"/>
        </w:rPr>
      </w:pPr>
    </w:p>
    <w:p w14:paraId="5EB40B2D">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50</w:t>
      </w:r>
      <w:r>
        <w:rPr>
          <w:rFonts w:hint="eastAsia" w:ascii="宋体" w:hAnsi="宋体" w:eastAsia="宋体" w:cs="宋体"/>
          <w:b/>
          <w:bCs w:val="0"/>
          <w:color w:val="FF0000"/>
          <w:szCs w:val="24"/>
        </w:rPr>
        <w:t>. Cureus. 2026 Aug 13;18(8):e114465. doi: 10.7759/cureus.114465. eCollection 2026 Aug.</w:t>
      </w:r>
    </w:p>
    <w:p w14:paraId="4E527AFF">
      <w:pPr>
        <w:rPr>
          <w:rFonts w:hint="eastAsia" w:ascii="宋体" w:hAnsi="宋体" w:eastAsia="宋体" w:cs="宋体"/>
          <w:b w:val="0"/>
          <w:bCs/>
          <w:color w:val="auto"/>
          <w:szCs w:val="24"/>
        </w:rPr>
      </w:pPr>
    </w:p>
    <w:p w14:paraId="2E10AB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Utility of Cartridge-Based Nucleic Acid Amplification Test for </w:t>
      </w:r>
    </w:p>
    <w:p w14:paraId="1329CD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and Rifampicin Resistance Detection in the Vindhya Region of India: </w:t>
      </w:r>
    </w:p>
    <w:p w14:paraId="2AC1D032">
      <w:pPr>
        <w:rPr>
          <w:rFonts w:hint="eastAsia" w:ascii="宋体" w:hAnsi="宋体" w:eastAsia="宋体" w:cs="宋体"/>
          <w:b w:val="0"/>
          <w:bCs/>
          <w:color w:val="auto"/>
          <w:szCs w:val="24"/>
        </w:rPr>
      </w:pPr>
      <w:r>
        <w:rPr>
          <w:rFonts w:hint="eastAsia" w:ascii="宋体" w:hAnsi="宋体" w:eastAsia="宋体" w:cs="宋体"/>
          <w:b w:val="0"/>
          <w:bCs/>
          <w:color w:val="auto"/>
          <w:szCs w:val="24"/>
        </w:rPr>
        <w:t>A Retrospective Study.</w:t>
      </w:r>
    </w:p>
    <w:p w14:paraId="5B8D46C3">
      <w:pPr>
        <w:rPr>
          <w:rFonts w:hint="eastAsia" w:ascii="宋体" w:hAnsi="宋体" w:eastAsia="宋体" w:cs="宋体"/>
          <w:b w:val="0"/>
          <w:bCs/>
          <w:color w:val="auto"/>
          <w:szCs w:val="24"/>
        </w:rPr>
      </w:pPr>
    </w:p>
    <w:p w14:paraId="33F89EDE">
      <w:pPr>
        <w:rPr>
          <w:rFonts w:hint="eastAsia" w:ascii="宋体" w:hAnsi="宋体" w:eastAsia="宋体" w:cs="宋体"/>
          <w:b w:val="0"/>
          <w:bCs/>
          <w:color w:val="auto"/>
          <w:szCs w:val="24"/>
        </w:rPr>
      </w:pPr>
      <w:r>
        <w:rPr>
          <w:rFonts w:hint="eastAsia" w:ascii="宋体" w:hAnsi="宋体" w:eastAsia="宋体" w:cs="宋体"/>
          <w:b w:val="0"/>
          <w:bCs/>
          <w:color w:val="auto"/>
          <w:szCs w:val="24"/>
        </w:rPr>
        <w:t>Agrawal RP(1), Sinha A(2), Chaubey P(1), Akhani PN(3).</w:t>
      </w:r>
    </w:p>
    <w:p w14:paraId="516DF819">
      <w:pPr>
        <w:rPr>
          <w:rFonts w:hint="eastAsia" w:ascii="宋体" w:hAnsi="宋体" w:eastAsia="宋体" w:cs="宋体"/>
          <w:b w:val="0"/>
          <w:bCs/>
          <w:color w:val="auto"/>
          <w:szCs w:val="24"/>
        </w:rPr>
      </w:pPr>
    </w:p>
    <w:p w14:paraId="52E1784E">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4D65B7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(1)Microbiology, Government Medical College and Sardar Vallabhbhai Patel </w:t>
      </w:r>
    </w:p>
    <w:p w14:paraId="19C4DB72">
      <w:pPr>
        <w:rPr>
          <w:rFonts w:hint="eastAsia" w:ascii="宋体" w:hAnsi="宋体" w:eastAsia="宋体" w:cs="宋体"/>
          <w:b w:val="0"/>
          <w:bCs/>
          <w:color w:val="auto"/>
          <w:szCs w:val="24"/>
        </w:rPr>
      </w:pPr>
      <w:r>
        <w:rPr>
          <w:rFonts w:hint="eastAsia" w:ascii="宋体" w:hAnsi="宋体" w:eastAsia="宋体" w:cs="宋体"/>
          <w:b w:val="0"/>
          <w:bCs/>
          <w:color w:val="auto"/>
          <w:szCs w:val="24"/>
        </w:rPr>
        <w:t>District Hospital, Satna, IND.</w:t>
      </w:r>
    </w:p>
    <w:p w14:paraId="66EE848F">
      <w:pPr>
        <w:rPr>
          <w:rFonts w:hint="eastAsia" w:ascii="宋体" w:hAnsi="宋体" w:eastAsia="宋体" w:cs="宋体"/>
          <w:b w:val="0"/>
          <w:bCs/>
          <w:color w:val="auto"/>
          <w:szCs w:val="24"/>
        </w:rPr>
      </w:pPr>
      <w:r>
        <w:rPr>
          <w:rFonts w:hint="eastAsia" w:ascii="宋体" w:hAnsi="宋体" w:eastAsia="宋体" w:cs="宋体"/>
          <w:b w:val="0"/>
          <w:bCs/>
          <w:color w:val="auto"/>
          <w:szCs w:val="24"/>
        </w:rPr>
        <w:t>(2)Microbiology, Government Medical College, Seoni, IND.</w:t>
      </w:r>
    </w:p>
    <w:p w14:paraId="74CCD50A">
      <w:pPr>
        <w:rPr>
          <w:rFonts w:hint="eastAsia" w:ascii="宋体" w:hAnsi="宋体" w:eastAsia="宋体" w:cs="宋体"/>
          <w:b w:val="0"/>
          <w:bCs/>
          <w:color w:val="auto"/>
          <w:szCs w:val="24"/>
        </w:rPr>
      </w:pPr>
      <w:r>
        <w:rPr>
          <w:rFonts w:hint="eastAsia" w:ascii="宋体" w:hAnsi="宋体" w:eastAsia="宋体" w:cs="宋体"/>
          <w:b w:val="0"/>
          <w:bCs/>
          <w:color w:val="auto"/>
          <w:szCs w:val="24"/>
        </w:rPr>
        <w:t>(3)Physiology, GMERS Medical College and Hospital, Dharpur, IND.</w:t>
      </w:r>
    </w:p>
    <w:p w14:paraId="3F4FB951">
      <w:pPr>
        <w:rPr>
          <w:rFonts w:hint="eastAsia" w:ascii="宋体" w:hAnsi="宋体" w:eastAsia="宋体" w:cs="宋体"/>
          <w:b w:val="0"/>
          <w:bCs/>
          <w:color w:val="auto"/>
          <w:szCs w:val="24"/>
        </w:rPr>
      </w:pPr>
    </w:p>
    <w:p w14:paraId="1C1FEA76">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Early diagnosis of tuberculosis (TB) and prompt detection of </w:t>
      </w:r>
    </w:p>
    <w:p w14:paraId="73CE16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rifampicin resistance are essential to reduce transmission of TB and improve its </w:t>
      </w:r>
    </w:p>
    <w:p w14:paraId="432EC3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outcomes. The cartridge-based nucleic acid amplification test (CBNAAT) </w:t>
      </w:r>
    </w:p>
    <w:p w14:paraId="18CB48A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simultaneously detects the Mycobacterium tuberculosis complex and rifampicin </w:t>
      </w:r>
    </w:p>
    <w:p w14:paraId="24B09E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resistance within a short turnaround time. This study evaluated the clinical </w:t>
      </w:r>
    </w:p>
    <w:p w14:paraId="182410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utility of CBNAAT for rifampicin resistance identification and quick </w:t>
      </w:r>
    </w:p>
    <w:p w14:paraId="386A79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microbiological confirmation of extrapulmonary and pulmonary TB in standard </w:t>
      </w:r>
    </w:p>
    <w:p w14:paraId="0FF69B4B">
      <w:pPr>
        <w:rPr>
          <w:rFonts w:hint="eastAsia" w:ascii="宋体" w:hAnsi="宋体" w:eastAsia="宋体" w:cs="宋体"/>
          <w:b w:val="0"/>
          <w:bCs/>
          <w:color w:val="auto"/>
          <w:szCs w:val="24"/>
        </w:rPr>
      </w:pPr>
      <w:r>
        <w:rPr>
          <w:rFonts w:hint="eastAsia" w:ascii="宋体" w:hAnsi="宋体" w:eastAsia="宋体" w:cs="宋体"/>
          <w:b w:val="0"/>
          <w:bCs/>
          <w:color w:val="auto"/>
          <w:szCs w:val="24"/>
        </w:rPr>
        <w:t>clinical practice at a tertiary care center in Central India.</w:t>
      </w:r>
      <w:r>
        <w:rPr>
          <w:rFonts w:hint="eastAsia" w:ascii="宋体" w:hAnsi="宋体" w:eastAsia="宋体" w:cs="宋体"/>
          <w:b/>
          <w:bCs w:val="0"/>
          <w:color w:val="auto"/>
          <w:szCs w:val="24"/>
        </w:rPr>
        <w:t xml:space="preserve"> Methods </w:t>
      </w:r>
      <w:r>
        <w:rPr>
          <w:rFonts w:hint="eastAsia" w:ascii="宋体" w:hAnsi="宋体" w:eastAsia="宋体" w:cs="宋体"/>
          <w:b w:val="0"/>
          <w:bCs/>
          <w:color w:val="auto"/>
          <w:szCs w:val="24"/>
        </w:rPr>
        <w:t xml:space="preserve">In this </w:t>
      </w:r>
    </w:p>
    <w:p w14:paraId="7E07E7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retrospective observational study, records of 2,640 patients with clinically </w:t>
      </w:r>
    </w:p>
    <w:p w14:paraId="5EF01F1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suspected TB who underwent CBNAAT and subsequent line probe assay (LPA) analysis </w:t>
      </w:r>
    </w:p>
    <w:p w14:paraId="6D6612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rifampicin-resistant specimens between June 2024 and May 2025 were analyzed. </w:t>
      </w:r>
    </w:p>
    <w:p w14:paraId="4F83F4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Demographic characteristics, clinical variables, specimen type, and drug </w:t>
      </w:r>
    </w:p>
    <w:p w14:paraId="6D97A5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resistance profile were retrieved from laboratory records. Categorical </w:t>
      </w:r>
    </w:p>
    <w:p w14:paraId="77FD98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associations were assessed by the chi-square or Fisher's exact test, and </w:t>
      </w:r>
    </w:p>
    <w:p w14:paraId="293269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independent associations with CBNAAT positivity were identified by multivariable </w:t>
      </w:r>
    </w:p>
    <w:p w14:paraId="00196CB5">
      <w:pPr>
        <w:rPr>
          <w:rFonts w:hint="eastAsia" w:ascii="宋体" w:hAnsi="宋体" w:eastAsia="宋体" w:cs="宋体"/>
          <w:b w:val="0"/>
          <w:bCs/>
          <w:color w:val="auto"/>
          <w:szCs w:val="24"/>
        </w:rPr>
      </w:pPr>
      <w:r>
        <w:rPr>
          <w:rFonts w:hint="eastAsia" w:ascii="宋体" w:hAnsi="宋体" w:eastAsia="宋体" w:cs="宋体"/>
          <w:b w:val="0"/>
          <w:bCs/>
          <w:color w:val="auto"/>
          <w:szCs w:val="24"/>
        </w:rPr>
        <w:t>logistic regression. p &lt; 0.05 was considered significant.</w:t>
      </w:r>
      <w:r>
        <w:rPr>
          <w:rFonts w:hint="eastAsia" w:ascii="宋体" w:hAnsi="宋体" w:eastAsia="宋体" w:cs="宋体"/>
          <w:b/>
          <w:bCs w:val="0"/>
          <w:color w:val="auto"/>
          <w:szCs w:val="24"/>
        </w:rPr>
        <w:t xml:space="preserve"> Results </w:t>
      </w:r>
      <w:r>
        <w:rPr>
          <w:rFonts w:hint="eastAsia" w:ascii="宋体" w:hAnsi="宋体" w:eastAsia="宋体" w:cs="宋体"/>
          <w:b w:val="0"/>
          <w:bCs/>
          <w:color w:val="auto"/>
          <w:szCs w:val="24"/>
        </w:rPr>
        <w:t xml:space="preserve">CBNAAT </w:t>
      </w:r>
    </w:p>
    <w:p w14:paraId="5339EE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detected Mycobacterium tuberculosis in 590 of 2,640 patients (22.35%). </w:t>
      </w:r>
    </w:p>
    <w:p w14:paraId="4119C7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Positivity was significantly higher among patients aged 41-60 years, males, </w:t>
      </w:r>
    </w:p>
    <w:p w14:paraId="4022EA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rural residents, individuals with diabetes or human immunodeficiency virus (HIV) </w:t>
      </w:r>
    </w:p>
    <w:p w14:paraId="5F9266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infection, and those with a history of TB contact or of previous </w:t>
      </w:r>
    </w:p>
    <w:p w14:paraId="069164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antituberculosis treatment (ATT). Pulmonary specimens showed a substantially </w:t>
      </w:r>
    </w:p>
    <w:p w14:paraId="117E8C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higher detection rate (524/1900; 27.58%) than extrapulmonary specimens (66/740; </w:t>
      </w:r>
    </w:p>
    <w:p w14:paraId="6CEC71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8.92%). Among confirmed cases, 556 (94.24%) were rifampicin-sensitive, 34 </w:t>
      </w:r>
    </w:p>
    <w:p w14:paraId="316885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(5.76%) were rifampicin-resistant, and among these rifampicin-resistant cases, </w:t>
      </w:r>
    </w:p>
    <w:p w14:paraId="3ECD2F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12 (2.03%) were multidrug-resistant (MDR) on LPA. Independent associates of </w:t>
      </w:r>
    </w:p>
    <w:p w14:paraId="102029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positivity were male sex (adjusted odds ratio (AOR) 1.58, 95% confidence </w:t>
      </w:r>
    </w:p>
    <w:p w14:paraId="2DA879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interval (CI) 1.18-2.11), rural residence (AOR 1.42, 95% CI 1.06-1.91), diabetes </w:t>
      </w:r>
    </w:p>
    <w:p w14:paraId="1B4A02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mellitus (AOR 4.25, 95% CI 3.38-5.34), HIV infection (AOR 5.14, 95% CI </w:t>
      </w:r>
    </w:p>
    <w:p w14:paraId="52A8EC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3.57-7.40), pulmonary specimen type (AOR 3.52, 95% CI 2.35-5.27), and previous </w:t>
      </w:r>
    </w:p>
    <w:p w14:paraId="223947DC">
      <w:pPr>
        <w:rPr>
          <w:rFonts w:hint="eastAsia" w:ascii="宋体" w:hAnsi="宋体" w:eastAsia="宋体" w:cs="宋体"/>
          <w:b w:val="0"/>
          <w:bCs/>
          <w:color w:val="auto"/>
          <w:szCs w:val="24"/>
        </w:rPr>
      </w:pPr>
      <w:r>
        <w:rPr>
          <w:rFonts w:hint="eastAsia" w:ascii="宋体" w:hAnsi="宋体" w:eastAsia="宋体" w:cs="宋体"/>
          <w:b w:val="0"/>
          <w:bCs/>
          <w:color w:val="auto"/>
          <w:szCs w:val="24"/>
        </w:rPr>
        <w:t>TB treatment (AOR 2.18, 95% CI 1.61-2.95).</w:t>
      </w:r>
      <w:r>
        <w:rPr>
          <w:rFonts w:hint="eastAsia" w:ascii="宋体" w:hAnsi="宋体" w:eastAsia="宋体" w:cs="宋体"/>
          <w:b/>
          <w:bCs w:val="0"/>
          <w:color w:val="auto"/>
          <w:szCs w:val="24"/>
        </w:rPr>
        <w:t xml:space="preserve"> Conclusions</w:t>
      </w:r>
      <w:r>
        <w:rPr>
          <w:rFonts w:hint="eastAsia" w:ascii="宋体" w:hAnsi="宋体" w:eastAsia="宋体" w:cs="宋体"/>
          <w:b w:val="0"/>
          <w:bCs/>
          <w:color w:val="auto"/>
          <w:szCs w:val="24"/>
        </w:rPr>
        <w:t xml:space="preserve"> CBNAAT offers rapid </w:t>
      </w:r>
    </w:p>
    <w:p w14:paraId="2E3BDA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microbiological confirmation and thus allows early start of treatment, which is </w:t>
      </w:r>
    </w:p>
    <w:p w14:paraId="226672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critical in decreasing community transmission of Mycobacterium tuberculosis. The </w:t>
      </w:r>
    </w:p>
    <w:p w14:paraId="1975D9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finding of rifampicin resistance further highlights the utility of </w:t>
      </w:r>
    </w:p>
    <w:p w14:paraId="402B84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molecular tool to address the challenge of drug-resistant TB (DR-TB) in a </w:t>
      </w:r>
    </w:p>
    <w:p w14:paraId="279D08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tertiary care setting. These findings confirm that the test remains an important </w:t>
      </w:r>
    </w:p>
    <w:p w14:paraId="04DC1D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 of diagnostic protocols, mainly for pulmonary specimens where the detection </w:t>
      </w:r>
    </w:p>
    <w:p w14:paraId="18EEB8A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rate was substantially higher. Expansion of molecular diagnostic services and </w:t>
      </w:r>
    </w:p>
    <w:p w14:paraId="642A29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their prioritization as the primary screening tool at all levels of clinical </w:t>
      </w:r>
    </w:p>
    <w:p w14:paraId="2C9D21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care is recommended to achieve the goals of the National Tuberculosis </w:t>
      </w:r>
    </w:p>
    <w:p w14:paraId="2800A7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Elimination Program (NTEP) of India. Higher positivity rates in rural </w:t>
      </w:r>
    </w:p>
    <w:p w14:paraId="0E0DBD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populations indicate the need for policy efforts to improve access to diagnostic </w:t>
      </w:r>
    </w:p>
    <w:p w14:paraId="3AC8B2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facilities in rural areas. Longitudinal studies should be performed in the </w:t>
      </w:r>
    </w:p>
    <w:p w14:paraId="478306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future to understand the effect of rapid diagnosis by CBNAAT on the long-term </w:t>
      </w:r>
    </w:p>
    <w:p w14:paraId="4B55250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outcomes of therapy and mortality rates. Continuous monitoring of drug </w:t>
      </w:r>
    </w:p>
    <w:p w14:paraId="2E41D1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resistance patterns and integration of molecular testing in routine </w:t>
      </w:r>
    </w:p>
    <w:p w14:paraId="5813D22B">
      <w:pPr>
        <w:rPr>
          <w:rFonts w:hint="eastAsia" w:ascii="宋体" w:hAnsi="宋体" w:eastAsia="宋体" w:cs="宋体"/>
          <w:b w:val="0"/>
          <w:bCs/>
          <w:color w:val="auto"/>
          <w:szCs w:val="24"/>
        </w:rPr>
      </w:pPr>
      <w:r>
        <w:rPr>
          <w:rFonts w:hint="eastAsia" w:ascii="宋体" w:hAnsi="宋体" w:eastAsia="宋体" w:cs="宋体"/>
          <w:b w:val="0"/>
          <w:bCs/>
          <w:color w:val="auto"/>
          <w:szCs w:val="24"/>
        </w:rPr>
        <w:t>clinical pathways is important to guide regional TB control strategies.</w:t>
      </w:r>
    </w:p>
    <w:p w14:paraId="37EE46E8">
      <w:pPr>
        <w:rPr>
          <w:rFonts w:hint="eastAsia" w:ascii="宋体" w:hAnsi="宋体" w:eastAsia="宋体" w:cs="宋体"/>
          <w:b w:val="0"/>
          <w:bCs/>
          <w:color w:val="auto"/>
          <w:szCs w:val="24"/>
        </w:rPr>
      </w:pPr>
    </w:p>
    <w:p w14:paraId="4804F577">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Agrawal et al.</w:t>
      </w:r>
    </w:p>
    <w:p w14:paraId="52A65D9C">
      <w:pPr>
        <w:rPr>
          <w:rFonts w:hint="eastAsia" w:ascii="宋体" w:hAnsi="宋体" w:eastAsia="宋体" w:cs="宋体"/>
          <w:b w:val="0"/>
          <w:bCs/>
          <w:color w:val="auto"/>
          <w:szCs w:val="24"/>
        </w:rPr>
      </w:pPr>
    </w:p>
    <w:p w14:paraId="3DFCA193">
      <w:pPr>
        <w:rPr>
          <w:rFonts w:hint="eastAsia" w:ascii="宋体" w:hAnsi="宋体" w:eastAsia="宋体" w:cs="宋体"/>
          <w:b w:val="0"/>
          <w:bCs/>
          <w:color w:val="auto"/>
          <w:szCs w:val="24"/>
        </w:rPr>
      </w:pPr>
      <w:r>
        <w:rPr>
          <w:rFonts w:hint="eastAsia" w:ascii="宋体" w:hAnsi="宋体" w:eastAsia="宋体" w:cs="宋体"/>
          <w:b w:val="0"/>
          <w:bCs/>
          <w:color w:val="auto"/>
          <w:szCs w:val="24"/>
        </w:rPr>
        <w:t>DOI: 10.7759/cureus.114465</w:t>
      </w:r>
    </w:p>
    <w:p w14:paraId="131F0E4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PMC13570576</w:t>
      </w:r>
    </w:p>
    <w:p w14:paraId="7A028C49">
      <w:pPr>
        <w:rPr>
          <w:rFonts w:hint="eastAsia" w:ascii="宋体" w:hAnsi="宋体" w:eastAsia="宋体" w:cs="宋体"/>
          <w:b w:val="0"/>
          <w:bCs/>
          <w:color w:val="auto"/>
          <w:szCs w:val="24"/>
        </w:rPr>
      </w:pPr>
      <w:r>
        <w:rPr>
          <w:rFonts w:hint="eastAsia" w:ascii="宋体" w:hAnsi="宋体" w:eastAsia="宋体" w:cs="宋体"/>
          <w:b w:val="0"/>
          <w:bCs/>
          <w:color w:val="auto"/>
          <w:szCs w:val="24"/>
        </w:rPr>
        <w:t>PMID: 42732277</w:t>
      </w:r>
    </w:p>
    <w:p w14:paraId="5655196F">
      <w:pPr>
        <w:rPr>
          <w:rFonts w:hint="eastAsia" w:ascii="宋体" w:hAnsi="宋体" w:eastAsia="宋体" w:cs="宋体"/>
          <w:b w:val="0"/>
          <w:bCs/>
          <w:color w:val="auto"/>
          <w:szCs w:val="24"/>
        </w:rPr>
      </w:pPr>
    </w:p>
    <w:p w14:paraId="679FC2D2">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51</w:t>
      </w:r>
      <w:r>
        <w:rPr>
          <w:rFonts w:hint="eastAsia" w:ascii="宋体" w:hAnsi="宋体" w:eastAsia="宋体" w:cs="宋体"/>
          <w:b/>
          <w:bCs w:val="0"/>
          <w:color w:val="FF0000"/>
          <w:szCs w:val="24"/>
        </w:rPr>
        <w:t>. Cureus. 2026 Aug 12;18(8):e114392. doi: 10.7759/cureus.114392. eCollection 2026 Aug.</w:t>
      </w:r>
    </w:p>
    <w:p w14:paraId="747D32E9">
      <w:pPr>
        <w:rPr>
          <w:rFonts w:hint="eastAsia" w:ascii="宋体" w:hAnsi="宋体" w:eastAsia="宋体" w:cs="宋体"/>
          <w:b w:val="0"/>
          <w:bCs/>
          <w:color w:val="auto"/>
          <w:szCs w:val="24"/>
        </w:rPr>
      </w:pPr>
    </w:p>
    <w:p w14:paraId="5113850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Behavioral Factors Associated With Tuberculosis Treatment Interruption Among </w:t>
      </w:r>
    </w:p>
    <w:p w14:paraId="0B63A8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Residents of Kiandutu Informal Settlement, Kiambu County, Kenya: A Convergent </w:t>
      </w:r>
    </w:p>
    <w:p w14:paraId="168A782F">
      <w:pPr>
        <w:rPr>
          <w:rFonts w:hint="eastAsia" w:ascii="宋体" w:hAnsi="宋体" w:eastAsia="宋体" w:cs="宋体"/>
          <w:b w:val="0"/>
          <w:bCs/>
          <w:color w:val="auto"/>
          <w:szCs w:val="24"/>
        </w:rPr>
      </w:pPr>
      <w:r>
        <w:rPr>
          <w:rFonts w:hint="eastAsia" w:ascii="宋体" w:hAnsi="宋体" w:eastAsia="宋体" w:cs="宋体"/>
          <w:b w:val="0"/>
          <w:bCs/>
          <w:color w:val="auto"/>
          <w:szCs w:val="24"/>
        </w:rPr>
        <w:t>Mixed-Methods Study.</w:t>
      </w:r>
    </w:p>
    <w:p w14:paraId="0DBF425D">
      <w:pPr>
        <w:rPr>
          <w:rFonts w:hint="eastAsia" w:ascii="宋体" w:hAnsi="宋体" w:eastAsia="宋体" w:cs="宋体"/>
          <w:b w:val="0"/>
          <w:bCs/>
          <w:color w:val="auto"/>
          <w:szCs w:val="24"/>
        </w:rPr>
      </w:pPr>
    </w:p>
    <w:p w14:paraId="4A245298">
      <w:pPr>
        <w:rPr>
          <w:rFonts w:hint="eastAsia" w:ascii="宋体" w:hAnsi="宋体" w:eastAsia="宋体" w:cs="宋体"/>
          <w:b w:val="0"/>
          <w:bCs/>
          <w:color w:val="auto"/>
          <w:szCs w:val="24"/>
        </w:rPr>
      </w:pPr>
      <w:r>
        <w:rPr>
          <w:rFonts w:hint="eastAsia" w:ascii="宋体" w:hAnsi="宋体" w:eastAsia="宋体" w:cs="宋体"/>
          <w:b w:val="0"/>
          <w:bCs/>
          <w:color w:val="auto"/>
          <w:szCs w:val="24"/>
        </w:rPr>
        <w:t>Karuga S(1)(2), Were V(2), Mambo S(3).</w:t>
      </w:r>
    </w:p>
    <w:p w14:paraId="4BC903D3">
      <w:pPr>
        <w:rPr>
          <w:rFonts w:hint="eastAsia" w:ascii="宋体" w:hAnsi="宋体" w:eastAsia="宋体" w:cs="宋体"/>
          <w:b w:val="0"/>
          <w:bCs/>
          <w:color w:val="auto"/>
          <w:szCs w:val="24"/>
        </w:rPr>
      </w:pPr>
    </w:p>
    <w:p w14:paraId="2C1857D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E8273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(1)School of Public Health, Jomo Kenyatta University of Agriculture and </w:t>
      </w:r>
    </w:p>
    <w:p w14:paraId="7DEC1088">
      <w:pPr>
        <w:rPr>
          <w:rFonts w:hint="eastAsia" w:ascii="宋体" w:hAnsi="宋体" w:eastAsia="宋体" w:cs="宋体"/>
          <w:b w:val="0"/>
          <w:bCs/>
          <w:color w:val="auto"/>
          <w:szCs w:val="24"/>
        </w:rPr>
      </w:pPr>
      <w:r>
        <w:rPr>
          <w:rFonts w:hint="eastAsia" w:ascii="宋体" w:hAnsi="宋体" w:eastAsia="宋体" w:cs="宋体"/>
          <w:b w:val="0"/>
          <w:bCs/>
          <w:color w:val="auto"/>
          <w:szCs w:val="24"/>
        </w:rPr>
        <w:t>Technology, Nairobi, KEN.</w:t>
      </w:r>
    </w:p>
    <w:p w14:paraId="5DFCBE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(2)Kenya Medical Research Institute Graduate School, Kenya Medical Research </w:t>
      </w:r>
    </w:p>
    <w:p w14:paraId="75AA151C">
      <w:pPr>
        <w:rPr>
          <w:rFonts w:hint="eastAsia" w:ascii="宋体" w:hAnsi="宋体" w:eastAsia="宋体" w:cs="宋体"/>
          <w:b w:val="0"/>
          <w:bCs/>
          <w:color w:val="auto"/>
          <w:szCs w:val="24"/>
        </w:rPr>
      </w:pPr>
      <w:r>
        <w:rPr>
          <w:rFonts w:hint="eastAsia" w:ascii="宋体" w:hAnsi="宋体" w:eastAsia="宋体" w:cs="宋体"/>
          <w:b w:val="0"/>
          <w:bCs/>
          <w:color w:val="auto"/>
          <w:szCs w:val="24"/>
        </w:rPr>
        <w:t>Institute, Nairobi, KEN.</w:t>
      </w:r>
    </w:p>
    <w:p w14:paraId="357DEE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(3)Public Health, Jomo Kenyatta University of Agriculture and Technology, </w:t>
      </w:r>
    </w:p>
    <w:p w14:paraId="65403424">
      <w:pPr>
        <w:rPr>
          <w:rFonts w:hint="eastAsia" w:ascii="宋体" w:hAnsi="宋体" w:eastAsia="宋体" w:cs="宋体"/>
          <w:b w:val="0"/>
          <w:bCs/>
          <w:color w:val="auto"/>
          <w:szCs w:val="24"/>
        </w:rPr>
      </w:pPr>
      <w:r>
        <w:rPr>
          <w:rFonts w:hint="eastAsia" w:ascii="宋体" w:hAnsi="宋体" w:eastAsia="宋体" w:cs="宋体"/>
          <w:b w:val="0"/>
          <w:bCs/>
          <w:color w:val="auto"/>
          <w:szCs w:val="24"/>
        </w:rPr>
        <w:t>Nairobi, KEN.</w:t>
      </w:r>
    </w:p>
    <w:p w14:paraId="6E8F6FC8">
      <w:pPr>
        <w:rPr>
          <w:rFonts w:hint="eastAsia" w:ascii="宋体" w:hAnsi="宋体" w:eastAsia="宋体" w:cs="宋体"/>
          <w:b w:val="0"/>
          <w:bCs/>
          <w:color w:val="auto"/>
          <w:szCs w:val="24"/>
        </w:rPr>
      </w:pPr>
    </w:p>
    <w:p w14:paraId="467965B0">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Tuberculosis (TB) treatment interruption remains a major barrier to </w:t>
      </w:r>
    </w:p>
    <w:p w14:paraId="2496CC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successful TB control, contributing to poor treatment outcomes, ongoing </w:t>
      </w:r>
    </w:p>
    <w:p w14:paraId="3F7F842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transmission, and the emergence of drug-resistant TB. Although behavioral </w:t>
      </w:r>
    </w:p>
    <w:p w14:paraId="6CCD02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factors influence treatment adherence, evidence from informal settlements in </w:t>
      </w:r>
    </w:p>
    <w:p w14:paraId="23D3E8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Kenya remains limited. This study determined the prevalence of TB treatment </w:t>
      </w:r>
    </w:p>
    <w:p w14:paraId="0D5F17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interruption and examined behavioral factors associated with treatment </w:t>
      </w:r>
    </w:p>
    <w:p w14:paraId="3D235B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interruption among patients receiving TB treatment in Kiandutu Informal </w:t>
      </w:r>
    </w:p>
    <w:p w14:paraId="0DDE31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Settlement, Kiambu County, Kenya. </w:t>
      </w:r>
      <w:r>
        <w:rPr>
          <w:rFonts w:hint="eastAsia" w:ascii="宋体" w:hAnsi="宋体" w:eastAsia="宋体" w:cs="宋体"/>
          <w:b/>
          <w:bCs w:val="0"/>
          <w:color w:val="auto"/>
          <w:szCs w:val="24"/>
        </w:rPr>
        <w:t xml:space="preserve">Methodology </w:t>
      </w:r>
      <w:r>
        <w:rPr>
          <w:rFonts w:hint="eastAsia" w:ascii="宋体" w:hAnsi="宋体" w:eastAsia="宋体" w:cs="宋体"/>
          <w:b w:val="0"/>
          <w:bCs/>
          <w:color w:val="auto"/>
          <w:szCs w:val="24"/>
        </w:rPr>
        <w:t xml:space="preserve">A convergent, cross-sectional, </w:t>
      </w:r>
    </w:p>
    <w:p w14:paraId="72052B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mixed-methods study was conducted between February 17, 2026, and May 17, 2026, </w:t>
      </w:r>
    </w:p>
    <w:p w14:paraId="3EB32D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among 292 adults receiving TB treatment at Thika Level 5 Hospital and Kiandutu </w:t>
      </w:r>
    </w:p>
    <w:p w14:paraId="3FF050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Level 3 Hospital. Quantitative data were collected using structured </w:t>
      </w:r>
    </w:p>
    <w:p w14:paraId="380E4F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questionnaires and patient records, while qualitative data were obtained through </w:t>
      </w:r>
    </w:p>
    <w:p w14:paraId="5E1345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in-depth interviews with healthcare workers, community health workers, and </w:t>
      </w:r>
    </w:p>
    <w:p w14:paraId="62EC11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community members. Quantitative data were analyzed using generalized linear </w:t>
      </w:r>
    </w:p>
    <w:p w14:paraId="2BE148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models with a Poisson distribution, log link, and robust standard errors to </w:t>
      </w:r>
    </w:p>
    <w:p w14:paraId="6E0BF2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estimate prevalence ratios (PRs) and 95% confidence intervals (CIs). Qualitative </w:t>
      </w:r>
    </w:p>
    <w:p w14:paraId="3B275F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data were analyzed thematically, and findings were integrated during </w:t>
      </w:r>
    </w:p>
    <w:p w14:paraId="12FCFD07">
      <w:pPr>
        <w:rPr>
          <w:rFonts w:hint="eastAsia" w:ascii="宋体" w:hAnsi="宋体" w:eastAsia="宋体" w:cs="宋体"/>
          <w:b w:val="0"/>
          <w:bCs/>
          <w:color w:val="auto"/>
          <w:szCs w:val="24"/>
        </w:rPr>
      </w:pPr>
      <w:r>
        <w:rPr>
          <w:rFonts w:hint="eastAsia" w:ascii="宋体" w:hAnsi="宋体" w:eastAsia="宋体" w:cs="宋体"/>
          <w:b w:val="0"/>
          <w:bCs/>
          <w:color w:val="auto"/>
          <w:szCs w:val="24"/>
        </w:rPr>
        <w:t>interpretatio</w:t>
      </w:r>
      <w:r>
        <w:rPr>
          <w:rFonts w:hint="eastAsia" w:ascii="宋体" w:hAnsi="宋体" w:eastAsia="宋体" w:cs="宋体"/>
          <w:b/>
          <w:bCs w:val="0"/>
          <w:color w:val="auto"/>
          <w:szCs w:val="24"/>
        </w:rPr>
        <w:t xml:space="preserve">n. Results </w:t>
      </w:r>
      <w:r>
        <w:rPr>
          <w:rFonts w:hint="eastAsia" w:ascii="宋体" w:hAnsi="宋体" w:eastAsia="宋体" w:cs="宋体"/>
          <w:b w:val="0"/>
          <w:bCs/>
          <w:color w:val="auto"/>
          <w:szCs w:val="24"/>
        </w:rPr>
        <w:t xml:space="preserve">The prevalence of TB treatment interruption was 23.3% </w:t>
      </w:r>
    </w:p>
    <w:p w14:paraId="6164E01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(95% CI: 18.8%-28.5%). Alcohol consumption during treatment was the only </w:t>
      </w:r>
    </w:p>
    <w:p w14:paraId="6BE3F36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behavioral factor independently associated with treatment interruption (adjusted </w:t>
      </w:r>
    </w:p>
    <w:p w14:paraId="609EFD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 = 2.00; 95% CI: 1.32-3.05). Tobacco smoking, illicit drug use, and </w:t>
      </w:r>
    </w:p>
    <w:p w14:paraId="58338D6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treatment-related beliefs were not independently associated with treatment </w:t>
      </w:r>
    </w:p>
    <w:p w14:paraId="0CD3AE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interruption. However, each one-unit increase in the cumulative behavioral risk </w:t>
      </w:r>
    </w:p>
    <w:p w14:paraId="67146F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score was associated with a 35% higher prevalence of treatment interruption (PR </w:t>
      </w:r>
    </w:p>
    <w:p w14:paraId="1F1A02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1.35; 95% CI: 1.11-1.64; p = 0.003). Qualitative findings complemented the </w:t>
      </w:r>
    </w:p>
    <w:p w14:paraId="359A52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quantitative results by identifying alcohol use, symptom-driven treatment </w:t>
      </w:r>
    </w:p>
    <w:p w14:paraId="70DCBC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cessation, poverty, stigma, and substance use as barriers to treatment </w:t>
      </w:r>
    </w:p>
    <w:p w14:paraId="57484B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adherence. </w:t>
      </w:r>
      <w:r>
        <w:rPr>
          <w:rFonts w:hint="eastAsia" w:ascii="宋体" w:hAnsi="宋体" w:eastAsia="宋体" w:cs="宋体"/>
          <w:b/>
          <w:bCs w:val="0"/>
          <w:color w:val="auto"/>
          <w:szCs w:val="24"/>
        </w:rPr>
        <w:t xml:space="preserve">Conclusions </w:t>
      </w:r>
      <w:r>
        <w:rPr>
          <w:rFonts w:hint="eastAsia" w:ascii="宋体" w:hAnsi="宋体" w:eastAsia="宋体" w:cs="宋体"/>
          <w:b w:val="0"/>
          <w:bCs/>
          <w:color w:val="auto"/>
          <w:szCs w:val="24"/>
        </w:rPr>
        <w:t xml:space="preserve">TB treatment interruption remains common among patients </w:t>
      </w:r>
    </w:p>
    <w:p w14:paraId="2296B3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receiving care in Kiandutu Informal Settlement. Alcohol consumption was the </w:t>
      </w:r>
    </w:p>
    <w:p w14:paraId="42FB1F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principal behavioral factor associated with treatment interruption, while a </w:t>
      </w:r>
    </w:p>
    <w:p w14:paraId="1C2A256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greater cumulative burden of behavioral and treatment-related risk indicators </w:t>
      </w:r>
    </w:p>
    <w:p w14:paraId="325BC6B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was associated with a higher prevalence of interruption. Integrating alcohol </w:t>
      </w:r>
    </w:p>
    <w:p w14:paraId="1496B3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behavioral risk assessment, and continuous adherence counselling into </w:t>
      </w:r>
    </w:p>
    <w:p w14:paraId="138A8437">
      <w:pPr>
        <w:rPr>
          <w:rFonts w:hint="eastAsia" w:ascii="宋体" w:hAnsi="宋体" w:eastAsia="宋体" w:cs="宋体"/>
          <w:b w:val="0"/>
          <w:bCs/>
          <w:color w:val="auto"/>
          <w:szCs w:val="24"/>
        </w:rPr>
      </w:pPr>
      <w:r>
        <w:rPr>
          <w:rFonts w:hint="eastAsia" w:ascii="宋体" w:hAnsi="宋体" w:eastAsia="宋体" w:cs="宋体"/>
          <w:b w:val="0"/>
          <w:bCs/>
          <w:color w:val="auto"/>
          <w:szCs w:val="24"/>
        </w:rPr>
        <w:t>TB care may help improve treatment completion in informal settlement settings.</w:t>
      </w:r>
    </w:p>
    <w:p w14:paraId="288C71FD">
      <w:pPr>
        <w:rPr>
          <w:rFonts w:hint="eastAsia" w:ascii="宋体" w:hAnsi="宋体" w:eastAsia="宋体" w:cs="宋体"/>
          <w:b w:val="0"/>
          <w:bCs/>
          <w:color w:val="auto"/>
          <w:szCs w:val="24"/>
        </w:rPr>
      </w:pPr>
    </w:p>
    <w:p w14:paraId="71B7A1EA">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Karuga et al.</w:t>
      </w:r>
    </w:p>
    <w:p w14:paraId="5A584838">
      <w:pPr>
        <w:rPr>
          <w:rFonts w:hint="eastAsia" w:ascii="宋体" w:hAnsi="宋体" w:eastAsia="宋体" w:cs="宋体"/>
          <w:b w:val="0"/>
          <w:bCs/>
          <w:color w:val="auto"/>
          <w:szCs w:val="24"/>
        </w:rPr>
      </w:pPr>
    </w:p>
    <w:p w14:paraId="6B45ED29">
      <w:pPr>
        <w:rPr>
          <w:rFonts w:hint="eastAsia" w:ascii="宋体" w:hAnsi="宋体" w:eastAsia="宋体" w:cs="宋体"/>
          <w:b w:val="0"/>
          <w:bCs/>
          <w:color w:val="auto"/>
          <w:szCs w:val="24"/>
        </w:rPr>
      </w:pPr>
      <w:r>
        <w:rPr>
          <w:rFonts w:hint="eastAsia" w:ascii="宋体" w:hAnsi="宋体" w:eastAsia="宋体" w:cs="宋体"/>
          <w:b w:val="0"/>
          <w:bCs/>
          <w:color w:val="auto"/>
          <w:szCs w:val="24"/>
        </w:rPr>
        <w:t>DOI: 10.7759/cureus.114392</w:t>
      </w:r>
    </w:p>
    <w:p w14:paraId="013DF3D1">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PMC13563267</w:t>
      </w:r>
    </w:p>
    <w:p w14:paraId="4447F6EA">
      <w:pPr>
        <w:rPr>
          <w:rFonts w:hint="eastAsia" w:ascii="宋体" w:hAnsi="宋体" w:eastAsia="宋体" w:cs="宋体"/>
          <w:b w:val="0"/>
          <w:bCs/>
          <w:color w:val="auto"/>
          <w:szCs w:val="24"/>
        </w:rPr>
      </w:pPr>
      <w:r>
        <w:rPr>
          <w:rFonts w:hint="eastAsia" w:ascii="宋体" w:hAnsi="宋体" w:eastAsia="宋体" w:cs="宋体"/>
          <w:b w:val="0"/>
          <w:bCs/>
          <w:color w:val="auto"/>
          <w:szCs w:val="24"/>
        </w:rPr>
        <w:t>PMID: 42729920</w:t>
      </w:r>
    </w:p>
    <w:p w14:paraId="39C7CA5A">
      <w:pPr>
        <w:rPr>
          <w:rFonts w:hint="eastAsia" w:ascii="宋体" w:hAnsi="宋体" w:eastAsia="宋体" w:cs="宋体"/>
          <w:b w:val="0"/>
          <w:bCs/>
          <w:color w:val="auto"/>
          <w:szCs w:val="24"/>
        </w:rPr>
      </w:pPr>
    </w:p>
    <w:p w14:paraId="126F1933">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52</w:t>
      </w:r>
      <w:r>
        <w:rPr>
          <w:rFonts w:hint="eastAsia" w:ascii="宋体" w:hAnsi="宋体" w:eastAsia="宋体" w:cs="宋体"/>
          <w:b/>
          <w:bCs w:val="0"/>
          <w:color w:val="FF0000"/>
          <w:szCs w:val="24"/>
        </w:rPr>
        <w:t>. Cureus. 2026 Aug 11;18(8):e114381. doi: 10.7759/cureus.114381. eCollection 2026 Aug.</w:t>
      </w:r>
    </w:p>
    <w:p w14:paraId="54080ADC">
      <w:pPr>
        <w:rPr>
          <w:rFonts w:hint="eastAsia" w:ascii="宋体" w:hAnsi="宋体" w:eastAsia="宋体" w:cs="宋体"/>
          <w:b w:val="0"/>
          <w:bCs/>
          <w:color w:val="auto"/>
          <w:szCs w:val="24"/>
        </w:rPr>
      </w:pPr>
    </w:p>
    <w:p w14:paraId="0FD40F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Case Report of Extrapulmonary Tuberculosis: A Potpourri of Imaging </w:t>
      </w:r>
    </w:p>
    <w:p w14:paraId="686117F2">
      <w:pPr>
        <w:rPr>
          <w:rFonts w:hint="eastAsia" w:ascii="宋体" w:hAnsi="宋体" w:eastAsia="宋体" w:cs="宋体"/>
          <w:b w:val="0"/>
          <w:bCs/>
          <w:color w:val="auto"/>
          <w:szCs w:val="24"/>
        </w:rPr>
      </w:pPr>
      <w:r>
        <w:rPr>
          <w:rFonts w:hint="eastAsia" w:ascii="宋体" w:hAnsi="宋体" w:eastAsia="宋体" w:cs="宋体"/>
          <w:b w:val="0"/>
          <w:bCs/>
          <w:color w:val="auto"/>
          <w:szCs w:val="24"/>
        </w:rPr>
        <w:t>Manifestations.</w:t>
      </w:r>
    </w:p>
    <w:p w14:paraId="471D1722">
      <w:pPr>
        <w:rPr>
          <w:rFonts w:hint="eastAsia" w:ascii="宋体" w:hAnsi="宋体" w:eastAsia="宋体" w:cs="宋体"/>
          <w:b w:val="0"/>
          <w:bCs/>
          <w:color w:val="auto"/>
          <w:szCs w:val="24"/>
        </w:rPr>
      </w:pPr>
    </w:p>
    <w:p w14:paraId="7C1DC202">
      <w:pPr>
        <w:rPr>
          <w:rFonts w:hint="eastAsia" w:ascii="宋体" w:hAnsi="宋体" w:eastAsia="宋体" w:cs="宋体"/>
          <w:b w:val="0"/>
          <w:bCs/>
          <w:color w:val="auto"/>
          <w:szCs w:val="24"/>
        </w:rPr>
      </w:pPr>
      <w:r>
        <w:rPr>
          <w:rFonts w:hint="eastAsia" w:ascii="宋体" w:hAnsi="宋体" w:eastAsia="宋体" w:cs="宋体"/>
          <w:b w:val="0"/>
          <w:bCs/>
          <w:color w:val="auto"/>
          <w:szCs w:val="24"/>
        </w:rPr>
        <w:t>Chakravarty R(1), Sahni H(1), Sarkar N(1).</w:t>
      </w:r>
    </w:p>
    <w:p w14:paraId="2DC0D70B">
      <w:pPr>
        <w:rPr>
          <w:rFonts w:hint="eastAsia" w:ascii="宋体" w:hAnsi="宋体" w:eastAsia="宋体" w:cs="宋体"/>
          <w:b w:val="0"/>
          <w:bCs/>
          <w:color w:val="auto"/>
          <w:szCs w:val="24"/>
        </w:rPr>
      </w:pPr>
    </w:p>
    <w:p w14:paraId="6C0A358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917A30A">
      <w:pPr>
        <w:rPr>
          <w:rFonts w:hint="eastAsia" w:ascii="宋体" w:hAnsi="宋体" w:eastAsia="宋体" w:cs="宋体"/>
          <w:b w:val="0"/>
          <w:bCs/>
          <w:color w:val="auto"/>
          <w:szCs w:val="24"/>
        </w:rPr>
      </w:pPr>
      <w:r>
        <w:rPr>
          <w:rFonts w:hint="eastAsia" w:ascii="宋体" w:hAnsi="宋体" w:eastAsia="宋体" w:cs="宋体"/>
          <w:b w:val="0"/>
          <w:bCs/>
          <w:color w:val="auto"/>
          <w:szCs w:val="24"/>
        </w:rPr>
        <w:t>(1)Radiology, Tata Main Hospital, Jamshedpur, IND.</w:t>
      </w:r>
    </w:p>
    <w:p w14:paraId="6843F179">
      <w:pPr>
        <w:rPr>
          <w:rFonts w:hint="eastAsia" w:ascii="宋体" w:hAnsi="宋体" w:eastAsia="宋体" w:cs="宋体"/>
          <w:b w:val="0"/>
          <w:bCs/>
          <w:color w:val="auto"/>
          <w:szCs w:val="24"/>
        </w:rPr>
      </w:pPr>
    </w:p>
    <w:p w14:paraId="093433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Extrapulmonary tuberculosis (EPTB) can mimic pyogenic infection, inflammatory </w:t>
      </w:r>
    </w:p>
    <w:p w14:paraId="0A5FE2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and malignancy. We report the case of a middle-aged female patient who </w:t>
      </w:r>
    </w:p>
    <w:p w14:paraId="6CACEF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presented with low-grade fever, left hip pain, and left loin pain. Pelvic </w:t>
      </w:r>
    </w:p>
    <w:p w14:paraId="1E3F19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imaging demonstrated osteomyelitis with an abscess centered in the left femoral </w:t>
      </w:r>
    </w:p>
    <w:p w14:paraId="544902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neck. An abscess was also present in the left obturator internus muscle. Further </w:t>
      </w:r>
    </w:p>
    <w:p w14:paraId="4D8772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abdominal imaging demonstrated left hydronephrosis with a mid-ureteric stricture </w:t>
      </w:r>
    </w:p>
    <w:p w14:paraId="08540F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retroperitoneal lymphadenopathy. Pus was aspirated and tested positive for </w:t>
      </w:r>
    </w:p>
    <w:p w14:paraId="7AD5B1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establishing the diagnosis of tuberculous </w:t>
      </w:r>
    </w:p>
    <w:p w14:paraId="282FCC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osteomyelitis with abscess formation and presumptive multifocal extrapulmonary </w:t>
      </w:r>
    </w:p>
    <w:p w14:paraId="32732B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involvement, supported by imaging findings and interval regression. </w:t>
      </w:r>
    </w:p>
    <w:p w14:paraId="53AE3A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Antitubercular therapy was initiated, and ureteric stenting was performed to </w:t>
      </w:r>
    </w:p>
    <w:p w14:paraId="00B69D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relieve the symptoms of urinary obstruction. Follow-up imaging after completion </w:t>
      </w:r>
    </w:p>
    <w:p w14:paraId="0B52B67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treatment showed complete resolution of the disease. This case highlights the </w:t>
      </w:r>
    </w:p>
    <w:p w14:paraId="029561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complementary role of imaging in mapping the multisystem disease burden, guiding </w:t>
      </w:r>
    </w:p>
    <w:p w14:paraId="69A1C525">
      <w:pPr>
        <w:rPr>
          <w:rFonts w:hint="eastAsia" w:ascii="宋体" w:hAnsi="宋体" w:eastAsia="宋体" w:cs="宋体"/>
          <w:b w:val="0"/>
          <w:bCs/>
          <w:color w:val="auto"/>
          <w:szCs w:val="24"/>
        </w:rPr>
      </w:pPr>
      <w:r>
        <w:rPr>
          <w:rFonts w:hint="eastAsia" w:ascii="宋体" w:hAnsi="宋体" w:eastAsia="宋体" w:cs="宋体"/>
          <w:b w:val="0"/>
          <w:bCs/>
          <w:color w:val="auto"/>
          <w:szCs w:val="24"/>
        </w:rPr>
        <w:t>microbiological confirmation, and documenting the treatment response.</w:t>
      </w:r>
    </w:p>
    <w:p w14:paraId="3B03DF47">
      <w:pPr>
        <w:rPr>
          <w:rFonts w:hint="eastAsia" w:ascii="宋体" w:hAnsi="宋体" w:eastAsia="宋体" w:cs="宋体"/>
          <w:b w:val="0"/>
          <w:bCs/>
          <w:color w:val="auto"/>
          <w:szCs w:val="24"/>
        </w:rPr>
      </w:pPr>
    </w:p>
    <w:p w14:paraId="04771BA1">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Chakravarty et al.</w:t>
      </w:r>
    </w:p>
    <w:p w14:paraId="4801A3D8">
      <w:pPr>
        <w:rPr>
          <w:rFonts w:hint="eastAsia" w:ascii="宋体" w:hAnsi="宋体" w:eastAsia="宋体" w:cs="宋体"/>
          <w:b w:val="0"/>
          <w:bCs/>
          <w:color w:val="auto"/>
          <w:szCs w:val="24"/>
        </w:rPr>
      </w:pPr>
    </w:p>
    <w:p w14:paraId="6A9CFE00">
      <w:pPr>
        <w:rPr>
          <w:rFonts w:hint="eastAsia" w:ascii="宋体" w:hAnsi="宋体" w:eastAsia="宋体" w:cs="宋体"/>
          <w:b w:val="0"/>
          <w:bCs/>
          <w:color w:val="auto"/>
          <w:szCs w:val="24"/>
        </w:rPr>
      </w:pPr>
      <w:r>
        <w:rPr>
          <w:rFonts w:hint="eastAsia" w:ascii="宋体" w:hAnsi="宋体" w:eastAsia="宋体" w:cs="宋体"/>
          <w:b w:val="0"/>
          <w:bCs/>
          <w:color w:val="auto"/>
          <w:szCs w:val="24"/>
        </w:rPr>
        <w:t>DOI: 10.7759/cureus.114381</w:t>
      </w:r>
    </w:p>
    <w:p w14:paraId="2DA78269">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PMC13562785</w:t>
      </w:r>
    </w:p>
    <w:p w14:paraId="173490E1">
      <w:pPr>
        <w:rPr>
          <w:rFonts w:hint="eastAsia" w:ascii="宋体" w:hAnsi="宋体" w:eastAsia="宋体" w:cs="宋体"/>
          <w:b w:val="0"/>
          <w:bCs/>
          <w:color w:val="auto"/>
          <w:szCs w:val="24"/>
        </w:rPr>
      </w:pPr>
      <w:r>
        <w:rPr>
          <w:rFonts w:hint="eastAsia" w:ascii="宋体" w:hAnsi="宋体" w:eastAsia="宋体" w:cs="宋体"/>
          <w:b w:val="0"/>
          <w:bCs/>
          <w:color w:val="auto"/>
          <w:szCs w:val="24"/>
        </w:rPr>
        <w:t>PMID: 42729625</w:t>
      </w:r>
    </w:p>
    <w:p w14:paraId="4C3F81B2">
      <w:pPr>
        <w:rPr>
          <w:rFonts w:hint="eastAsia" w:ascii="宋体" w:hAnsi="宋体" w:eastAsia="宋体" w:cs="宋体"/>
          <w:b w:val="0"/>
          <w:bCs/>
          <w:color w:val="auto"/>
          <w:szCs w:val="24"/>
        </w:rPr>
      </w:pPr>
    </w:p>
    <w:p w14:paraId="51AFE413">
      <w:pPr>
        <w:rPr>
          <w:rFonts w:hint="eastAsia" w:ascii="宋体" w:hAnsi="宋体" w:eastAsia="宋体" w:cs="宋体"/>
          <w:b/>
          <w:bCs w:val="0"/>
          <w:color w:val="FF0000"/>
          <w:szCs w:val="24"/>
        </w:rPr>
      </w:pPr>
      <w:r>
        <w:rPr>
          <w:rFonts w:hint="eastAsia" w:ascii="宋体" w:hAnsi="宋体" w:eastAsia="宋体" w:cs="宋体"/>
          <w:b/>
          <w:bCs w:val="0"/>
          <w:color w:val="FF0000"/>
          <w:szCs w:val="24"/>
        </w:rPr>
        <w:t>5</w:t>
      </w:r>
      <w:r>
        <w:rPr>
          <w:rFonts w:hint="eastAsia" w:ascii="宋体" w:hAnsi="宋体" w:eastAsia="宋体" w:cs="宋体"/>
          <w:b/>
          <w:bCs w:val="0"/>
          <w:color w:val="FF0000"/>
          <w:szCs w:val="24"/>
          <w:lang w:val="en-US" w:eastAsia="zh-CN"/>
        </w:rPr>
        <w:t>3</w:t>
      </w:r>
      <w:r>
        <w:rPr>
          <w:rFonts w:hint="eastAsia" w:ascii="宋体" w:hAnsi="宋体" w:eastAsia="宋体" w:cs="宋体"/>
          <w:b/>
          <w:bCs w:val="0"/>
          <w:color w:val="FF0000"/>
          <w:szCs w:val="24"/>
        </w:rPr>
        <w:t xml:space="preserve">. Respir Med Case Rep. 2026 Aug 27;63:102490. doi: 10.1016/j.rmcr.2026.102490. </w:t>
      </w:r>
    </w:p>
    <w:p w14:paraId="59FD72C9">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3A870EDE">
      <w:pPr>
        <w:rPr>
          <w:rFonts w:hint="eastAsia" w:ascii="宋体" w:hAnsi="宋体" w:eastAsia="宋体" w:cs="宋体"/>
          <w:b w:val="0"/>
          <w:bCs/>
          <w:color w:val="auto"/>
          <w:szCs w:val="24"/>
        </w:rPr>
      </w:pPr>
    </w:p>
    <w:p w14:paraId="5EC8FE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Primary pulmonary leiomyosarcoma in a patient with disseminated pulmonary </w:t>
      </w:r>
    </w:p>
    <w:p w14:paraId="01F6633D">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and constrictive pericarditis.</w:t>
      </w:r>
    </w:p>
    <w:p w14:paraId="75ED831C">
      <w:pPr>
        <w:rPr>
          <w:rFonts w:hint="eastAsia" w:ascii="宋体" w:hAnsi="宋体" w:eastAsia="宋体" w:cs="宋体"/>
          <w:b w:val="0"/>
          <w:bCs/>
          <w:color w:val="auto"/>
          <w:szCs w:val="24"/>
        </w:rPr>
      </w:pPr>
    </w:p>
    <w:p w14:paraId="63A7D57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Van Der Westhuizen S(1), Arendse AJ(2), Ismail Z(1), Krynauw D(3), Zaharie D(2), </w:t>
      </w:r>
    </w:p>
    <w:p w14:paraId="54E9B5AA">
      <w:pPr>
        <w:rPr>
          <w:rFonts w:hint="eastAsia" w:ascii="宋体" w:hAnsi="宋体" w:eastAsia="宋体" w:cs="宋体"/>
          <w:b w:val="0"/>
          <w:bCs/>
          <w:color w:val="auto"/>
          <w:szCs w:val="24"/>
        </w:rPr>
      </w:pPr>
      <w:r>
        <w:rPr>
          <w:rFonts w:hint="eastAsia" w:ascii="宋体" w:hAnsi="宋体" w:eastAsia="宋体" w:cs="宋体"/>
          <w:b w:val="0"/>
          <w:bCs/>
          <w:color w:val="auto"/>
          <w:szCs w:val="24"/>
        </w:rPr>
        <w:t>Allwood BW(4).</w:t>
      </w:r>
    </w:p>
    <w:p w14:paraId="285D14C5">
      <w:pPr>
        <w:rPr>
          <w:rFonts w:hint="eastAsia" w:ascii="宋体" w:hAnsi="宋体" w:eastAsia="宋体" w:cs="宋体"/>
          <w:b w:val="0"/>
          <w:bCs/>
          <w:color w:val="auto"/>
          <w:szCs w:val="24"/>
        </w:rPr>
      </w:pPr>
    </w:p>
    <w:p w14:paraId="5FA290A8">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4113FB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(1)Division of Cardiothoracic Surgery, Department of Surgery, Stellenbosch </w:t>
      </w:r>
    </w:p>
    <w:p w14:paraId="7D48B5A3">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and Tygerberg Hospital, Cape Town, South Africa.</w:t>
      </w:r>
    </w:p>
    <w:p w14:paraId="4D06CB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Anatomical Pathology, Faculty of Medicine and Health Sciences, </w:t>
      </w:r>
    </w:p>
    <w:p w14:paraId="2F395A17">
      <w:pPr>
        <w:rPr>
          <w:rFonts w:hint="eastAsia" w:ascii="宋体" w:hAnsi="宋体" w:eastAsia="宋体" w:cs="宋体"/>
          <w:b w:val="0"/>
          <w:bCs/>
          <w:color w:val="auto"/>
          <w:szCs w:val="24"/>
        </w:rPr>
      </w:pPr>
      <w:r>
        <w:rPr>
          <w:rFonts w:hint="eastAsia" w:ascii="宋体" w:hAnsi="宋体" w:eastAsia="宋体" w:cs="宋体"/>
          <w:b w:val="0"/>
          <w:bCs/>
          <w:color w:val="auto"/>
          <w:szCs w:val="24"/>
        </w:rPr>
        <w:t>Stellenbosch University, Cape Town, South Africa.</w:t>
      </w:r>
    </w:p>
    <w:p w14:paraId="1F6342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(3)Division of Radiology, Department of Medical Imaging, Stellenbosch University </w:t>
      </w:r>
    </w:p>
    <w:p w14:paraId="3F01EC3D">
      <w:pPr>
        <w:rPr>
          <w:rFonts w:hint="eastAsia" w:ascii="宋体" w:hAnsi="宋体" w:eastAsia="宋体" w:cs="宋体"/>
          <w:b w:val="0"/>
          <w:bCs/>
          <w:color w:val="auto"/>
          <w:szCs w:val="24"/>
        </w:rPr>
      </w:pPr>
      <w:r>
        <w:rPr>
          <w:rFonts w:hint="eastAsia" w:ascii="宋体" w:hAnsi="宋体" w:eastAsia="宋体" w:cs="宋体"/>
          <w:b w:val="0"/>
          <w:bCs/>
          <w:color w:val="auto"/>
          <w:szCs w:val="24"/>
        </w:rPr>
        <w:t>and Tygerberg Hospital, Cape Town, South Africa.</w:t>
      </w:r>
    </w:p>
    <w:p w14:paraId="314E82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(4)Division of Pulmonology, Department of Medicine, Stellenbosch University and </w:t>
      </w:r>
    </w:p>
    <w:p w14:paraId="50529179">
      <w:pPr>
        <w:rPr>
          <w:rFonts w:hint="eastAsia" w:ascii="宋体" w:hAnsi="宋体" w:eastAsia="宋体" w:cs="宋体"/>
          <w:b w:val="0"/>
          <w:bCs/>
          <w:color w:val="auto"/>
          <w:szCs w:val="24"/>
        </w:rPr>
      </w:pPr>
      <w:r>
        <w:rPr>
          <w:rFonts w:hint="eastAsia" w:ascii="宋体" w:hAnsi="宋体" w:eastAsia="宋体" w:cs="宋体"/>
          <w:b w:val="0"/>
          <w:bCs/>
          <w:color w:val="auto"/>
          <w:szCs w:val="24"/>
        </w:rPr>
        <w:t>Tygerberg Hospital, Cape Town, South Africa.</w:t>
      </w:r>
    </w:p>
    <w:p w14:paraId="3805F9AD">
      <w:pPr>
        <w:rPr>
          <w:rFonts w:hint="eastAsia" w:ascii="宋体" w:hAnsi="宋体" w:eastAsia="宋体" w:cs="宋体"/>
          <w:b w:val="0"/>
          <w:bCs/>
          <w:color w:val="auto"/>
          <w:szCs w:val="24"/>
        </w:rPr>
      </w:pPr>
    </w:p>
    <w:p w14:paraId="6E9DBE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Primary pulmonary leiomyosarcoma (PPL) is an exceedingly rare malignancy, </w:t>
      </w:r>
    </w:p>
    <w:p w14:paraId="747B09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accounting for fewer than 0.5% of all lung tumours. Its occurrence alongside </w:t>
      </w:r>
    </w:p>
    <w:p w14:paraId="404F37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disseminated tuberculosis (TB) complicated by constrictive pericarditis has not </w:t>
      </w:r>
    </w:p>
    <w:p w14:paraId="7C0099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previously been described. We report a 66-year-old HIV-negative male from rural </w:t>
      </w:r>
    </w:p>
    <w:p w14:paraId="5BB9F43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South Africa presenting with progressive dyspnoea, found to have a right upper </w:t>
      </w:r>
    </w:p>
    <w:p w14:paraId="60E170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lobe nodule that enlarged despite adequate anti-TB therapy. Computed tomography </w:t>
      </w:r>
    </w:p>
    <w:p w14:paraId="725A99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(CT)-guided biopsy demonstrated spindle cell morphology. Cardiac MRI and right </w:t>
      </w:r>
    </w:p>
    <w:p w14:paraId="1EF18D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left heart catheterisation confirmed constrictive pericarditis with severely </w:t>
      </w:r>
    </w:p>
    <w:p w14:paraId="3CCF05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impaired right ventricular function, precluding immediate lobectomy. A staged </w:t>
      </w:r>
    </w:p>
    <w:p w14:paraId="51B24B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surgical approach was employed: anterior pericardiectomy via median sternotomy </w:t>
      </w:r>
    </w:p>
    <w:p w14:paraId="010E26E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was performed first in attempt to optimise right ventricular function, followed </w:t>
      </w:r>
    </w:p>
    <w:p w14:paraId="690668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by open right upper lobectomy. Histopathological analysis and </w:t>
      </w:r>
    </w:p>
    <w:p w14:paraId="4049AE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immunohistochemistry confirmed PPL (FNLCC Grade 3, pT3N0M0) with R0 resection </w:t>
      </w:r>
    </w:p>
    <w:p w14:paraId="6B5B7B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margins. All sampled nodal stations were free of malignancy, and whole-body </w:t>
      </w:r>
    </w:p>
    <w:p w14:paraId="573AC1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positron emission tomography-CT (PET-CT) excluded nodal involvement and distant </w:t>
      </w:r>
    </w:p>
    <w:p w14:paraId="6E65D3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metastatic disease. The patient was discharged on postoperative day six and </w:t>
      </w:r>
    </w:p>
    <w:p w14:paraId="154C45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remained ECOG performance status 1 at 10-month follow up. This case illustrates </w:t>
      </w:r>
    </w:p>
    <w:p w14:paraId="24D1FD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that in TB-endemic regions, a lung nodule enlarging on adequate anti-TB therapy </w:t>
      </w:r>
    </w:p>
    <w:p w14:paraId="3E71B0E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should prompt tissue diagnosis irrespective of an established alternative </w:t>
      </w:r>
    </w:p>
    <w:p w14:paraId="6CBB77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diagnosis. It further highlights the importance of a staged surgical approach </w:t>
      </w:r>
    </w:p>
    <w:p w14:paraId="3060F7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when concomitant cardiac pathology compromises right ventricular function, </w:t>
      </w:r>
    </w:p>
    <w:p w14:paraId="2E1C25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acknowledging rapid tumour growth progression during the inter-procedural </w:t>
      </w:r>
    </w:p>
    <w:p w14:paraId="419B920F">
      <w:pPr>
        <w:rPr>
          <w:rFonts w:hint="eastAsia" w:ascii="宋体" w:hAnsi="宋体" w:eastAsia="宋体" w:cs="宋体"/>
          <w:b w:val="0"/>
          <w:bCs/>
          <w:color w:val="auto"/>
          <w:szCs w:val="24"/>
        </w:rPr>
      </w:pPr>
      <w:r>
        <w:rPr>
          <w:rFonts w:hint="eastAsia" w:ascii="宋体" w:hAnsi="宋体" w:eastAsia="宋体" w:cs="宋体"/>
          <w:b w:val="0"/>
          <w:bCs/>
          <w:color w:val="auto"/>
          <w:szCs w:val="24"/>
        </w:rPr>
        <w:t>recovery interval.</w:t>
      </w:r>
    </w:p>
    <w:p w14:paraId="16EC69EE">
      <w:pPr>
        <w:rPr>
          <w:rFonts w:hint="eastAsia" w:ascii="宋体" w:hAnsi="宋体" w:eastAsia="宋体" w:cs="宋体"/>
          <w:b w:val="0"/>
          <w:bCs/>
          <w:color w:val="auto"/>
          <w:szCs w:val="24"/>
        </w:rPr>
      </w:pPr>
    </w:p>
    <w:p w14:paraId="26BBB0F1">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w:t>
      </w:r>
    </w:p>
    <w:p w14:paraId="06480517">
      <w:pPr>
        <w:rPr>
          <w:rFonts w:hint="eastAsia" w:ascii="宋体" w:hAnsi="宋体" w:eastAsia="宋体" w:cs="宋体"/>
          <w:b w:val="0"/>
          <w:bCs/>
          <w:color w:val="auto"/>
          <w:szCs w:val="24"/>
        </w:rPr>
      </w:pPr>
    </w:p>
    <w:p w14:paraId="0FD3AF5A">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10.1016/j.rmcr.2026.102490</w:t>
      </w:r>
    </w:p>
    <w:p w14:paraId="651524C9">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PMC13562407</w:t>
      </w:r>
    </w:p>
    <w:p w14:paraId="77E1AA3B">
      <w:pPr>
        <w:rPr>
          <w:rFonts w:hint="eastAsia" w:ascii="宋体" w:hAnsi="宋体" w:eastAsia="宋体" w:cs="宋体"/>
          <w:b w:val="0"/>
          <w:bCs/>
          <w:color w:val="auto"/>
          <w:szCs w:val="24"/>
        </w:rPr>
      </w:pPr>
      <w:r>
        <w:rPr>
          <w:rFonts w:hint="eastAsia" w:ascii="宋体" w:hAnsi="宋体" w:eastAsia="宋体" w:cs="宋体"/>
          <w:b w:val="0"/>
          <w:bCs/>
          <w:color w:val="auto"/>
          <w:szCs w:val="24"/>
        </w:rPr>
        <w:t>PMID: 42729456</w:t>
      </w:r>
    </w:p>
    <w:p w14:paraId="07565194">
      <w:pPr>
        <w:rPr>
          <w:rFonts w:hint="eastAsia" w:ascii="宋体" w:hAnsi="宋体" w:eastAsia="宋体" w:cs="宋体"/>
          <w:b w:val="0"/>
          <w:bCs/>
          <w:color w:val="auto"/>
          <w:szCs w:val="24"/>
        </w:rPr>
      </w:pPr>
    </w:p>
    <w:p w14:paraId="6059A105">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54</w:t>
      </w:r>
      <w:r>
        <w:rPr>
          <w:rFonts w:hint="eastAsia" w:ascii="宋体" w:hAnsi="宋体" w:eastAsia="宋体" w:cs="宋体"/>
          <w:b/>
          <w:bCs w:val="0"/>
          <w:color w:val="FF0000"/>
          <w:szCs w:val="24"/>
        </w:rPr>
        <w:t xml:space="preserve">. J Clin Tuberc Other Mycobact Dis. 2026 Aug 27;45:100644. doi: </w:t>
      </w:r>
    </w:p>
    <w:p w14:paraId="652BB967">
      <w:pPr>
        <w:rPr>
          <w:rFonts w:hint="eastAsia" w:ascii="宋体" w:hAnsi="宋体" w:eastAsia="宋体" w:cs="宋体"/>
          <w:b/>
          <w:bCs w:val="0"/>
          <w:color w:val="FF0000"/>
          <w:szCs w:val="24"/>
        </w:rPr>
      </w:pPr>
      <w:r>
        <w:rPr>
          <w:rFonts w:hint="eastAsia" w:ascii="宋体" w:hAnsi="宋体" w:eastAsia="宋体" w:cs="宋体"/>
          <w:b/>
          <w:bCs w:val="0"/>
          <w:color w:val="FF0000"/>
          <w:szCs w:val="24"/>
        </w:rPr>
        <w:t>10.1016/j.jctube.2026.100644. eCollection 2026 Dec.</w:t>
      </w:r>
    </w:p>
    <w:p w14:paraId="265F0930">
      <w:pPr>
        <w:rPr>
          <w:rFonts w:hint="eastAsia" w:ascii="宋体" w:hAnsi="宋体" w:eastAsia="宋体" w:cs="宋体"/>
          <w:b w:val="0"/>
          <w:bCs/>
          <w:color w:val="auto"/>
          <w:szCs w:val="24"/>
        </w:rPr>
      </w:pPr>
    </w:p>
    <w:p w14:paraId="20C65B5B">
      <w:pPr>
        <w:rPr>
          <w:rFonts w:hint="eastAsia" w:ascii="宋体" w:hAnsi="宋体" w:eastAsia="宋体" w:cs="宋体"/>
          <w:b w:val="0"/>
          <w:bCs/>
          <w:color w:val="auto"/>
          <w:szCs w:val="24"/>
        </w:rPr>
      </w:pPr>
      <w:r>
        <w:rPr>
          <w:rFonts w:hint="eastAsia" w:ascii="宋体" w:hAnsi="宋体" w:eastAsia="宋体" w:cs="宋体"/>
          <w:b w:val="0"/>
          <w:bCs/>
          <w:color w:val="auto"/>
          <w:szCs w:val="24"/>
        </w:rPr>
        <w:t>Drug-resistant tuberculosis in conflict zones: a neglected global emergency.</w:t>
      </w:r>
    </w:p>
    <w:p w14:paraId="218C70B9">
      <w:pPr>
        <w:rPr>
          <w:rFonts w:hint="eastAsia" w:ascii="宋体" w:hAnsi="宋体" w:eastAsia="宋体" w:cs="宋体"/>
          <w:b w:val="0"/>
          <w:bCs/>
          <w:color w:val="auto"/>
          <w:szCs w:val="24"/>
        </w:rPr>
      </w:pPr>
    </w:p>
    <w:p w14:paraId="58DB05F4">
      <w:pPr>
        <w:rPr>
          <w:rFonts w:hint="eastAsia" w:ascii="宋体" w:hAnsi="宋体" w:eastAsia="宋体" w:cs="宋体"/>
          <w:b w:val="0"/>
          <w:bCs/>
          <w:color w:val="auto"/>
          <w:szCs w:val="24"/>
        </w:rPr>
      </w:pPr>
      <w:r>
        <w:rPr>
          <w:rFonts w:hint="eastAsia" w:ascii="宋体" w:hAnsi="宋体" w:eastAsia="宋体" w:cs="宋体"/>
          <w:b w:val="0"/>
          <w:bCs/>
          <w:color w:val="auto"/>
          <w:szCs w:val="24"/>
        </w:rPr>
        <w:t>Abdi YH(1), Bashir SG(1).</w:t>
      </w:r>
    </w:p>
    <w:p w14:paraId="6103E5C4">
      <w:pPr>
        <w:rPr>
          <w:rFonts w:hint="eastAsia" w:ascii="宋体" w:hAnsi="宋体" w:eastAsia="宋体" w:cs="宋体"/>
          <w:b w:val="0"/>
          <w:bCs/>
          <w:color w:val="auto"/>
          <w:szCs w:val="24"/>
        </w:rPr>
      </w:pPr>
    </w:p>
    <w:p w14:paraId="6F8A3D7D">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154A0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Public Health, Faculty of Medicine and Health Sciences, Hormuud </w:t>
      </w:r>
    </w:p>
    <w:p w14:paraId="4527A7B3">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Mogadishu, Somalia.</w:t>
      </w:r>
    </w:p>
    <w:p w14:paraId="4693BFCC">
      <w:pPr>
        <w:rPr>
          <w:rFonts w:hint="eastAsia" w:ascii="宋体" w:hAnsi="宋体" w:eastAsia="宋体" w:cs="宋体"/>
          <w:b w:val="0"/>
          <w:bCs/>
          <w:color w:val="auto"/>
          <w:szCs w:val="24"/>
        </w:rPr>
      </w:pPr>
    </w:p>
    <w:p w14:paraId="5C9F68BC">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10.1016/j.jctube.2026.100644</w:t>
      </w:r>
    </w:p>
    <w:p w14:paraId="36D71361">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PMC13562073</w:t>
      </w:r>
    </w:p>
    <w:p w14:paraId="03825B8B">
      <w:pPr>
        <w:rPr>
          <w:rFonts w:hint="eastAsia" w:ascii="宋体" w:hAnsi="宋体" w:eastAsia="宋体" w:cs="宋体"/>
          <w:b w:val="0"/>
          <w:bCs/>
          <w:color w:val="auto"/>
          <w:szCs w:val="24"/>
        </w:rPr>
      </w:pPr>
      <w:r>
        <w:rPr>
          <w:rFonts w:hint="eastAsia" w:ascii="宋体" w:hAnsi="宋体" w:eastAsia="宋体" w:cs="宋体"/>
          <w:b w:val="0"/>
          <w:bCs/>
          <w:color w:val="auto"/>
          <w:szCs w:val="24"/>
        </w:rPr>
        <w:t>PMID: 42729324</w:t>
      </w:r>
    </w:p>
    <w:p w14:paraId="7FE615A5">
      <w:pPr>
        <w:rPr>
          <w:rFonts w:hint="eastAsia" w:ascii="宋体" w:hAnsi="宋体" w:eastAsia="宋体" w:cs="宋体"/>
          <w:b w:val="0"/>
          <w:bCs/>
          <w:color w:val="auto"/>
          <w:szCs w:val="24"/>
        </w:rPr>
      </w:pPr>
    </w:p>
    <w:p w14:paraId="22B0CE9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55</w:t>
      </w:r>
      <w:r>
        <w:rPr>
          <w:rFonts w:hint="eastAsia" w:ascii="宋体" w:hAnsi="宋体" w:eastAsia="宋体" w:cs="宋体"/>
          <w:b/>
          <w:bCs w:val="0"/>
          <w:color w:val="FF0000"/>
          <w:szCs w:val="24"/>
        </w:rPr>
        <w:t xml:space="preserve">. Front Immunol. 2026 Aug 28;17:1875227. doi: 10.3389/fimmu.2026.1875227. </w:t>
      </w:r>
    </w:p>
    <w:p w14:paraId="5F608F86">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1A8E9E29">
      <w:pPr>
        <w:rPr>
          <w:rFonts w:hint="eastAsia" w:ascii="宋体" w:hAnsi="宋体" w:eastAsia="宋体" w:cs="宋体"/>
          <w:b w:val="0"/>
          <w:bCs/>
          <w:color w:val="auto"/>
          <w:szCs w:val="24"/>
        </w:rPr>
      </w:pPr>
    </w:p>
    <w:p w14:paraId="661BA9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Genome-wide transcriptional landscape of Mycobacterium tuberculosis during acute </w:t>
      </w:r>
    </w:p>
    <w:p w14:paraId="367BEC72">
      <w:pPr>
        <w:rPr>
          <w:rFonts w:hint="eastAsia" w:ascii="宋体" w:hAnsi="宋体" w:eastAsia="宋体" w:cs="宋体"/>
          <w:b w:val="0"/>
          <w:bCs/>
          <w:color w:val="auto"/>
          <w:szCs w:val="24"/>
        </w:rPr>
      </w:pPr>
      <w:r>
        <w:rPr>
          <w:rFonts w:hint="eastAsia" w:ascii="宋体" w:hAnsi="宋体" w:eastAsia="宋体" w:cs="宋体"/>
          <w:b w:val="0"/>
          <w:bCs/>
          <w:color w:val="auto"/>
          <w:szCs w:val="24"/>
        </w:rPr>
        <w:t>lung infection.</w:t>
      </w:r>
    </w:p>
    <w:p w14:paraId="15DF4BBC">
      <w:pPr>
        <w:rPr>
          <w:rFonts w:hint="eastAsia" w:ascii="宋体" w:hAnsi="宋体" w:eastAsia="宋体" w:cs="宋体"/>
          <w:b w:val="0"/>
          <w:bCs/>
          <w:color w:val="auto"/>
          <w:szCs w:val="24"/>
        </w:rPr>
      </w:pPr>
    </w:p>
    <w:p w14:paraId="3F4480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Bhargavi G(1), Ghanny S(2), Soteropoulous P(2), Vetrivel U(3)(4), Jayaraman </w:t>
      </w:r>
    </w:p>
    <w:p w14:paraId="150651D8">
      <w:pPr>
        <w:rPr>
          <w:rFonts w:hint="eastAsia" w:ascii="宋体" w:hAnsi="宋体" w:eastAsia="宋体" w:cs="宋体"/>
          <w:b w:val="0"/>
          <w:bCs/>
          <w:color w:val="auto"/>
          <w:szCs w:val="24"/>
        </w:rPr>
      </w:pPr>
      <w:r>
        <w:rPr>
          <w:rFonts w:hint="eastAsia" w:ascii="宋体" w:hAnsi="宋体" w:eastAsia="宋体" w:cs="宋体"/>
          <w:b w:val="0"/>
          <w:bCs/>
          <w:color w:val="auto"/>
          <w:szCs w:val="24"/>
        </w:rPr>
        <w:t>R(3), Subbian S(1).</w:t>
      </w:r>
    </w:p>
    <w:p w14:paraId="00A32972">
      <w:pPr>
        <w:rPr>
          <w:rFonts w:hint="eastAsia" w:ascii="宋体" w:hAnsi="宋体" w:eastAsia="宋体" w:cs="宋体"/>
          <w:b w:val="0"/>
          <w:bCs/>
          <w:color w:val="auto"/>
          <w:szCs w:val="24"/>
        </w:rPr>
      </w:pPr>
    </w:p>
    <w:p w14:paraId="02EFDC85">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2F02CE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(1)Public Health Research Institute, Rutgers-New Jersey Medical School, Newark, </w:t>
      </w:r>
    </w:p>
    <w:p w14:paraId="136C959C">
      <w:pPr>
        <w:rPr>
          <w:rFonts w:hint="eastAsia" w:ascii="宋体" w:hAnsi="宋体" w:eastAsia="宋体" w:cs="宋体"/>
          <w:b w:val="0"/>
          <w:bCs/>
          <w:color w:val="auto"/>
          <w:szCs w:val="24"/>
        </w:rPr>
      </w:pPr>
      <w:r>
        <w:rPr>
          <w:rFonts w:hint="eastAsia" w:ascii="宋体" w:hAnsi="宋体" w:eastAsia="宋体" w:cs="宋体"/>
          <w:b w:val="0"/>
          <w:bCs/>
          <w:color w:val="auto"/>
          <w:szCs w:val="24"/>
        </w:rPr>
        <w:t>NJ, United States.</w:t>
      </w:r>
    </w:p>
    <w:p w14:paraId="6F3094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(2)The Genomics Center, Rutgers-New Jersey Medical School, Newark, NJ, United </w:t>
      </w:r>
    </w:p>
    <w:p w14:paraId="620CB471">
      <w:pPr>
        <w:rPr>
          <w:rFonts w:hint="eastAsia" w:ascii="宋体" w:hAnsi="宋体" w:eastAsia="宋体" w:cs="宋体"/>
          <w:b w:val="0"/>
          <w:bCs/>
          <w:color w:val="auto"/>
          <w:szCs w:val="24"/>
        </w:rPr>
      </w:pPr>
      <w:r>
        <w:rPr>
          <w:rFonts w:hint="eastAsia" w:ascii="宋体" w:hAnsi="宋体" w:eastAsia="宋体" w:cs="宋体"/>
          <w:b w:val="0"/>
          <w:bCs/>
          <w:color w:val="auto"/>
          <w:szCs w:val="24"/>
        </w:rPr>
        <w:t>States.</w:t>
      </w:r>
    </w:p>
    <w:p w14:paraId="6EBCB6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Virology and Biotechnology, Bioinformatics Division, Indian </w:t>
      </w:r>
    </w:p>
    <w:p w14:paraId="75E7BF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Council for Medical Research -National Institute for Research in Tuberculosis </w:t>
      </w:r>
    </w:p>
    <w:p w14:paraId="1F24DE15">
      <w:pPr>
        <w:rPr>
          <w:rFonts w:hint="eastAsia" w:ascii="宋体" w:hAnsi="宋体" w:eastAsia="宋体" w:cs="宋体"/>
          <w:b w:val="0"/>
          <w:bCs/>
          <w:color w:val="auto"/>
          <w:szCs w:val="24"/>
        </w:rPr>
      </w:pPr>
      <w:r>
        <w:rPr>
          <w:rFonts w:hint="eastAsia" w:ascii="宋体" w:hAnsi="宋体" w:eastAsia="宋体" w:cs="宋体"/>
          <w:b w:val="0"/>
          <w:bCs/>
          <w:color w:val="auto"/>
          <w:szCs w:val="24"/>
        </w:rPr>
        <w:t>(ICMR-NIRT), Chennai, India.</w:t>
      </w:r>
    </w:p>
    <w:p w14:paraId="0AEBCF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Medical Sciences, Academy of Scientific and Innovative Research </w:t>
      </w:r>
    </w:p>
    <w:p w14:paraId="07C2610C">
      <w:pPr>
        <w:rPr>
          <w:rFonts w:hint="eastAsia" w:ascii="宋体" w:hAnsi="宋体" w:eastAsia="宋体" w:cs="宋体"/>
          <w:b w:val="0"/>
          <w:bCs/>
          <w:color w:val="auto"/>
          <w:szCs w:val="24"/>
        </w:rPr>
      </w:pPr>
      <w:r>
        <w:rPr>
          <w:rFonts w:hint="eastAsia" w:ascii="宋体" w:hAnsi="宋体" w:eastAsia="宋体" w:cs="宋体"/>
          <w:b w:val="0"/>
          <w:bCs/>
          <w:color w:val="auto"/>
          <w:szCs w:val="24"/>
        </w:rPr>
        <w:t>(AcSIR), Ghaziabad, Uttar Pradesh, India.</w:t>
      </w:r>
    </w:p>
    <w:p w14:paraId="02F350D3">
      <w:pPr>
        <w:rPr>
          <w:rFonts w:hint="eastAsia" w:ascii="宋体" w:hAnsi="宋体" w:eastAsia="宋体" w:cs="宋体"/>
          <w:b w:val="0"/>
          <w:bCs/>
          <w:color w:val="auto"/>
          <w:szCs w:val="24"/>
        </w:rPr>
      </w:pPr>
    </w:p>
    <w:p w14:paraId="4E425B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remains a major global health burden, yet the mechanisms by </w:t>
      </w:r>
    </w:p>
    <w:p w14:paraId="3D3A98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which Mycobacterium tuberculosis (Mtb) adapts to host environments to drive </w:t>
      </w:r>
    </w:p>
    <w:p w14:paraId="79A3A2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 pathology are incompletely defined. A key limitation has been reliance </w:t>
      </w:r>
    </w:p>
    <w:p w14:paraId="26B49F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on axenic culture systems that fail to recapitulate the complex, host-imposed </w:t>
      </w:r>
    </w:p>
    <w:p w14:paraId="7CAC1D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stresses encountered by Mtb in vivo. Here, we report the first microarray-based </w:t>
      </w:r>
    </w:p>
    <w:p w14:paraId="15D3C7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genome-wide transcriptomic profiling of Mtb in rabbit lungs with active TB, </w:t>
      </w:r>
    </w:p>
    <w:p w14:paraId="47FCE1E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which closely mirrors human disease features, including granuloma heterogeneity, </w:t>
      </w:r>
    </w:p>
    <w:p w14:paraId="690C87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necrosis, and cavitation. Using Mtb RNA isolated from infected lung homogenates </w:t>
      </w:r>
    </w:p>
    <w:p w14:paraId="03C4AA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or broth-culture, we capture bacterial transcriptional states shaped by the host </w:t>
      </w:r>
    </w:p>
    <w:p w14:paraId="34FE04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microenvironments. The transcriptional data analyses reveal extensive, </w:t>
      </w:r>
    </w:p>
    <w:p w14:paraId="2F7F93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context-dependent reprogramming of Mtb metabolic, respiratory, and </w:t>
      </w:r>
    </w:p>
    <w:p w14:paraId="60291A2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stress-response networks that diverges markedly from in vitro expression </w:t>
      </w:r>
    </w:p>
    <w:p w14:paraId="3A085CD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profiles, including activation of stress adaptation, lipid catabolism, nucleic </w:t>
      </w:r>
    </w:p>
    <w:p w14:paraId="7F922F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acid metabolism, and transcriptional regulation pathways. These data uncover </w:t>
      </w:r>
    </w:p>
    <w:p w14:paraId="7B91C1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pathways and networks that are selectively engaged in vivo and likely critical </w:t>
      </w:r>
    </w:p>
    <w:p w14:paraId="492195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Mtb survival within granulomatous lesions. Our findings demonstrate that </w:t>
      </w:r>
    </w:p>
    <w:p w14:paraId="07EF33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transcriptional states most relevant to TB pathogenesis are underrepresented in </w:t>
      </w:r>
    </w:p>
    <w:p w14:paraId="58B30A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standard lab-grown Mtb models and highlight the importance of in vivo bacterial </w:t>
      </w:r>
    </w:p>
    <w:p w14:paraId="007B54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profiling. By characterizing Mtb gene expression within diseased lungs, this </w:t>
      </w:r>
    </w:p>
    <w:p w14:paraId="0BB0178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study provides a systems-level framework for understanding TB pathogenesis and </w:t>
      </w:r>
    </w:p>
    <w:p w14:paraId="1D2717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reveals in vivo-essential pathways, offering potential targets for translational </w:t>
      </w:r>
    </w:p>
    <w:p w14:paraId="2DB34EAD">
      <w:pPr>
        <w:rPr>
          <w:rFonts w:hint="eastAsia" w:ascii="宋体" w:hAnsi="宋体" w:eastAsia="宋体" w:cs="宋体"/>
          <w:b w:val="0"/>
          <w:bCs/>
          <w:color w:val="auto"/>
          <w:szCs w:val="24"/>
        </w:rPr>
      </w:pPr>
      <w:r>
        <w:rPr>
          <w:rFonts w:hint="eastAsia" w:ascii="宋体" w:hAnsi="宋体" w:eastAsia="宋体" w:cs="宋体"/>
          <w:b w:val="0"/>
          <w:bCs/>
          <w:color w:val="auto"/>
          <w:szCs w:val="24"/>
        </w:rPr>
        <w:t>drug discovery and the development of more effective anti-TB therapies.</w:t>
      </w:r>
    </w:p>
    <w:p w14:paraId="62B111F9">
      <w:pPr>
        <w:rPr>
          <w:rFonts w:hint="eastAsia" w:ascii="宋体" w:hAnsi="宋体" w:eastAsia="宋体" w:cs="宋体"/>
          <w:b w:val="0"/>
          <w:bCs/>
          <w:color w:val="auto"/>
          <w:szCs w:val="24"/>
        </w:rPr>
      </w:pPr>
    </w:p>
    <w:p w14:paraId="0A6C9E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Bhargavi, Ghanny, Soteropoulous, Vetrivel, Jayaraman and </w:t>
      </w:r>
    </w:p>
    <w:p w14:paraId="6BA06D1E">
      <w:pPr>
        <w:rPr>
          <w:rFonts w:hint="eastAsia" w:ascii="宋体" w:hAnsi="宋体" w:eastAsia="宋体" w:cs="宋体"/>
          <w:b w:val="0"/>
          <w:bCs/>
          <w:color w:val="auto"/>
          <w:szCs w:val="24"/>
        </w:rPr>
      </w:pPr>
      <w:r>
        <w:rPr>
          <w:rFonts w:hint="eastAsia" w:ascii="宋体" w:hAnsi="宋体" w:eastAsia="宋体" w:cs="宋体"/>
          <w:b w:val="0"/>
          <w:bCs/>
          <w:color w:val="auto"/>
          <w:szCs w:val="24"/>
        </w:rPr>
        <w:t>Subbian.</w:t>
      </w:r>
    </w:p>
    <w:p w14:paraId="4CE73437">
      <w:pPr>
        <w:rPr>
          <w:rFonts w:hint="eastAsia" w:ascii="宋体" w:hAnsi="宋体" w:eastAsia="宋体" w:cs="宋体"/>
          <w:b w:val="0"/>
          <w:bCs/>
          <w:color w:val="auto"/>
          <w:szCs w:val="24"/>
        </w:rPr>
      </w:pPr>
    </w:p>
    <w:p w14:paraId="6BCC53F5">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10.3389/fimmu.2026.1875227</w:t>
      </w:r>
    </w:p>
    <w:p w14:paraId="77AD3007">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PMC13561785</w:t>
      </w:r>
    </w:p>
    <w:p w14:paraId="3DD279ED">
      <w:pPr>
        <w:rPr>
          <w:rFonts w:hint="eastAsia" w:ascii="宋体" w:hAnsi="宋体" w:eastAsia="宋体" w:cs="宋体"/>
          <w:b w:val="0"/>
          <w:bCs/>
          <w:color w:val="auto"/>
          <w:szCs w:val="24"/>
        </w:rPr>
      </w:pPr>
      <w:r>
        <w:rPr>
          <w:rFonts w:hint="eastAsia" w:ascii="宋体" w:hAnsi="宋体" w:eastAsia="宋体" w:cs="宋体"/>
          <w:b w:val="0"/>
          <w:bCs/>
          <w:color w:val="auto"/>
          <w:szCs w:val="24"/>
        </w:rPr>
        <w:t>PMID: 42729219 [Indexed for MEDLINE]</w:t>
      </w:r>
    </w:p>
    <w:p w14:paraId="700A3578">
      <w:pPr>
        <w:rPr>
          <w:rFonts w:hint="eastAsia" w:ascii="宋体" w:hAnsi="宋体" w:eastAsia="宋体" w:cs="宋体"/>
          <w:b w:val="0"/>
          <w:bCs/>
          <w:color w:val="auto"/>
          <w:szCs w:val="24"/>
        </w:rPr>
      </w:pPr>
    </w:p>
    <w:p w14:paraId="76F04673">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56</w:t>
      </w:r>
      <w:r>
        <w:rPr>
          <w:rFonts w:hint="eastAsia" w:ascii="宋体" w:hAnsi="宋体" w:eastAsia="宋体" w:cs="宋体"/>
          <w:b/>
          <w:bCs w:val="0"/>
          <w:color w:val="FF0000"/>
          <w:szCs w:val="24"/>
        </w:rPr>
        <w:t xml:space="preserve">. J Med Chem. 2026 Sep 1. doi: 10.1021/acs.jmedchem.6c00893. Online ahead of </w:t>
      </w:r>
    </w:p>
    <w:p w14:paraId="5C26A7D6">
      <w:pPr>
        <w:rPr>
          <w:rFonts w:hint="eastAsia" w:ascii="宋体" w:hAnsi="宋体" w:eastAsia="宋体" w:cs="宋体"/>
          <w:b/>
          <w:bCs w:val="0"/>
          <w:color w:val="FF0000"/>
          <w:szCs w:val="24"/>
        </w:rPr>
      </w:pPr>
      <w:r>
        <w:rPr>
          <w:rFonts w:hint="eastAsia" w:ascii="宋体" w:hAnsi="宋体" w:eastAsia="宋体" w:cs="宋体"/>
          <w:b/>
          <w:bCs w:val="0"/>
          <w:color w:val="FF0000"/>
          <w:szCs w:val="24"/>
        </w:rPr>
        <w:t>print.</w:t>
      </w:r>
    </w:p>
    <w:p w14:paraId="06C310B5">
      <w:pPr>
        <w:rPr>
          <w:rFonts w:hint="eastAsia" w:ascii="宋体" w:hAnsi="宋体" w:eastAsia="宋体" w:cs="宋体"/>
          <w:b w:val="0"/>
          <w:bCs/>
          <w:color w:val="auto"/>
          <w:szCs w:val="24"/>
        </w:rPr>
      </w:pPr>
    </w:p>
    <w:p w14:paraId="4A5D1D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Structural and Mechanistic Studies of ADEPs Yield Potent Antibacterials and a </w:t>
      </w:r>
    </w:p>
    <w:p w14:paraId="5D9E8913">
      <w:pPr>
        <w:rPr>
          <w:rFonts w:hint="eastAsia" w:ascii="宋体" w:hAnsi="宋体" w:eastAsia="宋体" w:cs="宋体"/>
          <w:b w:val="0"/>
          <w:bCs/>
          <w:color w:val="auto"/>
          <w:szCs w:val="24"/>
        </w:rPr>
      </w:pPr>
      <w:r>
        <w:rPr>
          <w:rFonts w:hint="eastAsia" w:ascii="宋体" w:hAnsi="宋体" w:eastAsia="宋体" w:cs="宋体"/>
          <w:b w:val="0"/>
          <w:bCs/>
          <w:color w:val="auto"/>
          <w:szCs w:val="24"/>
        </w:rPr>
        <w:t>Drug Formulation Strategy for Tuberculosis.</w:t>
      </w:r>
    </w:p>
    <w:p w14:paraId="08446FF2">
      <w:pPr>
        <w:rPr>
          <w:rFonts w:hint="eastAsia" w:ascii="宋体" w:hAnsi="宋体" w:eastAsia="宋体" w:cs="宋体"/>
          <w:b w:val="0"/>
          <w:bCs/>
          <w:color w:val="auto"/>
          <w:szCs w:val="24"/>
        </w:rPr>
      </w:pPr>
    </w:p>
    <w:p w14:paraId="207329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Fei F(1), Burnside CM(2), Lun S(3), Wee D(4), Kaur M(5), Anderson HR(2), </w:t>
      </w:r>
    </w:p>
    <w:p w14:paraId="1CAD01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McCarroll MN(1), Richardson AE(6), Neglia S(2), Liu HM(7), Wang X(8), Gupta </w:t>
      </w:r>
    </w:p>
    <w:p w14:paraId="77509D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S(8), Rhee KY(7), Wright GD(5), Bryson BD(9), Oehlers SH(4), Bishai WR(3), </w:t>
      </w:r>
    </w:p>
    <w:p w14:paraId="0EF8C36F">
      <w:pPr>
        <w:rPr>
          <w:rFonts w:hint="eastAsia" w:ascii="宋体" w:hAnsi="宋体" w:eastAsia="宋体" w:cs="宋体"/>
          <w:b w:val="0"/>
          <w:bCs/>
          <w:color w:val="auto"/>
          <w:szCs w:val="24"/>
        </w:rPr>
      </w:pPr>
      <w:r>
        <w:rPr>
          <w:rFonts w:hint="eastAsia" w:ascii="宋体" w:hAnsi="宋体" w:eastAsia="宋体" w:cs="宋体"/>
          <w:b w:val="0"/>
          <w:bCs/>
          <w:color w:val="auto"/>
          <w:szCs w:val="24"/>
        </w:rPr>
        <w:t>Schmitz KR(2), Sello JK(1).</w:t>
      </w:r>
    </w:p>
    <w:p w14:paraId="214B29C4">
      <w:pPr>
        <w:rPr>
          <w:rFonts w:hint="eastAsia" w:ascii="宋体" w:hAnsi="宋体" w:eastAsia="宋体" w:cs="宋体"/>
          <w:b w:val="0"/>
          <w:bCs/>
          <w:color w:val="auto"/>
          <w:szCs w:val="24"/>
        </w:rPr>
      </w:pPr>
    </w:p>
    <w:p w14:paraId="1B287A6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D1689A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Pharmaceutical Chemistry, University of California, San </w:t>
      </w:r>
    </w:p>
    <w:p w14:paraId="1F8AD58E">
      <w:pPr>
        <w:rPr>
          <w:rFonts w:hint="eastAsia" w:ascii="宋体" w:hAnsi="宋体" w:eastAsia="宋体" w:cs="宋体"/>
          <w:b w:val="0"/>
          <w:bCs/>
          <w:color w:val="auto"/>
          <w:szCs w:val="24"/>
        </w:rPr>
      </w:pPr>
      <w:r>
        <w:rPr>
          <w:rFonts w:hint="eastAsia" w:ascii="宋体" w:hAnsi="宋体" w:eastAsia="宋体" w:cs="宋体"/>
          <w:b w:val="0"/>
          <w:bCs/>
          <w:color w:val="auto"/>
          <w:szCs w:val="24"/>
        </w:rPr>
        <w:t>Francisco, California94143, United States.</w:t>
      </w:r>
    </w:p>
    <w:p w14:paraId="524C10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Chemistry and Biochemistry, University of Delaware, Newark, </w:t>
      </w:r>
    </w:p>
    <w:p w14:paraId="553CB6AD">
      <w:pPr>
        <w:rPr>
          <w:rFonts w:hint="eastAsia" w:ascii="宋体" w:hAnsi="宋体" w:eastAsia="宋体" w:cs="宋体"/>
          <w:b w:val="0"/>
          <w:bCs/>
          <w:color w:val="auto"/>
          <w:szCs w:val="24"/>
        </w:rPr>
      </w:pPr>
      <w:r>
        <w:rPr>
          <w:rFonts w:hint="eastAsia" w:ascii="宋体" w:hAnsi="宋体" w:eastAsia="宋体" w:cs="宋体"/>
          <w:b w:val="0"/>
          <w:bCs/>
          <w:color w:val="auto"/>
          <w:szCs w:val="24"/>
        </w:rPr>
        <w:t>Delaware19716, United States.</w:t>
      </w:r>
    </w:p>
    <w:p w14:paraId="47015E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(3)Center for Tuberculosis Research, Department of Medicine, Division of </w:t>
      </w:r>
    </w:p>
    <w:p w14:paraId="58AE8D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Infectious Disease, Johns Hopkins School of Medicine, Baltimore, Maryland21231, </w:t>
      </w:r>
    </w:p>
    <w:p w14:paraId="77CFF014">
      <w:pPr>
        <w:rPr>
          <w:rFonts w:hint="eastAsia" w:ascii="宋体" w:hAnsi="宋体" w:eastAsia="宋体" w:cs="宋体"/>
          <w:b w:val="0"/>
          <w:bCs/>
          <w:color w:val="auto"/>
          <w:szCs w:val="24"/>
        </w:rPr>
      </w:pPr>
      <w:r>
        <w:rPr>
          <w:rFonts w:hint="eastAsia" w:ascii="宋体" w:hAnsi="宋体" w:eastAsia="宋体" w:cs="宋体"/>
          <w:b w:val="0"/>
          <w:bCs/>
          <w:color w:val="auto"/>
          <w:szCs w:val="24"/>
        </w:rPr>
        <w:t>United States.</w:t>
      </w:r>
    </w:p>
    <w:p w14:paraId="38F908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(4)A*STAR Infectious Diseases Laboratories, Agency for Science, Technology and </w:t>
      </w:r>
    </w:p>
    <w:p w14:paraId="53588126">
      <w:pPr>
        <w:rPr>
          <w:rFonts w:hint="eastAsia" w:ascii="宋体" w:hAnsi="宋体" w:eastAsia="宋体" w:cs="宋体"/>
          <w:b w:val="0"/>
          <w:bCs/>
          <w:color w:val="auto"/>
          <w:szCs w:val="24"/>
        </w:rPr>
      </w:pPr>
      <w:r>
        <w:rPr>
          <w:rFonts w:hint="eastAsia" w:ascii="宋体" w:hAnsi="宋体" w:eastAsia="宋体" w:cs="宋体"/>
          <w:b w:val="0"/>
          <w:bCs/>
          <w:color w:val="auto"/>
          <w:szCs w:val="24"/>
        </w:rPr>
        <w:t>Research (A*STAR) , Singapore138648, Republic of Singapore.</w:t>
      </w:r>
    </w:p>
    <w:p w14:paraId="2675FE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(5)David Braley Centre for Antibiotic Discovery, McMaster University, Hamilton, </w:t>
      </w:r>
    </w:p>
    <w:p w14:paraId="2B64FD8F">
      <w:pPr>
        <w:rPr>
          <w:rFonts w:hint="eastAsia" w:ascii="宋体" w:hAnsi="宋体" w:eastAsia="宋体" w:cs="宋体"/>
          <w:b w:val="0"/>
          <w:bCs/>
          <w:color w:val="auto"/>
          <w:szCs w:val="24"/>
        </w:rPr>
      </w:pPr>
      <w:r>
        <w:rPr>
          <w:rFonts w:hint="eastAsia" w:ascii="宋体" w:hAnsi="宋体" w:eastAsia="宋体" w:cs="宋体"/>
          <w:b w:val="0"/>
          <w:bCs/>
          <w:color w:val="auto"/>
          <w:szCs w:val="24"/>
        </w:rPr>
        <w:t>OntarioL8S 4L8, Canada.</w:t>
      </w:r>
    </w:p>
    <w:p w14:paraId="78FAA3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Biological Sciences, University of Delaware, Newark, </w:t>
      </w:r>
    </w:p>
    <w:p w14:paraId="0352427B">
      <w:pPr>
        <w:rPr>
          <w:rFonts w:hint="eastAsia" w:ascii="宋体" w:hAnsi="宋体" w:eastAsia="宋体" w:cs="宋体"/>
          <w:b w:val="0"/>
          <w:bCs/>
          <w:color w:val="auto"/>
          <w:szCs w:val="24"/>
        </w:rPr>
      </w:pPr>
      <w:r>
        <w:rPr>
          <w:rFonts w:hint="eastAsia" w:ascii="宋体" w:hAnsi="宋体" w:eastAsia="宋体" w:cs="宋体"/>
          <w:b w:val="0"/>
          <w:bCs/>
          <w:color w:val="auto"/>
          <w:szCs w:val="24"/>
        </w:rPr>
        <w:t>Delaware19716, United States.</w:t>
      </w:r>
    </w:p>
    <w:p w14:paraId="3017E5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(7)Division of Infectious Diseases, Weill Department of Medicine, Weill Cornell </w:t>
      </w:r>
    </w:p>
    <w:p w14:paraId="54C5EC3A">
      <w:pPr>
        <w:rPr>
          <w:rFonts w:hint="eastAsia" w:ascii="宋体" w:hAnsi="宋体" w:eastAsia="宋体" w:cs="宋体"/>
          <w:b w:val="0"/>
          <w:bCs/>
          <w:color w:val="auto"/>
          <w:szCs w:val="24"/>
        </w:rPr>
      </w:pPr>
      <w:r>
        <w:rPr>
          <w:rFonts w:hint="eastAsia" w:ascii="宋体" w:hAnsi="宋体" w:eastAsia="宋体" w:cs="宋体"/>
          <w:b w:val="0"/>
          <w:bCs/>
          <w:color w:val="auto"/>
          <w:szCs w:val="24"/>
        </w:rPr>
        <w:t>Medical College, New York City, New York10065, United States.</w:t>
      </w:r>
    </w:p>
    <w:p w14:paraId="322837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Chemistry, Brown University, Providence, Rhode Island02912, </w:t>
      </w:r>
    </w:p>
    <w:p w14:paraId="062DC75A">
      <w:pPr>
        <w:rPr>
          <w:rFonts w:hint="eastAsia" w:ascii="宋体" w:hAnsi="宋体" w:eastAsia="宋体" w:cs="宋体"/>
          <w:b w:val="0"/>
          <w:bCs/>
          <w:color w:val="auto"/>
          <w:szCs w:val="24"/>
        </w:rPr>
      </w:pPr>
      <w:r>
        <w:rPr>
          <w:rFonts w:hint="eastAsia" w:ascii="宋体" w:hAnsi="宋体" w:eastAsia="宋体" w:cs="宋体"/>
          <w:b w:val="0"/>
          <w:bCs/>
          <w:color w:val="auto"/>
          <w:szCs w:val="24"/>
        </w:rPr>
        <w:t>United States.</w:t>
      </w:r>
    </w:p>
    <w:p w14:paraId="4524141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(9)Department of Biological Engineering, Massachusetts Institute of Technology, </w:t>
      </w:r>
    </w:p>
    <w:p w14:paraId="16AF2767">
      <w:pPr>
        <w:rPr>
          <w:rFonts w:hint="eastAsia" w:ascii="宋体" w:hAnsi="宋体" w:eastAsia="宋体" w:cs="宋体"/>
          <w:b w:val="0"/>
          <w:bCs/>
          <w:color w:val="auto"/>
          <w:szCs w:val="24"/>
        </w:rPr>
      </w:pPr>
      <w:r>
        <w:rPr>
          <w:rFonts w:hint="eastAsia" w:ascii="宋体" w:hAnsi="宋体" w:eastAsia="宋体" w:cs="宋体"/>
          <w:b w:val="0"/>
          <w:bCs/>
          <w:color w:val="auto"/>
          <w:szCs w:val="24"/>
        </w:rPr>
        <w:t>Cambridge, Massachusetts02139, United States.</w:t>
      </w:r>
    </w:p>
    <w:p w14:paraId="683DD7B7">
      <w:pPr>
        <w:rPr>
          <w:rFonts w:hint="eastAsia" w:ascii="宋体" w:hAnsi="宋体" w:eastAsia="宋体" w:cs="宋体"/>
          <w:b w:val="0"/>
          <w:bCs/>
          <w:color w:val="auto"/>
          <w:szCs w:val="24"/>
        </w:rPr>
      </w:pPr>
    </w:p>
    <w:p w14:paraId="7B3A2F4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Acyldepsipeptides (ADEPs) are potent ClpP dysregulators that are active against </w:t>
      </w:r>
    </w:p>
    <w:p w14:paraId="34D793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range of Gram-positive bacteria, but have limited potency against </w:t>
      </w:r>
    </w:p>
    <w:p w14:paraId="716EC0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(Mtb). To address potency, we employed a strategy of </w:t>
      </w:r>
    </w:p>
    <w:p w14:paraId="40DD78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macrocycle rigidification and side-chain optimization enabled by a novel </w:t>
      </w:r>
    </w:p>
    <w:p w14:paraId="2B3CC0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solid-phase peptide synthesis route. Among 35 compounds synthesized, ADEP 19 was </w:t>
      </w:r>
    </w:p>
    <w:p w14:paraId="6D0FE83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 much as 12-fold more potent against Mtb and other bacteria than ADEP 4, the </w:t>
      </w:r>
    </w:p>
    <w:p w14:paraId="62A61BF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prototypical ADEP having efficacy in animal infection models. Biophysical, </w:t>
      </w:r>
    </w:p>
    <w:p w14:paraId="55B97F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enzymatic, crystallographic, and microbiological studies showed that </w:t>
      </w:r>
    </w:p>
    <w:p w14:paraId="05D325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conformational restriction of both the macrocycle and side chain enhanced </w:t>
      </w:r>
    </w:p>
    <w:p w14:paraId="229D9A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ClpP1P2 binding affinity and antibacterial potency. Our observation that ADEP 19 </w:t>
      </w:r>
    </w:p>
    <w:p w14:paraId="43F94C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caused a reduction in intracellular ATP in Mtb suggested potential synergy of </w:t>
      </w:r>
    </w:p>
    <w:p w14:paraId="455C5D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ADEPs with bedaquiline (BDQ), a tuberculosis drug that inhibits ATP synthesis. </w:t>
      </w:r>
    </w:p>
    <w:p w14:paraId="242FD7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Checkerboard assays and experiments in a zebrafish TB model affirmed synergy </w:t>
      </w:r>
    </w:p>
    <w:p w14:paraId="258219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between ADEP 19 and BDQ that could be leveraged to address BDQ-associated </w:t>
      </w:r>
    </w:p>
    <w:p w14:paraId="6CDE7BDF">
      <w:pPr>
        <w:rPr>
          <w:rFonts w:hint="eastAsia" w:ascii="宋体" w:hAnsi="宋体" w:eastAsia="宋体" w:cs="宋体"/>
          <w:b w:val="0"/>
          <w:bCs/>
          <w:color w:val="auto"/>
          <w:szCs w:val="24"/>
        </w:rPr>
      </w:pPr>
      <w:r>
        <w:rPr>
          <w:rFonts w:hint="eastAsia" w:ascii="宋体" w:hAnsi="宋体" w:eastAsia="宋体" w:cs="宋体"/>
          <w:b w:val="0"/>
          <w:bCs/>
          <w:color w:val="auto"/>
          <w:szCs w:val="24"/>
        </w:rPr>
        <w:t>cardiotoxicity.</w:t>
      </w:r>
    </w:p>
    <w:p w14:paraId="7FB58565">
      <w:pPr>
        <w:rPr>
          <w:rFonts w:hint="eastAsia" w:ascii="宋体" w:hAnsi="宋体" w:eastAsia="宋体" w:cs="宋体"/>
          <w:b w:val="0"/>
          <w:bCs/>
          <w:color w:val="auto"/>
          <w:szCs w:val="24"/>
        </w:rPr>
      </w:pPr>
    </w:p>
    <w:p w14:paraId="127B21A4">
      <w:pPr>
        <w:rPr>
          <w:rFonts w:hint="eastAsia" w:ascii="宋体" w:hAnsi="宋体" w:eastAsia="宋体" w:cs="宋体"/>
          <w:b w:val="0"/>
          <w:bCs/>
          <w:color w:val="auto"/>
          <w:szCs w:val="24"/>
        </w:rPr>
      </w:pPr>
      <w:r>
        <w:rPr>
          <w:rFonts w:hint="eastAsia" w:ascii="宋体" w:hAnsi="宋体" w:eastAsia="宋体" w:cs="宋体"/>
          <w:b w:val="0"/>
          <w:bCs/>
          <w:color w:val="auto"/>
          <w:szCs w:val="24"/>
        </w:rPr>
        <w:t>© 2026 American Chemical Society.</w:t>
      </w:r>
    </w:p>
    <w:p w14:paraId="7A9A639E">
      <w:pPr>
        <w:rPr>
          <w:rFonts w:hint="eastAsia" w:ascii="宋体" w:hAnsi="宋体" w:eastAsia="宋体" w:cs="宋体"/>
          <w:b w:val="0"/>
          <w:bCs/>
          <w:color w:val="auto"/>
          <w:szCs w:val="24"/>
        </w:rPr>
      </w:pPr>
    </w:p>
    <w:p w14:paraId="68331901">
      <w:pPr>
        <w:rPr>
          <w:rFonts w:hint="eastAsia" w:ascii="宋体" w:hAnsi="宋体" w:eastAsia="宋体" w:cs="宋体"/>
          <w:b w:val="0"/>
          <w:bCs/>
          <w:color w:val="auto"/>
          <w:szCs w:val="24"/>
        </w:rPr>
      </w:pPr>
      <w:r>
        <w:rPr>
          <w:rFonts w:hint="eastAsia" w:ascii="宋体" w:hAnsi="宋体" w:eastAsia="宋体" w:cs="宋体"/>
          <w:b w:val="0"/>
          <w:bCs/>
          <w:color w:val="auto"/>
          <w:szCs w:val="24"/>
        </w:rPr>
        <w:t>DOI: 10.1021/acs.jmedchem.6c00893</w:t>
      </w:r>
    </w:p>
    <w:p w14:paraId="53BD49D4">
      <w:pPr>
        <w:rPr>
          <w:rFonts w:hint="eastAsia" w:ascii="宋体" w:hAnsi="宋体" w:eastAsia="宋体" w:cs="宋体"/>
          <w:b w:val="0"/>
          <w:bCs/>
          <w:color w:val="auto"/>
          <w:szCs w:val="24"/>
        </w:rPr>
      </w:pPr>
      <w:r>
        <w:rPr>
          <w:rFonts w:hint="eastAsia" w:ascii="宋体" w:hAnsi="宋体" w:eastAsia="宋体" w:cs="宋体"/>
          <w:b w:val="0"/>
          <w:bCs/>
          <w:color w:val="auto"/>
          <w:szCs w:val="24"/>
        </w:rPr>
        <w:t>PMID: 42727081</w:t>
      </w:r>
    </w:p>
    <w:p w14:paraId="2D2592CE">
      <w:pPr>
        <w:rPr>
          <w:rFonts w:hint="eastAsia" w:ascii="宋体" w:hAnsi="宋体" w:eastAsia="宋体" w:cs="宋体"/>
          <w:b w:val="0"/>
          <w:bCs/>
          <w:color w:val="auto"/>
          <w:szCs w:val="24"/>
        </w:rPr>
      </w:pPr>
    </w:p>
    <w:p w14:paraId="706828B2">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57</w:t>
      </w:r>
      <w:r>
        <w:rPr>
          <w:rFonts w:hint="eastAsia" w:ascii="宋体" w:hAnsi="宋体" w:eastAsia="宋体" w:cs="宋体"/>
          <w:b/>
          <w:bCs w:val="0"/>
          <w:color w:val="FF0000"/>
          <w:szCs w:val="24"/>
        </w:rPr>
        <w:t xml:space="preserve">. Ann Med Surg (Lond). 2026 Aug 26;88(9):5966-5972. doi: </w:t>
      </w:r>
    </w:p>
    <w:p w14:paraId="56AD9E02">
      <w:pPr>
        <w:rPr>
          <w:rFonts w:hint="eastAsia" w:ascii="宋体" w:hAnsi="宋体" w:eastAsia="宋体" w:cs="宋体"/>
          <w:b/>
          <w:bCs w:val="0"/>
          <w:color w:val="FF0000"/>
          <w:szCs w:val="24"/>
        </w:rPr>
      </w:pPr>
      <w:r>
        <w:rPr>
          <w:rFonts w:hint="eastAsia" w:ascii="宋体" w:hAnsi="宋体" w:eastAsia="宋体" w:cs="宋体"/>
          <w:b/>
          <w:bCs w:val="0"/>
          <w:color w:val="FF0000"/>
          <w:szCs w:val="24"/>
        </w:rPr>
        <w:t>10.1097/MS9.0000000000005591. eCollection 2026 Sep.</w:t>
      </w:r>
    </w:p>
    <w:p w14:paraId="59A9D639">
      <w:pPr>
        <w:rPr>
          <w:rFonts w:hint="eastAsia" w:ascii="宋体" w:hAnsi="宋体" w:eastAsia="宋体" w:cs="宋体"/>
          <w:b w:val="0"/>
          <w:bCs/>
          <w:color w:val="auto"/>
          <w:szCs w:val="24"/>
        </w:rPr>
      </w:pPr>
    </w:p>
    <w:p w14:paraId="3A3D23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Multiple presentations of drug-resistant central nervous system tuberculosis: a </w:t>
      </w:r>
    </w:p>
    <w:p w14:paraId="7F371593">
      <w:pPr>
        <w:rPr>
          <w:rFonts w:hint="eastAsia" w:ascii="宋体" w:hAnsi="宋体" w:eastAsia="宋体" w:cs="宋体"/>
          <w:b w:val="0"/>
          <w:bCs/>
          <w:color w:val="auto"/>
          <w:szCs w:val="24"/>
        </w:rPr>
      </w:pPr>
      <w:r>
        <w:rPr>
          <w:rFonts w:hint="eastAsia" w:ascii="宋体" w:hAnsi="宋体" w:eastAsia="宋体" w:cs="宋体"/>
          <w:b w:val="0"/>
          <w:bCs/>
          <w:color w:val="auto"/>
          <w:szCs w:val="24"/>
        </w:rPr>
        <w:t>case report.</w:t>
      </w:r>
    </w:p>
    <w:p w14:paraId="4E8B40AC">
      <w:pPr>
        <w:rPr>
          <w:rFonts w:hint="eastAsia" w:ascii="宋体" w:hAnsi="宋体" w:eastAsia="宋体" w:cs="宋体"/>
          <w:b w:val="0"/>
          <w:bCs/>
          <w:color w:val="auto"/>
          <w:szCs w:val="24"/>
        </w:rPr>
      </w:pPr>
    </w:p>
    <w:p w14:paraId="27C87A8A">
      <w:pPr>
        <w:rPr>
          <w:rFonts w:hint="eastAsia" w:ascii="宋体" w:hAnsi="宋体" w:eastAsia="宋体" w:cs="宋体"/>
          <w:b w:val="0"/>
          <w:bCs/>
          <w:color w:val="auto"/>
          <w:szCs w:val="24"/>
        </w:rPr>
      </w:pPr>
      <w:r>
        <w:rPr>
          <w:rFonts w:hint="eastAsia" w:ascii="宋体" w:hAnsi="宋体" w:eastAsia="宋体" w:cs="宋体"/>
          <w:b w:val="0"/>
          <w:bCs/>
          <w:color w:val="auto"/>
          <w:szCs w:val="24"/>
        </w:rPr>
        <w:t>Soleiman-Meigooni S(1).</w:t>
      </w:r>
    </w:p>
    <w:p w14:paraId="089CAF13">
      <w:pPr>
        <w:rPr>
          <w:rFonts w:hint="eastAsia" w:ascii="宋体" w:hAnsi="宋体" w:eastAsia="宋体" w:cs="宋体"/>
          <w:b w:val="0"/>
          <w:bCs/>
          <w:color w:val="auto"/>
          <w:szCs w:val="24"/>
        </w:rPr>
      </w:pPr>
    </w:p>
    <w:p w14:paraId="67F437D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550775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Infectious Diseases, Faculty of Medicine, Infectious Diseases </w:t>
      </w:r>
    </w:p>
    <w:p w14:paraId="61D0EE2B">
      <w:pPr>
        <w:rPr>
          <w:rFonts w:hint="eastAsia" w:ascii="宋体" w:hAnsi="宋体" w:eastAsia="宋体" w:cs="宋体"/>
          <w:b w:val="0"/>
          <w:bCs/>
          <w:color w:val="auto"/>
          <w:szCs w:val="24"/>
        </w:rPr>
      </w:pPr>
      <w:r>
        <w:rPr>
          <w:rFonts w:hint="eastAsia" w:ascii="宋体" w:hAnsi="宋体" w:eastAsia="宋体" w:cs="宋体"/>
          <w:b w:val="0"/>
          <w:bCs/>
          <w:color w:val="auto"/>
          <w:szCs w:val="24"/>
        </w:rPr>
        <w:t>Research Center, Aja University of Medical Sciences, Tehran, Iran.</w:t>
      </w:r>
    </w:p>
    <w:p w14:paraId="35C63263">
      <w:pPr>
        <w:rPr>
          <w:rFonts w:hint="eastAsia" w:ascii="宋体" w:hAnsi="宋体" w:eastAsia="宋体" w:cs="宋体"/>
          <w:b w:val="0"/>
          <w:bCs/>
          <w:color w:val="auto"/>
          <w:szCs w:val="24"/>
        </w:rPr>
      </w:pPr>
    </w:p>
    <w:p w14:paraId="272E5B50">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 AND IMPORTANCE:</w:t>
      </w:r>
      <w:r>
        <w:rPr>
          <w:rFonts w:hint="eastAsia" w:ascii="宋体" w:hAnsi="宋体" w:eastAsia="宋体" w:cs="宋体"/>
          <w:b w:val="0"/>
          <w:bCs/>
          <w:color w:val="auto"/>
          <w:szCs w:val="24"/>
        </w:rPr>
        <w:t xml:space="preserve"> Central nervous system tuberculosis (CNS-TB) is a </w:t>
      </w:r>
    </w:p>
    <w:p w14:paraId="4F9667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severe manifestation of Mycobacterium tuberculosis infection that can cause </w:t>
      </w:r>
    </w:p>
    <w:p w14:paraId="7AA0E95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substantial morbidity and mortality. Tuberculous ventriculitis and </w:t>
      </w:r>
    </w:p>
    <w:p w14:paraId="170B7A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intramedullary tuberculoma are two rare complications, and their coexistence </w:t>
      </w:r>
    </w:p>
    <w:p w14:paraId="639C7B58">
      <w:pPr>
        <w:rPr>
          <w:rFonts w:hint="eastAsia" w:ascii="宋体" w:hAnsi="宋体" w:eastAsia="宋体" w:cs="宋体"/>
          <w:b w:val="0"/>
          <w:bCs/>
          <w:color w:val="auto"/>
          <w:szCs w:val="24"/>
        </w:rPr>
      </w:pPr>
      <w:r>
        <w:rPr>
          <w:rFonts w:hint="eastAsia" w:ascii="宋体" w:hAnsi="宋体" w:eastAsia="宋体" w:cs="宋体"/>
          <w:b w:val="0"/>
          <w:bCs/>
          <w:color w:val="auto"/>
          <w:szCs w:val="24"/>
        </w:rPr>
        <w:t>poses significant diagnostic and therapeutic challenges.</w:t>
      </w:r>
    </w:p>
    <w:p w14:paraId="1EE7BB62">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CASE PRESENTATION: </w:t>
      </w:r>
      <w:r>
        <w:rPr>
          <w:rFonts w:hint="eastAsia" w:ascii="宋体" w:hAnsi="宋体" w:eastAsia="宋体" w:cs="宋体"/>
          <w:b w:val="0"/>
          <w:bCs/>
          <w:color w:val="auto"/>
          <w:szCs w:val="24"/>
        </w:rPr>
        <w:t xml:space="preserve">A 19-year-old woman with a history of systemic lupus </w:t>
      </w:r>
    </w:p>
    <w:p w14:paraId="1BFE46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erythematosus, treated with prednisolone and methotrexate for the past 2 years, </w:t>
      </w:r>
    </w:p>
    <w:p w14:paraId="380096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was diagnosed with isoniazid-resistant tuberculous meningitis and multiple </w:t>
      </w:r>
    </w:p>
    <w:p w14:paraId="44FB92C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intracranial tuberculomas. After 4 weeks of antitubercular treatment (ATT), she </w:t>
      </w:r>
    </w:p>
    <w:p w14:paraId="648187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experienced progressive quadriparesis, lethargy, seizures, and fever. Brain and </w:t>
      </w:r>
    </w:p>
    <w:p w14:paraId="49A48E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cervical spine MRI revealed tuberculous ventriculitis and a C3-C5 intramedullary </w:t>
      </w:r>
    </w:p>
    <w:p w14:paraId="7CA568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tuberculoma. The ATT led to a paradoxical neurological decline and the emergence </w:t>
      </w:r>
    </w:p>
    <w:p w14:paraId="026565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new lesions, consistent with tuberculous immune reconstitution inflammatory </w:t>
      </w:r>
    </w:p>
    <w:p w14:paraId="422D88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syndrome (TB-IRIS). Additionally, electrodiagnostic studies indicated the </w:t>
      </w:r>
    </w:p>
    <w:p w14:paraId="5FCD3F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possibility of Guillain-Barré syndrome (GBS). She was referred for cervical </w:t>
      </w:r>
    </w:p>
    <w:p w14:paraId="18CFBE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spinal cord decompression while continuing isoniazid-sparing ATT and high-dose </w:t>
      </w:r>
    </w:p>
    <w:p w14:paraId="301C52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corticosteroids. Her neurological condition improved, and a follow-up MRI </w:t>
      </w:r>
    </w:p>
    <w:p w14:paraId="1FDD55AA">
      <w:pPr>
        <w:rPr>
          <w:rFonts w:hint="eastAsia" w:ascii="宋体" w:hAnsi="宋体" w:eastAsia="宋体" w:cs="宋体"/>
          <w:b w:val="0"/>
          <w:bCs/>
          <w:color w:val="auto"/>
          <w:szCs w:val="24"/>
        </w:rPr>
      </w:pPr>
      <w:r>
        <w:rPr>
          <w:rFonts w:hint="eastAsia" w:ascii="宋体" w:hAnsi="宋体" w:eastAsia="宋体" w:cs="宋体"/>
          <w:b w:val="0"/>
          <w:bCs/>
          <w:color w:val="auto"/>
          <w:szCs w:val="24"/>
        </w:rPr>
        <w:t>conducted 2 years later showed radiologic resolution.</w:t>
      </w:r>
    </w:p>
    <w:p w14:paraId="1CD6C9EC">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CLINICAL DISCUSSION: </w:t>
      </w:r>
      <w:r>
        <w:rPr>
          <w:rFonts w:hint="eastAsia" w:ascii="宋体" w:hAnsi="宋体" w:eastAsia="宋体" w:cs="宋体"/>
          <w:b w:val="0"/>
          <w:bCs/>
          <w:color w:val="auto"/>
          <w:szCs w:val="24"/>
        </w:rPr>
        <w:t xml:space="preserve">This case underscores the diagnostic challenges of CNS-TB </w:t>
      </w:r>
    </w:p>
    <w:p w14:paraId="7B3D50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an immunocompromised patient, particularly when TB-IRIS, ventriculitis, </w:t>
      </w:r>
    </w:p>
    <w:p w14:paraId="0136A9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intramedullary tuberculoma, and GBS co-occur. A positive outcome required timely </w:t>
      </w:r>
    </w:p>
    <w:p w14:paraId="29F977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identification of paradoxical worsening and immunological reactions, meticulous </w:t>
      </w:r>
    </w:p>
    <w:p w14:paraId="0E638F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exclusion of alternative diagnoses, and integrated medical and surgical </w:t>
      </w:r>
    </w:p>
    <w:p w14:paraId="319C2E98">
      <w:pPr>
        <w:rPr>
          <w:rFonts w:hint="eastAsia" w:ascii="宋体" w:hAnsi="宋体" w:eastAsia="宋体" w:cs="宋体"/>
          <w:b w:val="0"/>
          <w:bCs/>
          <w:color w:val="auto"/>
          <w:szCs w:val="24"/>
        </w:rPr>
      </w:pPr>
      <w:r>
        <w:rPr>
          <w:rFonts w:hint="eastAsia" w:ascii="宋体" w:hAnsi="宋体" w:eastAsia="宋体" w:cs="宋体"/>
          <w:b w:val="0"/>
          <w:bCs/>
          <w:color w:val="auto"/>
          <w:szCs w:val="24"/>
        </w:rPr>
        <w:t>interventions.</w:t>
      </w:r>
    </w:p>
    <w:p w14:paraId="24C44DDE">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The emergence of new neurological lesions after the initiation of </w:t>
      </w:r>
    </w:p>
    <w:p w14:paraId="18DF89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ATT in patients with CNS-TB, especially those receiving immunosuppressive </w:t>
      </w:r>
    </w:p>
    <w:p w14:paraId="3D690F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therapy, necessitates consideration of TB-IRIS. Prompt imaging, evaluation of </w:t>
      </w:r>
    </w:p>
    <w:p w14:paraId="0DB70D9E">
      <w:pPr>
        <w:rPr>
          <w:rFonts w:hint="eastAsia" w:ascii="宋体" w:hAnsi="宋体" w:eastAsia="宋体" w:cs="宋体"/>
          <w:b w:val="0"/>
          <w:bCs/>
          <w:color w:val="auto"/>
          <w:szCs w:val="24"/>
        </w:rPr>
      </w:pPr>
      <w:r>
        <w:rPr>
          <w:rFonts w:hint="eastAsia" w:ascii="宋体" w:hAnsi="宋体" w:eastAsia="宋体" w:cs="宋体"/>
          <w:b w:val="0"/>
          <w:bCs/>
          <w:color w:val="auto"/>
          <w:szCs w:val="24"/>
        </w:rPr>
        <w:t>alternative diagnoses, and interdisciplinary management may improve outcomes.</w:t>
      </w:r>
    </w:p>
    <w:p w14:paraId="43E1452B">
      <w:pPr>
        <w:rPr>
          <w:rFonts w:hint="eastAsia" w:ascii="宋体" w:hAnsi="宋体" w:eastAsia="宋体" w:cs="宋体"/>
          <w:b w:val="0"/>
          <w:bCs/>
          <w:color w:val="auto"/>
          <w:szCs w:val="24"/>
        </w:rPr>
      </w:pPr>
    </w:p>
    <w:p w14:paraId="79AB22C6">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 Published by Wolters Kluwer Health, LLC.</w:t>
      </w:r>
    </w:p>
    <w:p w14:paraId="4CD5A334">
      <w:pPr>
        <w:rPr>
          <w:rFonts w:hint="eastAsia" w:ascii="宋体" w:hAnsi="宋体" w:eastAsia="宋体" w:cs="宋体"/>
          <w:b w:val="0"/>
          <w:bCs/>
          <w:color w:val="auto"/>
          <w:szCs w:val="24"/>
        </w:rPr>
      </w:pPr>
    </w:p>
    <w:p w14:paraId="012DCACA">
      <w:pPr>
        <w:rPr>
          <w:rFonts w:hint="eastAsia" w:ascii="宋体" w:hAnsi="宋体" w:eastAsia="宋体" w:cs="宋体"/>
          <w:b w:val="0"/>
          <w:bCs/>
          <w:color w:val="auto"/>
          <w:szCs w:val="24"/>
        </w:rPr>
      </w:pPr>
      <w:r>
        <w:rPr>
          <w:rFonts w:hint="eastAsia" w:ascii="宋体" w:hAnsi="宋体" w:eastAsia="宋体" w:cs="宋体"/>
          <w:b w:val="0"/>
          <w:bCs/>
          <w:color w:val="auto"/>
          <w:szCs w:val="24"/>
        </w:rPr>
        <w:t>DOI: 10.1097/MS9.0000000000005591</w:t>
      </w:r>
    </w:p>
    <w:p w14:paraId="15436502">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PMC13561265</w:t>
      </w:r>
    </w:p>
    <w:p w14:paraId="127DA116">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42725279</w:t>
      </w:r>
    </w:p>
    <w:p w14:paraId="4CC2DAA3">
      <w:pPr>
        <w:rPr>
          <w:rFonts w:hint="eastAsia" w:ascii="宋体" w:hAnsi="宋体" w:eastAsia="宋体" w:cs="宋体"/>
          <w:b w:val="0"/>
          <w:bCs/>
          <w:color w:val="auto"/>
          <w:szCs w:val="24"/>
        </w:rPr>
      </w:pPr>
    </w:p>
    <w:p w14:paraId="51A9463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58</w:t>
      </w:r>
      <w:r>
        <w:rPr>
          <w:rFonts w:hint="eastAsia" w:ascii="宋体" w:hAnsi="宋体" w:eastAsia="宋体" w:cs="宋体"/>
          <w:b/>
          <w:bCs w:val="0"/>
          <w:color w:val="FF0000"/>
          <w:szCs w:val="24"/>
        </w:rPr>
        <w:t xml:space="preserve">. Ann Med Surg (Lond). 2026 Aug 13;88(9):6048-6051. doi: </w:t>
      </w:r>
    </w:p>
    <w:p w14:paraId="43DC408B">
      <w:pPr>
        <w:rPr>
          <w:rFonts w:hint="eastAsia" w:ascii="宋体" w:hAnsi="宋体" w:eastAsia="宋体" w:cs="宋体"/>
          <w:b/>
          <w:bCs w:val="0"/>
          <w:color w:val="FF0000"/>
          <w:szCs w:val="24"/>
        </w:rPr>
      </w:pPr>
      <w:r>
        <w:rPr>
          <w:rFonts w:hint="eastAsia" w:ascii="宋体" w:hAnsi="宋体" w:eastAsia="宋体" w:cs="宋体"/>
          <w:b/>
          <w:bCs w:val="0"/>
          <w:color w:val="FF0000"/>
          <w:szCs w:val="24"/>
        </w:rPr>
        <w:t>10.1097/MS9.0000000000005546. eCollection 2026 Sep.</w:t>
      </w:r>
    </w:p>
    <w:p w14:paraId="1BA85063">
      <w:pPr>
        <w:rPr>
          <w:rFonts w:hint="eastAsia" w:ascii="宋体" w:hAnsi="宋体" w:eastAsia="宋体" w:cs="宋体"/>
          <w:b w:val="0"/>
          <w:bCs/>
          <w:color w:val="auto"/>
          <w:szCs w:val="24"/>
        </w:rPr>
      </w:pPr>
    </w:p>
    <w:p w14:paraId="4B8725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Isolated bilateral breast tuberculosis mimicking carcinoma: a rare case report </w:t>
      </w:r>
    </w:p>
    <w:p w14:paraId="6D09EF90">
      <w:pPr>
        <w:rPr>
          <w:rFonts w:hint="eastAsia" w:ascii="宋体" w:hAnsi="宋体" w:eastAsia="宋体" w:cs="宋体"/>
          <w:b w:val="0"/>
          <w:bCs/>
          <w:color w:val="auto"/>
          <w:szCs w:val="24"/>
        </w:rPr>
      </w:pPr>
      <w:r>
        <w:rPr>
          <w:rFonts w:hint="eastAsia" w:ascii="宋体" w:hAnsi="宋体" w:eastAsia="宋体" w:cs="宋体"/>
          <w:b w:val="0"/>
          <w:bCs/>
          <w:color w:val="auto"/>
          <w:szCs w:val="24"/>
        </w:rPr>
        <w:t>from Pakistan.</w:t>
      </w:r>
    </w:p>
    <w:p w14:paraId="1F726D14">
      <w:pPr>
        <w:rPr>
          <w:rFonts w:hint="eastAsia" w:ascii="宋体" w:hAnsi="宋体" w:eastAsia="宋体" w:cs="宋体"/>
          <w:b w:val="0"/>
          <w:bCs/>
          <w:color w:val="auto"/>
          <w:szCs w:val="24"/>
        </w:rPr>
      </w:pPr>
    </w:p>
    <w:p w14:paraId="71884BE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Abdullah Z(1), Siyal SS(1), Kaludi Z(2), Fasih A(1), Khurram L(1), Raja A(1), </w:t>
      </w:r>
    </w:p>
    <w:p w14:paraId="6D04175D">
      <w:pPr>
        <w:rPr>
          <w:rFonts w:hint="eastAsia" w:ascii="宋体" w:hAnsi="宋体" w:eastAsia="宋体" w:cs="宋体"/>
          <w:b w:val="0"/>
          <w:bCs/>
          <w:color w:val="auto"/>
          <w:szCs w:val="24"/>
        </w:rPr>
      </w:pPr>
      <w:r>
        <w:rPr>
          <w:rFonts w:hint="eastAsia" w:ascii="宋体" w:hAnsi="宋体" w:eastAsia="宋体" w:cs="宋体"/>
          <w:b w:val="0"/>
          <w:bCs/>
          <w:color w:val="auto"/>
          <w:szCs w:val="24"/>
        </w:rPr>
        <w:t>Chaulagain A(3).</w:t>
      </w:r>
    </w:p>
    <w:p w14:paraId="5C59ECEE">
      <w:pPr>
        <w:rPr>
          <w:rFonts w:hint="eastAsia" w:ascii="宋体" w:hAnsi="宋体" w:eastAsia="宋体" w:cs="宋体"/>
          <w:b w:val="0"/>
          <w:bCs/>
          <w:color w:val="auto"/>
          <w:szCs w:val="24"/>
        </w:rPr>
      </w:pPr>
    </w:p>
    <w:p w14:paraId="43D90E5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89FFC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Surgery, Shaheed Mohtarma Benazir Bhutto Medical College Lyari, </w:t>
      </w:r>
    </w:p>
    <w:p w14:paraId="5AD3D0F8">
      <w:pPr>
        <w:rPr>
          <w:rFonts w:hint="eastAsia" w:ascii="宋体" w:hAnsi="宋体" w:eastAsia="宋体" w:cs="宋体"/>
          <w:b w:val="0"/>
          <w:bCs/>
          <w:color w:val="auto"/>
          <w:szCs w:val="24"/>
        </w:rPr>
      </w:pPr>
      <w:r>
        <w:rPr>
          <w:rFonts w:hint="eastAsia" w:ascii="宋体" w:hAnsi="宋体" w:eastAsia="宋体" w:cs="宋体"/>
          <w:b w:val="0"/>
          <w:bCs/>
          <w:color w:val="auto"/>
          <w:szCs w:val="24"/>
        </w:rPr>
        <w:t>Karachi, Pakistan.</w:t>
      </w:r>
    </w:p>
    <w:p w14:paraId="609A0737">
      <w:pPr>
        <w:rPr>
          <w:rFonts w:hint="eastAsia" w:ascii="宋体" w:hAnsi="宋体" w:eastAsia="宋体" w:cs="宋体"/>
          <w:b w:val="0"/>
          <w:bCs/>
          <w:color w:val="auto"/>
          <w:szCs w:val="24"/>
        </w:rPr>
      </w:pPr>
      <w:r>
        <w:rPr>
          <w:rFonts w:hint="eastAsia" w:ascii="宋体" w:hAnsi="宋体" w:eastAsia="宋体" w:cs="宋体"/>
          <w:b w:val="0"/>
          <w:bCs/>
          <w:color w:val="auto"/>
          <w:szCs w:val="24"/>
        </w:rPr>
        <w:t>(2)Department of Surgery, Ziauddin University, Karachi, Pakistan.</w:t>
      </w:r>
    </w:p>
    <w:p w14:paraId="296F568B">
      <w:pPr>
        <w:rPr>
          <w:rFonts w:hint="eastAsia" w:ascii="宋体" w:hAnsi="宋体" w:eastAsia="宋体" w:cs="宋体"/>
          <w:b w:val="0"/>
          <w:bCs/>
          <w:color w:val="auto"/>
          <w:szCs w:val="24"/>
        </w:rPr>
      </w:pPr>
      <w:r>
        <w:rPr>
          <w:rFonts w:hint="eastAsia" w:ascii="宋体" w:hAnsi="宋体" w:eastAsia="宋体" w:cs="宋体"/>
          <w:b w:val="0"/>
          <w:bCs/>
          <w:color w:val="auto"/>
          <w:szCs w:val="24"/>
        </w:rPr>
        <w:t>(3)Patan Academy of Health Sciences, Lalitpur, Nepal.</w:t>
      </w:r>
    </w:p>
    <w:p w14:paraId="2AE0BA83">
      <w:pPr>
        <w:rPr>
          <w:rFonts w:hint="eastAsia" w:ascii="宋体" w:hAnsi="宋体" w:eastAsia="宋体" w:cs="宋体"/>
          <w:b w:val="0"/>
          <w:bCs/>
          <w:color w:val="auto"/>
          <w:szCs w:val="24"/>
        </w:rPr>
      </w:pPr>
    </w:p>
    <w:p w14:paraId="4808810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INTRODUCTION: </w:t>
      </w:r>
      <w:r>
        <w:rPr>
          <w:rFonts w:hint="eastAsia" w:ascii="宋体" w:hAnsi="宋体" w:eastAsia="宋体" w:cs="宋体"/>
          <w:b w:val="0"/>
          <w:bCs/>
          <w:color w:val="auto"/>
          <w:szCs w:val="24"/>
        </w:rPr>
        <w:t xml:space="preserve">Breast tuberculosis (BTB) is a highly unusual form of </w:t>
      </w:r>
    </w:p>
    <w:p w14:paraId="606D8B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extrapulmonary tuberculosis, accounting for less than 1% of all breast tumors </w:t>
      </w:r>
    </w:p>
    <w:p w14:paraId="446DB0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worldwide. The disease poses a serious diagnostic problem because of its </w:t>
      </w:r>
    </w:p>
    <w:p w14:paraId="70F8BFD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and radiological resemblance to breast cancer. Bilateral involvement is </w:t>
      </w:r>
    </w:p>
    <w:p w14:paraId="33B0B5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highly uncommon and has been reported in only 3% of BTB cases. We report an </w:t>
      </w:r>
    </w:p>
    <w:p w14:paraId="357F35E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unusual case of bilateral primary BTB mimicking carcinoma in a perimenopausal </w:t>
      </w:r>
    </w:p>
    <w:p w14:paraId="62A5088D">
      <w:pPr>
        <w:rPr>
          <w:rFonts w:hint="eastAsia" w:ascii="宋体" w:hAnsi="宋体" w:eastAsia="宋体" w:cs="宋体"/>
          <w:b w:val="0"/>
          <w:bCs/>
          <w:color w:val="auto"/>
          <w:szCs w:val="24"/>
        </w:rPr>
      </w:pPr>
      <w:r>
        <w:rPr>
          <w:rFonts w:hint="eastAsia" w:ascii="宋体" w:hAnsi="宋体" w:eastAsia="宋体" w:cs="宋体"/>
          <w:b w:val="0"/>
          <w:bCs/>
          <w:color w:val="auto"/>
          <w:szCs w:val="24"/>
        </w:rPr>
        <w:t>woman from Pakistan.</w:t>
      </w:r>
    </w:p>
    <w:p w14:paraId="3223476F">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CASE PRESENTATION: </w:t>
      </w:r>
      <w:r>
        <w:rPr>
          <w:rFonts w:hint="eastAsia" w:ascii="宋体" w:hAnsi="宋体" w:eastAsia="宋体" w:cs="宋体"/>
          <w:b w:val="0"/>
          <w:bCs/>
          <w:color w:val="auto"/>
          <w:szCs w:val="24"/>
        </w:rPr>
        <w:t xml:space="preserve">A 42-year-old perimenopausal housewife presented with </w:t>
      </w:r>
    </w:p>
    <w:p w14:paraId="086980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bilateral breast lumps with asymmetrical progression for 10 months. On the right </w:t>
      </w:r>
    </w:p>
    <w:p w14:paraId="34F92B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side, there was an inflammatory and painful lump measuring 6 × 5 cm with skin </w:t>
      </w:r>
    </w:p>
    <w:p w14:paraId="02AF72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thickening (peau d'orange) and retraction of the nipple. On the left side, there </w:t>
      </w:r>
    </w:p>
    <w:p w14:paraId="327B21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was a painless, mobile lump measuring 3 × 4 cm. Bilateral suspicious parenchymal densities were observed on mammography, with right BI-RADS 5 and left BI-RADS 4A findings. All microbiological investigations, including acid-fast bacilli, Gram staining, and cultures, were negative. Biopsies of the bilateral masses confirmed, histopathologically, benign mammary parenchyma with prominent central necrotizing granulomatous inflammation, and a diagnosis of tuberculous mastitis was made. Unfortunately, advanced molecular testing (GeneXpert MTB/RIF) could not be performed because of financial considerations. She received ATT for 6 months and required surgical debridement during the sixth week of her treatment </w:t>
      </w:r>
    </w:p>
    <w:p w14:paraId="122853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due to paradoxical abscess and sinus formation. Healing was complete without </w:t>
      </w:r>
    </w:p>
    <w:p w14:paraId="543BBBA0">
      <w:pPr>
        <w:rPr>
          <w:rFonts w:hint="eastAsia" w:ascii="宋体" w:hAnsi="宋体" w:eastAsia="宋体" w:cs="宋体"/>
          <w:b w:val="0"/>
          <w:bCs/>
          <w:color w:val="auto"/>
          <w:szCs w:val="24"/>
        </w:rPr>
      </w:pPr>
      <w:r>
        <w:rPr>
          <w:rFonts w:hint="eastAsia" w:ascii="宋体" w:hAnsi="宋体" w:eastAsia="宋体" w:cs="宋体"/>
          <w:b w:val="0"/>
          <w:bCs/>
          <w:color w:val="auto"/>
          <w:szCs w:val="24"/>
        </w:rPr>
        <w:t>recurrence for up to 1.5 years.</w:t>
      </w:r>
    </w:p>
    <w:p w14:paraId="03951D63">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BTB is an important pitfall that may mimic advanced breast carcinoma </w:t>
      </w:r>
    </w:p>
    <w:p w14:paraId="1B723A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idiopathic granulomatous mastitis. In countries where tuberculosis is </w:t>
      </w:r>
    </w:p>
    <w:p w14:paraId="35F953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endemic, a strong index of suspicion for BTB is essential when encountering </w:t>
      </w:r>
    </w:p>
    <w:p w14:paraId="78F3CAB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atypical or bilateral breast masses. Histopathology is indispensable for </w:t>
      </w:r>
    </w:p>
    <w:p w14:paraId="18B79E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confirming the diagnosis and avoiding inappropriate oncological management, </w:t>
      </w:r>
    </w:p>
    <w:p w14:paraId="2AAD9927">
      <w:pPr>
        <w:rPr>
          <w:rFonts w:hint="eastAsia" w:ascii="宋体" w:hAnsi="宋体" w:eastAsia="宋体" w:cs="宋体"/>
          <w:b w:val="0"/>
          <w:bCs/>
          <w:color w:val="auto"/>
          <w:szCs w:val="24"/>
        </w:rPr>
      </w:pPr>
      <w:r>
        <w:rPr>
          <w:rFonts w:hint="eastAsia" w:ascii="宋体" w:hAnsi="宋体" w:eastAsia="宋体" w:cs="宋体"/>
          <w:b w:val="0"/>
          <w:bCs/>
          <w:color w:val="auto"/>
          <w:szCs w:val="24"/>
        </w:rPr>
        <w:t>especially in areas where advanced diagnostics for TB are not available.</w:t>
      </w:r>
    </w:p>
    <w:p w14:paraId="1CD43699">
      <w:pPr>
        <w:rPr>
          <w:rFonts w:hint="eastAsia" w:ascii="宋体" w:hAnsi="宋体" w:eastAsia="宋体" w:cs="宋体"/>
          <w:b w:val="0"/>
          <w:bCs/>
          <w:color w:val="auto"/>
          <w:szCs w:val="24"/>
        </w:rPr>
      </w:pPr>
    </w:p>
    <w:p w14:paraId="328A5D4A">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 Published by Wolters Kluwer Health, LLC.</w:t>
      </w:r>
    </w:p>
    <w:p w14:paraId="6E265003">
      <w:pPr>
        <w:rPr>
          <w:rFonts w:hint="eastAsia" w:ascii="宋体" w:hAnsi="宋体" w:eastAsia="宋体" w:cs="宋体"/>
          <w:b w:val="0"/>
          <w:bCs/>
          <w:color w:val="auto"/>
          <w:szCs w:val="24"/>
        </w:rPr>
      </w:pPr>
    </w:p>
    <w:p w14:paraId="1ADD8029">
      <w:pPr>
        <w:rPr>
          <w:rFonts w:hint="eastAsia" w:ascii="宋体" w:hAnsi="宋体" w:eastAsia="宋体" w:cs="宋体"/>
          <w:b w:val="0"/>
          <w:bCs/>
          <w:color w:val="auto"/>
          <w:szCs w:val="24"/>
        </w:rPr>
      </w:pPr>
      <w:r>
        <w:rPr>
          <w:rFonts w:hint="eastAsia" w:ascii="宋体" w:hAnsi="宋体" w:eastAsia="宋体" w:cs="宋体"/>
          <w:b w:val="0"/>
          <w:bCs/>
          <w:color w:val="auto"/>
          <w:szCs w:val="24"/>
        </w:rPr>
        <w:t>DOI: 10.1097/MS9.0000000000005546</w:t>
      </w:r>
    </w:p>
    <w:p w14:paraId="7E93E2B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PMC13561285</w:t>
      </w:r>
    </w:p>
    <w:p w14:paraId="52C89BA4">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42725241</w:t>
      </w:r>
    </w:p>
    <w:p w14:paraId="0B831617">
      <w:pPr>
        <w:rPr>
          <w:rFonts w:hint="eastAsia" w:ascii="宋体" w:hAnsi="宋体" w:eastAsia="宋体" w:cs="宋体"/>
          <w:b w:val="0"/>
          <w:bCs/>
          <w:color w:val="auto"/>
          <w:szCs w:val="24"/>
        </w:rPr>
      </w:pPr>
    </w:p>
    <w:p w14:paraId="3305A97E">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59</w:t>
      </w:r>
      <w:r>
        <w:rPr>
          <w:rFonts w:hint="eastAsia" w:ascii="宋体" w:hAnsi="宋体" w:eastAsia="宋体" w:cs="宋体"/>
          <w:b/>
          <w:bCs w:val="0"/>
          <w:color w:val="FF0000"/>
          <w:szCs w:val="24"/>
        </w:rPr>
        <w:t xml:space="preserve">. Ann Med Surg (Lond). 2026 Aug 26;88(9):6004-6008. doi: </w:t>
      </w:r>
    </w:p>
    <w:p w14:paraId="092C1D82">
      <w:pPr>
        <w:rPr>
          <w:rFonts w:hint="eastAsia" w:ascii="宋体" w:hAnsi="宋体" w:eastAsia="宋体" w:cs="宋体"/>
          <w:b/>
          <w:bCs w:val="0"/>
          <w:color w:val="FF0000"/>
          <w:szCs w:val="24"/>
        </w:rPr>
      </w:pPr>
      <w:r>
        <w:rPr>
          <w:rFonts w:hint="eastAsia" w:ascii="宋体" w:hAnsi="宋体" w:eastAsia="宋体" w:cs="宋体"/>
          <w:b/>
          <w:bCs w:val="0"/>
          <w:color w:val="FF0000"/>
          <w:szCs w:val="24"/>
        </w:rPr>
        <w:t>10.1097/MS9.0000000000005577. eCollection 2026 Sep.</w:t>
      </w:r>
    </w:p>
    <w:p w14:paraId="6DA28D60">
      <w:pPr>
        <w:rPr>
          <w:rFonts w:hint="eastAsia" w:ascii="宋体" w:hAnsi="宋体" w:eastAsia="宋体" w:cs="宋体"/>
          <w:b w:val="0"/>
          <w:bCs/>
          <w:color w:val="auto"/>
          <w:szCs w:val="24"/>
        </w:rPr>
      </w:pPr>
    </w:p>
    <w:p w14:paraId="720848C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Lupus enteritis and peritonitis presenting as initial manifestations of systemic </w:t>
      </w:r>
    </w:p>
    <w:p w14:paraId="7C66B6C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lupus erythematosus: diagnostic challenge in tuberculosis-endemic regions - case </w:t>
      </w:r>
    </w:p>
    <w:p w14:paraId="6B301A5F">
      <w:pPr>
        <w:rPr>
          <w:rFonts w:hint="eastAsia" w:ascii="宋体" w:hAnsi="宋体" w:eastAsia="宋体" w:cs="宋体"/>
          <w:b w:val="0"/>
          <w:bCs/>
          <w:color w:val="auto"/>
          <w:szCs w:val="24"/>
        </w:rPr>
      </w:pPr>
      <w:r>
        <w:rPr>
          <w:rFonts w:hint="eastAsia" w:ascii="宋体" w:hAnsi="宋体" w:eastAsia="宋体" w:cs="宋体"/>
          <w:b w:val="0"/>
          <w:bCs/>
          <w:color w:val="auto"/>
          <w:szCs w:val="24"/>
        </w:rPr>
        <w:t>report.</w:t>
      </w:r>
    </w:p>
    <w:p w14:paraId="2BB7B3E3">
      <w:pPr>
        <w:rPr>
          <w:rFonts w:hint="eastAsia" w:ascii="宋体" w:hAnsi="宋体" w:eastAsia="宋体" w:cs="宋体"/>
          <w:b w:val="0"/>
          <w:bCs/>
          <w:color w:val="auto"/>
          <w:szCs w:val="24"/>
        </w:rPr>
      </w:pPr>
    </w:p>
    <w:p w14:paraId="3FD7FD52">
      <w:pPr>
        <w:rPr>
          <w:rFonts w:hint="eastAsia" w:ascii="宋体" w:hAnsi="宋体" w:eastAsia="宋体" w:cs="宋体"/>
          <w:b w:val="0"/>
          <w:bCs/>
          <w:color w:val="auto"/>
          <w:szCs w:val="24"/>
        </w:rPr>
      </w:pPr>
      <w:r>
        <w:rPr>
          <w:rFonts w:hint="eastAsia" w:ascii="宋体" w:hAnsi="宋体" w:eastAsia="宋体" w:cs="宋体"/>
          <w:b w:val="0"/>
          <w:bCs/>
          <w:color w:val="auto"/>
          <w:szCs w:val="24"/>
        </w:rPr>
        <w:t>Mohammed A(1), Shewaye AB(1)(2), Berhane KA(1).</w:t>
      </w:r>
    </w:p>
    <w:p w14:paraId="32E99352">
      <w:pPr>
        <w:rPr>
          <w:rFonts w:hint="eastAsia" w:ascii="宋体" w:hAnsi="宋体" w:eastAsia="宋体" w:cs="宋体"/>
          <w:b w:val="0"/>
          <w:bCs/>
          <w:color w:val="auto"/>
          <w:szCs w:val="24"/>
        </w:rPr>
      </w:pPr>
    </w:p>
    <w:p w14:paraId="143D0CAA">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BFC22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Internal Medicine, Adera Medical and Surgical Center, Addis </w:t>
      </w:r>
    </w:p>
    <w:p w14:paraId="3A3EF0A5">
      <w:pPr>
        <w:rPr>
          <w:rFonts w:hint="eastAsia" w:ascii="宋体" w:hAnsi="宋体" w:eastAsia="宋体" w:cs="宋体"/>
          <w:b w:val="0"/>
          <w:bCs/>
          <w:color w:val="auto"/>
          <w:szCs w:val="24"/>
        </w:rPr>
      </w:pPr>
      <w:r>
        <w:rPr>
          <w:rFonts w:hint="eastAsia" w:ascii="宋体" w:hAnsi="宋体" w:eastAsia="宋体" w:cs="宋体"/>
          <w:b w:val="0"/>
          <w:bCs/>
          <w:color w:val="auto"/>
          <w:szCs w:val="24"/>
        </w:rPr>
        <w:t>Ababa, Ethiopia.</w:t>
      </w:r>
    </w:p>
    <w:p w14:paraId="3BDD83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Internal Medicine, Addis Ababa University, College of Health </w:t>
      </w:r>
    </w:p>
    <w:p w14:paraId="115A8476">
      <w:pPr>
        <w:rPr>
          <w:rFonts w:hint="eastAsia" w:ascii="宋体" w:hAnsi="宋体" w:eastAsia="宋体" w:cs="宋体"/>
          <w:b w:val="0"/>
          <w:bCs/>
          <w:color w:val="auto"/>
          <w:szCs w:val="24"/>
        </w:rPr>
      </w:pPr>
      <w:r>
        <w:rPr>
          <w:rFonts w:hint="eastAsia" w:ascii="宋体" w:hAnsi="宋体" w:eastAsia="宋体" w:cs="宋体"/>
          <w:b w:val="0"/>
          <w:bCs/>
          <w:color w:val="auto"/>
          <w:szCs w:val="24"/>
        </w:rPr>
        <w:t>Sciences, Addis Ababa, Ethiopia.</w:t>
      </w:r>
    </w:p>
    <w:p w14:paraId="6292CC41">
      <w:pPr>
        <w:rPr>
          <w:rFonts w:hint="eastAsia" w:ascii="宋体" w:hAnsi="宋体" w:eastAsia="宋体" w:cs="宋体"/>
          <w:b w:val="0"/>
          <w:bCs/>
          <w:color w:val="auto"/>
          <w:szCs w:val="24"/>
        </w:rPr>
      </w:pPr>
    </w:p>
    <w:p w14:paraId="2AA4D5C7">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 AND IMPORTANCE:</w:t>
      </w:r>
      <w:r>
        <w:rPr>
          <w:rFonts w:hint="eastAsia" w:ascii="宋体" w:hAnsi="宋体" w:eastAsia="宋体" w:cs="宋体"/>
          <w:b w:val="0"/>
          <w:bCs/>
          <w:color w:val="auto"/>
          <w:szCs w:val="24"/>
        </w:rPr>
        <w:t xml:space="preserve"> Systemic lupus erythematosus (SLE) is a chronic </w:t>
      </w:r>
    </w:p>
    <w:p w14:paraId="7B296B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multisystem autoimmune disease with heterogeneous manifestations. </w:t>
      </w:r>
    </w:p>
    <w:p w14:paraId="0B08E0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Gastrointestinal involvement, such as lupus enteritis, is rare and often </w:t>
      </w:r>
    </w:p>
    <w:p w14:paraId="0361A9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presents with nonspecific abdominal symptoms and is associated with significant </w:t>
      </w:r>
    </w:p>
    <w:p w14:paraId="2D971B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morbidity and mortality. Peritoneal involvement with ascites as an initial </w:t>
      </w:r>
    </w:p>
    <w:p w14:paraId="673894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manifestation is also among the rarest presentations of SLE. In tuberculosis </w:t>
      </w:r>
    </w:p>
    <w:p w14:paraId="1E9BD0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(TB)-endemic regions, these presentations may mimic abdominal TB, complicating </w:t>
      </w:r>
    </w:p>
    <w:p w14:paraId="5D1E727E">
      <w:pPr>
        <w:rPr>
          <w:rFonts w:hint="eastAsia" w:ascii="宋体" w:hAnsi="宋体" w:eastAsia="宋体" w:cs="宋体"/>
          <w:b w:val="0"/>
          <w:bCs/>
          <w:color w:val="auto"/>
          <w:szCs w:val="24"/>
        </w:rPr>
      </w:pPr>
      <w:r>
        <w:rPr>
          <w:rFonts w:hint="eastAsia" w:ascii="宋体" w:hAnsi="宋体" w:eastAsia="宋体" w:cs="宋体"/>
          <w:b w:val="0"/>
          <w:bCs/>
          <w:color w:val="auto"/>
          <w:szCs w:val="24"/>
        </w:rPr>
        <w:t>timely diagnosis.</w:t>
      </w:r>
    </w:p>
    <w:p w14:paraId="0F7FC3EF">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CASE PRESENTATION: </w:t>
      </w:r>
      <w:r>
        <w:rPr>
          <w:rFonts w:hint="eastAsia" w:ascii="宋体" w:hAnsi="宋体" w:eastAsia="宋体" w:cs="宋体"/>
          <w:b w:val="0"/>
          <w:bCs/>
          <w:color w:val="auto"/>
          <w:szCs w:val="24"/>
        </w:rPr>
        <w:t xml:space="preserve">A 23-year-old male presented with worsening epigastric pain, </w:t>
      </w:r>
    </w:p>
    <w:p w14:paraId="09FCA2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loose stools, weight loss, and generalized joint pain without swelling. He had </w:t>
      </w:r>
    </w:p>
    <w:p w14:paraId="605371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been treated for presumed tuberculous peritonitis 18 months earlier. Examination </w:t>
      </w:r>
    </w:p>
    <w:p w14:paraId="5FE906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revealed bilateral lower lung dullness and a distended, mildly tender abdomen. </w:t>
      </w:r>
    </w:p>
    <w:p w14:paraId="67A14E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Laboratory studies showed mild leukocytosis with a left shift and elevated </w:t>
      </w:r>
    </w:p>
    <w:p w14:paraId="4B404E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C-reactive protein. Ascitic fluid analysis revealed 370 cells/mm3 (85% </w:t>
      </w:r>
    </w:p>
    <w:p w14:paraId="3A3901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neutrophils), elevated lactate dehydrogenase, a low serum-ascitic albumin </w:t>
      </w:r>
    </w:p>
    <w:p w14:paraId="2DFC5F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gradient, and a high glucose level. Antinuclear antibodies and </w:t>
      </w:r>
    </w:p>
    <w:p w14:paraId="348437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anti-double-stranded DNA antibodies were positive, with reduced complement </w:t>
      </w:r>
    </w:p>
    <w:p w14:paraId="4DDD70B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levels. Abdominal CT demonstrated "water-target sign." After a diagnosis of </w:t>
      </w:r>
    </w:p>
    <w:p w14:paraId="729D14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lupus enteritis and serositis, the patient received corticosteroids and </w:t>
      </w:r>
    </w:p>
    <w:p w14:paraId="469F5131">
      <w:pPr>
        <w:rPr>
          <w:rFonts w:hint="eastAsia" w:ascii="宋体" w:hAnsi="宋体" w:eastAsia="宋体" w:cs="宋体"/>
          <w:b w:val="0"/>
          <w:bCs/>
          <w:color w:val="auto"/>
          <w:szCs w:val="24"/>
        </w:rPr>
      </w:pPr>
      <w:r>
        <w:rPr>
          <w:rFonts w:hint="eastAsia" w:ascii="宋体" w:hAnsi="宋体" w:eastAsia="宋体" w:cs="宋体"/>
          <w:b w:val="0"/>
          <w:bCs/>
          <w:color w:val="auto"/>
          <w:szCs w:val="24"/>
        </w:rPr>
        <w:t>hydroxychloroquine and showed marked improvement.</w:t>
      </w:r>
    </w:p>
    <w:p w14:paraId="0A2D248F">
      <w:pPr>
        <w:rPr>
          <w:rFonts w:hint="eastAsia" w:ascii="宋体" w:hAnsi="宋体" w:eastAsia="宋体" w:cs="宋体"/>
          <w:b w:val="0"/>
          <w:bCs/>
          <w:color w:val="auto"/>
          <w:szCs w:val="24"/>
        </w:rPr>
      </w:pPr>
      <w:r>
        <w:rPr>
          <w:rFonts w:hint="eastAsia" w:ascii="宋体" w:hAnsi="宋体" w:eastAsia="宋体" w:cs="宋体"/>
          <w:b/>
          <w:bCs w:val="0"/>
          <w:color w:val="auto"/>
          <w:szCs w:val="24"/>
        </w:rPr>
        <w:t>CLINICAL DISCUSSION:</w:t>
      </w:r>
      <w:r>
        <w:rPr>
          <w:rFonts w:hint="eastAsia" w:ascii="宋体" w:hAnsi="宋体" w:eastAsia="宋体" w:cs="宋体"/>
          <w:b w:val="0"/>
          <w:bCs/>
          <w:color w:val="auto"/>
          <w:szCs w:val="24"/>
        </w:rPr>
        <w:t xml:space="preserve"> Lupus enteritis and peritonitis are rare gastrointestinal </w:t>
      </w:r>
    </w:p>
    <w:p w14:paraId="498EDF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serosal manifestations of SLE that may mimic infectious diseases, such as </w:t>
      </w:r>
    </w:p>
    <w:p w14:paraId="02C3B7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abdominal TB, in endemic regions. Early recognition and prompt immunosuppressive </w:t>
      </w:r>
    </w:p>
    <w:p w14:paraId="6176B29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therapy can prevent life-threatening complications, including bowel ischemia and </w:t>
      </w:r>
    </w:p>
    <w:p w14:paraId="44D3C189">
      <w:pPr>
        <w:rPr>
          <w:rFonts w:hint="eastAsia" w:ascii="宋体" w:hAnsi="宋体" w:eastAsia="宋体" w:cs="宋体"/>
          <w:b w:val="0"/>
          <w:bCs/>
          <w:color w:val="auto"/>
          <w:szCs w:val="24"/>
        </w:rPr>
      </w:pPr>
      <w:r>
        <w:rPr>
          <w:rFonts w:hint="eastAsia" w:ascii="宋体" w:hAnsi="宋体" w:eastAsia="宋体" w:cs="宋体"/>
          <w:b w:val="0"/>
          <w:bCs/>
          <w:color w:val="auto"/>
          <w:szCs w:val="24"/>
        </w:rPr>
        <w:t>perforation.</w:t>
      </w:r>
    </w:p>
    <w:p w14:paraId="130FA947">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Lupus enteritis and peritonitis can present as the initial </w:t>
      </w:r>
    </w:p>
    <w:p w14:paraId="545428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manifestations of SLE, posing a diagnostic challenge in TB-endemic regions. </w:t>
      </w:r>
    </w:p>
    <w:p w14:paraId="3DCB76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Clinicians should consider SLE in the differential diagnosis of unexplained </w:t>
      </w:r>
    </w:p>
    <w:p w14:paraId="1B23CAAF">
      <w:pPr>
        <w:rPr>
          <w:rFonts w:hint="eastAsia" w:ascii="宋体" w:hAnsi="宋体" w:eastAsia="宋体" w:cs="宋体"/>
          <w:b w:val="0"/>
          <w:bCs/>
          <w:color w:val="auto"/>
          <w:szCs w:val="24"/>
        </w:rPr>
      </w:pPr>
      <w:r>
        <w:rPr>
          <w:rFonts w:hint="eastAsia" w:ascii="宋体" w:hAnsi="宋体" w:eastAsia="宋体" w:cs="宋体"/>
          <w:b w:val="0"/>
          <w:bCs/>
          <w:color w:val="auto"/>
          <w:szCs w:val="24"/>
        </w:rPr>
        <w:t>enteritis and peritonitis once common causes are excluded.</w:t>
      </w:r>
    </w:p>
    <w:p w14:paraId="3AF58562">
      <w:pPr>
        <w:rPr>
          <w:rFonts w:hint="eastAsia" w:ascii="宋体" w:hAnsi="宋体" w:eastAsia="宋体" w:cs="宋体"/>
          <w:b w:val="0"/>
          <w:bCs/>
          <w:color w:val="auto"/>
          <w:szCs w:val="24"/>
        </w:rPr>
      </w:pPr>
    </w:p>
    <w:p w14:paraId="569B7EEB">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 Published by Wolters Kluwer Health, LLC.</w:t>
      </w:r>
    </w:p>
    <w:p w14:paraId="1F234DBB">
      <w:pPr>
        <w:rPr>
          <w:rFonts w:hint="eastAsia" w:ascii="宋体" w:hAnsi="宋体" w:eastAsia="宋体" w:cs="宋体"/>
          <w:b w:val="0"/>
          <w:bCs/>
          <w:color w:val="auto"/>
          <w:szCs w:val="24"/>
        </w:rPr>
      </w:pPr>
    </w:p>
    <w:p w14:paraId="189C7D81">
      <w:pPr>
        <w:rPr>
          <w:rFonts w:hint="eastAsia" w:ascii="宋体" w:hAnsi="宋体" w:eastAsia="宋体" w:cs="宋体"/>
          <w:b w:val="0"/>
          <w:bCs/>
          <w:color w:val="auto"/>
          <w:szCs w:val="24"/>
        </w:rPr>
      </w:pPr>
      <w:r>
        <w:rPr>
          <w:rFonts w:hint="eastAsia" w:ascii="宋体" w:hAnsi="宋体" w:eastAsia="宋体" w:cs="宋体"/>
          <w:b w:val="0"/>
          <w:bCs/>
          <w:color w:val="auto"/>
          <w:szCs w:val="24"/>
        </w:rPr>
        <w:t>DOI: 10.1097/MS9.0000000000005577</w:t>
      </w:r>
    </w:p>
    <w:p w14:paraId="5B42C13B">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PMC13561226</w:t>
      </w:r>
    </w:p>
    <w:p w14:paraId="024A0975">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42725186</w:t>
      </w:r>
    </w:p>
    <w:p w14:paraId="5A0EF152">
      <w:pPr>
        <w:rPr>
          <w:rFonts w:hint="eastAsia" w:ascii="宋体" w:hAnsi="宋体" w:eastAsia="宋体" w:cs="宋体"/>
          <w:b w:val="0"/>
          <w:bCs/>
          <w:color w:val="auto"/>
          <w:szCs w:val="24"/>
        </w:rPr>
      </w:pPr>
    </w:p>
    <w:p w14:paraId="29C164E1">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60</w:t>
      </w:r>
      <w:r>
        <w:rPr>
          <w:rFonts w:hint="eastAsia" w:ascii="宋体" w:hAnsi="宋体" w:eastAsia="宋体" w:cs="宋体"/>
          <w:b/>
          <w:bCs w:val="0"/>
          <w:color w:val="FF0000"/>
          <w:szCs w:val="24"/>
        </w:rPr>
        <w:t xml:space="preserve">. Ann Med Surg (Lond). 2026 Aug 21;88(9):5774-5783. doi: </w:t>
      </w:r>
    </w:p>
    <w:p w14:paraId="6979CBF6">
      <w:pPr>
        <w:rPr>
          <w:rFonts w:hint="eastAsia" w:ascii="宋体" w:hAnsi="宋体" w:eastAsia="宋体" w:cs="宋体"/>
          <w:b/>
          <w:bCs w:val="0"/>
          <w:color w:val="FF0000"/>
          <w:szCs w:val="24"/>
        </w:rPr>
      </w:pPr>
      <w:r>
        <w:rPr>
          <w:rFonts w:hint="eastAsia" w:ascii="宋体" w:hAnsi="宋体" w:eastAsia="宋体" w:cs="宋体"/>
          <w:b/>
          <w:bCs w:val="0"/>
          <w:color w:val="FF0000"/>
          <w:szCs w:val="24"/>
        </w:rPr>
        <w:t>10.1097/MS9.0000000000005162. eCollection 2026 Sep.</w:t>
      </w:r>
    </w:p>
    <w:p w14:paraId="65A72CC0">
      <w:pPr>
        <w:rPr>
          <w:rFonts w:hint="eastAsia" w:ascii="宋体" w:hAnsi="宋体" w:eastAsia="宋体" w:cs="宋体"/>
          <w:b w:val="0"/>
          <w:bCs/>
          <w:color w:val="auto"/>
          <w:szCs w:val="24"/>
        </w:rPr>
      </w:pPr>
    </w:p>
    <w:p w14:paraId="4F3BAD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Hypothetical applications of MR-guided focused ultrasound in central nervous </w:t>
      </w:r>
    </w:p>
    <w:p w14:paraId="43B8E26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system tuberculosis: blood-brain barrier disruption, granulomatous lesion </w:t>
      </w:r>
    </w:p>
    <w:p w14:paraId="1ADA1A8B">
      <w:pPr>
        <w:rPr>
          <w:rFonts w:hint="eastAsia" w:ascii="宋体" w:hAnsi="宋体" w:eastAsia="宋体" w:cs="宋体"/>
          <w:b w:val="0"/>
          <w:bCs/>
          <w:color w:val="auto"/>
          <w:szCs w:val="24"/>
        </w:rPr>
      </w:pPr>
      <w:r>
        <w:rPr>
          <w:rFonts w:hint="eastAsia" w:ascii="宋体" w:hAnsi="宋体" w:eastAsia="宋体" w:cs="宋体"/>
          <w:b w:val="0"/>
          <w:bCs/>
          <w:color w:val="auto"/>
          <w:szCs w:val="24"/>
        </w:rPr>
        <w:t>modulation, targeted drug delivery, and immune microenvironment reprogramming.</w:t>
      </w:r>
    </w:p>
    <w:p w14:paraId="67ACD96E">
      <w:pPr>
        <w:rPr>
          <w:rFonts w:hint="eastAsia" w:ascii="宋体" w:hAnsi="宋体" w:eastAsia="宋体" w:cs="宋体"/>
          <w:b w:val="0"/>
          <w:bCs/>
          <w:color w:val="auto"/>
          <w:szCs w:val="24"/>
        </w:rPr>
      </w:pPr>
    </w:p>
    <w:p w14:paraId="36787F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Beniwal SS(1), Mwaanga C(2), Jassim M(3), Rawat A(4), Dahiya P(5), Ribeiro da </w:t>
      </w:r>
    </w:p>
    <w:p w14:paraId="4266B9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Costa REA(6), Pandey A(7), Ali ASM(8), Moncada J(9), Mateen SSA(10), Mishra </w:t>
      </w:r>
    </w:p>
    <w:p w14:paraId="654F8AEC">
      <w:pPr>
        <w:rPr>
          <w:rFonts w:hint="eastAsia" w:ascii="宋体" w:hAnsi="宋体" w:eastAsia="宋体" w:cs="宋体"/>
          <w:b w:val="0"/>
          <w:bCs/>
          <w:color w:val="auto"/>
          <w:szCs w:val="24"/>
        </w:rPr>
      </w:pPr>
      <w:r>
        <w:rPr>
          <w:rFonts w:hint="eastAsia" w:ascii="宋体" w:hAnsi="宋体" w:eastAsia="宋体" w:cs="宋体"/>
          <w:b w:val="0"/>
          <w:bCs/>
          <w:color w:val="auto"/>
          <w:szCs w:val="24"/>
        </w:rPr>
        <w:t>A(11).</w:t>
      </w:r>
    </w:p>
    <w:p w14:paraId="67DBFD99">
      <w:pPr>
        <w:rPr>
          <w:rFonts w:hint="eastAsia" w:ascii="宋体" w:hAnsi="宋体" w:eastAsia="宋体" w:cs="宋体"/>
          <w:b w:val="0"/>
          <w:bCs/>
          <w:color w:val="auto"/>
          <w:szCs w:val="24"/>
        </w:rPr>
      </w:pPr>
    </w:p>
    <w:p w14:paraId="2B51FEE2">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DFC2267">
      <w:pPr>
        <w:rPr>
          <w:rFonts w:hint="eastAsia" w:ascii="宋体" w:hAnsi="宋体" w:eastAsia="宋体" w:cs="宋体"/>
          <w:b w:val="0"/>
          <w:bCs/>
          <w:color w:val="auto"/>
          <w:szCs w:val="24"/>
        </w:rPr>
      </w:pPr>
      <w:r>
        <w:rPr>
          <w:rFonts w:hint="eastAsia" w:ascii="宋体" w:hAnsi="宋体" w:eastAsia="宋体" w:cs="宋体"/>
          <w:b w:val="0"/>
          <w:bCs/>
          <w:color w:val="auto"/>
          <w:szCs w:val="24"/>
        </w:rPr>
        <w:t>(1)Lady Hardinge Medical College, New Delhi, India.</w:t>
      </w:r>
    </w:p>
    <w:p w14:paraId="5C58B75A">
      <w:pPr>
        <w:rPr>
          <w:rFonts w:hint="eastAsia" w:ascii="宋体" w:hAnsi="宋体" w:eastAsia="宋体" w:cs="宋体"/>
          <w:b w:val="0"/>
          <w:bCs/>
          <w:color w:val="auto"/>
          <w:szCs w:val="24"/>
        </w:rPr>
      </w:pPr>
      <w:r>
        <w:rPr>
          <w:rFonts w:hint="eastAsia" w:ascii="宋体" w:hAnsi="宋体" w:eastAsia="宋体" w:cs="宋体"/>
          <w:b w:val="0"/>
          <w:bCs/>
          <w:color w:val="auto"/>
          <w:szCs w:val="24"/>
        </w:rPr>
        <w:t>(2)National Forensic Authority, Lusaka, Zambia.</w:t>
      </w:r>
    </w:p>
    <w:p w14:paraId="1E0BE0FB">
      <w:pPr>
        <w:rPr>
          <w:rFonts w:hint="eastAsia" w:ascii="宋体" w:hAnsi="宋体" w:eastAsia="宋体" w:cs="宋体"/>
          <w:b w:val="0"/>
          <w:bCs/>
          <w:color w:val="auto"/>
          <w:szCs w:val="24"/>
        </w:rPr>
      </w:pPr>
      <w:r>
        <w:rPr>
          <w:rFonts w:hint="eastAsia" w:ascii="宋体" w:hAnsi="宋体" w:eastAsia="宋体" w:cs="宋体"/>
          <w:b w:val="0"/>
          <w:bCs/>
          <w:color w:val="auto"/>
          <w:szCs w:val="24"/>
        </w:rPr>
        <w:t>(3)Thirumala Devaswom Medical College (TDMC), Alappuzha, Kerala, India.</w:t>
      </w:r>
    </w:p>
    <w:p w14:paraId="51B271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(4)Himalayan Institute of Medical Sciences, Swami Rama Himalayan University, </w:t>
      </w:r>
    </w:p>
    <w:p w14:paraId="131FAF1E">
      <w:pPr>
        <w:rPr>
          <w:rFonts w:hint="eastAsia" w:ascii="宋体" w:hAnsi="宋体" w:eastAsia="宋体" w:cs="宋体"/>
          <w:b w:val="0"/>
          <w:bCs/>
          <w:color w:val="auto"/>
          <w:szCs w:val="24"/>
        </w:rPr>
      </w:pPr>
      <w:r>
        <w:rPr>
          <w:rFonts w:hint="eastAsia" w:ascii="宋体" w:hAnsi="宋体" w:eastAsia="宋体" w:cs="宋体"/>
          <w:b w:val="0"/>
          <w:bCs/>
          <w:color w:val="auto"/>
          <w:szCs w:val="24"/>
        </w:rPr>
        <w:t>Dehradun, Uttarakhand, India.</w:t>
      </w:r>
    </w:p>
    <w:p w14:paraId="190A8766">
      <w:pPr>
        <w:rPr>
          <w:rFonts w:hint="eastAsia" w:ascii="宋体" w:hAnsi="宋体" w:eastAsia="宋体" w:cs="宋体"/>
          <w:b w:val="0"/>
          <w:bCs/>
          <w:color w:val="auto"/>
          <w:szCs w:val="24"/>
        </w:rPr>
      </w:pPr>
      <w:r>
        <w:rPr>
          <w:rFonts w:hint="eastAsia" w:ascii="宋体" w:hAnsi="宋体" w:eastAsia="宋体" w:cs="宋体"/>
          <w:b w:val="0"/>
          <w:bCs/>
          <w:color w:val="auto"/>
          <w:szCs w:val="24"/>
        </w:rPr>
        <w:t>(5)ESIC Medical College and Hospital, Faridabad, India.</w:t>
      </w:r>
    </w:p>
    <w:p w14:paraId="357C4C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(6)Universidade Estadual de Campinas (UNICAMP), Campus Cidade Universitária </w:t>
      </w:r>
    </w:p>
    <w:p w14:paraId="40962432">
      <w:pPr>
        <w:rPr>
          <w:rFonts w:hint="eastAsia" w:ascii="宋体" w:hAnsi="宋体" w:eastAsia="宋体" w:cs="宋体"/>
          <w:b w:val="0"/>
          <w:bCs/>
          <w:color w:val="auto"/>
          <w:szCs w:val="24"/>
        </w:rPr>
      </w:pPr>
      <w:r>
        <w:rPr>
          <w:rFonts w:hint="eastAsia" w:ascii="宋体" w:hAnsi="宋体" w:eastAsia="宋体" w:cs="宋体"/>
          <w:b w:val="0"/>
          <w:bCs/>
          <w:color w:val="auto"/>
          <w:szCs w:val="24"/>
        </w:rPr>
        <w:t>Zeferino Vaz, Campinas, São Paulo, Brazil.</w:t>
      </w:r>
    </w:p>
    <w:p w14:paraId="15895C90">
      <w:pPr>
        <w:rPr>
          <w:rFonts w:hint="eastAsia" w:ascii="宋体" w:hAnsi="宋体" w:eastAsia="宋体" w:cs="宋体"/>
          <w:b w:val="0"/>
          <w:bCs/>
          <w:color w:val="auto"/>
          <w:szCs w:val="24"/>
        </w:rPr>
      </w:pPr>
      <w:r>
        <w:rPr>
          <w:rFonts w:hint="eastAsia" w:ascii="宋体" w:hAnsi="宋体" w:eastAsia="宋体" w:cs="宋体"/>
          <w:b w:val="0"/>
          <w:bCs/>
          <w:color w:val="auto"/>
          <w:szCs w:val="24"/>
        </w:rPr>
        <w:t>(7)Memorial Sloan Kettering Cancer Center, New York, NY, United States.</w:t>
      </w:r>
    </w:p>
    <w:p w14:paraId="584E4A99">
      <w:pPr>
        <w:rPr>
          <w:rFonts w:hint="eastAsia" w:ascii="宋体" w:hAnsi="宋体" w:eastAsia="宋体" w:cs="宋体"/>
          <w:b w:val="0"/>
          <w:bCs/>
          <w:color w:val="auto"/>
          <w:szCs w:val="24"/>
        </w:rPr>
      </w:pPr>
      <w:r>
        <w:rPr>
          <w:rFonts w:hint="eastAsia" w:ascii="宋体" w:hAnsi="宋体" w:eastAsia="宋体" w:cs="宋体"/>
          <w:b w:val="0"/>
          <w:bCs/>
          <w:color w:val="auto"/>
          <w:szCs w:val="24"/>
        </w:rPr>
        <w:t>(8)Indian Institute of Medical Science and Research, Jalna, India.</w:t>
      </w:r>
    </w:p>
    <w:p w14:paraId="7C8061B3">
      <w:pPr>
        <w:rPr>
          <w:rFonts w:hint="eastAsia" w:ascii="宋体" w:hAnsi="宋体" w:eastAsia="宋体" w:cs="宋体"/>
          <w:b w:val="0"/>
          <w:bCs/>
          <w:color w:val="auto"/>
          <w:szCs w:val="24"/>
        </w:rPr>
      </w:pPr>
      <w:r>
        <w:rPr>
          <w:rFonts w:hint="eastAsia" w:ascii="宋体" w:hAnsi="宋体" w:eastAsia="宋体" w:cs="宋体"/>
          <w:b w:val="0"/>
          <w:bCs/>
          <w:color w:val="auto"/>
          <w:szCs w:val="24"/>
        </w:rPr>
        <w:t>(9)St. Francis Medical Center, Los Angeles, California, United States.</w:t>
      </w:r>
    </w:p>
    <w:p w14:paraId="2F3163C7">
      <w:pPr>
        <w:rPr>
          <w:rFonts w:hint="eastAsia" w:ascii="宋体" w:hAnsi="宋体" w:eastAsia="宋体" w:cs="宋体"/>
          <w:b w:val="0"/>
          <w:bCs/>
          <w:color w:val="auto"/>
          <w:szCs w:val="24"/>
        </w:rPr>
      </w:pPr>
      <w:r>
        <w:rPr>
          <w:rFonts w:hint="eastAsia" w:ascii="宋体" w:hAnsi="宋体" w:eastAsia="宋体" w:cs="宋体"/>
          <w:b w:val="0"/>
          <w:bCs/>
          <w:color w:val="auto"/>
          <w:szCs w:val="24"/>
        </w:rPr>
        <w:t>(10)AMA School of Medicine, Makati City, Philippines.</w:t>
      </w:r>
    </w:p>
    <w:p w14:paraId="5F868E44">
      <w:pPr>
        <w:rPr>
          <w:rFonts w:hint="eastAsia" w:ascii="宋体" w:hAnsi="宋体" w:eastAsia="宋体" w:cs="宋体"/>
          <w:b w:val="0"/>
          <w:bCs/>
          <w:color w:val="auto"/>
          <w:szCs w:val="24"/>
        </w:rPr>
      </w:pPr>
      <w:r>
        <w:rPr>
          <w:rFonts w:hint="eastAsia" w:ascii="宋体" w:hAnsi="宋体" w:eastAsia="宋体" w:cs="宋体"/>
          <w:b w:val="0"/>
          <w:bCs/>
          <w:color w:val="auto"/>
          <w:szCs w:val="24"/>
        </w:rPr>
        <w:t>(11)Danylo Halytsky Lviv National Medical University, Lviv, Ukraine.</w:t>
      </w:r>
    </w:p>
    <w:p w14:paraId="2452C79E">
      <w:pPr>
        <w:rPr>
          <w:rFonts w:hint="eastAsia" w:ascii="宋体" w:hAnsi="宋体" w:eastAsia="宋体" w:cs="宋体"/>
          <w:b w:val="0"/>
          <w:bCs/>
          <w:color w:val="auto"/>
          <w:szCs w:val="24"/>
        </w:rPr>
      </w:pPr>
    </w:p>
    <w:p w14:paraId="5B7D9E2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Central nervous system tuberculosis (CNS-TB) comprises tuberculous meningitis </w:t>
      </w:r>
    </w:p>
    <w:p w14:paraId="40CDCA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(TBM), parenchymal tuberculomas, and spinal arachnoiditis. It accounts for 5% to </w:t>
      </w:r>
    </w:p>
    <w:p w14:paraId="121E83F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 of extrapulmonary TB and is more common in immunocompromised individuals, </w:t>
      </w:r>
    </w:p>
    <w:p w14:paraId="104435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particularly those with HIV. Despite early diagnosis and treatment, mortality </w:t>
      </w:r>
    </w:p>
    <w:p w14:paraId="098EAA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remains high, exceeding 30% in TB meningitis, and, as a consequence, many </w:t>
      </w:r>
    </w:p>
    <w:p w14:paraId="046AC4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survivors develop cognitive, motor, or visual deficits. Management has proven to </w:t>
      </w:r>
    </w:p>
    <w:p w14:paraId="6A77C1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 difficult due to the blood-brain barrier and blood-cerebrospinal fluid </w:t>
      </w:r>
    </w:p>
    <w:p w14:paraId="52DDD9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barrier, which limit drug penetration, especially in early or non-inflammatory </w:t>
      </w:r>
    </w:p>
    <w:p w14:paraId="7C411A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stages. Even after disruption of these barriers owing to inflammation, drug </w:t>
      </w:r>
    </w:p>
    <w:p w14:paraId="74D597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delivery remains inconsistent and often fails to reach the required </w:t>
      </w:r>
    </w:p>
    <w:p w14:paraId="72E3437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concentrations. Tuberculomas further compound this problem due to their </w:t>
      </w:r>
    </w:p>
    <w:p w14:paraId="530E93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granulomatous, avascular, and fibrotic architecture, which protects </w:t>
      </w:r>
    </w:p>
    <w:p w14:paraId="1C2CEF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from both host immunity and antibiotics. Magnetic </w:t>
      </w:r>
    </w:p>
    <w:p w14:paraId="74802D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resonance-guided focused ultrasound (MRgFUS) is an established, non-invasive </w:t>
      </w:r>
    </w:p>
    <w:p w14:paraId="787CB7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neurosurgical technology that may offer a platform to transiently disrupt </w:t>
      </w:r>
    </w:p>
    <w:p w14:paraId="4C61FA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physiological barriers or modulate lesion structure using microbubble-mediated </w:t>
      </w:r>
    </w:p>
    <w:p w14:paraId="58710A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cavitation. Although MRgFUS is FDA-approved for movement disorders and under </w:t>
      </w:r>
    </w:p>
    <w:p w14:paraId="4494A0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investigation in brain tumors, its application in CNS-TB remains entirely </w:t>
      </w:r>
    </w:p>
    <w:p w14:paraId="101C59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untested. Conceptually, MRgFUS could enhance drug delivery to protected CNS </w:t>
      </w:r>
    </w:p>
    <w:p w14:paraId="696EDE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compartments, theoretically alter granulomatous architecture to improve </w:t>
      </w:r>
    </w:p>
    <w:p w14:paraId="58AD4B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antimicrobial penetration, and facilitate targeted delivery of immunomodulatory </w:t>
      </w:r>
    </w:p>
    <w:p w14:paraId="24A71E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agents. This narrative and hypothesis-generating review explores the theoretical </w:t>
      </w:r>
    </w:p>
    <w:p w14:paraId="727766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role of MRgFUS as an adjunctive strategy in CNS-TB, while explicitly </w:t>
      </w:r>
    </w:p>
    <w:p w14:paraId="6E961BC5">
      <w:pPr>
        <w:rPr>
          <w:rFonts w:hint="eastAsia" w:ascii="宋体" w:hAnsi="宋体" w:eastAsia="宋体" w:cs="宋体"/>
          <w:b w:val="0"/>
          <w:bCs/>
          <w:color w:val="auto"/>
          <w:szCs w:val="24"/>
        </w:rPr>
      </w:pPr>
      <w:r>
        <w:rPr>
          <w:rFonts w:hint="eastAsia" w:ascii="宋体" w:hAnsi="宋体" w:eastAsia="宋体" w:cs="宋体"/>
          <w:b w:val="0"/>
          <w:bCs/>
          <w:color w:val="auto"/>
          <w:szCs w:val="24"/>
        </w:rPr>
        <w:t>acknowledging current evidence gaps and safety uncertainties.</w:t>
      </w:r>
    </w:p>
    <w:p w14:paraId="1A3E581D">
      <w:pPr>
        <w:rPr>
          <w:rFonts w:hint="eastAsia" w:ascii="宋体" w:hAnsi="宋体" w:eastAsia="宋体" w:cs="宋体"/>
          <w:b w:val="0"/>
          <w:bCs/>
          <w:color w:val="auto"/>
          <w:szCs w:val="24"/>
        </w:rPr>
      </w:pPr>
    </w:p>
    <w:p w14:paraId="5D380870">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The Author(s). Published by Wolters Kluwer Health, LLC.</w:t>
      </w:r>
    </w:p>
    <w:p w14:paraId="0714D6D1">
      <w:pPr>
        <w:rPr>
          <w:rFonts w:hint="eastAsia" w:ascii="宋体" w:hAnsi="宋体" w:eastAsia="宋体" w:cs="宋体"/>
          <w:b w:val="0"/>
          <w:bCs/>
          <w:color w:val="auto"/>
          <w:szCs w:val="24"/>
        </w:rPr>
      </w:pPr>
    </w:p>
    <w:p w14:paraId="6A4814B1">
      <w:pPr>
        <w:rPr>
          <w:rFonts w:hint="eastAsia" w:ascii="宋体" w:hAnsi="宋体" w:eastAsia="宋体" w:cs="宋体"/>
          <w:b w:val="0"/>
          <w:bCs/>
          <w:color w:val="auto"/>
          <w:szCs w:val="24"/>
        </w:rPr>
      </w:pPr>
      <w:r>
        <w:rPr>
          <w:rFonts w:hint="eastAsia" w:ascii="宋体" w:hAnsi="宋体" w:eastAsia="宋体" w:cs="宋体"/>
          <w:b w:val="0"/>
          <w:bCs/>
          <w:color w:val="auto"/>
          <w:szCs w:val="24"/>
        </w:rPr>
        <w:t>DOI: 10.1097/MS9.0000000000005162</w:t>
      </w:r>
    </w:p>
    <w:p w14:paraId="0F70A94D">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PMC13561187</w:t>
      </w:r>
    </w:p>
    <w:p w14:paraId="6CE4F9C4">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42725181</w:t>
      </w:r>
    </w:p>
    <w:p w14:paraId="12FD09C6">
      <w:pPr>
        <w:rPr>
          <w:rFonts w:hint="eastAsia" w:ascii="宋体" w:hAnsi="宋体" w:eastAsia="宋体" w:cs="宋体"/>
          <w:b w:val="0"/>
          <w:bCs/>
          <w:color w:val="auto"/>
          <w:szCs w:val="24"/>
        </w:rPr>
      </w:pPr>
    </w:p>
    <w:p w14:paraId="49D577D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61</w:t>
      </w:r>
      <w:r>
        <w:rPr>
          <w:rFonts w:hint="eastAsia" w:ascii="宋体" w:hAnsi="宋体" w:eastAsia="宋体" w:cs="宋体"/>
          <w:b/>
          <w:bCs w:val="0"/>
          <w:color w:val="FF0000"/>
          <w:szCs w:val="24"/>
        </w:rPr>
        <w:t>. Radiol Case Rep. 2026 Aug 31;21(11):5696-5702. doi: 10.1016/j.radcr.2026.07.090. eCollection 2026 Nov.</w:t>
      </w:r>
    </w:p>
    <w:p w14:paraId="0EBA8B8A">
      <w:pPr>
        <w:rPr>
          <w:rFonts w:hint="eastAsia" w:ascii="宋体" w:hAnsi="宋体" w:eastAsia="宋体" w:cs="宋体"/>
          <w:b w:val="0"/>
          <w:bCs/>
          <w:color w:val="auto"/>
          <w:szCs w:val="24"/>
        </w:rPr>
      </w:pPr>
    </w:p>
    <w:p w14:paraId="699EA8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Ileal tuberculosis presenting with severe unexplained anemia and unusual </w:t>
      </w:r>
    </w:p>
    <w:p w14:paraId="3D73CFF2">
      <w:pPr>
        <w:rPr>
          <w:rFonts w:hint="eastAsia" w:ascii="宋体" w:hAnsi="宋体" w:eastAsia="宋体" w:cs="宋体"/>
          <w:b w:val="0"/>
          <w:bCs/>
          <w:color w:val="auto"/>
          <w:szCs w:val="24"/>
        </w:rPr>
      </w:pPr>
      <w:r>
        <w:rPr>
          <w:rFonts w:hint="eastAsia" w:ascii="宋体" w:hAnsi="宋体" w:eastAsia="宋体" w:cs="宋体"/>
          <w:b w:val="0"/>
          <w:bCs/>
          <w:color w:val="auto"/>
          <w:szCs w:val="24"/>
        </w:rPr>
        <w:t>pseudo-tumoral imaging features: A case report.</w:t>
      </w:r>
    </w:p>
    <w:p w14:paraId="132F87F3">
      <w:pPr>
        <w:rPr>
          <w:rFonts w:hint="eastAsia" w:ascii="宋体" w:hAnsi="宋体" w:eastAsia="宋体" w:cs="宋体"/>
          <w:b w:val="0"/>
          <w:bCs/>
          <w:color w:val="auto"/>
          <w:szCs w:val="24"/>
        </w:rPr>
      </w:pPr>
    </w:p>
    <w:p w14:paraId="106EE5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Abourak C(1), Ouskri S(2), Benayada B(1), Loukili H(3), El Harras Y(4), Imrani </w:t>
      </w:r>
    </w:p>
    <w:p w14:paraId="7B942056">
      <w:pPr>
        <w:rPr>
          <w:rFonts w:hint="eastAsia" w:ascii="宋体" w:hAnsi="宋体" w:eastAsia="宋体" w:cs="宋体"/>
          <w:b w:val="0"/>
          <w:bCs/>
          <w:color w:val="auto"/>
          <w:szCs w:val="24"/>
        </w:rPr>
      </w:pPr>
      <w:r>
        <w:rPr>
          <w:rFonts w:hint="eastAsia" w:ascii="宋体" w:hAnsi="宋体" w:eastAsia="宋体" w:cs="宋体"/>
          <w:b w:val="0"/>
          <w:bCs/>
          <w:color w:val="auto"/>
          <w:szCs w:val="24"/>
        </w:rPr>
        <w:t>K(4), Nassar I(4), Hafiani Y(5).</w:t>
      </w:r>
    </w:p>
    <w:p w14:paraId="416DF7C1">
      <w:pPr>
        <w:rPr>
          <w:rFonts w:hint="eastAsia" w:ascii="宋体" w:hAnsi="宋体" w:eastAsia="宋体" w:cs="宋体"/>
          <w:b w:val="0"/>
          <w:bCs/>
          <w:color w:val="auto"/>
          <w:szCs w:val="24"/>
        </w:rPr>
      </w:pPr>
    </w:p>
    <w:p w14:paraId="7C90724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BA79D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Radiology, Faculty of Medicine and Pharmacy of Rabat, Azzamouri </w:t>
      </w:r>
    </w:p>
    <w:p w14:paraId="5031F877">
      <w:pPr>
        <w:rPr>
          <w:rFonts w:hint="eastAsia" w:ascii="宋体" w:hAnsi="宋体" w:eastAsia="宋体" w:cs="宋体"/>
          <w:b w:val="0"/>
          <w:bCs/>
          <w:color w:val="auto"/>
          <w:szCs w:val="24"/>
        </w:rPr>
      </w:pPr>
      <w:r>
        <w:rPr>
          <w:rFonts w:hint="eastAsia" w:ascii="宋体" w:hAnsi="宋体" w:eastAsia="宋体" w:cs="宋体"/>
          <w:b w:val="0"/>
          <w:bCs/>
          <w:color w:val="auto"/>
          <w:szCs w:val="24"/>
        </w:rPr>
        <w:t>Hospital, Ibn Sina University Hospital, Mohammed V University, Kenitra, Morocco.</w:t>
      </w:r>
    </w:p>
    <w:p w14:paraId="3D19FC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Surgery, Faculty of Medicine and Pharmacy of Rabat, Azzamouri </w:t>
      </w:r>
    </w:p>
    <w:p w14:paraId="6AF854BE">
      <w:pPr>
        <w:rPr>
          <w:rFonts w:hint="eastAsia" w:ascii="宋体" w:hAnsi="宋体" w:eastAsia="宋体" w:cs="宋体"/>
          <w:b w:val="0"/>
          <w:bCs/>
          <w:color w:val="auto"/>
          <w:szCs w:val="24"/>
        </w:rPr>
      </w:pPr>
      <w:r>
        <w:rPr>
          <w:rFonts w:hint="eastAsia" w:ascii="宋体" w:hAnsi="宋体" w:eastAsia="宋体" w:cs="宋体"/>
          <w:b w:val="0"/>
          <w:bCs/>
          <w:color w:val="auto"/>
          <w:szCs w:val="24"/>
        </w:rPr>
        <w:t>Hospital, Ibn Sina University Hospital, Mohammed V University, Kenitra, Morocco.</w:t>
      </w:r>
    </w:p>
    <w:p w14:paraId="0E0709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(3)Gastroenterologist, Azzamouri Hospital, Faculty of Medicine and Pharmacy of </w:t>
      </w:r>
    </w:p>
    <w:p w14:paraId="62CDE201">
      <w:pPr>
        <w:rPr>
          <w:rFonts w:hint="eastAsia" w:ascii="宋体" w:hAnsi="宋体" w:eastAsia="宋体" w:cs="宋体"/>
          <w:b w:val="0"/>
          <w:bCs/>
          <w:color w:val="auto"/>
          <w:szCs w:val="24"/>
        </w:rPr>
      </w:pPr>
      <w:r>
        <w:rPr>
          <w:rFonts w:hint="eastAsia" w:ascii="宋体" w:hAnsi="宋体" w:eastAsia="宋体" w:cs="宋体"/>
          <w:b w:val="0"/>
          <w:bCs/>
          <w:color w:val="auto"/>
          <w:szCs w:val="24"/>
        </w:rPr>
        <w:t>Rabat, Mohammed V University, Kenitra, Morocco.</w:t>
      </w:r>
    </w:p>
    <w:p w14:paraId="6690E6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(4)Central Radiology Department, Faculty of Medicine and Pharmacy of Rabat, Ibn </w:t>
      </w:r>
    </w:p>
    <w:p w14:paraId="603FB7A0">
      <w:pPr>
        <w:rPr>
          <w:rFonts w:hint="eastAsia" w:ascii="宋体" w:hAnsi="宋体" w:eastAsia="宋体" w:cs="宋体"/>
          <w:b w:val="0"/>
          <w:bCs/>
          <w:color w:val="auto"/>
          <w:szCs w:val="24"/>
        </w:rPr>
      </w:pPr>
      <w:r>
        <w:rPr>
          <w:rFonts w:hint="eastAsia" w:ascii="宋体" w:hAnsi="宋体" w:eastAsia="宋体" w:cs="宋体"/>
          <w:b w:val="0"/>
          <w:bCs/>
          <w:color w:val="auto"/>
          <w:szCs w:val="24"/>
        </w:rPr>
        <w:t>Sina University Hospital, Mohammed V University, Rabat, Morocco.</w:t>
      </w:r>
    </w:p>
    <w:p w14:paraId="124E0E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Anesthesiology and Critical Care, Faculty of Medicine and </w:t>
      </w:r>
    </w:p>
    <w:p w14:paraId="4873B0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Pharmacy of Rabat, Azzamouri Hospital, Ibn Sina University Hospital, Mohammed V </w:t>
      </w:r>
    </w:p>
    <w:p w14:paraId="73605C53">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Kenitra, Morocco.</w:t>
      </w:r>
    </w:p>
    <w:p w14:paraId="1465616B">
      <w:pPr>
        <w:rPr>
          <w:rFonts w:hint="eastAsia" w:ascii="宋体" w:hAnsi="宋体" w:eastAsia="宋体" w:cs="宋体"/>
          <w:b w:val="0"/>
          <w:bCs/>
          <w:color w:val="auto"/>
          <w:szCs w:val="24"/>
        </w:rPr>
      </w:pPr>
    </w:p>
    <w:p w14:paraId="0B456E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Intestinal tuberculosis is an uncommon form of extrapulmonary tuberculosis that </w:t>
      </w:r>
    </w:p>
    <w:p w14:paraId="1277C8B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may mimic neoplastic or inflammatory disorders, leading to diagnostic delays. In </w:t>
      </w:r>
    </w:p>
    <w:p w14:paraId="505640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endemic regions, recognition of atypical imaging presentations remains </w:t>
      </w:r>
    </w:p>
    <w:p w14:paraId="5AF3FB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challenging. We report the case of a 58-year-old man with severe unexplained </w:t>
      </w:r>
    </w:p>
    <w:p w14:paraId="2F0CAA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anemia, progressive asthenia, and weight loss without overt gastrointestinal </w:t>
      </w:r>
    </w:p>
    <w:p w14:paraId="7E9572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bleeding. Contrast-enhanced abdominal computed tomography revealed focal </w:t>
      </w:r>
    </w:p>
    <w:p w14:paraId="0691E1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involvement of the distal ileum extending over approximately 150 mm, </w:t>
      </w:r>
    </w:p>
    <w:p w14:paraId="772323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characterized by marked circumferential mural thickening measuring up to 41 mm, </w:t>
      </w:r>
    </w:p>
    <w:p w14:paraId="6A15D4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focal pseudoaneurysmal dilatation, moderate-to-large volume </w:t>
      </w:r>
    </w:p>
    <w:p w14:paraId="1B04EC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ascites, and mesenteric lymphadenopathy with subtle central necrosis. These </w:t>
      </w:r>
    </w:p>
    <w:p w14:paraId="478C6F2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resulted in a pseudotumoral appearance, raising the differential </w:t>
      </w:r>
    </w:p>
    <w:p w14:paraId="4CBF54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diagnoses of intestinal tuberculosis and gastrointestinal lymphoma. </w:t>
      </w:r>
    </w:p>
    <w:p w14:paraId="0EDB144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Histopathological examination demonstrated epithelioid and multinucleated </w:t>
      </w:r>
    </w:p>
    <w:p w14:paraId="008B79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giant-cell granulomas with caseous necrosis. Microbiological confirmation was </w:t>
      </w:r>
    </w:p>
    <w:p w14:paraId="4E6E3B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obtained by positive Ziehl-Neelsen staining, positive GeneXpert MTB/RIF assay </w:t>
      </w:r>
    </w:p>
    <w:p w14:paraId="3998E7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Mycobacterium tuberculosis complex without rifampicin resistance, and </w:t>
      </w:r>
    </w:p>
    <w:p w14:paraId="18E17E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positive mycobacterial culture. The patient showed a favorable clinical, </w:t>
      </w:r>
    </w:p>
    <w:p w14:paraId="7B36EA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biological, and radiological response following standard antituberculous </w:t>
      </w:r>
    </w:p>
    <w:p w14:paraId="3FE2CC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therapy. Ileal tuberculosis may exceptionally present with severe anemia and </w:t>
      </w:r>
    </w:p>
    <w:p w14:paraId="1E5D46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unusual pseudo-tumoral imaging features, including focal pseudoaneurysmal </w:t>
      </w:r>
    </w:p>
    <w:p w14:paraId="7F887A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dilatation. To our knowledge, based on the available literature, this imaging </w:t>
      </w:r>
    </w:p>
    <w:p w14:paraId="38716F7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pattern appears to be exceptionally uncommon. Awareness of atypical CT </w:t>
      </w:r>
    </w:p>
    <w:p w14:paraId="0D11B4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manifestations and correlation with histopathological and microbiological </w:t>
      </w:r>
    </w:p>
    <w:p w14:paraId="3A27013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are essential for accurate diagnosis and appropriate management, </w:t>
      </w:r>
    </w:p>
    <w:p w14:paraId="5240741F">
      <w:pPr>
        <w:rPr>
          <w:rFonts w:hint="eastAsia" w:ascii="宋体" w:hAnsi="宋体" w:eastAsia="宋体" w:cs="宋体"/>
          <w:b w:val="0"/>
          <w:bCs/>
          <w:color w:val="auto"/>
          <w:szCs w:val="24"/>
        </w:rPr>
      </w:pPr>
      <w:r>
        <w:rPr>
          <w:rFonts w:hint="eastAsia" w:ascii="宋体" w:hAnsi="宋体" w:eastAsia="宋体" w:cs="宋体"/>
          <w:b w:val="0"/>
          <w:bCs/>
          <w:color w:val="auto"/>
          <w:szCs w:val="24"/>
        </w:rPr>
        <w:t>particularly in tuberculosis-endemic areas.</w:t>
      </w:r>
    </w:p>
    <w:p w14:paraId="7F485BC6">
      <w:pPr>
        <w:rPr>
          <w:rFonts w:hint="eastAsia" w:ascii="宋体" w:hAnsi="宋体" w:eastAsia="宋体" w:cs="宋体"/>
          <w:b w:val="0"/>
          <w:bCs/>
          <w:color w:val="auto"/>
          <w:szCs w:val="24"/>
        </w:rPr>
      </w:pPr>
    </w:p>
    <w:p w14:paraId="766A904D">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w:t>
      </w:r>
    </w:p>
    <w:p w14:paraId="6BB81BC4">
      <w:pPr>
        <w:rPr>
          <w:rFonts w:hint="eastAsia" w:ascii="宋体" w:hAnsi="宋体" w:eastAsia="宋体" w:cs="宋体"/>
          <w:b w:val="0"/>
          <w:bCs/>
          <w:color w:val="auto"/>
          <w:szCs w:val="24"/>
        </w:rPr>
      </w:pPr>
    </w:p>
    <w:p w14:paraId="7EA99BA3">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10.1016/j.radcr.2026.07.090</w:t>
      </w:r>
    </w:p>
    <w:p w14:paraId="33F781A9">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PMC13559989</w:t>
      </w:r>
    </w:p>
    <w:p w14:paraId="5702045F">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42725073</w:t>
      </w:r>
    </w:p>
    <w:p w14:paraId="0B51AD1E">
      <w:pPr>
        <w:rPr>
          <w:rFonts w:hint="eastAsia" w:ascii="宋体" w:hAnsi="宋体" w:eastAsia="宋体" w:cs="宋体"/>
          <w:b w:val="0"/>
          <w:bCs/>
          <w:color w:val="auto"/>
          <w:szCs w:val="24"/>
        </w:rPr>
      </w:pPr>
    </w:p>
    <w:p w14:paraId="03C25983">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62</w:t>
      </w:r>
      <w:r>
        <w:rPr>
          <w:rFonts w:hint="eastAsia" w:ascii="宋体" w:hAnsi="宋体" w:eastAsia="宋体" w:cs="宋体"/>
          <w:b/>
          <w:bCs w:val="0"/>
          <w:color w:val="FF0000"/>
          <w:szCs w:val="24"/>
        </w:rPr>
        <w:t>. Cureus. 2026 Aug 11;18(8):e114330. doi: 10.7759/cureus.114330. eCollection 2026 Aug.</w:t>
      </w:r>
    </w:p>
    <w:p w14:paraId="4CD1CB08">
      <w:pPr>
        <w:rPr>
          <w:rFonts w:hint="eastAsia" w:ascii="宋体" w:hAnsi="宋体" w:eastAsia="宋体" w:cs="宋体"/>
          <w:b w:val="0"/>
          <w:bCs/>
          <w:color w:val="auto"/>
          <w:szCs w:val="24"/>
        </w:rPr>
      </w:pPr>
    </w:p>
    <w:p w14:paraId="6B5C04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Burden of Rifampicin Resistance Among Patients With Tuberculosis at a Tertiary </w:t>
      </w:r>
    </w:p>
    <w:p w14:paraId="1FCF18D3">
      <w:pPr>
        <w:rPr>
          <w:rFonts w:hint="eastAsia" w:ascii="宋体" w:hAnsi="宋体" w:eastAsia="宋体" w:cs="宋体"/>
          <w:b w:val="0"/>
          <w:bCs/>
          <w:color w:val="auto"/>
          <w:szCs w:val="24"/>
        </w:rPr>
      </w:pPr>
      <w:r>
        <w:rPr>
          <w:rFonts w:hint="eastAsia" w:ascii="宋体" w:hAnsi="宋体" w:eastAsia="宋体" w:cs="宋体"/>
          <w:b w:val="0"/>
          <w:bCs/>
          <w:color w:val="auto"/>
          <w:szCs w:val="24"/>
        </w:rPr>
        <w:t>Care Center in Uttarakhand, India: A Prospective Cross-Sectional Study.</w:t>
      </w:r>
    </w:p>
    <w:p w14:paraId="134D603D">
      <w:pPr>
        <w:rPr>
          <w:rFonts w:hint="eastAsia" w:ascii="宋体" w:hAnsi="宋体" w:eastAsia="宋体" w:cs="宋体"/>
          <w:b w:val="0"/>
          <w:bCs/>
          <w:color w:val="auto"/>
          <w:szCs w:val="24"/>
        </w:rPr>
      </w:pPr>
    </w:p>
    <w:p w14:paraId="249F865C">
      <w:pPr>
        <w:rPr>
          <w:rFonts w:hint="eastAsia" w:ascii="宋体" w:hAnsi="宋体" w:eastAsia="宋体" w:cs="宋体"/>
          <w:b w:val="0"/>
          <w:bCs/>
          <w:color w:val="auto"/>
          <w:szCs w:val="24"/>
        </w:rPr>
      </w:pPr>
      <w:r>
        <w:rPr>
          <w:rFonts w:hint="eastAsia" w:ascii="宋体" w:hAnsi="宋体" w:eastAsia="宋体" w:cs="宋体"/>
          <w:b w:val="0"/>
          <w:bCs/>
          <w:color w:val="auto"/>
          <w:szCs w:val="24"/>
        </w:rPr>
        <w:t>Negi S(1), Singh M(2), Chandola I(1), Rawat J(3).</w:t>
      </w:r>
    </w:p>
    <w:p w14:paraId="78F0C2A4">
      <w:pPr>
        <w:rPr>
          <w:rFonts w:hint="eastAsia" w:ascii="宋体" w:hAnsi="宋体" w:eastAsia="宋体" w:cs="宋体"/>
          <w:b w:val="0"/>
          <w:bCs/>
          <w:color w:val="auto"/>
          <w:szCs w:val="24"/>
        </w:rPr>
      </w:pPr>
    </w:p>
    <w:p w14:paraId="502FBB6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9A98F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(1)Microbiology, Shri Guru Ram Rai Institute of Medical and Health Sciences, </w:t>
      </w:r>
    </w:p>
    <w:p w14:paraId="4A9C88B1">
      <w:pPr>
        <w:rPr>
          <w:rFonts w:hint="eastAsia" w:ascii="宋体" w:hAnsi="宋体" w:eastAsia="宋体" w:cs="宋体"/>
          <w:b w:val="0"/>
          <w:bCs/>
          <w:color w:val="auto"/>
          <w:szCs w:val="24"/>
        </w:rPr>
      </w:pPr>
      <w:r>
        <w:rPr>
          <w:rFonts w:hint="eastAsia" w:ascii="宋体" w:hAnsi="宋体" w:eastAsia="宋体" w:cs="宋体"/>
          <w:b w:val="0"/>
          <w:bCs/>
          <w:color w:val="auto"/>
          <w:szCs w:val="24"/>
        </w:rPr>
        <w:t>Dehradun, IND.</w:t>
      </w:r>
    </w:p>
    <w:p w14:paraId="54EC4863">
      <w:pPr>
        <w:rPr>
          <w:rFonts w:hint="eastAsia" w:ascii="宋体" w:hAnsi="宋体" w:eastAsia="宋体" w:cs="宋体"/>
          <w:b w:val="0"/>
          <w:bCs/>
          <w:color w:val="auto"/>
          <w:szCs w:val="24"/>
        </w:rPr>
      </w:pPr>
      <w:r>
        <w:rPr>
          <w:rFonts w:hint="eastAsia" w:ascii="宋体" w:hAnsi="宋体" w:eastAsia="宋体" w:cs="宋体"/>
          <w:b w:val="0"/>
          <w:bCs/>
          <w:color w:val="auto"/>
          <w:szCs w:val="24"/>
        </w:rPr>
        <w:t>(2)Microbiology, Himalayan Institute of Medical Sciences, Dehradun, IND.</w:t>
      </w:r>
    </w:p>
    <w:p w14:paraId="417CA9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(3)Pulmonology, Shri Guru Ram Rai Institute of Medical and Health Sciences, </w:t>
      </w:r>
    </w:p>
    <w:p w14:paraId="0279B93B">
      <w:pPr>
        <w:rPr>
          <w:rFonts w:hint="eastAsia" w:ascii="宋体" w:hAnsi="宋体" w:eastAsia="宋体" w:cs="宋体"/>
          <w:b w:val="0"/>
          <w:bCs/>
          <w:color w:val="auto"/>
          <w:szCs w:val="24"/>
        </w:rPr>
      </w:pPr>
      <w:r>
        <w:rPr>
          <w:rFonts w:hint="eastAsia" w:ascii="宋体" w:hAnsi="宋体" w:eastAsia="宋体" w:cs="宋体"/>
          <w:b w:val="0"/>
          <w:bCs/>
          <w:color w:val="auto"/>
          <w:szCs w:val="24"/>
        </w:rPr>
        <w:t>Dehradun, IND.</w:t>
      </w:r>
    </w:p>
    <w:p w14:paraId="68A025C9">
      <w:pPr>
        <w:rPr>
          <w:rFonts w:hint="eastAsia" w:ascii="宋体" w:hAnsi="宋体" w:eastAsia="宋体" w:cs="宋体"/>
          <w:b w:val="0"/>
          <w:bCs/>
          <w:color w:val="auto"/>
          <w:szCs w:val="24"/>
        </w:rPr>
      </w:pPr>
    </w:p>
    <w:p w14:paraId="054CD3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Introduction Tuberculosis (TB) remains a major global health problem, and the </w:t>
      </w:r>
    </w:p>
    <w:p w14:paraId="677DEB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emergence of drug-resistant Mycobacterium tuberculosis poses a significant </w:t>
      </w:r>
    </w:p>
    <w:p w14:paraId="450F9C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challenge to disease control. Rifampicin resistance, which is predominantly </w:t>
      </w:r>
    </w:p>
    <w:p w14:paraId="3C3E86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a mutation in the rpoB gene, serves as a key marker for </w:t>
      </w:r>
    </w:p>
    <w:p w14:paraId="2E358B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multidrug-resistant tuberculosis (MDR-TB). Early molecular detection of </w:t>
      </w:r>
    </w:p>
    <w:p w14:paraId="133B4F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rifampicin resistance is essential for timely initiation of appropriate therapy </w:t>
      </w:r>
    </w:p>
    <w:p w14:paraId="3F41F1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prevention of disease transmission. Objective To determine the prevalence of </w:t>
      </w:r>
    </w:p>
    <w:p w14:paraId="497083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rpoB gene mutation associated with rifampicin resistance among patients with </w:t>
      </w:r>
    </w:p>
    <w:p w14:paraId="0C3D6D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and to evaluate associated demographic and clinical risk factors in </w:t>
      </w:r>
    </w:p>
    <w:p w14:paraId="47A064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tertiary care hospital setting. Materials and methods This prospective </w:t>
      </w:r>
    </w:p>
    <w:p w14:paraId="41D6B7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cross-sectional study was conducted over 18 months (July 2024-January 2026) in </w:t>
      </w:r>
    </w:p>
    <w:p w14:paraId="385B1E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Departments of Microbiology and Pulmonary Medicine at SGRR Institute of </w:t>
      </w:r>
    </w:p>
    <w:p w14:paraId="31E112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Medical and Health Sciences, Dehradun. Seventy patients with microbiologically </w:t>
      </w:r>
    </w:p>
    <w:p w14:paraId="40D452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confirmed tuberculosis were enrolled. Clinical specimens were processed using </w:t>
      </w:r>
    </w:p>
    <w:p w14:paraId="0E547E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N-acetyl-L-cysteine-sodium hydroxide method. Detection of Mycobacterium </w:t>
      </w:r>
    </w:p>
    <w:p w14:paraId="1AC41C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was performed using the RT-PCR technique with Truenat kit (3B </w:t>
      </w:r>
    </w:p>
    <w:p w14:paraId="62D019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BlackBio Dx, India). DNA extracted using the QIAamp DNA Mini Kit was subjected </w:t>
      </w:r>
    </w:p>
    <w:p w14:paraId="18B190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allele-specific polymerase chain reaction (PCR) targeting a 531 specific </w:t>
      </w:r>
    </w:p>
    <w:p w14:paraId="04214E6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codon of the rpoB gene. Amplified products were analyzed by agarose gel </w:t>
      </w:r>
    </w:p>
    <w:p w14:paraId="2B9E08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electrophoresis. Statistical analysis was performed using IBM SPSS Statistics </w:t>
      </w:r>
    </w:p>
    <w:p w14:paraId="14D2C1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version 27.0 (IBM Corp., Armonk, NY, USA), and a p-value &lt;0.05 was considered </w:t>
      </w:r>
    </w:p>
    <w:p w14:paraId="715BBC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statistically significant. Results The majority of patients belonged to the </w:t>
      </w:r>
    </w:p>
    <w:p w14:paraId="2E6ED7B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31-45 years age group (24, 34.3%), and males constituted 45 (64.3%) of the study </w:t>
      </w:r>
    </w:p>
    <w:p w14:paraId="518298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population. Pulmonary tuberculosis accounted for 98.6% of cases. rpoB gene </w:t>
      </w:r>
    </w:p>
    <w:p w14:paraId="4BE1D3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mutations indicative of rifampicin resistance were detected in 5 of 70 </w:t>
      </w:r>
    </w:p>
    <w:p w14:paraId="5B9172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yielding a prevalence of 7.1%. All mutation-positive cases were </w:t>
      </w:r>
    </w:p>
    <w:p w14:paraId="5D070A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observed among pulmonary TB patients. Although higher proportions of rpoB </w:t>
      </w:r>
    </w:p>
    <w:p w14:paraId="77BDED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mutation were noted among previously treated patients (3, 21.4%) (n=14), those </w:t>
      </w:r>
    </w:p>
    <w:p w14:paraId="2AA39D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treatment default history (2, 40.0%) (n=5), patients with cavitary disease </w:t>
      </w:r>
    </w:p>
    <w:p w14:paraId="015DB9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on chest radiography (4, 21.1%) (n=19), HIV co-infected individuals (1, 16.7%) </w:t>
      </w:r>
    </w:p>
    <w:p w14:paraId="2AD9E4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(n=6), and diabetic patients (2, 11.1%) (n=18). However, none of these </w:t>
      </w:r>
    </w:p>
    <w:p w14:paraId="278BA1B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associations was statistically significant (p&gt;0.05). Conclusion Rifampicin </w:t>
      </w:r>
    </w:p>
    <w:p w14:paraId="009082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resistance mediated by rpoB gene mutation was identified in 7.1% of tuberculosis </w:t>
      </w:r>
    </w:p>
    <w:p w14:paraId="26949C1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in the present study. Higher frequencies among previously treated </w:t>
      </w:r>
    </w:p>
    <w:p w14:paraId="5CE631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and those with cavitary disease were observed; however, no </w:t>
      </w:r>
    </w:p>
    <w:p w14:paraId="0BEF35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statistically significant associations with the evaluated risk factors could be </w:t>
      </w:r>
    </w:p>
    <w:p w14:paraId="4274F9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deduced. Early molecular detection of rifampicin resistance and focused </w:t>
      </w:r>
    </w:p>
    <w:p w14:paraId="20B3C2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screening of high-risk groups are crucial for strengthening tuberculosis control </w:t>
      </w:r>
    </w:p>
    <w:p w14:paraId="3F3318A3">
      <w:pPr>
        <w:rPr>
          <w:rFonts w:hint="eastAsia" w:ascii="宋体" w:hAnsi="宋体" w:eastAsia="宋体" w:cs="宋体"/>
          <w:b w:val="0"/>
          <w:bCs/>
          <w:color w:val="auto"/>
          <w:szCs w:val="24"/>
        </w:rPr>
      </w:pPr>
      <w:r>
        <w:rPr>
          <w:rFonts w:hint="eastAsia" w:ascii="宋体" w:hAnsi="宋体" w:eastAsia="宋体" w:cs="宋体"/>
          <w:b w:val="0"/>
          <w:bCs/>
          <w:color w:val="auto"/>
          <w:szCs w:val="24"/>
        </w:rPr>
        <w:t>and improving clinical outcomes.</w:t>
      </w:r>
    </w:p>
    <w:p w14:paraId="1B0DC683">
      <w:pPr>
        <w:rPr>
          <w:rFonts w:hint="eastAsia" w:ascii="宋体" w:hAnsi="宋体" w:eastAsia="宋体" w:cs="宋体"/>
          <w:b w:val="0"/>
          <w:bCs/>
          <w:color w:val="auto"/>
          <w:szCs w:val="24"/>
        </w:rPr>
      </w:pPr>
    </w:p>
    <w:p w14:paraId="5458DE81">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Negi et al.</w:t>
      </w:r>
    </w:p>
    <w:p w14:paraId="18CCD943">
      <w:pPr>
        <w:rPr>
          <w:rFonts w:hint="eastAsia" w:ascii="宋体" w:hAnsi="宋体" w:eastAsia="宋体" w:cs="宋体"/>
          <w:b w:val="0"/>
          <w:bCs/>
          <w:color w:val="auto"/>
          <w:szCs w:val="24"/>
        </w:rPr>
      </w:pPr>
    </w:p>
    <w:p w14:paraId="13E55CD0">
      <w:pPr>
        <w:rPr>
          <w:rFonts w:hint="eastAsia" w:ascii="宋体" w:hAnsi="宋体" w:eastAsia="宋体" w:cs="宋体"/>
          <w:b w:val="0"/>
          <w:bCs/>
          <w:color w:val="auto"/>
          <w:szCs w:val="24"/>
        </w:rPr>
      </w:pPr>
      <w:r>
        <w:rPr>
          <w:rFonts w:hint="eastAsia" w:ascii="宋体" w:hAnsi="宋体" w:eastAsia="宋体" w:cs="宋体"/>
          <w:b w:val="0"/>
          <w:bCs/>
          <w:color w:val="auto"/>
          <w:szCs w:val="24"/>
        </w:rPr>
        <w:t>DOI: 10.7759/cureus.114330</w:t>
      </w:r>
    </w:p>
    <w:p w14:paraId="497561A0">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PMC13559934</w:t>
      </w:r>
    </w:p>
    <w:p w14:paraId="396497A2">
      <w:pPr>
        <w:rPr>
          <w:rFonts w:hint="eastAsia" w:ascii="宋体" w:hAnsi="宋体" w:eastAsia="宋体" w:cs="宋体"/>
          <w:b w:val="0"/>
          <w:bCs/>
          <w:color w:val="auto"/>
          <w:szCs w:val="24"/>
        </w:rPr>
      </w:pPr>
      <w:r>
        <w:rPr>
          <w:rFonts w:hint="eastAsia" w:ascii="宋体" w:hAnsi="宋体" w:eastAsia="宋体" w:cs="宋体"/>
          <w:b w:val="0"/>
          <w:bCs/>
          <w:color w:val="auto"/>
          <w:szCs w:val="24"/>
        </w:rPr>
        <w:t>PMID: 42725002</w:t>
      </w:r>
    </w:p>
    <w:p w14:paraId="56F3820A">
      <w:pPr>
        <w:rPr>
          <w:rFonts w:hint="eastAsia" w:ascii="宋体" w:hAnsi="宋体" w:eastAsia="宋体" w:cs="宋体"/>
          <w:b w:val="0"/>
          <w:bCs/>
          <w:color w:val="auto"/>
          <w:szCs w:val="24"/>
        </w:rPr>
      </w:pPr>
    </w:p>
    <w:p w14:paraId="28970D4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63</w:t>
      </w:r>
      <w:r>
        <w:rPr>
          <w:rFonts w:hint="eastAsia" w:ascii="宋体" w:hAnsi="宋体" w:eastAsia="宋体" w:cs="宋体"/>
          <w:b/>
          <w:bCs w:val="0"/>
          <w:color w:val="FF0000"/>
          <w:szCs w:val="24"/>
        </w:rPr>
        <w:t xml:space="preserve">. Front Vet Sci. 2026 Aug 27;13:1901413. doi: 10.3389/fvets.2026.1901413. </w:t>
      </w:r>
    </w:p>
    <w:p w14:paraId="221C1567">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55E5689C">
      <w:pPr>
        <w:rPr>
          <w:rFonts w:hint="eastAsia" w:ascii="宋体" w:hAnsi="宋体" w:eastAsia="宋体" w:cs="宋体"/>
          <w:b w:val="0"/>
          <w:bCs/>
          <w:color w:val="auto"/>
          <w:szCs w:val="24"/>
        </w:rPr>
      </w:pPr>
    </w:p>
    <w:p w14:paraId="73C5AA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Vaccinating wild badgers against bovine tuberculosis: an overview of 16 years of </w:t>
      </w:r>
    </w:p>
    <w:p w14:paraId="015E7218">
      <w:pPr>
        <w:rPr>
          <w:rFonts w:hint="eastAsia" w:ascii="宋体" w:hAnsi="宋体" w:eastAsia="宋体" w:cs="宋体"/>
          <w:b w:val="0"/>
          <w:bCs/>
          <w:color w:val="auto"/>
          <w:szCs w:val="24"/>
        </w:rPr>
      </w:pPr>
      <w:r>
        <w:rPr>
          <w:rFonts w:hint="eastAsia" w:ascii="宋体" w:hAnsi="宋体" w:eastAsia="宋体" w:cs="宋体"/>
          <w:b w:val="0"/>
          <w:bCs/>
          <w:color w:val="auto"/>
          <w:szCs w:val="24"/>
        </w:rPr>
        <w:t>vaccine delivery in England.</w:t>
      </w:r>
    </w:p>
    <w:p w14:paraId="416FC3D2">
      <w:pPr>
        <w:rPr>
          <w:rFonts w:hint="eastAsia" w:ascii="宋体" w:hAnsi="宋体" w:eastAsia="宋体" w:cs="宋体"/>
          <w:b w:val="0"/>
          <w:bCs/>
          <w:color w:val="auto"/>
          <w:szCs w:val="24"/>
        </w:rPr>
      </w:pPr>
    </w:p>
    <w:p w14:paraId="7642CAAB">
      <w:pPr>
        <w:rPr>
          <w:rFonts w:hint="eastAsia" w:ascii="宋体" w:hAnsi="宋体" w:eastAsia="宋体" w:cs="宋体"/>
          <w:b w:val="0"/>
          <w:bCs/>
          <w:color w:val="auto"/>
          <w:szCs w:val="24"/>
        </w:rPr>
      </w:pPr>
      <w:r>
        <w:rPr>
          <w:rFonts w:hint="eastAsia" w:ascii="宋体" w:hAnsi="宋体" w:eastAsia="宋体" w:cs="宋体"/>
          <w:b w:val="0"/>
          <w:bCs/>
          <w:color w:val="auto"/>
          <w:szCs w:val="24"/>
        </w:rPr>
        <w:t>Robertson A(#)(1), Benton CH(#)(2).</w:t>
      </w:r>
    </w:p>
    <w:p w14:paraId="4DA4914D">
      <w:pPr>
        <w:rPr>
          <w:rFonts w:hint="eastAsia" w:ascii="宋体" w:hAnsi="宋体" w:eastAsia="宋体" w:cs="宋体"/>
          <w:b w:val="0"/>
          <w:bCs/>
          <w:color w:val="auto"/>
          <w:szCs w:val="24"/>
        </w:rPr>
      </w:pPr>
    </w:p>
    <w:p w14:paraId="308CAD58">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73F1282">
      <w:pPr>
        <w:rPr>
          <w:rFonts w:hint="eastAsia" w:ascii="宋体" w:hAnsi="宋体" w:eastAsia="宋体" w:cs="宋体"/>
          <w:b w:val="0"/>
          <w:bCs/>
          <w:color w:val="auto"/>
          <w:szCs w:val="24"/>
        </w:rPr>
      </w:pPr>
      <w:r>
        <w:rPr>
          <w:rFonts w:hint="eastAsia" w:ascii="宋体" w:hAnsi="宋体" w:eastAsia="宋体" w:cs="宋体"/>
          <w:b w:val="0"/>
          <w:bCs/>
          <w:color w:val="auto"/>
          <w:szCs w:val="24"/>
        </w:rPr>
        <w:t>(1)Department for Environment, Food and Rural Affairs, Bristol, United Kingdom.</w:t>
      </w:r>
    </w:p>
    <w:p w14:paraId="4312D8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(2)Animal and Plant Health Agency, National Wildlife Management Centre, </w:t>
      </w:r>
    </w:p>
    <w:p w14:paraId="76957B56">
      <w:pPr>
        <w:rPr>
          <w:rFonts w:hint="eastAsia" w:ascii="宋体" w:hAnsi="宋体" w:eastAsia="宋体" w:cs="宋体"/>
          <w:b w:val="0"/>
          <w:bCs/>
          <w:color w:val="auto"/>
          <w:szCs w:val="24"/>
        </w:rPr>
      </w:pPr>
      <w:r>
        <w:rPr>
          <w:rFonts w:hint="eastAsia" w:ascii="宋体" w:hAnsi="宋体" w:eastAsia="宋体" w:cs="宋体"/>
          <w:b w:val="0"/>
          <w:bCs/>
          <w:color w:val="auto"/>
          <w:szCs w:val="24"/>
        </w:rPr>
        <w:t>Gloucestershire, United Kingdom.</w:t>
      </w:r>
    </w:p>
    <w:p w14:paraId="664820DF">
      <w:pPr>
        <w:rPr>
          <w:rFonts w:hint="eastAsia" w:ascii="宋体" w:hAnsi="宋体" w:eastAsia="宋体" w:cs="宋体"/>
          <w:b w:val="0"/>
          <w:bCs/>
          <w:color w:val="auto"/>
          <w:szCs w:val="24"/>
        </w:rPr>
      </w:pPr>
      <w:r>
        <w:rPr>
          <w:rFonts w:hint="eastAsia" w:ascii="宋体" w:hAnsi="宋体" w:eastAsia="宋体" w:cs="宋体"/>
          <w:b w:val="0"/>
          <w:bCs/>
          <w:color w:val="auto"/>
          <w:szCs w:val="24"/>
        </w:rPr>
        <w:t>(#)Contributed equally</w:t>
      </w:r>
    </w:p>
    <w:p w14:paraId="4FA08391">
      <w:pPr>
        <w:rPr>
          <w:rFonts w:hint="eastAsia" w:ascii="宋体" w:hAnsi="宋体" w:eastAsia="宋体" w:cs="宋体"/>
          <w:b w:val="0"/>
          <w:bCs/>
          <w:color w:val="auto"/>
          <w:szCs w:val="24"/>
        </w:rPr>
      </w:pPr>
    </w:p>
    <w:p w14:paraId="69C0996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INTRODUCTION: </w:t>
      </w:r>
      <w:r>
        <w:rPr>
          <w:rFonts w:hint="eastAsia" w:ascii="宋体" w:hAnsi="宋体" w:eastAsia="宋体" w:cs="宋体"/>
          <w:b w:val="0"/>
          <w:bCs/>
          <w:color w:val="auto"/>
          <w:szCs w:val="24"/>
        </w:rPr>
        <w:t xml:space="preserve">The European badger (Meles meles) is wildlife host for </w:t>
      </w:r>
    </w:p>
    <w:p w14:paraId="7E50291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bovis (bovine tuberculosis) in the UK and several European </w:t>
      </w:r>
    </w:p>
    <w:p w14:paraId="5DDEEA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countries, complicating efforts to control the disease in livestock. Badger </w:t>
      </w:r>
    </w:p>
    <w:p w14:paraId="02FF99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vaccination using the injectable BadgerBCG vaccine has been available in England </w:t>
      </w:r>
    </w:p>
    <w:p w14:paraId="157559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since 2010 as a non-lethal tool to reduce TB transmission in badger populations </w:t>
      </w:r>
    </w:p>
    <w:p w14:paraId="09274F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reduce risks to cattle. Despite long-standing interest, national deployment </w:t>
      </w:r>
    </w:p>
    <w:p w14:paraId="5E510F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has historically been limited, and questions remain about operational </w:t>
      </w:r>
    </w:p>
    <w:p w14:paraId="4984320C">
      <w:pPr>
        <w:rPr>
          <w:rFonts w:hint="eastAsia" w:ascii="宋体" w:hAnsi="宋体" w:eastAsia="宋体" w:cs="宋体"/>
          <w:b w:val="0"/>
          <w:bCs/>
          <w:color w:val="auto"/>
          <w:szCs w:val="24"/>
        </w:rPr>
      </w:pPr>
      <w:r>
        <w:rPr>
          <w:rFonts w:hint="eastAsia" w:ascii="宋体" w:hAnsi="宋体" w:eastAsia="宋体" w:cs="宋体"/>
          <w:b w:val="0"/>
          <w:bCs/>
          <w:color w:val="auto"/>
          <w:szCs w:val="24"/>
        </w:rPr>
        <w:t>feasibility.</w:t>
      </w:r>
    </w:p>
    <w:p w14:paraId="57E0DE67">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Here we provide a comprehensive overview of 16 years of badger </w:t>
      </w:r>
    </w:p>
    <w:p w14:paraId="0F557C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vaccination delivery in England, summarizing national deployment trends, </w:t>
      </w:r>
    </w:p>
    <w:p w14:paraId="2425DA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geographical expansion, recorded welfare-related observations, operational </w:t>
      </w:r>
    </w:p>
    <w:p w14:paraId="603926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efficiency in government led programmes, and the effects of culling history on </w:t>
      </w:r>
    </w:p>
    <w:p w14:paraId="412DB752">
      <w:pPr>
        <w:rPr>
          <w:rFonts w:hint="eastAsia" w:ascii="宋体" w:hAnsi="宋体" w:eastAsia="宋体" w:cs="宋体"/>
          <w:b w:val="0"/>
          <w:bCs/>
          <w:color w:val="auto"/>
          <w:szCs w:val="24"/>
        </w:rPr>
      </w:pPr>
      <w:r>
        <w:rPr>
          <w:rFonts w:hint="eastAsia" w:ascii="宋体" w:hAnsi="宋体" w:eastAsia="宋体" w:cs="宋体"/>
          <w:b w:val="0"/>
          <w:bCs/>
          <w:color w:val="auto"/>
          <w:szCs w:val="24"/>
        </w:rPr>
        <w:t>trapping success.</w:t>
      </w:r>
    </w:p>
    <w:p w14:paraId="1344045C">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From 2010 to 25 there were 84,085 trap nights, resulting in 25,692 </w:t>
      </w:r>
    </w:p>
    <w:p w14:paraId="478026F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vaccine doses administered to wild badgers in England. Visual welfare </w:t>
      </w:r>
    </w:p>
    <w:p w14:paraId="384D3B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assessments by lay vaccinators recorded &gt;99% of badgers as normal for demeanor, </w:t>
      </w:r>
    </w:p>
    <w:p w14:paraId="63C95D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respiration, condition, and movement. Minor injuries such as abrasions to the </w:t>
      </w:r>
    </w:p>
    <w:p w14:paraId="0175F9E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forelimbs were recorded in 4.2% of badgers with serious injuries extremely rare </w:t>
      </w:r>
    </w:p>
    <w:p w14:paraId="3B4557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(0.03% of captures) and veterinary callouts required in only 0.04% of events. </w:t>
      </w:r>
    </w:p>
    <w:p w14:paraId="58BAB7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Trapping efficiency varied by month and trap location and was significantly </w:t>
      </w:r>
    </w:p>
    <w:p w14:paraId="3C7B8A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higher in unculled populations, than those where culling had recently taken </w:t>
      </w:r>
    </w:p>
    <w:p w14:paraId="113F9B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place. In post-cull areas, trapping success increased steadily with time, which </w:t>
      </w:r>
    </w:p>
    <w:p w14:paraId="363A6313">
      <w:pPr>
        <w:rPr>
          <w:rFonts w:hint="eastAsia" w:ascii="宋体" w:hAnsi="宋体" w:eastAsia="宋体" w:cs="宋体"/>
          <w:b w:val="0"/>
          <w:bCs/>
          <w:color w:val="auto"/>
          <w:szCs w:val="24"/>
        </w:rPr>
      </w:pPr>
      <w:r>
        <w:rPr>
          <w:rFonts w:hint="eastAsia" w:ascii="宋体" w:hAnsi="宋体" w:eastAsia="宋体" w:cs="宋体"/>
          <w:b w:val="0"/>
          <w:bCs/>
          <w:color w:val="auto"/>
          <w:szCs w:val="24"/>
        </w:rPr>
        <w:t>may suggest partial population recovery and increasing trap encounter rates.</w:t>
      </w:r>
    </w:p>
    <w:p w14:paraId="080D99DB">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DISCUSSION: </w:t>
      </w:r>
      <w:r>
        <w:rPr>
          <w:rFonts w:hint="eastAsia" w:ascii="宋体" w:hAnsi="宋体" w:eastAsia="宋体" w:cs="宋体"/>
          <w:b w:val="0"/>
          <w:bCs/>
          <w:color w:val="auto"/>
          <w:szCs w:val="24"/>
        </w:rPr>
        <w:t xml:space="preserve">These results show that badger vaccination in England has expanded </w:t>
      </w:r>
    </w:p>
    <w:p w14:paraId="7B3B37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substantially and can be delivered across diverse landscapes, including areas </w:t>
      </w:r>
    </w:p>
    <w:p w14:paraId="27A690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recently subject to culling. While vaccination using traps is unlikely to become </w:t>
      </w:r>
    </w:p>
    <w:p w14:paraId="2B3AE1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landscape-wide tool due to costs and logistical constraints, it can act as a </w:t>
      </w:r>
    </w:p>
    <w:p w14:paraId="196806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targeted intervention in areas where badgers contribute meaningfully to disease </w:t>
      </w:r>
    </w:p>
    <w:p w14:paraId="155E8D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transmission. These findings provide robust operational evidence to inform </w:t>
      </w:r>
    </w:p>
    <w:p w14:paraId="309991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policy and support the strategic deployment of badger vaccination as part of </w:t>
      </w:r>
    </w:p>
    <w:p w14:paraId="0B557E8E">
      <w:pPr>
        <w:rPr>
          <w:rFonts w:hint="eastAsia" w:ascii="宋体" w:hAnsi="宋体" w:eastAsia="宋体" w:cs="宋体"/>
          <w:b w:val="0"/>
          <w:bCs/>
          <w:color w:val="auto"/>
          <w:szCs w:val="24"/>
        </w:rPr>
      </w:pPr>
      <w:r>
        <w:rPr>
          <w:rFonts w:hint="eastAsia" w:ascii="宋体" w:hAnsi="宋体" w:eastAsia="宋体" w:cs="宋体"/>
          <w:b w:val="0"/>
          <w:bCs/>
          <w:color w:val="auto"/>
          <w:szCs w:val="24"/>
        </w:rPr>
        <w:t>England's evolving bTB control strategy.</w:t>
      </w:r>
    </w:p>
    <w:p w14:paraId="3B846925">
      <w:pPr>
        <w:rPr>
          <w:rFonts w:hint="eastAsia" w:ascii="宋体" w:hAnsi="宋体" w:eastAsia="宋体" w:cs="宋体"/>
          <w:b w:val="0"/>
          <w:bCs/>
          <w:color w:val="auto"/>
          <w:szCs w:val="24"/>
        </w:rPr>
      </w:pPr>
    </w:p>
    <w:p w14:paraId="22EC7607">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Robertson and Benton.</w:t>
      </w:r>
    </w:p>
    <w:p w14:paraId="61207600">
      <w:pPr>
        <w:rPr>
          <w:rFonts w:hint="eastAsia" w:ascii="宋体" w:hAnsi="宋体" w:eastAsia="宋体" w:cs="宋体"/>
          <w:b w:val="0"/>
          <w:bCs/>
          <w:color w:val="auto"/>
          <w:szCs w:val="24"/>
        </w:rPr>
      </w:pPr>
    </w:p>
    <w:p w14:paraId="286708FB">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10.3389/fvets.2026.1901413</w:t>
      </w:r>
    </w:p>
    <w:p w14:paraId="51B889FF">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PMC13560776</w:t>
      </w:r>
    </w:p>
    <w:p w14:paraId="68DAABFB">
      <w:pPr>
        <w:rPr>
          <w:rFonts w:hint="eastAsia" w:ascii="宋体" w:hAnsi="宋体" w:eastAsia="宋体" w:cs="宋体"/>
          <w:b w:val="0"/>
          <w:bCs/>
          <w:color w:val="auto"/>
          <w:szCs w:val="24"/>
        </w:rPr>
      </w:pPr>
      <w:r>
        <w:rPr>
          <w:rFonts w:hint="eastAsia" w:ascii="宋体" w:hAnsi="宋体" w:eastAsia="宋体" w:cs="宋体"/>
          <w:b w:val="0"/>
          <w:bCs/>
          <w:color w:val="auto"/>
          <w:szCs w:val="24"/>
        </w:rPr>
        <w:t>PMID: 42724695</w:t>
      </w:r>
    </w:p>
    <w:p w14:paraId="5ADD24EA">
      <w:pPr>
        <w:rPr>
          <w:rFonts w:hint="eastAsia" w:ascii="宋体" w:hAnsi="宋体" w:eastAsia="宋体" w:cs="宋体"/>
          <w:b w:val="0"/>
          <w:bCs/>
          <w:color w:val="auto"/>
          <w:szCs w:val="24"/>
        </w:rPr>
      </w:pPr>
    </w:p>
    <w:p w14:paraId="643A77D4">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64</w:t>
      </w:r>
      <w:r>
        <w:rPr>
          <w:rFonts w:hint="eastAsia" w:ascii="宋体" w:hAnsi="宋体" w:eastAsia="宋体" w:cs="宋体"/>
          <w:b/>
          <w:bCs w:val="0"/>
          <w:color w:val="FF0000"/>
          <w:szCs w:val="24"/>
        </w:rPr>
        <w:t>. Narra J. 2026 Aug;6(2):e3004. doi: 10.52225/narra.v6i2.3004. Epub 2026 May 25.</w:t>
      </w:r>
    </w:p>
    <w:p w14:paraId="12B8BA6A">
      <w:pPr>
        <w:rPr>
          <w:rFonts w:hint="eastAsia" w:ascii="宋体" w:hAnsi="宋体" w:eastAsia="宋体" w:cs="宋体"/>
          <w:b w:val="0"/>
          <w:bCs/>
          <w:color w:val="auto"/>
          <w:szCs w:val="24"/>
        </w:rPr>
      </w:pPr>
    </w:p>
    <w:p w14:paraId="0478CE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 tuberculosis incidence and its macrostructural determinants: A hybrid </w:t>
      </w:r>
    </w:p>
    <w:p w14:paraId="7A8168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Explainable Boosting Machine-Bayesian Structural Equation Modeling analysis of </w:t>
      </w:r>
    </w:p>
    <w:p w14:paraId="59A72FA8">
      <w:pPr>
        <w:rPr>
          <w:rFonts w:hint="eastAsia" w:ascii="宋体" w:hAnsi="宋体" w:eastAsia="宋体" w:cs="宋体"/>
          <w:b w:val="0"/>
          <w:bCs/>
          <w:color w:val="auto"/>
          <w:szCs w:val="24"/>
        </w:rPr>
      </w:pPr>
      <w:r>
        <w:rPr>
          <w:rFonts w:hint="eastAsia" w:ascii="宋体" w:hAnsi="宋体" w:eastAsia="宋体" w:cs="宋体"/>
          <w:b w:val="0"/>
          <w:bCs/>
          <w:color w:val="auto"/>
          <w:szCs w:val="24"/>
        </w:rPr>
        <w:t>socioeconomic, health system, and population-risk pathways.</w:t>
      </w:r>
    </w:p>
    <w:p w14:paraId="10663EF5">
      <w:pPr>
        <w:rPr>
          <w:rFonts w:hint="eastAsia" w:ascii="宋体" w:hAnsi="宋体" w:eastAsia="宋体" w:cs="宋体"/>
          <w:b w:val="0"/>
          <w:bCs/>
          <w:color w:val="auto"/>
          <w:szCs w:val="24"/>
        </w:rPr>
      </w:pPr>
    </w:p>
    <w:p w14:paraId="52C56302">
      <w:pPr>
        <w:rPr>
          <w:rFonts w:hint="eastAsia" w:ascii="宋体" w:hAnsi="宋体" w:eastAsia="宋体" w:cs="宋体"/>
          <w:b w:val="0"/>
          <w:bCs/>
          <w:color w:val="auto"/>
          <w:szCs w:val="24"/>
        </w:rPr>
      </w:pPr>
      <w:r>
        <w:rPr>
          <w:rFonts w:hint="eastAsia" w:ascii="宋体" w:hAnsi="宋体" w:eastAsia="宋体" w:cs="宋体"/>
          <w:b w:val="0"/>
          <w:bCs/>
          <w:color w:val="auto"/>
          <w:szCs w:val="24"/>
        </w:rPr>
        <w:t>Rianto L(1), Qarana GA(1), Charles C(1), Susanti Y(1).</w:t>
      </w:r>
    </w:p>
    <w:p w14:paraId="6C38ECA0">
      <w:pPr>
        <w:rPr>
          <w:rFonts w:hint="eastAsia" w:ascii="宋体" w:hAnsi="宋体" w:eastAsia="宋体" w:cs="宋体"/>
          <w:b w:val="0"/>
          <w:bCs/>
          <w:color w:val="auto"/>
          <w:szCs w:val="24"/>
        </w:rPr>
      </w:pPr>
    </w:p>
    <w:p w14:paraId="40CB92B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0D9F0EA">
      <w:pPr>
        <w:rPr>
          <w:rFonts w:hint="eastAsia" w:ascii="宋体" w:hAnsi="宋体" w:eastAsia="宋体" w:cs="宋体"/>
          <w:b w:val="0"/>
          <w:bCs/>
          <w:color w:val="auto"/>
          <w:szCs w:val="24"/>
        </w:rPr>
      </w:pPr>
      <w:r>
        <w:rPr>
          <w:rFonts w:hint="eastAsia" w:ascii="宋体" w:hAnsi="宋体" w:eastAsia="宋体" w:cs="宋体"/>
          <w:b w:val="0"/>
          <w:bCs/>
          <w:color w:val="auto"/>
          <w:szCs w:val="24"/>
        </w:rPr>
        <w:t>(1)Sekolah Tinggi Ilmu Kesehatan IKIFA, Jakarta, Indonesia.</w:t>
      </w:r>
    </w:p>
    <w:p w14:paraId="590A64E8">
      <w:pPr>
        <w:rPr>
          <w:rFonts w:hint="eastAsia" w:ascii="宋体" w:hAnsi="宋体" w:eastAsia="宋体" w:cs="宋体"/>
          <w:b w:val="0"/>
          <w:bCs/>
          <w:color w:val="auto"/>
          <w:szCs w:val="24"/>
        </w:rPr>
      </w:pPr>
    </w:p>
    <w:p w14:paraId="7F86AC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remains a leading infectious cause of mortality worldwide, </w:t>
      </w:r>
    </w:p>
    <w:p w14:paraId="18A408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marked cross-country disparities shaped by socioeconomic conditions, health </w:t>
      </w:r>
    </w:p>
    <w:p w14:paraId="6EB1AF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system capacity, and population-level risk factors. The aim of this study was to </w:t>
      </w:r>
    </w:p>
    <w:p w14:paraId="66D540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investigate the macrostructural determinants of global TB incidence and to </w:t>
      </w:r>
    </w:p>
    <w:p w14:paraId="424795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clarify the pathways through which socioeconomic, health system, and </w:t>
      </w:r>
    </w:p>
    <w:p w14:paraId="65A906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population-risk domains are associated with TB incidence. Country-level </w:t>
      </w:r>
    </w:p>
    <w:p w14:paraId="49E593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secondary data were obtained from WHO, World Bank Open Data, and UNDP. A hybrid </w:t>
      </w:r>
    </w:p>
    <w:p w14:paraId="6611412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analytical framework was applied in two stages. First, EBM was used to identify </w:t>
      </w:r>
    </w:p>
    <w:p w14:paraId="1A61E5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non-linear predictor signals and rank the relative importance of macrostructural </w:t>
      </w:r>
    </w:p>
    <w:p w14:paraId="289419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determinants of TB incidence. Second, the empirically derived predictors were </w:t>
      </w:r>
    </w:p>
    <w:p w14:paraId="39DD77B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translated into BSEM to estimate latent measurement structures and structural </w:t>
      </w:r>
    </w:p>
    <w:p w14:paraId="78F8B4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pathways toward TB burden. A total of 172 countries were included in the final </w:t>
      </w:r>
    </w:p>
    <w:p w14:paraId="6C6CF1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analytical dataset. In the EBM phase, the strongest predictor signal was </w:t>
      </w:r>
    </w:p>
    <w:p w14:paraId="69524F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observed for Education Index, followed by diabetes prevalence, HIV incidence, TB </w:t>
      </w:r>
    </w:p>
    <w:p w14:paraId="24630FE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case detection rate, BCG coverage, and physician density. These signals were </w:t>
      </w:r>
    </w:p>
    <w:p w14:paraId="691207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subsequently mapped into three latent constructs: socioeconomic conditions, </w:t>
      </w:r>
    </w:p>
    <w:p w14:paraId="769A7F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health system capacity, and population-level health risk. In the final BSEM </w:t>
      </w:r>
    </w:p>
    <w:p w14:paraId="0EE922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 socioeconomic showed the strongest association with health system </w:t>
      </w:r>
    </w:p>
    <w:p w14:paraId="2BC550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capacity (β=0.62), indicating that stronger socioeconomic conditions were </w:t>
      </w:r>
    </w:p>
    <w:p w14:paraId="4DE625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greater TB-relevant service capacity. Health system was </w:t>
      </w:r>
    </w:p>
    <w:p w14:paraId="4E2DCD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subsequently associated with lower TB incidence (β=-0.26). Direct associations </w:t>
      </w:r>
    </w:p>
    <w:p w14:paraId="305EAF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TB incidence were also observed for socioeconomic (β=-0.46) and health risk </w:t>
      </w:r>
    </w:p>
    <w:p w14:paraId="6532CF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(β=-0.33), although the health risk pathway required cautious interpretation </w:t>
      </w:r>
    </w:p>
    <w:p w14:paraId="05AD89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because of limited latent coherence at the country level. The final model </w:t>
      </w:r>
    </w:p>
    <w:p w14:paraId="3811F1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explained a substantial proportion of cross-country variation in TB incidence </w:t>
      </w:r>
    </w:p>
    <w:p w14:paraId="4E6782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(posterior R2=0.53). These findings indicate that the global TB burden is shaped </w:t>
      </w:r>
    </w:p>
    <w:p w14:paraId="381B71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by interconnected structural pathways rather than by a single macroeconomic </w:t>
      </w:r>
    </w:p>
    <w:p w14:paraId="165128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gradient. Socioeconomic conditions appeared to influence TB burden primarily </w:t>
      </w:r>
    </w:p>
    <w:p w14:paraId="10F929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through health system capacity, particularly diagnostic reach, workforce </w:t>
      </w:r>
    </w:p>
    <w:p w14:paraId="5BA5B5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availability, case detection, and immunization coverage. The hybrid EBM-BSEM </w:t>
      </w:r>
    </w:p>
    <w:p w14:paraId="4A5EDC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framework provides an interpretable approach for identifying upstream </w:t>
      </w:r>
    </w:p>
    <w:p w14:paraId="74156B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determinants of TB burden and may support evidence-based prioritization of </w:t>
      </w:r>
    </w:p>
    <w:p w14:paraId="7BC723FB">
      <w:pPr>
        <w:rPr>
          <w:rFonts w:hint="eastAsia" w:ascii="宋体" w:hAnsi="宋体" w:eastAsia="宋体" w:cs="宋体"/>
          <w:b w:val="0"/>
          <w:bCs/>
          <w:color w:val="auto"/>
          <w:szCs w:val="24"/>
        </w:rPr>
      </w:pPr>
      <w:r>
        <w:rPr>
          <w:rFonts w:hint="eastAsia" w:ascii="宋体" w:hAnsi="宋体" w:eastAsia="宋体" w:cs="宋体"/>
          <w:b w:val="0"/>
          <w:bCs/>
          <w:color w:val="auto"/>
          <w:szCs w:val="24"/>
        </w:rPr>
        <w:t>global TB prevention strategies.</w:t>
      </w:r>
    </w:p>
    <w:p w14:paraId="49B3540D">
      <w:pPr>
        <w:rPr>
          <w:rFonts w:hint="eastAsia" w:ascii="宋体" w:hAnsi="宋体" w:eastAsia="宋体" w:cs="宋体"/>
          <w:b w:val="0"/>
          <w:bCs/>
          <w:color w:val="auto"/>
          <w:szCs w:val="24"/>
        </w:rPr>
      </w:pPr>
    </w:p>
    <w:p w14:paraId="6D4B7072">
      <w:pPr>
        <w:rPr>
          <w:rFonts w:hint="eastAsia" w:ascii="宋体" w:hAnsi="宋体" w:eastAsia="宋体" w:cs="宋体"/>
          <w:b w:val="0"/>
          <w:bCs/>
          <w:color w:val="auto"/>
          <w:szCs w:val="24"/>
        </w:rPr>
      </w:pPr>
      <w:r>
        <w:rPr>
          <w:rFonts w:hint="eastAsia" w:ascii="宋体" w:hAnsi="宋体" w:eastAsia="宋体" w:cs="宋体"/>
          <w:b w:val="0"/>
          <w:bCs/>
          <w:color w:val="auto"/>
          <w:szCs w:val="24"/>
        </w:rPr>
        <w:t>© 2026 by the authors.</w:t>
      </w:r>
    </w:p>
    <w:p w14:paraId="29FE0CA6">
      <w:pPr>
        <w:rPr>
          <w:rFonts w:hint="eastAsia" w:ascii="宋体" w:hAnsi="宋体" w:eastAsia="宋体" w:cs="宋体"/>
          <w:b w:val="0"/>
          <w:bCs/>
          <w:color w:val="auto"/>
          <w:szCs w:val="24"/>
        </w:rPr>
      </w:pPr>
    </w:p>
    <w:p w14:paraId="07CF570B">
      <w:pPr>
        <w:rPr>
          <w:rFonts w:hint="eastAsia" w:ascii="宋体" w:hAnsi="宋体" w:eastAsia="宋体" w:cs="宋体"/>
          <w:b w:val="0"/>
          <w:bCs/>
          <w:color w:val="auto"/>
          <w:szCs w:val="24"/>
        </w:rPr>
      </w:pPr>
      <w:r>
        <w:rPr>
          <w:rFonts w:hint="eastAsia" w:ascii="宋体" w:hAnsi="宋体" w:eastAsia="宋体" w:cs="宋体"/>
          <w:b w:val="0"/>
          <w:bCs/>
          <w:color w:val="auto"/>
          <w:szCs w:val="24"/>
        </w:rPr>
        <w:t>DOI: 10.52225/narra.v6i2.3004</w:t>
      </w:r>
    </w:p>
    <w:p w14:paraId="171D3F1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PMC13558895</w:t>
      </w:r>
    </w:p>
    <w:p w14:paraId="40346386">
      <w:pPr>
        <w:rPr>
          <w:rFonts w:hint="eastAsia" w:ascii="宋体" w:hAnsi="宋体" w:eastAsia="宋体" w:cs="宋体"/>
          <w:b w:val="0"/>
          <w:bCs/>
          <w:color w:val="auto"/>
          <w:szCs w:val="24"/>
        </w:rPr>
      </w:pPr>
      <w:r>
        <w:rPr>
          <w:rFonts w:hint="eastAsia" w:ascii="宋体" w:hAnsi="宋体" w:eastAsia="宋体" w:cs="宋体"/>
          <w:b w:val="0"/>
          <w:bCs/>
          <w:color w:val="auto"/>
          <w:szCs w:val="24"/>
        </w:rPr>
        <w:t>PMID: 42724010 [Indexed for MEDLINE]</w:t>
      </w:r>
    </w:p>
    <w:p w14:paraId="1462DAB7">
      <w:pPr>
        <w:rPr>
          <w:rFonts w:hint="eastAsia" w:ascii="宋体" w:hAnsi="宋体" w:eastAsia="宋体" w:cs="宋体"/>
          <w:b w:val="0"/>
          <w:bCs/>
          <w:color w:val="auto"/>
          <w:szCs w:val="24"/>
        </w:rPr>
      </w:pPr>
    </w:p>
    <w:p w14:paraId="0FC11F15">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65</w:t>
      </w:r>
      <w:r>
        <w:rPr>
          <w:rFonts w:hint="eastAsia" w:ascii="宋体" w:hAnsi="宋体" w:eastAsia="宋体" w:cs="宋体"/>
          <w:b/>
          <w:bCs w:val="0"/>
          <w:color w:val="FF0000"/>
          <w:szCs w:val="24"/>
        </w:rPr>
        <w:t xml:space="preserve">. Public Health Rev. 2026 Aug 27;47:1609466. doi: 10.3389/phrs.2026.1609466. </w:t>
      </w:r>
    </w:p>
    <w:p w14:paraId="72785EBB">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12FF0D6A">
      <w:pPr>
        <w:rPr>
          <w:rFonts w:hint="eastAsia" w:ascii="宋体" w:hAnsi="宋体" w:eastAsia="宋体" w:cs="宋体"/>
          <w:b w:val="0"/>
          <w:bCs/>
          <w:color w:val="auto"/>
          <w:szCs w:val="24"/>
        </w:rPr>
      </w:pPr>
    </w:p>
    <w:p w14:paraId="2117DE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Strengthening comprehensive tuberculosis care in Angola: a scoping review of </w:t>
      </w:r>
    </w:p>
    <w:p w14:paraId="5EE79086">
      <w:pPr>
        <w:rPr>
          <w:rFonts w:hint="eastAsia" w:ascii="宋体" w:hAnsi="宋体" w:eastAsia="宋体" w:cs="宋体"/>
          <w:b w:val="0"/>
          <w:bCs/>
          <w:color w:val="auto"/>
          <w:szCs w:val="24"/>
        </w:rPr>
      </w:pPr>
      <w:r>
        <w:rPr>
          <w:rFonts w:hint="eastAsia" w:ascii="宋体" w:hAnsi="宋体" w:eastAsia="宋体" w:cs="宋体"/>
          <w:b w:val="0"/>
          <w:bCs/>
          <w:color w:val="auto"/>
          <w:szCs w:val="24"/>
        </w:rPr>
        <w:t>strategies, challenges, and potentialities in a high-burden setting.</w:t>
      </w:r>
    </w:p>
    <w:p w14:paraId="73C8E96A">
      <w:pPr>
        <w:rPr>
          <w:rFonts w:hint="eastAsia" w:ascii="宋体" w:hAnsi="宋体" w:eastAsia="宋体" w:cs="宋体"/>
          <w:b w:val="0"/>
          <w:bCs/>
          <w:color w:val="auto"/>
          <w:szCs w:val="24"/>
        </w:rPr>
      </w:pPr>
    </w:p>
    <w:p w14:paraId="5C71BD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Caripa VCA(1)(2), Andrade-Gonçalves RLP(1), Bonfim RO(1), de Faria MGBF(1), </w:t>
      </w:r>
    </w:p>
    <w:p w14:paraId="17EB2EA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Alves YM(1), Tavares RBV(1), Teibo TKA(1), Bernardi WOB(1), Rosa RJ(1), Tártaro </w:t>
      </w:r>
    </w:p>
    <w:p w14:paraId="2C2BEBFA">
      <w:pPr>
        <w:rPr>
          <w:rFonts w:hint="eastAsia" w:ascii="宋体" w:hAnsi="宋体" w:eastAsia="宋体" w:cs="宋体"/>
          <w:b w:val="0"/>
          <w:bCs/>
          <w:color w:val="auto"/>
          <w:szCs w:val="24"/>
        </w:rPr>
      </w:pPr>
      <w:r>
        <w:rPr>
          <w:rFonts w:hint="eastAsia" w:ascii="宋体" w:hAnsi="宋体" w:eastAsia="宋体" w:cs="宋体"/>
          <w:b w:val="0"/>
          <w:bCs/>
          <w:color w:val="auto"/>
          <w:szCs w:val="24"/>
        </w:rPr>
        <w:t>AF(1), Ribeiro NM(1), Vinci ALT(1), Zini N(1), Arcêncio RA(1)(3).</w:t>
      </w:r>
    </w:p>
    <w:p w14:paraId="1B6152CB">
      <w:pPr>
        <w:rPr>
          <w:rFonts w:hint="eastAsia" w:ascii="宋体" w:hAnsi="宋体" w:eastAsia="宋体" w:cs="宋体"/>
          <w:b w:val="0"/>
          <w:bCs/>
          <w:color w:val="auto"/>
          <w:szCs w:val="24"/>
        </w:rPr>
      </w:pPr>
    </w:p>
    <w:p w14:paraId="4F60EE2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182ED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Maternal-Infant and Public Health Nursing, Ribeirão Preto </w:t>
      </w:r>
    </w:p>
    <w:p w14:paraId="0DA9F478">
      <w:pPr>
        <w:rPr>
          <w:rFonts w:hint="eastAsia" w:ascii="宋体" w:hAnsi="宋体" w:eastAsia="宋体" w:cs="宋体"/>
          <w:b w:val="0"/>
          <w:bCs/>
          <w:color w:val="auto"/>
          <w:szCs w:val="24"/>
        </w:rPr>
      </w:pPr>
      <w:r>
        <w:rPr>
          <w:rFonts w:hint="eastAsia" w:ascii="宋体" w:hAnsi="宋体" w:eastAsia="宋体" w:cs="宋体"/>
          <w:b w:val="0"/>
          <w:bCs/>
          <w:color w:val="auto"/>
          <w:szCs w:val="24"/>
        </w:rPr>
        <w:t>College of Nursing, University of São Paulo, Ribeirão Preto, Brazil.</w:t>
      </w:r>
    </w:p>
    <w:p w14:paraId="01342C62">
      <w:pPr>
        <w:rPr>
          <w:rFonts w:hint="eastAsia" w:ascii="宋体" w:hAnsi="宋体" w:eastAsia="宋体" w:cs="宋体"/>
          <w:b w:val="0"/>
          <w:bCs/>
          <w:color w:val="auto"/>
          <w:szCs w:val="24"/>
        </w:rPr>
      </w:pPr>
      <w:r>
        <w:rPr>
          <w:rFonts w:hint="eastAsia" w:ascii="宋体" w:hAnsi="宋体" w:eastAsia="宋体" w:cs="宋体"/>
          <w:b w:val="0"/>
          <w:bCs/>
          <w:color w:val="auto"/>
          <w:szCs w:val="24"/>
        </w:rPr>
        <w:t>(2)Polytechnic Institute of Saurimo, Lueji A'Nkonde University, Saurimo, Angola.</w:t>
      </w:r>
    </w:p>
    <w:p w14:paraId="1CD3A3F1">
      <w:pPr>
        <w:rPr>
          <w:rFonts w:hint="eastAsia" w:ascii="宋体" w:hAnsi="宋体" w:eastAsia="宋体" w:cs="宋体"/>
          <w:b w:val="0"/>
          <w:bCs/>
          <w:color w:val="auto"/>
          <w:szCs w:val="24"/>
        </w:rPr>
      </w:pPr>
      <w:r>
        <w:rPr>
          <w:rFonts w:hint="eastAsia" w:ascii="宋体" w:hAnsi="宋体" w:eastAsia="宋体" w:cs="宋体"/>
          <w:b w:val="0"/>
          <w:bCs/>
          <w:color w:val="auto"/>
          <w:szCs w:val="24"/>
        </w:rPr>
        <w:t>(3)Brazilian Tuberculosis Research Network (REDE-TB), Rio de Janeiro, Brazil.</w:t>
      </w:r>
    </w:p>
    <w:p w14:paraId="46C32409">
      <w:pPr>
        <w:rPr>
          <w:rFonts w:hint="eastAsia" w:ascii="宋体" w:hAnsi="宋体" w:eastAsia="宋体" w:cs="宋体"/>
          <w:b w:val="0"/>
          <w:bCs/>
          <w:color w:val="auto"/>
          <w:szCs w:val="24"/>
        </w:rPr>
      </w:pPr>
    </w:p>
    <w:p w14:paraId="378AF81E">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OBJECTIVES: </w:t>
      </w:r>
      <w:r>
        <w:rPr>
          <w:rFonts w:hint="eastAsia" w:ascii="宋体" w:hAnsi="宋体" w:eastAsia="宋体" w:cs="宋体"/>
          <w:b w:val="0"/>
          <w:bCs/>
          <w:color w:val="auto"/>
          <w:szCs w:val="24"/>
        </w:rPr>
        <w:t xml:space="preserve">To identify surveillance and care actions implemented for </w:t>
      </w:r>
    </w:p>
    <w:p w14:paraId="68A26F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control in the country, as well as to analyze factors that hinder </w:t>
      </w:r>
    </w:p>
    <w:p w14:paraId="5144BA65">
      <w:pPr>
        <w:rPr>
          <w:rFonts w:hint="eastAsia" w:ascii="宋体" w:hAnsi="宋体" w:eastAsia="宋体" w:cs="宋体"/>
          <w:b w:val="0"/>
          <w:bCs/>
          <w:color w:val="auto"/>
          <w:szCs w:val="24"/>
        </w:rPr>
      </w:pPr>
      <w:r>
        <w:rPr>
          <w:rFonts w:hint="eastAsia" w:ascii="宋体" w:hAnsi="宋体" w:eastAsia="宋体" w:cs="宋体"/>
          <w:b w:val="0"/>
          <w:bCs/>
          <w:color w:val="auto"/>
          <w:szCs w:val="24"/>
        </w:rPr>
        <w:t>or facilitate their implementation.</w:t>
      </w:r>
    </w:p>
    <w:p w14:paraId="4FC4700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This scoping review followed the methodology recommended by the Joanna </w:t>
      </w:r>
    </w:p>
    <w:p w14:paraId="516E390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Briggs Institute (JBI) Manual for Scoping Reviews and the PRISMA Extension for </w:t>
      </w:r>
    </w:p>
    <w:p w14:paraId="327833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Scoping Reviews (PRISMA-ScR). The protocol was registered in the Open Science </w:t>
      </w:r>
    </w:p>
    <w:p w14:paraId="6794D3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Framework (OSF). The review question was formulated based on the PCC acronym, </w:t>
      </w:r>
    </w:p>
    <w:p w14:paraId="4CAF65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searches were conducted in PubMed, Embase, LILACS, Web of Science, Scopus, </w:t>
      </w:r>
    </w:p>
    <w:p w14:paraId="2519FD36">
      <w:pPr>
        <w:rPr>
          <w:rFonts w:hint="eastAsia" w:ascii="宋体" w:hAnsi="宋体" w:eastAsia="宋体" w:cs="宋体"/>
          <w:b w:val="0"/>
          <w:bCs/>
          <w:color w:val="auto"/>
          <w:szCs w:val="24"/>
        </w:rPr>
      </w:pPr>
      <w:r>
        <w:rPr>
          <w:rFonts w:hint="eastAsia" w:ascii="宋体" w:hAnsi="宋体" w:eastAsia="宋体" w:cs="宋体"/>
          <w:b w:val="0"/>
          <w:bCs/>
          <w:color w:val="auto"/>
          <w:szCs w:val="24"/>
        </w:rPr>
        <w:t>and Google Scholar.</w:t>
      </w:r>
    </w:p>
    <w:p w14:paraId="729A6ABC">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Of the 564 records identified, 13 studies were included, encompassing </w:t>
      </w:r>
    </w:p>
    <w:p w14:paraId="71FB51D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24,652 participants, including adults and children. Regarding prevention, BCG </w:t>
      </w:r>
    </w:p>
    <w:p w14:paraId="4109E4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vaccination achieved approximately 90% coverage among children under 5 years of </w:t>
      </w:r>
    </w:p>
    <w:p w14:paraId="5CF0E0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age. Diagnostic approaches included clinical evaluation, chest radiography, and </w:t>
      </w:r>
    </w:p>
    <w:p w14:paraId="4BDB3D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laboratory tests (AFB smear microscopy/GeneXpert), while major challenges </w:t>
      </w:r>
    </w:p>
    <w:p w14:paraId="6C8634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included shortages of supplies (reported in 100% of the studies) and </w:t>
      </w:r>
    </w:p>
    <w:p w14:paraId="27057FBF">
      <w:pPr>
        <w:rPr>
          <w:rFonts w:hint="eastAsia" w:ascii="宋体" w:hAnsi="宋体" w:eastAsia="宋体" w:cs="宋体"/>
          <w:b w:val="0"/>
          <w:bCs/>
          <w:color w:val="auto"/>
          <w:szCs w:val="24"/>
        </w:rPr>
      </w:pPr>
      <w:r>
        <w:rPr>
          <w:rFonts w:hint="eastAsia" w:ascii="宋体" w:hAnsi="宋体" w:eastAsia="宋体" w:cs="宋体"/>
          <w:b w:val="0"/>
          <w:bCs/>
          <w:color w:val="auto"/>
          <w:szCs w:val="24"/>
        </w:rPr>
        <w:t>underreporting.</w:t>
      </w:r>
    </w:p>
    <w:p w14:paraId="2F3C8B28">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Updating guidelines, strengthening professional training, and </w:t>
      </w:r>
    </w:p>
    <w:p w14:paraId="15B7C6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expanding diagnostic and treatment services are priority measures to consolidate </w:t>
      </w:r>
    </w:p>
    <w:p w14:paraId="11F6CFF4">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 control in the country.</w:t>
      </w:r>
    </w:p>
    <w:p w14:paraId="13D4187D">
      <w:pPr>
        <w:rPr>
          <w:rFonts w:hint="eastAsia" w:ascii="宋体" w:hAnsi="宋体" w:eastAsia="宋体" w:cs="宋体"/>
          <w:b w:val="0"/>
          <w:bCs/>
          <w:color w:val="auto"/>
          <w:szCs w:val="24"/>
        </w:rPr>
      </w:pPr>
    </w:p>
    <w:p w14:paraId="54775B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Caripa, Andrade-Gonçalves, Bonfim, Faria, Alves, Tavares, </w:t>
      </w:r>
    </w:p>
    <w:p w14:paraId="6C669539">
      <w:pPr>
        <w:rPr>
          <w:rFonts w:hint="eastAsia" w:ascii="宋体" w:hAnsi="宋体" w:eastAsia="宋体" w:cs="宋体"/>
          <w:b w:val="0"/>
          <w:bCs/>
          <w:color w:val="auto"/>
          <w:szCs w:val="24"/>
        </w:rPr>
      </w:pPr>
      <w:r>
        <w:rPr>
          <w:rFonts w:hint="eastAsia" w:ascii="宋体" w:hAnsi="宋体" w:eastAsia="宋体" w:cs="宋体"/>
          <w:b w:val="0"/>
          <w:bCs/>
          <w:color w:val="auto"/>
          <w:szCs w:val="24"/>
        </w:rPr>
        <w:t>Teibo, Bernardi, Rosa, Tártaro, Ribeiro, Vinci, Zini and Arcêncio.</w:t>
      </w:r>
    </w:p>
    <w:p w14:paraId="095EA297">
      <w:pPr>
        <w:rPr>
          <w:rFonts w:hint="eastAsia" w:ascii="宋体" w:hAnsi="宋体" w:eastAsia="宋体" w:cs="宋体"/>
          <w:b w:val="0"/>
          <w:bCs/>
          <w:color w:val="auto"/>
          <w:szCs w:val="24"/>
        </w:rPr>
      </w:pPr>
    </w:p>
    <w:p w14:paraId="37190BF0">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10.3389/phrs.2026.1609466</w:t>
      </w:r>
    </w:p>
    <w:p w14:paraId="0AD824FB">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PMC13558124</w:t>
      </w:r>
    </w:p>
    <w:p w14:paraId="22D2235E">
      <w:pPr>
        <w:rPr>
          <w:rFonts w:hint="eastAsia" w:ascii="宋体" w:hAnsi="宋体" w:eastAsia="宋体" w:cs="宋体"/>
          <w:b w:val="0"/>
          <w:bCs/>
          <w:color w:val="auto"/>
          <w:szCs w:val="24"/>
        </w:rPr>
      </w:pPr>
      <w:r>
        <w:rPr>
          <w:rFonts w:hint="eastAsia" w:ascii="宋体" w:hAnsi="宋体" w:eastAsia="宋体" w:cs="宋体"/>
          <w:b w:val="0"/>
          <w:bCs/>
          <w:color w:val="auto"/>
          <w:szCs w:val="24"/>
        </w:rPr>
        <w:t>PMID: 42723834</w:t>
      </w:r>
    </w:p>
    <w:p w14:paraId="4C39B590">
      <w:pPr>
        <w:rPr>
          <w:rFonts w:hint="eastAsia" w:ascii="宋体" w:hAnsi="宋体" w:eastAsia="宋体" w:cs="宋体"/>
          <w:b w:val="0"/>
          <w:bCs/>
          <w:color w:val="auto"/>
          <w:szCs w:val="24"/>
        </w:rPr>
      </w:pPr>
    </w:p>
    <w:p w14:paraId="2618C62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66</w:t>
      </w:r>
      <w:r>
        <w:rPr>
          <w:rFonts w:hint="eastAsia" w:ascii="宋体" w:hAnsi="宋体" w:eastAsia="宋体" w:cs="宋体"/>
          <w:b/>
          <w:bCs w:val="0"/>
          <w:color w:val="FF0000"/>
          <w:szCs w:val="24"/>
        </w:rPr>
        <w:t>. F1000Res. 2026 Jul 23;15:594. doi: 10.12688/f1000research.179357.2. eCollection 2026.</w:t>
      </w:r>
    </w:p>
    <w:p w14:paraId="04259A9A">
      <w:pPr>
        <w:rPr>
          <w:rFonts w:hint="eastAsia" w:ascii="宋体" w:hAnsi="宋体" w:eastAsia="宋体" w:cs="宋体"/>
          <w:b w:val="0"/>
          <w:bCs/>
          <w:color w:val="auto"/>
          <w:szCs w:val="24"/>
        </w:rPr>
      </w:pPr>
    </w:p>
    <w:p w14:paraId="23E9DC0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Dynamics of Body Mass Index and Serum Albumin Levels Before and After the </w:t>
      </w:r>
    </w:p>
    <w:p w14:paraId="360C84B6">
      <w:pPr>
        <w:rPr>
          <w:rFonts w:hint="eastAsia" w:ascii="宋体" w:hAnsi="宋体" w:eastAsia="宋体" w:cs="宋体"/>
          <w:b w:val="0"/>
          <w:bCs/>
          <w:color w:val="auto"/>
          <w:szCs w:val="24"/>
        </w:rPr>
      </w:pPr>
      <w:r>
        <w:rPr>
          <w:rFonts w:hint="eastAsia" w:ascii="宋体" w:hAnsi="宋体" w:eastAsia="宋体" w:cs="宋体"/>
          <w:b w:val="0"/>
          <w:bCs/>
          <w:color w:val="auto"/>
          <w:szCs w:val="24"/>
        </w:rPr>
        <w:t>Intensive Phase of Tuberculosis Treatment.</w:t>
      </w:r>
    </w:p>
    <w:p w14:paraId="7C0BD4D8">
      <w:pPr>
        <w:rPr>
          <w:rFonts w:hint="eastAsia" w:ascii="宋体" w:hAnsi="宋体" w:eastAsia="宋体" w:cs="宋体"/>
          <w:b w:val="0"/>
          <w:bCs/>
          <w:color w:val="auto"/>
          <w:szCs w:val="24"/>
        </w:rPr>
      </w:pPr>
    </w:p>
    <w:p w14:paraId="64363F21">
      <w:pPr>
        <w:rPr>
          <w:rFonts w:hint="eastAsia" w:ascii="宋体" w:hAnsi="宋体" w:eastAsia="宋体" w:cs="宋体"/>
          <w:b w:val="0"/>
          <w:bCs/>
          <w:color w:val="auto"/>
          <w:szCs w:val="24"/>
        </w:rPr>
      </w:pPr>
      <w:r>
        <w:rPr>
          <w:rFonts w:hint="eastAsia" w:ascii="宋体" w:hAnsi="宋体" w:eastAsia="宋体" w:cs="宋体"/>
          <w:b w:val="0"/>
          <w:bCs/>
          <w:color w:val="auto"/>
          <w:szCs w:val="24"/>
        </w:rPr>
        <w:t>Agaus LR(1), Ilyas M(1), Sudarso A(1), Bakri S(1), Rasyid H(1), Zainuddin AA(2).</w:t>
      </w:r>
    </w:p>
    <w:p w14:paraId="5CBF6777">
      <w:pPr>
        <w:rPr>
          <w:rFonts w:hint="eastAsia" w:ascii="宋体" w:hAnsi="宋体" w:eastAsia="宋体" w:cs="宋体"/>
          <w:b w:val="0"/>
          <w:bCs/>
          <w:color w:val="auto"/>
          <w:szCs w:val="24"/>
        </w:rPr>
      </w:pPr>
    </w:p>
    <w:p w14:paraId="2D9394E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FA194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(1)Faculty of Medicine, Hasanuddin University, Makassar, South Sulawesi, </w:t>
      </w:r>
    </w:p>
    <w:p w14:paraId="7C15F8E9">
      <w:pPr>
        <w:rPr>
          <w:rFonts w:hint="eastAsia" w:ascii="宋体" w:hAnsi="宋体" w:eastAsia="宋体" w:cs="宋体"/>
          <w:b w:val="0"/>
          <w:bCs/>
          <w:color w:val="auto"/>
          <w:szCs w:val="24"/>
        </w:rPr>
      </w:pPr>
      <w:r>
        <w:rPr>
          <w:rFonts w:hint="eastAsia" w:ascii="宋体" w:hAnsi="宋体" w:eastAsia="宋体" w:cs="宋体"/>
          <w:b w:val="0"/>
          <w:bCs/>
          <w:color w:val="auto"/>
          <w:szCs w:val="24"/>
        </w:rPr>
        <w:t>Indonesia.</w:t>
      </w:r>
    </w:p>
    <w:p w14:paraId="34F024A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Public Health and Community Medicine, Hasanuddin University, </w:t>
      </w:r>
    </w:p>
    <w:p w14:paraId="5B65BD3D">
      <w:pPr>
        <w:rPr>
          <w:rFonts w:hint="eastAsia" w:ascii="宋体" w:hAnsi="宋体" w:eastAsia="宋体" w:cs="宋体"/>
          <w:b w:val="0"/>
          <w:bCs/>
          <w:color w:val="auto"/>
          <w:szCs w:val="24"/>
        </w:rPr>
      </w:pPr>
      <w:r>
        <w:rPr>
          <w:rFonts w:hint="eastAsia" w:ascii="宋体" w:hAnsi="宋体" w:eastAsia="宋体" w:cs="宋体"/>
          <w:b w:val="0"/>
          <w:bCs/>
          <w:color w:val="auto"/>
          <w:szCs w:val="24"/>
        </w:rPr>
        <w:t>Makassar, South Sulawesi, Indonesia.</w:t>
      </w:r>
    </w:p>
    <w:p w14:paraId="374F3015">
      <w:pPr>
        <w:rPr>
          <w:rFonts w:hint="eastAsia" w:ascii="宋体" w:hAnsi="宋体" w:eastAsia="宋体" w:cs="宋体"/>
          <w:b w:val="0"/>
          <w:bCs/>
          <w:color w:val="auto"/>
          <w:szCs w:val="24"/>
        </w:rPr>
      </w:pPr>
    </w:p>
    <w:p w14:paraId="4B303B93">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INTRODUCTION: </w:t>
      </w:r>
      <w:r>
        <w:rPr>
          <w:rFonts w:hint="eastAsia" w:ascii="宋体" w:hAnsi="宋体" w:eastAsia="宋体" w:cs="宋体"/>
          <w:b w:val="0"/>
          <w:bCs/>
          <w:color w:val="auto"/>
          <w:szCs w:val="24"/>
        </w:rPr>
        <w:t xml:space="preserve">Tuberculosis remains a major global health problem and is </w:t>
      </w:r>
    </w:p>
    <w:p w14:paraId="5B8D1A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frequently associated with malnutrition, which can negatively affect treatment </w:t>
      </w:r>
    </w:p>
    <w:p w14:paraId="2BC062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outcomes. This study aimed to evaluate changes in body mass index (BMI) and </w:t>
      </w:r>
    </w:p>
    <w:p w14:paraId="346648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serum albumin levels before and after the intensive phase of tuberculosis </w:t>
      </w:r>
    </w:p>
    <w:p w14:paraId="30F3AC0E">
      <w:pPr>
        <w:rPr>
          <w:rFonts w:hint="eastAsia" w:ascii="宋体" w:hAnsi="宋体" w:eastAsia="宋体" w:cs="宋体"/>
          <w:b w:val="0"/>
          <w:bCs/>
          <w:color w:val="auto"/>
          <w:szCs w:val="24"/>
        </w:rPr>
      </w:pPr>
      <w:r>
        <w:rPr>
          <w:rFonts w:hint="eastAsia" w:ascii="宋体" w:hAnsi="宋体" w:eastAsia="宋体" w:cs="宋体"/>
          <w:b w:val="0"/>
          <w:bCs/>
          <w:color w:val="auto"/>
          <w:szCs w:val="24"/>
        </w:rPr>
        <w:t>treatment.</w:t>
      </w:r>
    </w:p>
    <w:p w14:paraId="72326434">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An observational analytic study with a prospective cohort design was </w:t>
      </w:r>
    </w:p>
    <w:p w14:paraId="0BB430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at Dr. Wahidin Sudirohusodo Hospital, Makassar. A total of 175 newly </w:t>
      </w:r>
    </w:p>
    <w:p w14:paraId="0F7236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diagnosed tuberculosis patients were enrolled. BMI and serum albumin levels were </w:t>
      </w:r>
    </w:p>
    <w:p w14:paraId="6B60405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measured at baseline and after completion of the two-month intensive treatment </w:t>
      </w:r>
    </w:p>
    <w:p w14:paraId="043E230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phase. Paired sample t-tests were used to assess differences between pre- and </w:t>
      </w:r>
    </w:p>
    <w:p w14:paraId="43CED4FC">
      <w:pPr>
        <w:rPr>
          <w:rFonts w:hint="eastAsia" w:ascii="宋体" w:hAnsi="宋体" w:eastAsia="宋体" w:cs="宋体"/>
          <w:b w:val="0"/>
          <w:bCs/>
          <w:color w:val="auto"/>
          <w:szCs w:val="24"/>
        </w:rPr>
      </w:pPr>
      <w:r>
        <w:rPr>
          <w:rFonts w:hint="eastAsia" w:ascii="宋体" w:hAnsi="宋体" w:eastAsia="宋体" w:cs="宋体"/>
          <w:b w:val="0"/>
          <w:bCs/>
          <w:color w:val="auto"/>
          <w:szCs w:val="24"/>
        </w:rPr>
        <w:t>post-treatment values.</w:t>
      </w:r>
    </w:p>
    <w:p w14:paraId="36269560">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BMI increased significantly from 19.21 ± 3.55 kg/m 2 to </w:t>
      </w:r>
    </w:p>
    <w:p w14:paraId="413F57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19.78 ± 3.50 kg/m 2 ( p &lt; 0.0001), corresponding to a 2.96% improvement. Serum albumin levels also increased significantly from 3.06 ± 0.62 g/dL to </w:t>
      </w:r>
    </w:p>
    <w:p w14:paraId="014DA92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3.25 ± 0.64 g/dL ( p &lt; 0.0001), with an average improvement of 6.17%. </w:t>
      </w:r>
    </w:p>
    <w:p w14:paraId="0FDB62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Additionally, the proportion of patients with normal nutritional status </w:t>
      </w:r>
    </w:p>
    <w:p w14:paraId="218ADE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increased, while the proportion of underweight patients decreased significantly </w:t>
      </w:r>
    </w:p>
    <w:p w14:paraId="0FA24221">
      <w:pPr>
        <w:rPr>
          <w:rFonts w:hint="eastAsia" w:ascii="宋体" w:hAnsi="宋体" w:eastAsia="宋体" w:cs="宋体"/>
          <w:b w:val="0"/>
          <w:bCs/>
          <w:color w:val="auto"/>
          <w:szCs w:val="24"/>
        </w:rPr>
      </w:pPr>
      <w:r>
        <w:rPr>
          <w:rFonts w:hint="eastAsia" w:ascii="宋体" w:hAnsi="宋体" w:eastAsia="宋体" w:cs="宋体"/>
          <w:b w:val="0"/>
          <w:bCs/>
          <w:color w:val="auto"/>
          <w:szCs w:val="24"/>
        </w:rPr>
        <w:t>after treatment ( p = 0.002).</w:t>
      </w:r>
    </w:p>
    <w:p w14:paraId="13DFD8C0">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w:t>
      </w:r>
      <w:r>
        <w:rPr>
          <w:rFonts w:hint="eastAsia" w:ascii="宋体" w:hAnsi="宋体" w:eastAsia="宋体" w:cs="宋体"/>
          <w:b w:val="0"/>
          <w:bCs/>
          <w:color w:val="auto"/>
          <w:szCs w:val="24"/>
        </w:rPr>
        <w:t xml:space="preserve"> Intensive-phase anti-tuberculosis therapy is associated with </w:t>
      </w:r>
    </w:p>
    <w:p w14:paraId="5B087F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improvements in both anthropometric and biochemical nutritional </w:t>
      </w:r>
    </w:p>
    <w:p w14:paraId="72F813E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parameters. Routine monitoring of BMI and serum albumin may serve as practical </w:t>
      </w:r>
    </w:p>
    <w:p w14:paraId="1DD82E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indicators for assessing treatment response and guiding nutritional </w:t>
      </w:r>
    </w:p>
    <w:p w14:paraId="03EE7BAD">
      <w:pPr>
        <w:rPr>
          <w:rFonts w:hint="eastAsia" w:ascii="宋体" w:hAnsi="宋体" w:eastAsia="宋体" w:cs="宋体"/>
          <w:b w:val="0"/>
          <w:bCs/>
          <w:color w:val="auto"/>
          <w:szCs w:val="24"/>
        </w:rPr>
      </w:pPr>
      <w:r>
        <w:rPr>
          <w:rFonts w:hint="eastAsia" w:ascii="宋体" w:hAnsi="宋体" w:eastAsia="宋体" w:cs="宋体"/>
          <w:b w:val="0"/>
          <w:bCs/>
          <w:color w:val="auto"/>
          <w:szCs w:val="24"/>
        </w:rPr>
        <w:t>interventions in tuberculosis patients.</w:t>
      </w:r>
    </w:p>
    <w:p w14:paraId="2B48C5DC">
      <w:pPr>
        <w:rPr>
          <w:rFonts w:hint="eastAsia" w:ascii="宋体" w:hAnsi="宋体" w:eastAsia="宋体" w:cs="宋体"/>
          <w:b w:val="0"/>
          <w:bCs/>
          <w:color w:val="auto"/>
          <w:szCs w:val="24"/>
        </w:rPr>
      </w:pPr>
    </w:p>
    <w:p w14:paraId="6E805201">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Agaus LR et al.</w:t>
      </w:r>
    </w:p>
    <w:p w14:paraId="511AA4E7">
      <w:pPr>
        <w:rPr>
          <w:rFonts w:hint="eastAsia" w:ascii="宋体" w:hAnsi="宋体" w:eastAsia="宋体" w:cs="宋体"/>
          <w:b w:val="0"/>
          <w:bCs/>
          <w:color w:val="auto"/>
          <w:szCs w:val="24"/>
        </w:rPr>
      </w:pPr>
    </w:p>
    <w:p w14:paraId="781010B8">
      <w:pPr>
        <w:rPr>
          <w:rFonts w:hint="eastAsia" w:ascii="宋体" w:hAnsi="宋体" w:eastAsia="宋体" w:cs="宋体"/>
          <w:b w:val="0"/>
          <w:bCs/>
          <w:color w:val="auto"/>
          <w:szCs w:val="24"/>
        </w:rPr>
      </w:pPr>
      <w:r>
        <w:rPr>
          <w:rFonts w:hint="eastAsia" w:ascii="宋体" w:hAnsi="宋体" w:eastAsia="宋体" w:cs="宋体"/>
          <w:b w:val="0"/>
          <w:bCs/>
          <w:color w:val="auto"/>
          <w:szCs w:val="24"/>
        </w:rPr>
        <w:t>DOI: 10.12688/f1000research.179357.2</w:t>
      </w:r>
    </w:p>
    <w:p w14:paraId="3BFE86F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PMC13550917</w:t>
      </w:r>
    </w:p>
    <w:p w14:paraId="6F194DEC">
      <w:pPr>
        <w:rPr>
          <w:rFonts w:hint="eastAsia" w:ascii="宋体" w:hAnsi="宋体" w:eastAsia="宋体" w:cs="宋体"/>
          <w:b w:val="0"/>
          <w:bCs/>
          <w:color w:val="auto"/>
          <w:szCs w:val="24"/>
        </w:rPr>
      </w:pPr>
      <w:r>
        <w:rPr>
          <w:rFonts w:hint="eastAsia" w:ascii="宋体" w:hAnsi="宋体" w:eastAsia="宋体" w:cs="宋体"/>
          <w:b w:val="0"/>
          <w:bCs/>
          <w:color w:val="auto"/>
          <w:szCs w:val="24"/>
        </w:rPr>
        <w:t>PMID: 42723639 [Indexed for MEDLINE]</w:t>
      </w:r>
    </w:p>
    <w:p w14:paraId="5B407442">
      <w:pPr>
        <w:rPr>
          <w:rFonts w:hint="eastAsia" w:ascii="宋体" w:hAnsi="宋体" w:eastAsia="宋体" w:cs="宋体"/>
          <w:b w:val="0"/>
          <w:bCs/>
          <w:color w:val="auto"/>
          <w:szCs w:val="24"/>
        </w:rPr>
      </w:pPr>
    </w:p>
    <w:p w14:paraId="641BF1FB">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67</w:t>
      </w:r>
      <w:r>
        <w:rPr>
          <w:rFonts w:hint="eastAsia" w:ascii="宋体" w:hAnsi="宋体" w:eastAsia="宋体" w:cs="宋体"/>
          <w:b/>
          <w:bCs w:val="0"/>
          <w:color w:val="FF0000"/>
          <w:szCs w:val="24"/>
        </w:rPr>
        <w:t xml:space="preserve">. CPT Pharmacometrics Syst Pharmacol. 2026 Sep;15(9):e70331. doi: </w:t>
      </w:r>
    </w:p>
    <w:p w14:paraId="2CA7428F">
      <w:pPr>
        <w:rPr>
          <w:rFonts w:hint="eastAsia" w:ascii="宋体" w:hAnsi="宋体" w:eastAsia="宋体" w:cs="宋体"/>
          <w:b/>
          <w:bCs w:val="0"/>
          <w:color w:val="FF0000"/>
          <w:szCs w:val="24"/>
        </w:rPr>
      </w:pPr>
      <w:r>
        <w:rPr>
          <w:rFonts w:hint="eastAsia" w:ascii="宋体" w:hAnsi="宋体" w:eastAsia="宋体" w:cs="宋体"/>
          <w:b/>
          <w:bCs w:val="0"/>
          <w:color w:val="FF0000"/>
          <w:szCs w:val="24"/>
        </w:rPr>
        <w:t>10.1002/psp4.70331.</w:t>
      </w:r>
    </w:p>
    <w:p w14:paraId="002E2BB8">
      <w:pPr>
        <w:rPr>
          <w:rFonts w:hint="eastAsia" w:ascii="宋体" w:hAnsi="宋体" w:eastAsia="宋体" w:cs="宋体"/>
          <w:b w:val="0"/>
          <w:bCs/>
          <w:color w:val="auto"/>
          <w:szCs w:val="24"/>
        </w:rPr>
      </w:pPr>
    </w:p>
    <w:p w14:paraId="62120D8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Semi-Mechanistic Joint Population Pharmacokinetic Modeling of the Novel </w:t>
      </w:r>
    </w:p>
    <w:p w14:paraId="7556743D">
      <w:pPr>
        <w:rPr>
          <w:rFonts w:hint="eastAsia" w:ascii="宋体" w:hAnsi="宋体" w:eastAsia="宋体" w:cs="宋体"/>
          <w:b w:val="0"/>
          <w:bCs/>
          <w:color w:val="auto"/>
          <w:szCs w:val="24"/>
        </w:rPr>
      </w:pPr>
      <w:r>
        <w:rPr>
          <w:rFonts w:hint="eastAsia" w:ascii="宋体" w:hAnsi="宋体" w:eastAsia="宋体" w:cs="宋体"/>
          <w:b w:val="0"/>
          <w:bCs/>
          <w:color w:val="auto"/>
          <w:szCs w:val="24"/>
        </w:rPr>
        <w:t>Antituberculosis Drug Sorfequiline and Its Metabolite M3 in Healthy Volunteers.</w:t>
      </w:r>
    </w:p>
    <w:p w14:paraId="631EC0C8">
      <w:pPr>
        <w:rPr>
          <w:rFonts w:hint="eastAsia" w:ascii="宋体" w:hAnsi="宋体" w:eastAsia="宋体" w:cs="宋体"/>
          <w:b w:val="0"/>
          <w:bCs/>
          <w:color w:val="auto"/>
          <w:szCs w:val="24"/>
        </w:rPr>
      </w:pPr>
    </w:p>
    <w:p w14:paraId="6953AB6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Calderin JM(1), Nedelman J(2), Salinger DH(3), Vongjarudech T(4), Denti P(1), </w:t>
      </w:r>
    </w:p>
    <w:p w14:paraId="3AAC978B">
      <w:pPr>
        <w:rPr>
          <w:rFonts w:hint="eastAsia" w:ascii="宋体" w:hAnsi="宋体" w:eastAsia="宋体" w:cs="宋体"/>
          <w:b w:val="0"/>
          <w:bCs/>
          <w:color w:val="auto"/>
          <w:szCs w:val="24"/>
        </w:rPr>
      </w:pPr>
      <w:r>
        <w:rPr>
          <w:rFonts w:hint="eastAsia" w:ascii="宋体" w:hAnsi="宋体" w:eastAsia="宋体" w:cs="宋体"/>
          <w:b w:val="0"/>
          <w:bCs/>
          <w:color w:val="auto"/>
          <w:szCs w:val="24"/>
        </w:rPr>
        <w:t>Svensson EM(4)(5).</w:t>
      </w:r>
    </w:p>
    <w:p w14:paraId="24AEEAAF">
      <w:pPr>
        <w:rPr>
          <w:rFonts w:hint="eastAsia" w:ascii="宋体" w:hAnsi="宋体" w:eastAsia="宋体" w:cs="宋体"/>
          <w:b w:val="0"/>
          <w:bCs/>
          <w:color w:val="auto"/>
          <w:szCs w:val="24"/>
        </w:rPr>
      </w:pPr>
    </w:p>
    <w:p w14:paraId="263F028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37B57FB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(1)Division of Clinical Pharmacology, Department of Medicine, University of Cape </w:t>
      </w:r>
    </w:p>
    <w:p w14:paraId="179E2648">
      <w:pPr>
        <w:rPr>
          <w:rFonts w:hint="eastAsia" w:ascii="宋体" w:hAnsi="宋体" w:eastAsia="宋体" w:cs="宋体"/>
          <w:b w:val="0"/>
          <w:bCs/>
          <w:color w:val="auto"/>
          <w:szCs w:val="24"/>
        </w:rPr>
      </w:pPr>
      <w:r>
        <w:rPr>
          <w:rFonts w:hint="eastAsia" w:ascii="宋体" w:hAnsi="宋体" w:eastAsia="宋体" w:cs="宋体"/>
          <w:b w:val="0"/>
          <w:bCs/>
          <w:color w:val="auto"/>
          <w:szCs w:val="24"/>
        </w:rPr>
        <w:t>Town, Cape Town, South Africa.</w:t>
      </w:r>
    </w:p>
    <w:p w14:paraId="4E43F855">
      <w:pPr>
        <w:rPr>
          <w:rFonts w:hint="eastAsia" w:ascii="宋体" w:hAnsi="宋体" w:eastAsia="宋体" w:cs="宋体"/>
          <w:b w:val="0"/>
          <w:bCs/>
          <w:color w:val="auto"/>
          <w:szCs w:val="24"/>
        </w:rPr>
      </w:pPr>
      <w:r>
        <w:rPr>
          <w:rFonts w:hint="eastAsia" w:ascii="宋体" w:hAnsi="宋体" w:eastAsia="宋体" w:cs="宋体"/>
          <w:b w:val="0"/>
          <w:bCs/>
          <w:color w:val="auto"/>
          <w:szCs w:val="24"/>
        </w:rPr>
        <w:t>(2)Global Alliance for TB Drug Development, New York, USA.</w:t>
      </w:r>
    </w:p>
    <w:p w14:paraId="4BCAC669">
      <w:pPr>
        <w:rPr>
          <w:rFonts w:hint="eastAsia" w:ascii="宋体" w:hAnsi="宋体" w:eastAsia="宋体" w:cs="宋体"/>
          <w:b w:val="0"/>
          <w:bCs/>
          <w:color w:val="auto"/>
          <w:szCs w:val="24"/>
        </w:rPr>
      </w:pPr>
      <w:r>
        <w:rPr>
          <w:rFonts w:hint="eastAsia" w:ascii="宋体" w:hAnsi="宋体" w:eastAsia="宋体" w:cs="宋体"/>
          <w:b w:val="0"/>
          <w:bCs/>
          <w:color w:val="auto"/>
          <w:szCs w:val="24"/>
        </w:rPr>
        <w:t>(3)Certara, Inc, Princeton, USA.</w:t>
      </w:r>
    </w:p>
    <w:p w14:paraId="046DAD2E">
      <w:pPr>
        <w:rPr>
          <w:rFonts w:hint="eastAsia" w:ascii="宋体" w:hAnsi="宋体" w:eastAsia="宋体" w:cs="宋体"/>
          <w:b w:val="0"/>
          <w:bCs/>
          <w:color w:val="auto"/>
          <w:szCs w:val="24"/>
        </w:rPr>
      </w:pPr>
      <w:r>
        <w:rPr>
          <w:rFonts w:hint="eastAsia" w:ascii="宋体" w:hAnsi="宋体" w:eastAsia="宋体" w:cs="宋体"/>
          <w:b w:val="0"/>
          <w:bCs/>
          <w:color w:val="auto"/>
          <w:szCs w:val="24"/>
        </w:rPr>
        <w:t>(4)Department of Pharmacy, Uppsala University, Uppsala, Sweden.</w:t>
      </w:r>
    </w:p>
    <w:p w14:paraId="5A5DA9D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Pharmacy, Pharmacology and Toxicology, Radboud Institute of </w:t>
      </w:r>
    </w:p>
    <w:p w14:paraId="63276748">
      <w:pPr>
        <w:rPr>
          <w:rFonts w:hint="eastAsia" w:ascii="宋体" w:hAnsi="宋体" w:eastAsia="宋体" w:cs="宋体"/>
          <w:b w:val="0"/>
          <w:bCs/>
          <w:color w:val="auto"/>
          <w:szCs w:val="24"/>
        </w:rPr>
      </w:pPr>
      <w:r>
        <w:rPr>
          <w:rFonts w:hint="eastAsia" w:ascii="宋体" w:hAnsi="宋体" w:eastAsia="宋体" w:cs="宋体"/>
          <w:b w:val="0"/>
          <w:bCs/>
          <w:color w:val="auto"/>
          <w:szCs w:val="24"/>
        </w:rPr>
        <w:t>Health Sciences, Radboud University Medical Center, Nijmegen, the Netherlands.</w:t>
      </w:r>
    </w:p>
    <w:p w14:paraId="64E402BC">
      <w:pPr>
        <w:rPr>
          <w:rFonts w:hint="eastAsia" w:ascii="宋体" w:hAnsi="宋体" w:eastAsia="宋体" w:cs="宋体"/>
          <w:b w:val="0"/>
          <w:bCs/>
          <w:color w:val="auto"/>
          <w:szCs w:val="24"/>
        </w:rPr>
      </w:pPr>
    </w:p>
    <w:p w14:paraId="472E15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Sorfequiline is a novel diarylquinoline in development for treatment of </w:t>
      </w:r>
    </w:p>
    <w:p w14:paraId="0B40F0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In vitro data suggest metabolism via CYP3A4, carrying the </w:t>
      </w:r>
    </w:p>
    <w:p w14:paraId="18D0E7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potential for presystemic metabolism and drug-drug interactions. Its major </w:t>
      </w:r>
    </w:p>
    <w:p w14:paraId="177EEF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metabolite, M3, is pharmacologically active. We developed a semi-mechanistic </w:t>
      </w:r>
    </w:p>
    <w:p w14:paraId="1F26316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joint population pharmacokinetic model of sorfequiline and M3 in healthy </w:t>
      </w:r>
    </w:p>
    <w:p w14:paraId="655067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volunteers. Data were pooled from two studies (CL-001 and CL-002). CL-001 </w:t>
      </w:r>
    </w:p>
    <w:p w14:paraId="0738C8A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comprised a single-ascending-dose part (10-800 mg suspension fasted plus 100 mg </w:t>
      </w:r>
    </w:p>
    <w:p w14:paraId="41E678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fed), a multiple-ascending-dose part (25, 75, or 200 mg/day for 14 days, fed), </w:t>
      </w:r>
    </w:p>
    <w:p w14:paraId="21E3E0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a relative bioavailability assessment including 100 mg in tablet form under </w:t>
      </w:r>
    </w:p>
    <w:p w14:paraId="49805D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fed and fasted conditions. In CL-002, fed participants received 200 mg/day </w:t>
      </w:r>
    </w:p>
    <w:p w14:paraId="260006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suspension for 8 days followed by 165 mg/day for 4 days. Plasma concentrations </w:t>
      </w:r>
    </w:p>
    <w:p w14:paraId="2AAD497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quantified using HPLC-MS/MS, and pharmacokinetic modeling and simulations </w:t>
      </w:r>
    </w:p>
    <w:p w14:paraId="2B65FC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conducted in NONMEM. A three-compartment disposition model for both </w:t>
      </w:r>
    </w:p>
    <w:p w14:paraId="51DB94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analytes, with transit-compartment absorption, adequately described the data. A </w:t>
      </w:r>
    </w:p>
    <w:p w14:paraId="2905562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fraction of the dose was assumed to be absorbed as M3 due to gut first-pass </w:t>
      </w:r>
    </w:p>
    <w:p w14:paraId="2EAB9A9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metabolism. This fraction was 46% (95% CI: 41%-50%) in fasted and 15% (13%-19%) </w:t>
      </w:r>
    </w:p>
    <w:p w14:paraId="5EB970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fed participants. Overall bioavailability decreased by 46% (32%-61%) at </w:t>
      </w:r>
    </w:p>
    <w:p w14:paraId="5C0C6D3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fasted doses ≥ 400 mg. Model-based simulations showed that exposures for all </w:t>
      </w:r>
    </w:p>
    <w:p w14:paraId="740D7C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investigated regimens remained below safety reference values. Food reduced the </w:t>
      </w:r>
    </w:p>
    <w:p w14:paraId="1AC286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fraction of sorfequiline dose absorbed as M3, likely due to limited gut </w:t>
      </w:r>
    </w:p>
    <w:p w14:paraId="327CDC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first-pass metabolism. The developed model provides an initial platform for </w:t>
      </w:r>
    </w:p>
    <w:p w14:paraId="5F87E8B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future pharmacokinetic/pharmacodynamic analyses and simulation of both analytes' </w:t>
      </w:r>
    </w:p>
    <w:p w14:paraId="0853BC08">
      <w:pPr>
        <w:rPr>
          <w:rFonts w:hint="eastAsia" w:ascii="宋体" w:hAnsi="宋体" w:eastAsia="宋体" w:cs="宋体"/>
          <w:b w:val="0"/>
          <w:bCs/>
          <w:color w:val="auto"/>
          <w:szCs w:val="24"/>
        </w:rPr>
      </w:pPr>
      <w:r>
        <w:rPr>
          <w:rFonts w:hint="eastAsia" w:ascii="宋体" w:hAnsi="宋体" w:eastAsia="宋体" w:cs="宋体"/>
          <w:b w:val="0"/>
          <w:bCs/>
          <w:color w:val="auto"/>
          <w:szCs w:val="24"/>
        </w:rPr>
        <w:t>exposures under drug-drug interaction scenarios.</w:t>
      </w:r>
    </w:p>
    <w:p w14:paraId="13B5A36E">
      <w:pPr>
        <w:rPr>
          <w:rFonts w:hint="eastAsia" w:ascii="宋体" w:hAnsi="宋体" w:eastAsia="宋体" w:cs="宋体"/>
          <w:b w:val="0"/>
          <w:bCs/>
          <w:color w:val="auto"/>
          <w:szCs w:val="24"/>
        </w:rPr>
      </w:pPr>
    </w:p>
    <w:p w14:paraId="0C4D37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CPT: Pharmacometrics &amp; Systems Pharmacology published by </w:t>
      </w:r>
    </w:p>
    <w:p w14:paraId="22CB5E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Wiley Periodicals LLC on behalf of the American Society for Clinical </w:t>
      </w:r>
    </w:p>
    <w:p w14:paraId="01C32616">
      <w:pPr>
        <w:rPr>
          <w:rFonts w:hint="eastAsia" w:ascii="宋体" w:hAnsi="宋体" w:eastAsia="宋体" w:cs="宋体"/>
          <w:b w:val="0"/>
          <w:bCs/>
          <w:color w:val="auto"/>
          <w:szCs w:val="24"/>
        </w:rPr>
      </w:pPr>
      <w:r>
        <w:rPr>
          <w:rFonts w:hint="eastAsia" w:ascii="宋体" w:hAnsi="宋体" w:eastAsia="宋体" w:cs="宋体"/>
          <w:b w:val="0"/>
          <w:bCs/>
          <w:color w:val="auto"/>
          <w:szCs w:val="24"/>
        </w:rPr>
        <w:t>Pharmacology and Therapeutics.</w:t>
      </w:r>
    </w:p>
    <w:p w14:paraId="45047CEB">
      <w:pPr>
        <w:rPr>
          <w:rFonts w:hint="eastAsia" w:ascii="宋体" w:hAnsi="宋体" w:eastAsia="宋体" w:cs="宋体"/>
          <w:b w:val="0"/>
          <w:bCs/>
          <w:color w:val="auto"/>
          <w:szCs w:val="24"/>
        </w:rPr>
      </w:pPr>
    </w:p>
    <w:p w14:paraId="74704BD3">
      <w:pPr>
        <w:rPr>
          <w:rFonts w:hint="eastAsia" w:ascii="宋体" w:hAnsi="宋体" w:eastAsia="宋体" w:cs="宋体"/>
          <w:b w:val="0"/>
          <w:bCs/>
          <w:color w:val="auto"/>
          <w:szCs w:val="24"/>
        </w:rPr>
      </w:pPr>
      <w:r>
        <w:rPr>
          <w:rFonts w:hint="eastAsia" w:ascii="宋体" w:hAnsi="宋体" w:eastAsia="宋体" w:cs="宋体"/>
          <w:b w:val="0"/>
          <w:bCs/>
          <w:color w:val="auto"/>
          <w:szCs w:val="24"/>
        </w:rPr>
        <w:t>DOI: 10.1002/psp4.70331</w:t>
      </w:r>
    </w:p>
    <w:p w14:paraId="0EACE96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PMC13563343</w:t>
      </w:r>
    </w:p>
    <w:p w14:paraId="6B7E7BE3">
      <w:pPr>
        <w:rPr>
          <w:rFonts w:hint="eastAsia" w:ascii="宋体" w:hAnsi="宋体" w:eastAsia="宋体" w:cs="宋体"/>
          <w:b w:val="0"/>
          <w:bCs/>
          <w:color w:val="auto"/>
          <w:szCs w:val="24"/>
        </w:rPr>
      </w:pPr>
      <w:r>
        <w:rPr>
          <w:rFonts w:hint="eastAsia" w:ascii="宋体" w:hAnsi="宋体" w:eastAsia="宋体" w:cs="宋体"/>
          <w:b w:val="0"/>
          <w:bCs/>
          <w:color w:val="auto"/>
          <w:szCs w:val="24"/>
        </w:rPr>
        <w:t>PMID: 42723601 [Indexed for MEDLINE]</w:t>
      </w:r>
    </w:p>
    <w:p w14:paraId="21DC4E44">
      <w:pPr>
        <w:rPr>
          <w:rFonts w:hint="eastAsia" w:ascii="宋体" w:hAnsi="宋体" w:eastAsia="宋体" w:cs="宋体"/>
          <w:b w:val="0"/>
          <w:bCs/>
          <w:color w:val="auto"/>
          <w:szCs w:val="24"/>
        </w:rPr>
      </w:pPr>
    </w:p>
    <w:p w14:paraId="79C434A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68</w:t>
      </w:r>
      <w:r>
        <w:rPr>
          <w:rFonts w:hint="eastAsia" w:ascii="宋体" w:hAnsi="宋体" w:eastAsia="宋体" w:cs="宋体"/>
          <w:b/>
          <w:bCs w:val="0"/>
          <w:color w:val="FF0000"/>
          <w:szCs w:val="24"/>
        </w:rPr>
        <w:t xml:space="preserve">. Diagn Microbiol Infect Dis. 2026 Aug 31;117(1):117638. doi: </w:t>
      </w:r>
    </w:p>
    <w:p w14:paraId="72AB9336">
      <w:pPr>
        <w:rPr>
          <w:rFonts w:hint="eastAsia" w:ascii="宋体" w:hAnsi="宋体" w:eastAsia="宋体" w:cs="宋体"/>
          <w:b/>
          <w:bCs w:val="0"/>
          <w:color w:val="FF0000"/>
          <w:szCs w:val="24"/>
        </w:rPr>
      </w:pPr>
      <w:r>
        <w:rPr>
          <w:rFonts w:hint="eastAsia" w:ascii="宋体" w:hAnsi="宋体" w:eastAsia="宋体" w:cs="宋体"/>
          <w:b/>
          <w:bCs w:val="0"/>
          <w:color w:val="FF0000"/>
          <w:szCs w:val="24"/>
        </w:rPr>
        <w:t>10.1016/j.diagmicrobio.2026.117638. Online ahead of print.</w:t>
      </w:r>
    </w:p>
    <w:p w14:paraId="674891A1">
      <w:pPr>
        <w:rPr>
          <w:rFonts w:hint="eastAsia" w:ascii="宋体" w:hAnsi="宋体" w:eastAsia="宋体" w:cs="宋体"/>
          <w:b w:val="0"/>
          <w:bCs/>
          <w:color w:val="auto"/>
          <w:szCs w:val="24"/>
        </w:rPr>
      </w:pPr>
    </w:p>
    <w:p w14:paraId="350769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False positive fluoroquinolone resistance in Mycobacterium tuberculosis complex </w:t>
      </w:r>
    </w:p>
    <w:p w14:paraId="6DA99977">
      <w:pPr>
        <w:rPr>
          <w:rFonts w:hint="eastAsia" w:ascii="宋体" w:hAnsi="宋体" w:eastAsia="宋体" w:cs="宋体"/>
          <w:b w:val="0"/>
          <w:bCs/>
          <w:color w:val="auto"/>
          <w:szCs w:val="24"/>
        </w:rPr>
      </w:pPr>
      <w:r>
        <w:rPr>
          <w:rFonts w:hint="eastAsia" w:ascii="宋体" w:hAnsi="宋体" w:eastAsia="宋体" w:cs="宋体"/>
          <w:b w:val="0"/>
          <w:bCs/>
          <w:color w:val="auto"/>
          <w:szCs w:val="24"/>
        </w:rPr>
        <w:t>detected by the Cepheid Xpert® MTB/XDR assay.</w:t>
      </w:r>
    </w:p>
    <w:p w14:paraId="17D0EAD8">
      <w:pPr>
        <w:rPr>
          <w:rFonts w:hint="eastAsia" w:ascii="宋体" w:hAnsi="宋体" w:eastAsia="宋体" w:cs="宋体"/>
          <w:b w:val="0"/>
          <w:bCs/>
          <w:color w:val="auto"/>
          <w:szCs w:val="24"/>
        </w:rPr>
      </w:pPr>
    </w:p>
    <w:p w14:paraId="290979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Mok S(1), Roycroft E(1), McLaughlin AM(2), Dolan L(3), Keane J(2), Wagener J(1), </w:t>
      </w:r>
    </w:p>
    <w:p w14:paraId="21E50AAA">
      <w:pPr>
        <w:rPr>
          <w:rFonts w:hint="eastAsia" w:ascii="宋体" w:hAnsi="宋体" w:eastAsia="宋体" w:cs="宋体"/>
          <w:b w:val="0"/>
          <w:bCs/>
          <w:color w:val="auto"/>
          <w:szCs w:val="24"/>
        </w:rPr>
      </w:pPr>
      <w:r>
        <w:rPr>
          <w:rFonts w:hint="eastAsia" w:ascii="宋体" w:hAnsi="宋体" w:eastAsia="宋体" w:cs="宋体"/>
          <w:b w:val="0"/>
          <w:bCs/>
          <w:color w:val="auto"/>
          <w:szCs w:val="24"/>
        </w:rPr>
        <w:t>Boyle B(1), Fitzgibbon MM(4).</w:t>
      </w:r>
    </w:p>
    <w:p w14:paraId="1FAE5761">
      <w:pPr>
        <w:rPr>
          <w:rFonts w:hint="eastAsia" w:ascii="宋体" w:hAnsi="宋体" w:eastAsia="宋体" w:cs="宋体"/>
          <w:b w:val="0"/>
          <w:bCs/>
          <w:color w:val="auto"/>
          <w:szCs w:val="24"/>
        </w:rPr>
      </w:pPr>
    </w:p>
    <w:p w14:paraId="67EEBF08">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B35AD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(1)Irish Mycobacteria Reference Laboratory, St. James's Hospital, Dublin, </w:t>
      </w:r>
    </w:p>
    <w:p w14:paraId="36744C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Ireland; Department of Clinical Microbiology, School of Medicine, Trinity </w:t>
      </w:r>
    </w:p>
    <w:p w14:paraId="79AA6295">
      <w:pPr>
        <w:rPr>
          <w:rFonts w:hint="eastAsia" w:ascii="宋体" w:hAnsi="宋体" w:eastAsia="宋体" w:cs="宋体"/>
          <w:b w:val="0"/>
          <w:bCs/>
          <w:color w:val="auto"/>
          <w:szCs w:val="24"/>
        </w:rPr>
      </w:pPr>
      <w:r>
        <w:rPr>
          <w:rFonts w:hint="eastAsia" w:ascii="宋体" w:hAnsi="宋体" w:eastAsia="宋体" w:cs="宋体"/>
          <w:b w:val="0"/>
          <w:bCs/>
          <w:color w:val="auto"/>
          <w:szCs w:val="24"/>
        </w:rPr>
        <w:t>College Dublin, the University of Dublin, Dublin, Ireland.</w:t>
      </w:r>
    </w:p>
    <w:p w14:paraId="282165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Respiratory Medicine, St James's Hospital, Dublin, Ireland; </w:t>
      </w:r>
    </w:p>
    <w:p w14:paraId="596DB8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Department of Clinical Medicine, School of Medicine, Trinity Translational </w:t>
      </w:r>
    </w:p>
    <w:p w14:paraId="6D3F9E4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Institute, St James's Hospital, Trinity College Dublin, Dublin, </w:t>
      </w:r>
    </w:p>
    <w:p w14:paraId="4205995B">
      <w:pPr>
        <w:rPr>
          <w:rFonts w:hint="eastAsia" w:ascii="宋体" w:hAnsi="宋体" w:eastAsia="宋体" w:cs="宋体"/>
          <w:b w:val="0"/>
          <w:bCs/>
          <w:color w:val="auto"/>
          <w:szCs w:val="24"/>
        </w:rPr>
      </w:pPr>
      <w:r>
        <w:rPr>
          <w:rFonts w:hint="eastAsia" w:ascii="宋体" w:hAnsi="宋体" w:eastAsia="宋体" w:cs="宋体"/>
          <w:b w:val="0"/>
          <w:bCs/>
          <w:color w:val="auto"/>
          <w:szCs w:val="24"/>
        </w:rPr>
        <w:t>Ireland.</w:t>
      </w:r>
    </w:p>
    <w:p w14:paraId="55AEFAB6">
      <w:pPr>
        <w:rPr>
          <w:rFonts w:hint="eastAsia" w:ascii="宋体" w:hAnsi="宋体" w:eastAsia="宋体" w:cs="宋体"/>
          <w:b w:val="0"/>
          <w:bCs/>
          <w:color w:val="auto"/>
          <w:szCs w:val="24"/>
        </w:rPr>
      </w:pPr>
      <w:r>
        <w:rPr>
          <w:rFonts w:hint="eastAsia" w:ascii="宋体" w:hAnsi="宋体" w:eastAsia="宋体" w:cs="宋体"/>
          <w:b w:val="0"/>
          <w:bCs/>
          <w:color w:val="auto"/>
          <w:szCs w:val="24"/>
        </w:rPr>
        <w:t>(3)Department of Respiratory Medicine, St James's Hospital, Dublin, Ireland.</w:t>
      </w:r>
    </w:p>
    <w:p w14:paraId="434EDA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(4)Irish Mycobacteria Reference Laboratory, St. James's Hospital, Dublin, </w:t>
      </w:r>
    </w:p>
    <w:p w14:paraId="2821740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Ireland; Department of Clinical Microbiology, School of Medicine, Trinity </w:t>
      </w:r>
    </w:p>
    <w:p w14:paraId="0D238AB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College Dublin, the University of Dublin, Dublin, Ireland. Electronic address: </w:t>
      </w:r>
    </w:p>
    <w:p w14:paraId="50B8AD9B">
      <w:pPr>
        <w:rPr>
          <w:rFonts w:hint="eastAsia" w:ascii="宋体" w:hAnsi="宋体" w:eastAsia="宋体" w:cs="宋体"/>
          <w:b w:val="0"/>
          <w:bCs/>
          <w:color w:val="auto"/>
          <w:szCs w:val="24"/>
        </w:rPr>
      </w:pPr>
      <w:r>
        <w:rPr>
          <w:rFonts w:hint="eastAsia" w:ascii="宋体" w:hAnsi="宋体" w:eastAsia="宋体" w:cs="宋体"/>
          <w:b w:val="0"/>
          <w:bCs/>
          <w:color w:val="auto"/>
          <w:szCs w:val="24"/>
        </w:rPr>
        <w:t>fitzgima@tcd.ie.</w:t>
      </w:r>
    </w:p>
    <w:p w14:paraId="0BDBFE28">
      <w:pPr>
        <w:rPr>
          <w:rFonts w:hint="eastAsia" w:ascii="宋体" w:hAnsi="宋体" w:eastAsia="宋体" w:cs="宋体"/>
          <w:b w:val="0"/>
          <w:bCs/>
          <w:color w:val="auto"/>
          <w:szCs w:val="24"/>
        </w:rPr>
      </w:pPr>
    </w:p>
    <w:p w14:paraId="6BE81FBD">
      <w:pPr>
        <w:rPr>
          <w:rFonts w:hint="eastAsia" w:ascii="宋体" w:hAnsi="宋体" w:eastAsia="宋体" w:cs="宋体"/>
          <w:b w:val="0"/>
          <w:bCs/>
          <w:color w:val="auto"/>
          <w:szCs w:val="24"/>
        </w:rPr>
      </w:pPr>
      <w:r>
        <w:rPr>
          <w:rFonts w:hint="eastAsia" w:ascii="宋体" w:hAnsi="宋体" w:eastAsia="宋体" w:cs="宋体"/>
          <w:b w:val="0"/>
          <w:bCs/>
          <w:color w:val="auto"/>
          <w:szCs w:val="24"/>
        </w:rPr>
        <w:t>DOI: 10.1016/j.diagmicrobio.2026.117638</w:t>
      </w:r>
    </w:p>
    <w:p w14:paraId="7907CD0C">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42721730</w:t>
      </w:r>
    </w:p>
    <w:p w14:paraId="4AE8F240">
      <w:pPr>
        <w:rPr>
          <w:rFonts w:hint="eastAsia" w:ascii="宋体" w:hAnsi="宋体" w:eastAsia="宋体" w:cs="宋体"/>
          <w:b w:val="0"/>
          <w:bCs/>
          <w:color w:val="auto"/>
          <w:szCs w:val="24"/>
        </w:rPr>
      </w:pPr>
    </w:p>
    <w:p w14:paraId="3AC1AE4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69</w:t>
      </w:r>
      <w:r>
        <w:rPr>
          <w:rFonts w:hint="eastAsia" w:ascii="宋体" w:hAnsi="宋体" w:eastAsia="宋体" w:cs="宋体"/>
          <w:b/>
          <w:bCs w:val="0"/>
          <w:color w:val="FF0000"/>
          <w:szCs w:val="24"/>
        </w:rPr>
        <w:t xml:space="preserve">. J Int Assoc Provid AIDS Care. 2026 Jan-Dec;25:23259582261470686. doi: </w:t>
      </w:r>
    </w:p>
    <w:p w14:paraId="245878FB">
      <w:pPr>
        <w:rPr>
          <w:rFonts w:hint="eastAsia" w:ascii="宋体" w:hAnsi="宋体" w:eastAsia="宋体" w:cs="宋体"/>
          <w:b/>
          <w:bCs w:val="0"/>
          <w:color w:val="FF0000"/>
          <w:szCs w:val="24"/>
        </w:rPr>
      </w:pPr>
      <w:r>
        <w:rPr>
          <w:rFonts w:hint="eastAsia" w:ascii="宋体" w:hAnsi="宋体" w:eastAsia="宋体" w:cs="宋体"/>
          <w:b/>
          <w:bCs w:val="0"/>
          <w:color w:val="FF0000"/>
          <w:szCs w:val="24"/>
        </w:rPr>
        <w:t>10.1177/23259582261470686. Epub 2026 Sep 10.</w:t>
      </w:r>
    </w:p>
    <w:p w14:paraId="0CEFA159">
      <w:pPr>
        <w:rPr>
          <w:rFonts w:hint="eastAsia" w:ascii="宋体" w:hAnsi="宋体" w:eastAsia="宋体" w:cs="宋体"/>
          <w:b w:val="0"/>
          <w:bCs/>
          <w:color w:val="auto"/>
          <w:szCs w:val="24"/>
        </w:rPr>
      </w:pPr>
    </w:p>
    <w:p w14:paraId="7C2AF04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Treatment Uptake and Outcomes Among HIV-Positive Patients on </w:t>
      </w:r>
    </w:p>
    <w:p w14:paraId="09974FCF">
      <w:pPr>
        <w:rPr>
          <w:rFonts w:hint="eastAsia" w:ascii="宋体" w:hAnsi="宋体" w:eastAsia="宋体" w:cs="宋体"/>
          <w:b w:val="0"/>
          <w:bCs/>
          <w:color w:val="auto"/>
          <w:szCs w:val="24"/>
        </w:rPr>
      </w:pPr>
      <w:r>
        <w:rPr>
          <w:rFonts w:hint="eastAsia" w:ascii="宋体" w:hAnsi="宋体" w:eastAsia="宋体" w:cs="宋体"/>
          <w:b w:val="0"/>
          <w:bCs/>
          <w:color w:val="auto"/>
          <w:szCs w:val="24"/>
        </w:rPr>
        <w:t>Antiretroviral Therapy at a Tertiary Health Facility in South-South, Nigeria.</w:t>
      </w:r>
    </w:p>
    <w:p w14:paraId="7F8FA616">
      <w:pPr>
        <w:rPr>
          <w:rFonts w:hint="eastAsia" w:ascii="宋体" w:hAnsi="宋体" w:eastAsia="宋体" w:cs="宋体"/>
          <w:b w:val="0"/>
          <w:bCs/>
          <w:color w:val="auto"/>
          <w:szCs w:val="24"/>
        </w:rPr>
      </w:pPr>
    </w:p>
    <w:p w14:paraId="6902DB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Aigbokhaode AQ(1), Jegede AO(2), Orhue NL(1), Ekeneam O(3), Adesoye OO(4), </w:t>
      </w:r>
    </w:p>
    <w:p w14:paraId="44A79E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Ekhator NP(5), Ezemenahi SI(6), Ezunu EO(7), Aghimien R(1), Enwereuzo U(1), </w:t>
      </w:r>
    </w:p>
    <w:p w14:paraId="7884C6FE">
      <w:pPr>
        <w:rPr>
          <w:rFonts w:hint="eastAsia" w:ascii="宋体" w:hAnsi="宋体" w:eastAsia="宋体" w:cs="宋体"/>
          <w:b w:val="0"/>
          <w:bCs/>
          <w:color w:val="auto"/>
          <w:szCs w:val="24"/>
        </w:rPr>
      </w:pPr>
      <w:r>
        <w:rPr>
          <w:rFonts w:hint="eastAsia" w:ascii="宋体" w:hAnsi="宋体" w:eastAsia="宋体" w:cs="宋体"/>
          <w:b w:val="0"/>
          <w:bCs/>
          <w:color w:val="auto"/>
          <w:szCs w:val="24"/>
        </w:rPr>
        <w:t>Akinkunmi IJ(8).</w:t>
      </w:r>
    </w:p>
    <w:p w14:paraId="16FFF723">
      <w:pPr>
        <w:rPr>
          <w:rFonts w:hint="eastAsia" w:ascii="宋体" w:hAnsi="宋体" w:eastAsia="宋体" w:cs="宋体"/>
          <w:b w:val="0"/>
          <w:bCs/>
          <w:color w:val="auto"/>
          <w:szCs w:val="24"/>
        </w:rPr>
      </w:pPr>
    </w:p>
    <w:p w14:paraId="57F3DA1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F8591DA">
      <w:pPr>
        <w:rPr>
          <w:rFonts w:hint="eastAsia" w:ascii="宋体" w:hAnsi="宋体" w:eastAsia="宋体" w:cs="宋体"/>
          <w:b w:val="0"/>
          <w:bCs/>
          <w:color w:val="auto"/>
          <w:szCs w:val="24"/>
        </w:rPr>
      </w:pPr>
      <w:r>
        <w:rPr>
          <w:rFonts w:hint="eastAsia" w:ascii="宋体" w:hAnsi="宋体" w:eastAsia="宋体" w:cs="宋体"/>
          <w:b w:val="0"/>
          <w:bCs/>
          <w:color w:val="auto"/>
          <w:szCs w:val="24"/>
        </w:rPr>
        <w:t>(1)Department of Public Health, Federal Medical Centre, Asaba, Nigeria.</w:t>
      </w:r>
    </w:p>
    <w:p w14:paraId="747512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Clinical Pharmacy and Pharmacy Administration, Faculty of </w:t>
      </w:r>
    </w:p>
    <w:p w14:paraId="287DD4D1">
      <w:pPr>
        <w:rPr>
          <w:rFonts w:hint="eastAsia" w:ascii="宋体" w:hAnsi="宋体" w:eastAsia="宋体" w:cs="宋体"/>
          <w:b w:val="0"/>
          <w:bCs/>
          <w:color w:val="auto"/>
          <w:szCs w:val="24"/>
        </w:rPr>
      </w:pPr>
      <w:r>
        <w:rPr>
          <w:rFonts w:hint="eastAsia" w:ascii="宋体" w:hAnsi="宋体" w:eastAsia="宋体" w:cs="宋体"/>
          <w:b w:val="0"/>
          <w:bCs/>
          <w:color w:val="auto"/>
          <w:szCs w:val="24"/>
        </w:rPr>
        <w:t>Pharmacy, Obafemi Awolowo University, Ile-Ife, Nigeria.</w:t>
      </w:r>
    </w:p>
    <w:p w14:paraId="105C561B">
      <w:pPr>
        <w:rPr>
          <w:rFonts w:hint="eastAsia" w:ascii="宋体" w:hAnsi="宋体" w:eastAsia="宋体" w:cs="宋体"/>
          <w:b w:val="0"/>
          <w:bCs/>
          <w:color w:val="auto"/>
          <w:szCs w:val="24"/>
        </w:rPr>
      </w:pPr>
      <w:r>
        <w:rPr>
          <w:rFonts w:hint="eastAsia" w:ascii="宋体" w:hAnsi="宋体" w:eastAsia="宋体" w:cs="宋体"/>
          <w:b w:val="0"/>
          <w:bCs/>
          <w:color w:val="auto"/>
          <w:szCs w:val="24"/>
        </w:rPr>
        <w:t>(3)Department of Anesthesiology, Federal Medical Centre Asaba, Asaba, Nigeria.</w:t>
      </w:r>
    </w:p>
    <w:p w14:paraId="1CC13D9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Public Health &amp; Community Medicine, Benson Idahosa University, </w:t>
      </w:r>
    </w:p>
    <w:p w14:paraId="026396ED">
      <w:pPr>
        <w:rPr>
          <w:rFonts w:hint="eastAsia" w:ascii="宋体" w:hAnsi="宋体" w:eastAsia="宋体" w:cs="宋体"/>
          <w:b w:val="0"/>
          <w:bCs/>
          <w:color w:val="auto"/>
          <w:szCs w:val="24"/>
        </w:rPr>
      </w:pPr>
      <w:r>
        <w:rPr>
          <w:rFonts w:hint="eastAsia" w:ascii="宋体" w:hAnsi="宋体" w:eastAsia="宋体" w:cs="宋体"/>
          <w:b w:val="0"/>
          <w:bCs/>
          <w:color w:val="auto"/>
          <w:szCs w:val="24"/>
        </w:rPr>
        <w:t>Benin City, Nigeria.</w:t>
      </w:r>
    </w:p>
    <w:p w14:paraId="1D47AA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Internal Medicine, University of Benin/University of Benin </w:t>
      </w:r>
    </w:p>
    <w:p w14:paraId="7A7BBB09">
      <w:pPr>
        <w:rPr>
          <w:rFonts w:hint="eastAsia" w:ascii="宋体" w:hAnsi="宋体" w:eastAsia="宋体" w:cs="宋体"/>
          <w:b w:val="0"/>
          <w:bCs/>
          <w:color w:val="auto"/>
          <w:szCs w:val="24"/>
        </w:rPr>
      </w:pPr>
      <w:r>
        <w:rPr>
          <w:rFonts w:hint="eastAsia" w:ascii="宋体" w:hAnsi="宋体" w:eastAsia="宋体" w:cs="宋体"/>
          <w:b w:val="0"/>
          <w:bCs/>
          <w:color w:val="auto"/>
          <w:szCs w:val="24"/>
        </w:rPr>
        <w:t>Teaching Hospital, Benin City, Nigeria.</w:t>
      </w:r>
    </w:p>
    <w:p w14:paraId="1FD3EA4B">
      <w:pPr>
        <w:rPr>
          <w:rFonts w:hint="eastAsia" w:ascii="宋体" w:hAnsi="宋体" w:eastAsia="宋体" w:cs="宋体"/>
          <w:b w:val="0"/>
          <w:bCs/>
          <w:color w:val="auto"/>
          <w:szCs w:val="24"/>
        </w:rPr>
      </w:pPr>
      <w:r>
        <w:rPr>
          <w:rFonts w:hint="eastAsia" w:ascii="宋体" w:hAnsi="宋体" w:eastAsia="宋体" w:cs="宋体"/>
          <w:b w:val="0"/>
          <w:bCs/>
          <w:color w:val="auto"/>
          <w:szCs w:val="24"/>
        </w:rPr>
        <w:t>(6)Department of Family Medicine, Nnamdi Azikiwe University, Awka, Nigeria.</w:t>
      </w:r>
    </w:p>
    <w:p w14:paraId="0E2A65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Internal Medicine, Federal Medical Centre Asaba, Asaba, </w:t>
      </w:r>
    </w:p>
    <w:p w14:paraId="7762CA0D">
      <w:pPr>
        <w:rPr>
          <w:rFonts w:hint="eastAsia" w:ascii="宋体" w:hAnsi="宋体" w:eastAsia="宋体" w:cs="宋体"/>
          <w:b w:val="0"/>
          <w:bCs/>
          <w:color w:val="auto"/>
          <w:szCs w:val="24"/>
        </w:rPr>
      </w:pPr>
      <w:r>
        <w:rPr>
          <w:rFonts w:hint="eastAsia" w:ascii="宋体" w:hAnsi="宋体" w:eastAsia="宋体" w:cs="宋体"/>
          <w:b w:val="0"/>
          <w:bCs/>
          <w:color w:val="auto"/>
          <w:szCs w:val="24"/>
        </w:rPr>
        <w:t>Nigeria.</w:t>
      </w:r>
    </w:p>
    <w:p w14:paraId="4E1445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(8)Department of Pharmaceutical Services, Federal Medical Centre Asaba, Asaba, </w:t>
      </w:r>
    </w:p>
    <w:p w14:paraId="421AC519">
      <w:pPr>
        <w:rPr>
          <w:rFonts w:hint="eastAsia" w:ascii="宋体" w:hAnsi="宋体" w:eastAsia="宋体" w:cs="宋体"/>
          <w:b w:val="0"/>
          <w:bCs/>
          <w:color w:val="auto"/>
          <w:szCs w:val="24"/>
        </w:rPr>
      </w:pPr>
      <w:r>
        <w:rPr>
          <w:rFonts w:hint="eastAsia" w:ascii="宋体" w:hAnsi="宋体" w:eastAsia="宋体" w:cs="宋体"/>
          <w:b w:val="0"/>
          <w:bCs/>
          <w:color w:val="auto"/>
          <w:szCs w:val="24"/>
        </w:rPr>
        <w:t>Nigeria.</w:t>
      </w:r>
    </w:p>
    <w:p w14:paraId="209BFB01">
      <w:pPr>
        <w:rPr>
          <w:rFonts w:hint="eastAsia" w:ascii="宋体" w:hAnsi="宋体" w:eastAsia="宋体" w:cs="宋体"/>
          <w:b w:val="0"/>
          <w:bCs/>
          <w:color w:val="auto"/>
          <w:szCs w:val="24"/>
        </w:rPr>
      </w:pPr>
    </w:p>
    <w:p w14:paraId="70BDD7C9">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bCs w:val="0"/>
          <w:color w:val="auto"/>
          <w:szCs w:val="24"/>
          <w:lang w:val="en-US" w:eastAsia="zh-CN"/>
        </w:rPr>
        <w:t xml:space="preserve"> </w:t>
      </w:r>
      <w:r>
        <w:rPr>
          <w:rFonts w:hint="eastAsia" w:ascii="宋体" w:hAnsi="宋体" w:eastAsia="宋体" w:cs="宋体"/>
          <w:b w:val="0"/>
          <w:bCs/>
          <w:color w:val="auto"/>
          <w:szCs w:val="24"/>
        </w:rPr>
        <w:t xml:space="preserve">There is a significant intersection between Tuberculosis (TB) and HIV, </w:t>
      </w:r>
    </w:p>
    <w:p w14:paraId="448E58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which has contributed greatly to the disease burden, especially in Nigeria. </w:t>
      </w:r>
    </w:p>
    <w:p w14:paraId="43A0F4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Among approximately 1.9 million people living with HIV (PLHIV), an estimated </w:t>
      </w:r>
    </w:p>
    <w:p w14:paraId="4E5006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46,000 also had TB in 2019 alone. HIV-associated TB incidence has continuously </w:t>
      </w:r>
    </w:p>
    <w:p w14:paraId="244A9B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increased nationally. It is important to understand how PLHIV with TB undergo </w:t>
      </w:r>
    </w:p>
    <w:p w14:paraId="48D5C4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because this is essential for improving outcomes. This study assessed </w:t>
      </w:r>
    </w:p>
    <w:p w14:paraId="7E25E3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uptake of TB treatment and evaluated outcomes among PLHIV receiving </w:t>
      </w:r>
    </w:p>
    <w:p w14:paraId="4D6D25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antiretroviral therapy at a tertiary healthcare facility in South-South </w:t>
      </w:r>
    </w:p>
    <w:p w14:paraId="16F5F6A3">
      <w:pPr>
        <w:rPr>
          <w:rFonts w:hint="eastAsia" w:ascii="宋体" w:hAnsi="宋体" w:eastAsia="宋体" w:cs="宋体"/>
          <w:b w:val="0"/>
          <w:bCs/>
          <w:color w:val="auto"/>
          <w:szCs w:val="24"/>
        </w:rPr>
      </w:pPr>
      <w:r>
        <w:rPr>
          <w:rFonts w:hint="eastAsia" w:ascii="宋体" w:hAnsi="宋体" w:eastAsia="宋体" w:cs="宋体"/>
          <w:b w:val="0"/>
          <w:bCs/>
          <w:color w:val="auto"/>
          <w:szCs w:val="24"/>
        </w:rPr>
        <w:t>Nigeri</w:t>
      </w:r>
      <w:r>
        <w:rPr>
          <w:rFonts w:hint="eastAsia" w:ascii="宋体" w:hAnsi="宋体" w:eastAsia="宋体" w:cs="宋体"/>
          <w:b/>
          <w:bCs w:val="0"/>
          <w:color w:val="auto"/>
          <w:szCs w:val="24"/>
        </w:rPr>
        <w:t>a.Methods</w:t>
      </w:r>
      <w:r>
        <w:rPr>
          <w:rFonts w:hint="eastAsia" w:ascii="宋体" w:hAnsi="宋体" w:eastAsia="宋体" w:cs="宋体"/>
          <w:b w:val="0"/>
          <w:bCs/>
          <w:color w:val="auto"/>
          <w:szCs w:val="24"/>
          <w:lang w:val="en-US" w:eastAsia="zh-CN"/>
        </w:rPr>
        <w:t xml:space="preserve"> </w:t>
      </w:r>
      <w:r>
        <w:rPr>
          <w:rFonts w:hint="eastAsia" w:ascii="宋体" w:hAnsi="宋体" w:eastAsia="宋体" w:cs="宋体"/>
          <w:b w:val="0"/>
          <w:bCs/>
          <w:color w:val="auto"/>
          <w:szCs w:val="24"/>
        </w:rPr>
        <w:t xml:space="preserve">The study was a hospital-based retrospective cohort study, that </w:t>
      </w:r>
    </w:p>
    <w:p w14:paraId="6152093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reviewed the records of 213 PLHIV treated for TB between January 2015 and </w:t>
      </w:r>
    </w:p>
    <w:p w14:paraId="164D92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December 2019. Patient records were examined and data extracted using a </w:t>
      </w:r>
    </w:p>
    <w:p w14:paraId="383830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structured pro forma. Analysis was done with IBM SPSS version 26 using </w:t>
      </w:r>
    </w:p>
    <w:p w14:paraId="222340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descriptive statistics (frequencies and Percentages) and inferential statistics </w:t>
      </w:r>
    </w:p>
    <w:p w14:paraId="6EF3FE24">
      <w:pPr>
        <w:rPr>
          <w:rFonts w:hint="eastAsia" w:ascii="宋体" w:hAnsi="宋体" w:eastAsia="宋体" w:cs="宋体"/>
          <w:b w:val="0"/>
          <w:bCs/>
          <w:color w:val="auto"/>
          <w:szCs w:val="24"/>
        </w:rPr>
      </w:pPr>
      <w:r>
        <w:rPr>
          <w:rFonts w:hint="eastAsia" w:ascii="宋体" w:hAnsi="宋体" w:eastAsia="宋体" w:cs="宋体"/>
          <w:b w:val="0"/>
          <w:bCs/>
          <w:color w:val="auto"/>
          <w:szCs w:val="24"/>
        </w:rPr>
        <w:t>(chi-square test) with statistical significance set at p &lt; 0.05.</w:t>
      </w:r>
      <w:r>
        <w:rPr>
          <w:rFonts w:hint="eastAsia" w:ascii="宋体" w:hAnsi="宋体" w:eastAsia="宋体" w:cs="宋体"/>
          <w:b/>
          <w:bCs w:val="0"/>
          <w:color w:val="auto"/>
          <w:szCs w:val="24"/>
        </w:rPr>
        <w:t>Results</w:t>
      </w:r>
      <w:r>
        <w:rPr>
          <w:rFonts w:hint="eastAsia" w:ascii="宋体" w:hAnsi="宋体" w:eastAsia="宋体" w:cs="宋体"/>
          <w:b/>
          <w:bCs w:val="0"/>
          <w:color w:val="auto"/>
          <w:szCs w:val="24"/>
          <w:lang w:val="en-US" w:eastAsia="zh-CN"/>
        </w:rPr>
        <w:t xml:space="preserve"> </w:t>
      </w:r>
      <w:r>
        <w:rPr>
          <w:rFonts w:hint="eastAsia" w:ascii="宋体" w:hAnsi="宋体" w:eastAsia="宋体" w:cs="宋体"/>
          <w:b w:val="0"/>
          <w:bCs/>
          <w:color w:val="auto"/>
          <w:szCs w:val="24"/>
        </w:rPr>
        <w:t xml:space="preserve">All </w:t>
      </w:r>
    </w:p>
    <w:p w14:paraId="52C4FB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participants were enrolled in the National Tuberculosis, Leprosy and Buruli </w:t>
      </w:r>
    </w:p>
    <w:p w14:paraId="6A9133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Ulcer Control Programme (NTBLCP). Of these, 182 individuals (85.5%) successfully </w:t>
      </w:r>
    </w:p>
    <w:p w14:paraId="3C346D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completed the full 24-week course of anti-tuberculosis therapy. Treatment </w:t>
      </w:r>
    </w:p>
    <w:p w14:paraId="0AF1043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outcomes were classified separately, with 99 (46.5%) patients cured and 74 </w:t>
      </w:r>
    </w:p>
    <w:p w14:paraId="64802FC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(34.7%) completing treatment without bacteriological confirmation, 28 (13.1%) </w:t>
      </w:r>
    </w:p>
    <w:p w14:paraId="09C3A6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discontinued treatment prematurely, and 12 (5.6%) were referred to other </w:t>
      </w:r>
    </w:p>
    <w:p w14:paraId="1CCFA7DA">
      <w:pPr>
        <w:rPr>
          <w:rFonts w:hint="eastAsia" w:ascii="宋体" w:hAnsi="宋体" w:eastAsia="宋体" w:cs="宋体"/>
          <w:b w:val="0"/>
          <w:bCs/>
          <w:color w:val="auto"/>
          <w:szCs w:val="24"/>
        </w:rPr>
      </w:pPr>
      <w:r>
        <w:rPr>
          <w:rFonts w:hint="eastAsia" w:ascii="宋体" w:hAnsi="宋体" w:eastAsia="宋体" w:cs="宋体"/>
          <w:b w:val="0"/>
          <w:bCs/>
          <w:color w:val="auto"/>
          <w:szCs w:val="24"/>
        </w:rPr>
        <w:t>healthcare facilities for continued care</w:t>
      </w:r>
      <w:r>
        <w:rPr>
          <w:rFonts w:hint="eastAsia" w:ascii="宋体" w:hAnsi="宋体" w:eastAsia="宋体" w:cs="宋体"/>
          <w:b/>
          <w:bCs w:val="0"/>
          <w:color w:val="auto"/>
          <w:szCs w:val="24"/>
        </w:rPr>
        <w:t>.Conclusion</w:t>
      </w:r>
      <w:r>
        <w:rPr>
          <w:rFonts w:hint="eastAsia" w:ascii="宋体" w:hAnsi="宋体" w:eastAsia="宋体" w:cs="宋体"/>
          <w:b/>
          <w:bCs w:val="0"/>
          <w:color w:val="auto"/>
          <w:szCs w:val="24"/>
          <w:lang w:val="en-US" w:eastAsia="zh-CN"/>
        </w:rPr>
        <w:t xml:space="preserve"> </w:t>
      </w:r>
      <w:r>
        <w:rPr>
          <w:rFonts w:hint="eastAsia" w:ascii="宋体" w:hAnsi="宋体" w:eastAsia="宋体" w:cs="宋体"/>
          <w:b w:val="0"/>
          <w:bCs/>
          <w:color w:val="auto"/>
          <w:szCs w:val="24"/>
        </w:rPr>
        <w:t xml:space="preserve">TB treatment outcomes among </w:t>
      </w:r>
    </w:p>
    <w:p w14:paraId="6B62181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PLHIV were suboptimal, with notable levels of default and transfer-out. Outcomes </w:t>
      </w:r>
    </w:p>
    <w:p w14:paraId="624D5D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significantly associated with socio-demographic factors and treatment </w:t>
      </w:r>
    </w:p>
    <w:p w14:paraId="197AB0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duration. Strengthening adherence, support mechanisms and improving access to </w:t>
      </w:r>
    </w:p>
    <w:p w14:paraId="4BF7E64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affordable diagnostic monitoring services may enhance TB treatment outcomes </w:t>
      </w:r>
    </w:p>
    <w:p w14:paraId="13F3ED09">
      <w:pPr>
        <w:rPr>
          <w:rFonts w:hint="eastAsia" w:ascii="宋体" w:hAnsi="宋体" w:eastAsia="宋体" w:cs="宋体"/>
          <w:b w:val="0"/>
          <w:bCs/>
          <w:color w:val="auto"/>
          <w:szCs w:val="24"/>
        </w:rPr>
      </w:pPr>
      <w:r>
        <w:rPr>
          <w:rFonts w:hint="eastAsia" w:ascii="宋体" w:hAnsi="宋体" w:eastAsia="宋体" w:cs="宋体"/>
          <w:b w:val="0"/>
          <w:bCs/>
          <w:color w:val="auto"/>
          <w:szCs w:val="24"/>
        </w:rPr>
        <w:t>among PLHIV.</w:t>
      </w:r>
    </w:p>
    <w:p w14:paraId="6EE48DB2">
      <w:pPr>
        <w:rPr>
          <w:rFonts w:hint="eastAsia" w:ascii="宋体" w:hAnsi="宋体" w:eastAsia="宋体" w:cs="宋体"/>
          <w:b w:val="0"/>
          <w:bCs/>
          <w:color w:val="auto"/>
          <w:szCs w:val="24"/>
        </w:rPr>
      </w:pPr>
    </w:p>
    <w:p w14:paraId="1BF911F4">
      <w:pPr>
        <w:rPr>
          <w:rFonts w:hint="eastAsia" w:ascii="宋体" w:hAnsi="宋体" w:eastAsia="宋体" w:cs="宋体"/>
          <w:b w:val="0"/>
          <w:bCs/>
          <w:color w:val="auto"/>
          <w:szCs w:val="24"/>
        </w:rPr>
      </w:pPr>
      <w:r>
        <w:rPr>
          <w:rFonts w:hint="eastAsia" w:ascii="宋体" w:hAnsi="宋体" w:eastAsia="宋体" w:cs="宋体"/>
          <w:b w:val="0"/>
          <w:bCs/>
          <w:color w:val="auto"/>
          <w:szCs w:val="24"/>
        </w:rPr>
        <w:t>DOI: 10.1177/23259582261470686</w:t>
      </w:r>
    </w:p>
    <w:p w14:paraId="6FE259E5">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PMC13562840</w:t>
      </w:r>
    </w:p>
    <w:p w14:paraId="094FE705">
      <w:pPr>
        <w:rPr>
          <w:rFonts w:hint="eastAsia" w:ascii="宋体" w:hAnsi="宋体" w:eastAsia="宋体" w:cs="宋体"/>
          <w:b w:val="0"/>
          <w:bCs/>
          <w:color w:val="auto"/>
          <w:szCs w:val="24"/>
        </w:rPr>
      </w:pPr>
      <w:r>
        <w:rPr>
          <w:rFonts w:hint="eastAsia" w:ascii="宋体" w:hAnsi="宋体" w:eastAsia="宋体" w:cs="宋体"/>
          <w:b w:val="0"/>
          <w:bCs/>
          <w:color w:val="auto"/>
          <w:szCs w:val="24"/>
        </w:rPr>
        <w:t>PMID: 42721121 [Indexed for MEDLINE]</w:t>
      </w:r>
    </w:p>
    <w:p w14:paraId="44E9949C">
      <w:pPr>
        <w:rPr>
          <w:rFonts w:hint="eastAsia" w:ascii="宋体" w:hAnsi="宋体" w:eastAsia="宋体" w:cs="宋体"/>
          <w:b w:val="0"/>
          <w:bCs/>
          <w:color w:val="auto"/>
          <w:szCs w:val="24"/>
        </w:rPr>
      </w:pPr>
    </w:p>
    <w:p w14:paraId="5E6C6949">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70</w:t>
      </w:r>
      <w:r>
        <w:rPr>
          <w:rFonts w:hint="eastAsia" w:ascii="宋体" w:hAnsi="宋体" w:eastAsia="宋体" w:cs="宋体"/>
          <w:b/>
          <w:bCs w:val="0"/>
          <w:color w:val="FF0000"/>
          <w:szCs w:val="24"/>
        </w:rPr>
        <w:t>. RSC Med Chem. 2026 Aug 25. doi: 10.1039/d6md00492j. Online ahead of print.</w:t>
      </w:r>
    </w:p>
    <w:p w14:paraId="428505FA">
      <w:pPr>
        <w:rPr>
          <w:rFonts w:hint="eastAsia" w:ascii="宋体" w:hAnsi="宋体" w:eastAsia="宋体" w:cs="宋体"/>
          <w:b w:val="0"/>
          <w:bCs/>
          <w:color w:val="auto"/>
          <w:szCs w:val="24"/>
        </w:rPr>
      </w:pPr>
    </w:p>
    <w:p w14:paraId="08CDAC0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Development of macrocyclic peptide inhibitors of Mycobacterium tuberculosis MurF </w:t>
      </w:r>
    </w:p>
    <w:p w14:paraId="2239E4C0">
      <w:pPr>
        <w:rPr>
          <w:rFonts w:hint="eastAsia" w:ascii="宋体" w:hAnsi="宋体" w:eastAsia="宋体" w:cs="宋体"/>
          <w:b w:val="0"/>
          <w:bCs/>
          <w:color w:val="auto"/>
          <w:szCs w:val="24"/>
        </w:rPr>
      </w:pPr>
      <w:r>
        <w:rPr>
          <w:rFonts w:hint="eastAsia" w:ascii="宋体" w:hAnsi="宋体" w:eastAsia="宋体" w:cs="宋体"/>
          <w:b w:val="0"/>
          <w:bCs/>
          <w:color w:val="auto"/>
          <w:szCs w:val="24"/>
        </w:rPr>
        <w:t>via mRNA display with genetic reprogramming.</w:t>
      </w:r>
    </w:p>
    <w:p w14:paraId="3E29A5BF">
      <w:pPr>
        <w:rPr>
          <w:rFonts w:hint="eastAsia" w:ascii="宋体" w:hAnsi="宋体" w:eastAsia="宋体" w:cs="宋体"/>
          <w:b w:val="0"/>
          <w:bCs/>
          <w:color w:val="auto"/>
          <w:szCs w:val="24"/>
        </w:rPr>
      </w:pPr>
    </w:p>
    <w:p w14:paraId="66E6CC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Carlos PW(1)(2), Franck C(1)(2), Clarke-Shepperson CE(1)(2), Strong EJ(3), Dilly </w:t>
      </w:r>
    </w:p>
    <w:p w14:paraId="1F793B83">
      <w:pPr>
        <w:rPr>
          <w:rFonts w:hint="eastAsia" w:ascii="宋体" w:hAnsi="宋体" w:eastAsia="宋体" w:cs="宋体"/>
          <w:b w:val="0"/>
          <w:bCs/>
          <w:color w:val="auto"/>
          <w:szCs w:val="24"/>
        </w:rPr>
      </w:pPr>
      <w:r>
        <w:rPr>
          <w:rFonts w:hint="eastAsia" w:ascii="宋体" w:hAnsi="宋体" w:eastAsia="宋体" w:cs="宋体"/>
          <w:b w:val="0"/>
          <w:bCs/>
          <w:color w:val="auto"/>
          <w:szCs w:val="24"/>
        </w:rPr>
        <w:t>JJ(1)(2), Kambanis L(1)(2), Britton WJ(4), West NP(3), Payne RJ(1)(2).</w:t>
      </w:r>
    </w:p>
    <w:p w14:paraId="1BB0D714">
      <w:pPr>
        <w:rPr>
          <w:rFonts w:hint="eastAsia" w:ascii="宋体" w:hAnsi="宋体" w:eastAsia="宋体" w:cs="宋体"/>
          <w:b w:val="0"/>
          <w:bCs/>
          <w:color w:val="auto"/>
          <w:szCs w:val="24"/>
        </w:rPr>
      </w:pPr>
    </w:p>
    <w:p w14:paraId="41A18FC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7D86F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(1)School of Chemistry, The University of Sydney Sydney NSW 2006 Australia </w:t>
      </w:r>
    </w:p>
    <w:p w14:paraId="7790347F">
      <w:pPr>
        <w:rPr>
          <w:rFonts w:hint="eastAsia" w:ascii="宋体" w:hAnsi="宋体" w:eastAsia="宋体" w:cs="宋体"/>
          <w:b w:val="0"/>
          <w:bCs/>
          <w:color w:val="auto"/>
          <w:szCs w:val="24"/>
        </w:rPr>
      </w:pPr>
      <w:r>
        <w:rPr>
          <w:rFonts w:hint="eastAsia" w:ascii="宋体" w:hAnsi="宋体" w:eastAsia="宋体" w:cs="宋体"/>
          <w:b w:val="0"/>
          <w:bCs/>
          <w:color w:val="auto"/>
          <w:szCs w:val="24"/>
        </w:rPr>
        <w:t>richard.payne@sydney.edu.au.</w:t>
      </w:r>
    </w:p>
    <w:p w14:paraId="117047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(2)Australian Research Council Centre of Excellence for Innovations in Peptide </w:t>
      </w:r>
    </w:p>
    <w:p w14:paraId="32780159">
      <w:pPr>
        <w:rPr>
          <w:rFonts w:hint="eastAsia" w:ascii="宋体" w:hAnsi="宋体" w:eastAsia="宋体" w:cs="宋体"/>
          <w:b w:val="0"/>
          <w:bCs/>
          <w:color w:val="auto"/>
          <w:szCs w:val="24"/>
        </w:rPr>
      </w:pPr>
      <w:r>
        <w:rPr>
          <w:rFonts w:hint="eastAsia" w:ascii="宋体" w:hAnsi="宋体" w:eastAsia="宋体" w:cs="宋体"/>
          <w:b w:val="0"/>
          <w:bCs/>
          <w:color w:val="auto"/>
          <w:szCs w:val="24"/>
        </w:rPr>
        <w:t>and Protein Science Australia.</w:t>
      </w:r>
    </w:p>
    <w:p w14:paraId="486652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(3)School of Chemistry and Molecular Biosciences and the Australian Infectious </w:t>
      </w:r>
    </w:p>
    <w:p w14:paraId="09671A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Diseases Research Centre, The University of Queensland Brisbane QLD 4072 </w:t>
      </w:r>
    </w:p>
    <w:p w14:paraId="7967C470">
      <w:pPr>
        <w:rPr>
          <w:rFonts w:hint="eastAsia" w:ascii="宋体" w:hAnsi="宋体" w:eastAsia="宋体" w:cs="宋体"/>
          <w:b w:val="0"/>
          <w:bCs/>
          <w:color w:val="auto"/>
          <w:szCs w:val="24"/>
        </w:rPr>
      </w:pPr>
      <w:r>
        <w:rPr>
          <w:rFonts w:hint="eastAsia" w:ascii="宋体" w:hAnsi="宋体" w:eastAsia="宋体" w:cs="宋体"/>
          <w:b w:val="0"/>
          <w:bCs/>
          <w:color w:val="auto"/>
          <w:szCs w:val="24"/>
        </w:rPr>
        <w:t>Australia.</w:t>
      </w:r>
    </w:p>
    <w:p w14:paraId="0BE0F2A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(4)Tuberculosis Research Program at the Centenary Institute, The University of </w:t>
      </w:r>
    </w:p>
    <w:p w14:paraId="0220D429">
      <w:pPr>
        <w:rPr>
          <w:rFonts w:hint="eastAsia" w:ascii="宋体" w:hAnsi="宋体" w:eastAsia="宋体" w:cs="宋体"/>
          <w:b w:val="0"/>
          <w:bCs/>
          <w:color w:val="auto"/>
          <w:szCs w:val="24"/>
        </w:rPr>
      </w:pPr>
      <w:r>
        <w:rPr>
          <w:rFonts w:hint="eastAsia" w:ascii="宋体" w:hAnsi="宋体" w:eastAsia="宋体" w:cs="宋体"/>
          <w:b w:val="0"/>
          <w:bCs/>
          <w:color w:val="auto"/>
          <w:szCs w:val="24"/>
        </w:rPr>
        <w:t>Sydney Sydney NSW Australia.</w:t>
      </w:r>
    </w:p>
    <w:p w14:paraId="1C30C382">
      <w:pPr>
        <w:rPr>
          <w:rFonts w:hint="eastAsia" w:ascii="宋体" w:hAnsi="宋体" w:eastAsia="宋体" w:cs="宋体"/>
          <w:b w:val="0"/>
          <w:bCs/>
          <w:color w:val="auto"/>
          <w:szCs w:val="24"/>
        </w:rPr>
      </w:pPr>
    </w:p>
    <w:p w14:paraId="59C517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development of new antibacterials for Mycobacterium tuberculosis (Mtb), the </w:t>
      </w:r>
    </w:p>
    <w:p w14:paraId="6CEDD3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causative agent of tuberculosis (TB), remains critical due to the continued </w:t>
      </w:r>
    </w:p>
    <w:p w14:paraId="5861282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 burden of disease and the emergence of multi-drug resistant (MDR-TB) and </w:t>
      </w:r>
    </w:p>
    <w:p w14:paraId="3BB367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extensively drug-resistant (XDR-TB) strains. The MurF enzyme, which catalyses </w:t>
      </w:r>
    </w:p>
    <w:p w14:paraId="0CF881D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ATP-dependent ligation of d-Ala-d-Ala to a UDP-MurNAc-tripeptide precursor </w:t>
      </w:r>
    </w:p>
    <w:p w14:paraId="59F46A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 peptidoglycan biosynthesis, represents a promising therapeutic target. In </w:t>
      </w:r>
    </w:p>
    <w:p w14:paraId="46770C1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this work, random non-standard peptide integrated discovery (RaPID) mRNA display </w:t>
      </w:r>
    </w:p>
    <w:p w14:paraId="791B89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genetic reprogramming of a non-canonical uracil-derived amino acid was </w:t>
      </w:r>
    </w:p>
    <w:p w14:paraId="3B637C0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applied to Mtb MurF, leading to the identification of several high-affinity </w:t>
      </w:r>
    </w:p>
    <w:p w14:paraId="38F1ACE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thioether-linked cyclic peptide ligands, several of which also inhibited the </w:t>
      </w:r>
    </w:p>
    <w:p w14:paraId="78FBC9D2">
      <w:pPr>
        <w:rPr>
          <w:rFonts w:hint="eastAsia" w:ascii="宋体" w:hAnsi="宋体" w:eastAsia="宋体" w:cs="宋体"/>
          <w:b w:val="0"/>
          <w:bCs/>
          <w:color w:val="auto"/>
          <w:szCs w:val="24"/>
        </w:rPr>
      </w:pPr>
      <w:r>
        <w:rPr>
          <w:rFonts w:hint="eastAsia" w:ascii="宋体" w:hAnsi="宋体" w:eastAsia="宋体" w:cs="宋体"/>
          <w:b w:val="0"/>
          <w:bCs/>
          <w:color w:val="auto"/>
          <w:szCs w:val="24"/>
        </w:rPr>
        <w:t>catalytic activity of the Mtb MurX enzyme.</w:t>
      </w:r>
    </w:p>
    <w:p w14:paraId="368EC3ED">
      <w:pPr>
        <w:rPr>
          <w:rFonts w:hint="eastAsia" w:ascii="宋体" w:hAnsi="宋体" w:eastAsia="宋体" w:cs="宋体"/>
          <w:b w:val="0"/>
          <w:bCs/>
          <w:color w:val="auto"/>
          <w:szCs w:val="24"/>
        </w:rPr>
      </w:pPr>
    </w:p>
    <w:p w14:paraId="051E46F8">
      <w:pPr>
        <w:rPr>
          <w:rFonts w:hint="eastAsia" w:ascii="宋体" w:hAnsi="宋体" w:eastAsia="宋体" w:cs="宋体"/>
          <w:b w:val="0"/>
          <w:bCs/>
          <w:color w:val="auto"/>
          <w:szCs w:val="24"/>
        </w:rPr>
      </w:pPr>
      <w:r>
        <w:rPr>
          <w:rFonts w:hint="eastAsia" w:ascii="宋体" w:hAnsi="宋体" w:eastAsia="宋体" w:cs="宋体"/>
          <w:b w:val="0"/>
          <w:bCs/>
          <w:color w:val="auto"/>
          <w:szCs w:val="24"/>
        </w:rPr>
        <w:t>This journal is © The Royal Society of Chemistry.</w:t>
      </w:r>
    </w:p>
    <w:p w14:paraId="1B560193">
      <w:pPr>
        <w:rPr>
          <w:rFonts w:hint="eastAsia" w:ascii="宋体" w:hAnsi="宋体" w:eastAsia="宋体" w:cs="宋体"/>
          <w:b w:val="0"/>
          <w:bCs/>
          <w:color w:val="auto"/>
          <w:szCs w:val="24"/>
        </w:rPr>
      </w:pPr>
    </w:p>
    <w:p w14:paraId="389EBC35">
      <w:pPr>
        <w:rPr>
          <w:rFonts w:hint="eastAsia" w:ascii="宋体" w:hAnsi="宋体" w:eastAsia="宋体" w:cs="宋体"/>
          <w:b w:val="0"/>
          <w:bCs/>
          <w:color w:val="auto"/>
          <w:szCs w:val="24"/>
        </w:rPr>
      </w:pPr>
      <w:r>
        <w:rPr>
          <w:rFonts w:hint="eastAsia" w:ascii="宋体" w:hAnsi="宋体" w:eastAsia="宋体" w:cs="宋体"/>
          <w:b w:val="0"/>
          <w:bCs/>
          <w:color w:val="auto"/>
          <w:szCs w:val="24"/>
        </w:rPr>
        <w:t>DOI: 10.1039/d6md00492j</w:t>
      </w:r>
    </w:p>
    <w:p w14:paraId="2BB2AFA3">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PMC13557025</w:t>
      </w:r>
    </w:p>
    <w:p w14:paraId="181A93EF">
      <w:pPr>
        <w:rPr>
          <w:rFonts w:hint="eastAsia" w:ascii="宋体" w:hAnsi="宋体" w:eastAsia="宋体" w:cs="宋体"/>
          <w:b w:val="0"/>
          <w:bCs/>
          <w:color w:val="auto"/>
          <w:szCs w:val="24"/>
        </w:rPr>
      </w:pPr>
      <w:r>
        <w:rPr>
          <w:rFonts w:hint="eastAsia" w:ascii="宋体" w:hAnsi="宋体" w:eastAsia="宋体" w:cs="宋体"/>
          <w:b w:val="0"/>
          <w:bCs/>
          <w:color w:val="auto"/>
          <w:szCs w:val="24"/>
        </w:rPr>
        <w:t>PMID: 42719787</w:t>
      </w:r>
    </w:p>
    <w:p w14:paraId="2F269C72">
      <w:pPr>
        <w:rPr>
          <w:rFonts w:hint="eastAsia" w:ascii="宋体" w:hAnsi="宋体" w:eastAsia="宋体" w:cs="宋体"/>
          <w:b w:val="0"/>
          <w:bCs/>
          <w:color w:val="auto"/>
          <w:szCs w:val="24"/>
        </w:rPr>
      </w:pPr>
    </w:p>
    <w:p w14:paraId="1F52F706">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71</w:t>
      </w:r>
      <w:r>
        <w:rPr>
          <w:rFonts w:hint="eastAsia" w:ascii="宋体" w:hAnsi="宋体" w:eastAsia="宋体" w:cs="宋体"/>
          <w:b/>
          <w:bCs w:val="0"/>
          <w:color w:val="FF0000"/>
          <w:szCs w:val="24"/>
        </w:rPr>
        <w:t xml:space="preserve">. Discov Public Health. 2026;23(1):1433. doi: 10.1186/s12982-026-02839-5. Epub </w:t>
      </w:r>
    </w:p>
    <w:p w14:paraId="7D992E42">
      <w:pPr>
        <w:rPr>
          <w:rFonts w:hint="eastAsia" w:ascii="宋体" w:hAnsi="宋体" w:eastAsia="宋体" w:cs="宋体"/>
          <w:b/>
          <w:bCs w:val="0"/>
          <w:color w:val="FF0000"/>
          <w:szCs w:val="24"/>
        </w:rPr>
      </w:pPr>
      <w:r>
        <w:rPr>
          <w:rFonts w:hint="eastAsia" w:ascii="宋体" w:hAnsi="宋体" w:eastAsia="宋体" w:cs="宋体"/>
          <w:b/>
          <w:bCs w:val="0"/>
          <w:color w:val="FF0000"/>
          <w:szCs w:val="24"/>
        </w:rPr>
        <w:t>2026 Sep 8.</w:t>
      </w:r>
    </w:p>
    <w:p w14:paraId="31359BC0">
      <w:pPr>
        <w:rPr>
          <w:rFonts w:hint="eastAsia" w:ascii="宋体" w:hAnsi="宋体" w:eastAsia="宋体" w:cs="宋体"/>
          <w:b w:val="0"/>
          <w:bCs/>
          <w:color w:val="auto"/>
          <w:szCs w:val="24"/>
        </w:rPr>
      </w:pPr>
    </w:p>
    <w:p w14:paraId="0DDC71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Immunometabolic and RAAS determinants of circulating interferon gamma in an HIV </w:t>
      </w:r>
    </w:p>
    <w:p w14:paraId="44BB8D08">
      <w:pPr>
        <w:rPr>
          <w:rFonts w:hint="eastAsia" w:ascii="宋体" w:hAnsi="宋体" w:eastAsia="宋体" w:cs="宋体"/>
          <w:b w:val="0"/>
          <w:bCs/>
          <w:color w:val="auto"/>
          <w:szCs w:val="24"/>
        </w:rPr>
      </w:pPr>
      <w:r>
        <w:rPr>
          <w:rFonts w:hint="eastAsia" w:ascii="宋体" w:hAnsi="宋体" w:eastAsia="宋体" w:cs="宋体"/>
          <w:b w:val="0"/>
          <w:bCs/>
          <w:color w:val="auto"/>
          <w:szCs w:val="24"/>
        </w:rPr>
        <w:t>and TB Zambian cohort.</w:t>
      </w:r>
    </w:p>
    <w:p w14:paraId="10FD19ED">
      <w:pPr>
        <w:rPr>
          <w:rFonts w:hint="eastAsia" w:ascii="宋体" w:hAnsi="宋体" w:eastAsia="宋体" w:cs="宋体"/>
          <w:b w:val="0"/>
          <w:bCs/>
          <w:color w:val="auto"/>
          <w:szCs w:val="24"/>
        </w:rPr>
      </w:pPr>
    </w:p>
    <w:p w14:paraId="778F5AE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Sidambi D(#)(1)(2), Chisompola D(#)(1)(2), Lwindi P(1)(2), Kaango A(1)(2), </w:t>
      </w:r>
    </w:p>
    <w:p w14:paraId="6D4D1495">
      <w:pPr>
        <w:rPr>
          <w:rFonts w:hint="eastAsia" w:ascii="宋体" w:hAnsi="宋体" w:eastAsia="宋体" w:cs="宋体"/>
          <w:b w:val="0"/>
          <w:bCs/>
          <w:color w:val="auto"/>
          <w:szCs w:val="24"/>
        </w:rPr>
      </w:pPr>
      <w:r>
        <w:rPr>
          <w:rFonts w:hint="eastAsia" w:ascii="宋体" w:hAnsi="宋体" w:eastAsia="宋体" w:cs="宋体"/>
          <w:b w:val="0"/>
          <w:bCs/>
          <w:color w:val="auto"/>
          <w:szCs w:val="24"/>
        </w:rPr>
        <w:t>Hamooya BM(1)(2), Povia JP(3), Masenga SK(1)(2).</w:t>
      </w:r>
    </w:p>
    <w:p w14:paraId="54BC9AFB">
      <w:pPr>
        <w:rPr>
          <w:rFonts w:hint="eastAsia" w:ascii="宋体" w:hAnsi="宋体" w:eastAsia="宋体" w:cs="宋体"/>
          <w:b w:val="0"/>
          <w:bCs/>
          <w:color w:val="auto"/>
          <w:szCs w:val="24"/>
        </w:rPr>
      </w:pPr>
    </w:p>
    <w:p w14:paraId="43F8FE57">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F64940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(1)HAND Research Group, School of Medicine and Health Sciences, Mulungushi </w:t>
      </w:r>
    </w:p>
    <w:p w14:paraId="7F7DC1DE">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Livingstone, 10101 Zambia.</w:t>
      </w:r>
    </w:p>
    <w:p w14:paraId="28FA9E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Cardiovascular Science and Metabolic Diseases, Livingstone </w:t>
      </w:r>
    </w:p>
    <w:p w14:paraId="3CC9B78F">
      <w:pPr>
        <w:rPr>
          <w:rFonts w:hint="eastAsia" w:ascii="宋体" w:hAnsi="宋体" w:eastAsia="宋体" w:cs="宋体"/>
          <w:b w:val="0"/>
          <w:bCs/>
          <w:color w:val="auto"/>
          <w:szCs w:val="24"/>
        </w:rPr>
      </w:pPr>
      <w:r>
        <w:rPr>
          <w:rFonts w:hint="eastAsia" w:ascii="宋体" w:hAnsi="宋体" w:eastAsia="宋体" w:cs="宋体"/>
          <w:b w:val="0"/>
          <w:bCs/>
          <w:color w:val="auto"/>
          <w:szCs w:val="24"/>
        </w:rPr>
        <w:t>Center for Prevention and Translational Science, Livingstone, 10101 Zambia.</w:t>
      </w:r>
    </w:p>
    <w:p w14:paraId="66E00C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Economics, Livingstone Center for Prevention and Translational </w:t>
      </w:r>
    </w:p>
    <w:p w14:paraId="36AF52C7">
      <w:pPr>
        <w:rPr>
          <w:rFonts w:hint="eastAsia" w:ascii="宋体" w:hAnsi="宋体" w:eastAsia="宋体" w:cs="宋体"/>
          <w:b w:val="0"/>
          <w:bCs/>
          <w:color w:val="auto"/>
          <w:szCs w:val="24"/>
        </w:rPr>
      </w:pPr>
      <w:r>
        <w:rPr>
          <w:rFonts w:hint="eastAsia" w:ascii="宋体" w:hAnsi="宋体" w:eastAsia="宋体" w:cs="宋体"/>
          <w:b w:val="0"/>
          <w:bCs/>
          <w:color w:val="auto"/>
          <w:szCs w:val="24"/>
        </w:rPr>
        <w:t>Science, Livingstone, 10101 Zambia.</w:t>
      </w:r>
    </w:p>
    <w:p w14:paraId="312F6EE8">
      <w:pPr>
        <w:rPr>
          <w:rFonts w:hint="eastAsia" w:ascii="宋体" w:hAnsi="宋体" w:eastAsia="宋体" w:cs="宋体"/>
          <w:b w:val="0"/>
          <w:bCs/>
          <w:color w:val="auto"/>
          <w:szCs w:val="24"/>
        </w:rPr>
      </w:pPr>
      <w:r>
        <w:rPr>
          <w:rFonts w:hint="eastAsia" w:ascii="宋体" w:hAnsi="宋体" w:eastAsia="宋体" w:cs="宋体"/>
          <w:b w:val="0"/>
          <w:bCs/>
          <w:color w:val="auto"/>
          <w:szCs w:val="24"/>
        </w:rPr>
        <w:t>(#)Contributed equally</w:t>
      </w:r>
    </w:p>
    <w:p w14:paraId="661035B7">
      <w:pPr>
        <w:rPr>
          <w:rFonts w:hint="eastAsia" w:ascii="宋体" w:hAnsi="宋体" w:eastAsia="宋体" w:cs="宋体"/>
          <w:b w:val="0"/>
          <w:bCs/>
          <w:color w:val="auto"/>
          <w:szCs w:val="24"/>
        </w:rPr>
      </w:pPr>
    </w:p>
    <w:p w14:paraId="315B2F82">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Tuberculosis (TB) and human immunodeficiency virus (HIV) remain </w:t>
      </w:r>
    </w:p>
    <w:p w14:paraId="4DB92D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major global health challenges, particularly in sub-Saharan Africa where </w:t>
      </w:r>
    </w:p>
    <w:p w14:paraId="41AFAF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co-infection and chronic immune activation are highly prevalent. </w:t>
      </w:r>
    </w:p>
    <w:p w14:paraId="23525C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Interferon-gamma (IFN-γ) plays a central role in host defense against </w:t>
      </w:r>
    </w:p>
    <w:p w14:paraId="7C4565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yet its determinants in real-world, high-burden </w:t>
      </w:r>
    </w:p>
    <w:p w14:paraId="4D41B12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populations especially in the context of metabolic and systemic inflammation are </w:t>
      </w:r>
    </w:p>
    <w:p w14:paraId="292CEF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not fully understood. This study investigated clinical, inflammatory, and </w:t>
      </w:r>
    </w:p>
    <w:p w14:paraId="4B7449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metabolic factors associated with circulating IFN-γ levels in adults in a high </w:t>
      </w:r>
    </w:p>
    <w:p w14:paraId="118EB248">
      <w:pPr>
        <w:rPr>
          <w:rFonts w:hint="eastAsia" w:ascii="宋体" w:hAnsi="宋体" w:eastAsia="宋体" w:cs="宋体"/>
          <w:b w:val="0"/>
          <w:bCs/>
          <w:color w:val="auto"/>
          <w:szCs w:val="24"/>
        </w:rPr>
      </w:pPr>
      <w:r>
        <w:rPr>
          <w:rFonts w:hint="eastAsia" w:ascii="宋体" w:hAnsi="宋体" w:eastAsia="宋体" w:cs="宋体"/>
          <w:b w:val="0"/>
          <w:bCs/>
          <w:color w:val="auto"/>
          <w:szCs w:val="24"/>
        </w:rPr>
        <w:t>HIV/TB burden setting.</w:t>
      </w:r>
    </w:p>
    <w:p w14:paraId="339E0D7E">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This was a cross-sectional study of 227 adults attending medical clinic </w:t>
      </w:r>
    </w:p>
    <w:p w14:paraId="703740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at Livingstone University Teaching Hospital, Zambia. Circulating IFN-γ and a </w:t>
      </w:r>
    </w:p>
    <w:p w14:paraId="1890BB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panel of inflammatory, metabolic, and renin-angiotensin-aldosterone system </w:t>
      </w:r>
    </w:p>
    <w:p w14:paraId="18E485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(RAAS) biomarkers were measured. Associations were assessed using simple and </w:t>
      </w:r>
    </w:p>
    <w:p w14:paraId="7F5E083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multivariable linear regression models, with log transformation applied to </w:t>
      </w:r>
    </w:p>
    <w:p w14:paraId="6D7174F2">
      <w:pPr>
        <w:rPr>
          <w:rFonts w:hint="eastAsia" w:ascii="宋体" w:hAnsi="宋体" w:eastAsia="宋体" w:cs="宋体"/>
          <w:b w:val="0"/>
          <w:bCs/>
          <w:color w:val="auto"/>
          <w:szCs w:val="24"/>
        </w:rPr>
      </w:pPr>
      <w:r>
        <w:rPr>
          <w:rFonts w:hint="eastAsia" w:ascii="宋体" w:hAnsi="宋体" w:eastAsia="宋体" w:cs="宋体"/>
          <w:b w:val="0"/>
          <w:bCs/>
          <w:color w:val="auto"/>
          <w:szCs w:val="24"/>
        </w:rPr>
        <w:t>skewed variables. Statistical significance was defined as p &lt; 0.05.</w:t>
      </w:r>
    </w:p>
    <w:p w14:paraId="4FEBF826">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Among participants (median age 50 years; 64.3% living with HIV), </w:t>
      </w:r>
    </w:p>
    <w:p w14:paraId="3AF96C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several variables were associated with IFN-γ in unadjusted analyses, including </w:t>
      </w:r>
    </w:p>
    <w:p w14:paraId="6ACD252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inflammatory cytokines, hs-CRP, angiotensin II, and fasting glucose. However, in </w:t>
      </w:r>
    </w:p>
    <w:p w14:paraId="20610C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multivariable analysis, only female sex (β = -0.440, p = 0.023), fasting glucose </w:t>
      </w:r>
    </w:p>
    <w:p w14:paraId="3DF0EC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(β = 0.153, p = 0.042), angiotensin II (log-transformed) (β = 0.688, p = 0.022), </w:t>
      </w:r>
    </w:p>
    <w:p w14:paraId="4536CC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IL-17 A (log-transformed) (β = 0.332, p = 0.019) remained independently </w:t>
      </w:r>
    </w:p>
    <w:p w14:paraId="65B87D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IFN-γ levels. Notably, HIV status, prior tuberculosis infection, </w:t>
      </w:r>
    </w:p>
    <w:p w14:paraId="065060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hs-CRP, and other inflammatory markers were not independently associated after </w:t>
      </w:r>
    </w:p>
    <w:p w14:paraId="6480FCE2">
      <w:pPr>
        <w:rPr>
          <w:rFonts w:hint="eastAsia" w:ascii="宋体" w:hAnsi="宋体" w:eastAsia="宋体" w:cs="宋体"/>
          <w:b w:val="0"/>
          <w:bCs/>
          <w:color w:val="auto"/>
          <w:szCs w:val="24"/>
        </w:rPr>
      </w:pPr>
      <w:r>
        <w:rPr>
          <w:rFonts w:hint="eastAsia" w:ascii="宋体" w:hAnsi="宋体" w:eastAsia="宋体" w:cs="宋体"/>
          <w:b w:val="0"/>
          <w:bCs/>
          <w:color w:val="auto"/>
          <w:szCs w:val="24"/>
        </w:rPr>
        <w:t>adjustment.</w:t>
      </w:r>
    </w:p>
    <w:p w14:paraId="666EAE15">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In this high HIV/TB burden population, circulating IFN-γ levels were </w:t>
      </w:r>
    </w:p>
    <w:p w14:paraId="03CB151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independently associated with metabolic (fasting glucose), vascular-hormonal </w:t>
      </w:r>
    </w:p>
    <w:p w14:paraId="13235F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(angiotensin II), and immune (IL-17 A) factors, but not with HIV infection or </w:t>
      </w:r>
    </w:p>
    <w:p w14:paraId="2826D8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prior TB after adjustment. These findings suggest that IFN-γ may reflect broader </w:t>
      </w:r>
    </w:p>
    <w:p w14:paraId="7BC4764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immunometabolic and inflammatory processes rather than infection-specific immune </w:t>
      </w:r>
    </w:p>
    <w:p w14:paraId="7D6594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activation in treated populations. Longitudinal studies are needed to clarify </w:t>
      </w:r>
    </w:p>
    <w:p w14:paraId="7D723F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prognostic and clinical utility of IFN-γ in integrated chronic disease </w:t>
      </w:r>
    </w:p>
    <w:p w14:paraId="545C6715">
      <w:pPr>
        <w:rPr>
          <w:rFonts w:hint="eastAsia" w:ascii="宋体" w:hAnsi="宋体" w:eastAsia="宋体" w:cs="宋体"/>
          <w:b w:val="0"/>
          <w:bCs/>
          <w:color w:val="auto"/>
          <w:szCs w:val="24"/>
        </w:rPr>
      </w:pPr>
      <w:r>
        <w:rPr>
          <w:rFonts w:hint="eastAsia" w:ascii="宋体" w:hAnsi="宋体" w:eastAsia="宋体" w:cs="宋体"/>
          <w:b w:val="0"/>
          <w:bCs/>
          <w:color w:val="auto"/>
          <w:szCs w:val="24"/>
        </w:rPr>
        <w:t>management.</w:t>
      </w:r>
    </w:p>
    <w:p w14:paraId="34E05CB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SUPPLEMENTARY INFORMATION: The online version contains supplementary material </w:t>
      </w:r>
    </w:p>
    <w:p w14:paraId="0508AA2D">
      <w:pPr>
        <w:rPr>
          <w:rFonts w:hint="eastAsia" w:ascii="宋体" w:hAnsi="宋体" w:eastAsia="宋体" w:cs="宋体"/>
          <w:b w:val="0"/>
          <w:bCs/>
          <w:color w:val="auto"/>
          <w:szCs w:val="24"/>
        </w:rPr>
      </w:pPr>
      <w:r>
        <w:rPr>
          <w:rFonts w:hint="eastAsia" w:ascii="宋体" w:hAnsi="宋体" w:eastAsia="宋体" w:cs="宋体"/>
          <w:b w:val="0"/>
          <w:bCs/>
          <w:color w:val="auto"/>
          <w:szCs w:val="24"/>
        </w:rPr>
        <w:t>available at https://doi.org/10.1186/s12982-026-02839-5.</w:t>
      </w:r>
    </w:p>
    <w:p w14:paraId="073051E8">
      <w:pPr>
        <w:rPr>
          <w:rFonts w:hint="eastAsia" w:ascii="宋体" w:hAnsi="宋体" w:eastAsia="宋体" w:cs="宋体"/>
          <w:b w:val="0"/>
          <w:bCs/>
          <w:color w:val="auto"/>
          <w:szCs w:val="24"/>
        </w:rPr>
      </w:pPr>
    </w:p>
    <w:p w14:paraId="23EAA377">
      <w:pPr>
        <w:rPr>
          <w:rFonts w:hint="eastAsia" w:ascii="宋体" w:hAnsi="宋体" w:eastAsia="宋体" w:cs="宋体"/>
          <w:b w:val="0"/>
          <w:bCs/>
          <w:color w:val="auto"/>
          <w:szCs w:val="24"/>
        </w:rPr>
      </w:pPr>
      <w:r>
        <w:rPr>
          <w:rFonts w:hint="eastAsia" w:ascii="宋体" w:hAnsi="宋体" w:eastAsia="宋体" w:cs="宋体"/>
          <w:b w:val="0"/>
          <w:bCs/>
          <w:color w:val="auto"/>
          <w:szCs w:val="24"/>
        </w:rPr>
        <w:t>© The Author(s) 2026.</w:t>
      </w:r>
    </w:p>
    <w:p w14:paraId="7ADA7021">
      <w:pPr>
        <w:rPr>
          <w:rFonts w:hint="eastAsia" w:ascii="宋体" w:hAnsi="宋体" w:eastAsia="宋体" w:cs="宋体"/>
          <w:b w:val="0"/>
          <w:bCs/>
          <w:color w:val="auto"/>
          <w:szCs w:val="24"/>
        </w:rPr>
      </w:pPr>
    </w:p>
    <w:p w14:paraId="50239410">
      <w:pPr>
        <w:rPr>
          <w:rFonts w:hint="eastAsia" w:ascii="宋体" w:hAnsi="宋体" w:eastAsia="宋体" w:cs="宋体"/>
          <w:b w:val="0"/>
          <w:bCs/>
          <w:color w:val="auto"/>
          <w:szCs w:val="24"/>
        </w:rPr>
      </w:pPr>
      <w:r>
        <w:rPr>
          <w:rFonts w:hint="eastAsia" w:ascii="宋体" w:hAnsi="宋体" w:eastAsia="宋体" w:cs="宋体"/>
          <w:b w:val="0"/>
          <w:bCs/>
          <w:color w:val="auto"/>
          <w:szCs w:val="24"/>
        </w:rPr>
        <w:t>DOI: 10.1186/s12982-026-02839-5</w:t>
      </w:r>
    </w:p>
    <w:p w14:paraId="6E397797">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PMC13553695</w:t>
      </w:r>
    </w:p>
    <w:p w14:paraId="1AFD0609">
      <w:pPr>
        <w:rPr>
          <w:rFonts w:hint="eastAsia" w:ascii="宋体" w:hAnsi="宋体" w:eastAsia="宋体" w:cs="宋体"/>
          <w:b w:val="0"/>
          <w:bCs/>
          <w:color w:val="auto"/>
          <w:szCs w:val="24"/>
        </w:rPr>
      </w:pPr>
      <w:r>
        <w:rPr>
          <w:rFonts w:hint="eastAsia" w:ascii="宋体" w:hAnsi="宋体" w:eastAsia="宋体" w:cs="宋体"/>
          <w:b w:val="0"/>
          <w:bCs/>
          <w:color w:val="auto"/>
          <w:szCs w:val="24"/>
        </w:rPr>
        <w:t>PMID: 42718946</w:t>
      </w:r>
    </w:p>
    <w:p w14:paraId="1FE67FD9">
      <w:pPr>
        <w:rPr>
          <w:rFonts w:hint="eastAsia" w:ascii="宋体" w:hAnsi="宋体" w:eastAsia="宋体" w:cs="宋体"/>
          <w:b w:val="0"/>
          <w:bCs/>
          <w:color w:val="auto"/>
          <w:szCs w:val="24"/>
        </w:rPr>
      </w:pPr>
    </w:p>
    <w:p w14:paraId="1D95563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72</w:t>
      </w:r>
      <w:r>
        <w:rPr>
          <w:rFonts w:hint="eastAsia" w:ascii="宋体" w:hAnsi="宋体" w:eastAsia="宋体" w:cs="宋体"/>
          <w:b/>
          <w:bCs w:val="0"/>
          <w:color w:val="FF0000"/>
          <w:szCs w:val="24"/>
        </w:rPr>
        <w:t xml:space="preserve">. medRxiv [Preprint]. 2026 Aug 14:2026.08.12.26360317. doi: </w:t>
      </w:r>
    </w:p>
    <w:p w14:paraId="485F55E5">
      <w:pPr>
        <w:rPr>
          <w:rFonts w:hint="eastAsia" w:ascii="宋体" w:hAnsi="宋体" w:eastAsia="宋体" w:cs="宋体"/>
          <w:b/>
          <w:bCs w:val="0"/>
          <w:color w:val="FF0000"/>
          <w:szCs w:val="24"/>
        </w:rPr>
      </w:pPr>
      <w:r>
        <w:rPr>
          <w:rFonts w:hint="eastAsia" w:ascii="宋体" w:hAnsi="宋体" w:eastAsia="宋体" w:cs="宋体"/>
          <w:b/>
          <w:bCs w:val="0"/>
          <w:color w:val="FF0000"/>
          <w:szCs w:val="24"/>
        </w:rPr>
        <w:t>10.64898/2026.08.12.26360317.</w:t>
      </w:r>
    </w:p>
    <w:p w14:paraId="513AE7F4">
      <w:pPr>
        <w:rPr>
          <w:rFonts w:hint="eastAsia" w:ascii="宋体" w:hAnsi="宋体" w:eastAsia="宋体" w:cs="宋体"/>
          <w:b w:val="0"/>
          <w:bCs/>
          <w:color w:val="auto"/>
          <w:szCs w:val="24"/>
        </w:rPr>
      </w:pPr>
    </w:p>
    <w:p w14:paraId="173453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prevalence among children with severe acute malnutrition: a </w:t>
      </w:r>
    </w:p>
    <w:p w14:paraId="0F8D0759">
      <w:pPr>
        <w:rPr>
          <w:rFonts w:hint="eastAsia" w:ascii="宋体" w:hAnsi="宋体" w:eastAsia="宋体" w:cs="宋体"/>
          <w:b w:val="0"/>
          <w:bCs/>
          <w:color w:val="auto"/>
          <w:szCs w:val="24"/>
        </w:rPr>
      </w:pPr>
      <w:r>
        <w:rPr>
          <w:rFonts w:hint="eastAsia" w:ascii="宋体" w:hAnsi="宋体" w:eastAsia="宋体" w:cs="宋体"/>
          <w:b w:val="0"/>
          <w:bCs/>
          <w:color w:val="auto"/>
          <w:szCs w:val="24"/>
        </w:rPr>
        <w:t>systematic review and meta-analysis.</w:t>
      </w:r>
    </w:p>
    <w:p w14:paraId="278C9867">
      <w:pPr>
        <w:rPr>
          <w:rFonts w:hint="eastAsia" w:ascii="宋体" w:hAnsi="宋体" w:eastAsia="宋体" w:cs="宋体"/>
          <w:b w:val="0"/>
          <w:bCs/>
          <w:color w:val="auto"/>
          <w:szCs w:val="24"/>
        </w:rPr>
      </w:pPr>
    </w:p>
    <w:p w14:paraId="428447F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Khan AA(1), Armour-Marshall J(2)(3), Bashir Abdullahi M(4), Bukar L(5), Cazes </w:t>
      </w:r>
    </w:p>
    <w:p w14:paraId="069B0E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C(6), Chabala C(7)(8), Chisti MJ(9), Farouk MMO(10), Garcia-Prats AJ(11)(12), </w:t>
      </w:r>
    </w:p>
    <w:p w14:paraId="6A20BF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Hewison C(13), Huerga H(3), Marcy O(14), Mustapha MG(15), Ochuko U(16), Reeves </w:t>
      </w:r>
    </w:p>
    <w:p w14:paraId="65F36BF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MJ(17), Arias-Rodríguez A(3), Seddon JA(12)(18), Thomas TA(19), Vasiliu </w:t>
      </w:r>
    </w:p>
    <w:p w14:paraId="421C3441">
      <w:pPr>
        <w:rPr>
          <w:rFonts w:hint="eastAsia" w:ascii="宋体" w:hAnsi="宋体" w:eastAsia="宋体" w:cs="宋体"/>
          <w:b w:val="0"/>
          <w:bCs/>
          <w:color w:val="auto"/>
          <w:szCs w:val="24"/>
        </w:rPr>
      </w:pPr>
      <w:r>
        <w:rPr>
          <w:rFonts w:hint="eastAsia" w:ascii="宋体" w:hAnsi="宋体" w:eastAsia="宋体" w:cs="宋体"/>
          <w:b w:val="0"/>
          <w:bCs/>
          <w:color w:val="auto"/>
          <w:szCs w:val="24"/>
        </w:rPr>
        <w:t>A(20)(21)(22), Vonasek BJ(23).</w:t>
      </w:r>
    </w:p>
    <w:p w14:paraId="5E88032E">
      <w:pPr>
        <w:rPr>
          <w:rFonts w:hint="eastAsia" w:ascii="宋体" w:hAnsi="宋体" w:eastAsia="宋体" w:cs="宋体"/>
          <w:b w:val="0"/>
          <w:bCs/>
          <w:color w:val="auto"/>
          <w:szCs w:val="24"/>
        </w:rPr>
      </w:pPr>
    </w:p>
    <w:p w14:paraId="10D31C1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6B911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(1)College of Human Medicine, Michigan State University, Grand Rapids, Michigan, </w:t>
      </w:r>
    </w:p>
    <w:p w14:paraId="2837ED46">
      <w:pPr>
        <w:rPr>
          <w:rFonts w:hint="eastAsia" w:ascii="宋体" w:hAnsi="宋体" w:eastAsia="宋体" w:cs="宋体"/>
          <w:b w:val="0"/>
          <w:bCs/>
          <w:color w:val="auto"/>
          <w:szCs w:val="24"/>
        </w:rPr>
      </w:pPr>
      <w:r>
        <w:rPr>
          <w:rFonts w:hint="eastAsia" w:ascii="宋体" w:hAnsi="宋体" w:eastAsia="宋体" w:cs="宋体"/>
          <w:b w:val="0"/>
          <w:bCs/>
          <w:color w:val="auto"/>
          <w:szCs w:val="24"/>
        </w:rPr>
        <w:t>USA.</w:t>
      </w:r>
    </w:p>
    <w:p w14:paraId="3A39BEB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Pediatric Emergency Medicine, Guys and St Thomas' NHS </w:t>
      </w:r>
    </w:p>
    <w:p w14:paraId="4F923EC4">
      <w:pPr>
        <w:rPr>
          <w:rFonts w:hint="eastAsia" w:ascii="宋体" w:hAnsi="宋体" w:eastAsia="宋体" w:cs="宋体"/>
          <w:b w:val="0"/>
          <w:bCs/>
          <w:color w:val="auto"/>
          <w:szCs w:val="24"/>
        </w:rPr>
      </w:pPr>
      <w:r>
        <w:rPr>
          <w:rFonts w:hint="eastAsia" w:ascii="宋体" w:hAnsi="宋体" w:eastAsia="宋体" w:cs="宋体"/>
          <w:b w:val="0"/>
          <w:bCs/>
          <w:color w:val="auto"/>
          <w:szCs w:val="24"/>
        </w:rPr>
        <w:t>Foundation Trust. London, UK.</w:t>
      </w:r>
    </w:p>
    <w:p w14:paraId="44CAFAD8">
      <w:pPr>
        <w:rPr>
          <w:rFonts w:hint="eastAsia" w:ascii="宋体" w:hAnsi="宋体" w:eastAsia="宋体" w:cs="宋体"/>
          <w:b w:val="0"/>
          <w:bCs/>
          <w:color w:val="auto"/>
          <w:szCs w:val="24"/>
        </w:rPr>
      </w:pPr>
      <w:r>
        <w:rPr>
          <w:rFonts w:hint="eastAsia" w:ascii="宋体" w:hAnsi="宋体" w:eastAsia="宋体" w:cs="宋体"/>
          <w:b w:val="0"/>
          <w:bCs/>
          <w:color w:val="auto"/>
          <w:szCs w:val="24"/>
        </w:rPr>
        <w:t>(3)Epicentre, Paris, France.</w:t>
      </w:r>
    </w:p>
    <w:p w14:paraId="4EA6D81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(4)Maiduguri Nutrition Project, Médecins Sans Frontières, Maiduguri, Borno </w:t>
      </w:r>
    </w:p>
    <w:p w14:paraId="2DA07F2E">
      <w:pPr>
        <w:rPr>
          <w:rFonts w:hint="eastAsia" w:ascii="宋体" w:hAnsi="宋体" w:eastAsia="宋体" w:cs="宋体"/>
          <w:b w:val="0"/>
          <w:bCs/>
          <w:color w:val="auto"/>
          <w:szCs w:val="24"/>
        </w:rPr>
      </w:pPr>
      <w:r>
        <w:rPr>
          <w:rFonts w:hint="eastAsia" w:ascii="宋体" w:hAnsi="宋体" w:eastAsia="宋体" w:cs="宋体"/>
          <w:b w:val="0"/>
          <w:bCs/>
          <w:color w:val="auto"/>
          <w:szCs w:val="24"/>
        </w:rPr>
        <w:t>State, Nigeria.</w:t>
      </w:r>
    </w:p>
    <w:p w14:paraId="11BAD5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Paediatrics, University of Maiduguri Teaching Hospital, </w:t>
      </w:r>
    </w:p>
    <w:p w14:paraId="66556FF2">
      <w:pPr>
        <w:rPr>
          <w:rFonts w:hint="eastAsia" w:ascii="宋体" w:hAnsi="宋体" w:eastAsia="宋体" w:cs="宋体"/>
          <w:b w:val="0"/>
          <w:bCs/>
          <w:color w:val="auto"/>
          <w:szCs w:val="24"/>
        </w:rPr>
      </w:pPr>
      <w:r>
        <w:rPr>
          <w:rFonts w:hint="eastAsia" w:ascii="宋体" w:hAnsi="宋体" w:eastAsia="宋体" w:cs="宋体"/>
          <w:b w:val="0"/>
          <w:bCs/>
          <w:color w:val="auto"/>
          <w:szCs w:val="24"/>
        </w:rPr>
        <w:t>Maiduguri, Borno State, Nigeria.</w:t>
      </w:r>
    </w:p>
    <w:p w14:paraId="207C2FA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(6)University of Bordeaux, National Institute for Health and Medical Research </w:t>
      </w:r>
    </w:p>
    <w:p w14:paraId="3DB7BC3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(INSERM, UMR 1219), National Research Institute for Sustainable Development </w:t>
      </w:r>
    </w:p>
    <w:p w14:paraId="7BCD1E2C">
      <w:pPr>
        <w:rPr>
          <w:rFonts w:hint="eastAsia" w:ascii="宋体" w:hAnsi="宋体" w:eastAsia="宋体" w:cs="宋体"/>
          <w:b w:val="0"/>
          <w:bCs/>
          <w:color w:val="auto"/>
          <w:szCs w:val="24"/>
        </w:rPr>
      </w:pPr>
      <w:r>
        <w:rPr>
          <w:rFonts w:hint="eastAsia" w:ascii="宋体" w:hAnsi="宋体" w:eastAsia="宋体" w:cs="宋体"/>
          <w:b w:val="0"/>
          <w:bCs/>
          <w:color w:val="auto"/>
          <w:szCs w:val="24"/>
        </w:rPr>
        <w:t>(IRD, EMR 271), Bordeaux Population Health Research Centre, Bordeaux, France.</w:t>
      </w:r>
    </w:p>
    <w:p w14:paraId="3A651E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Paediatrics, School of Medicine, University of Zambia, Lusaka, </w:t>
      </w:r>
    </w:p>
    <w:p w14:paraId="5B2FCF4B">
      <w:pPr>
        <w:rPr>
          <w:rFonts w:hint="eastAsia" w:ascii="宋体" w:hAnsi="宋体" w:eastAsia="宋体" w:cs="宋体"/>
          <w:b w:val="0"/>
          <w:bCs/>
          <w:color w:val="auto"/>
          <w:szCs w:val="24"/>
        </w:rPr>
      </w:pPr>
      <w:r>
        <w:rPr>
          <w:rFonts w:hint="eastAsia" w:ascii="宋体" w:hAnsi="宋体" w:eastAsia="宋体" w:cs="宋体"/>
          <w:b w:val="0"/>
          <w:bCs/>
          <w:color w:val="auto"/>
          <w:szCs w:val="24"/>
        </w:rPr>
        <w:t>Zambia.</w:t>
      </w:r>
    </w:p>
    <w:p w14:paraId="757E5586">
      <w:pPr>
        <w:rPr>
          <w:rFonts w:hint="eastAsia" w:ascii="宋体" w:hAnsi="宋体" w:eastAsia="宋体" w:cs="宋体"/>
          <w:b w:val="0"/>
          <w:bCs/>
          <w:color w:val="auto"/>
          <w:szCs w:val="24"/>
        </w:rPr>
      </w:pPr>
      <w:r>
        <w:rPr>
          <w:rFonts w:hint="eastAsia" w:ascii="宋体" w:hAnsi="宋体" w:eastAsia="宋体" w:cs="宋体"/>
          <w:b w:val="0"/>
          <w:bCs/>
          <w:color w:val="auto"/>
          <w:szCs w:val="24"/>
        </w:rPr>
        <w:t>(8)Children's Hospital, University Teaching Hospitals, Lusaka, Zambia.</w:t>
      </w:r>
    </w:p>
    <w:p w14:paraId="0467BC4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(9)Dhaka Hospital, Nutrition Research Division, International Centre for </w:t>
      </w:r>
    </w:p>
    <w:p w14:paraId="0524ABA6">
      <w:pPr>
        <w:rPr>
          <w:rFonts w:hint="eastAsia" w:ascii="宋体" w:hAnsi="宋体" w:eastAsia="宋体" w:cs="宋体"/>
          <w:b w:val="0"/>
          <w:bCs/>
          <w:color w:val="auto"/>
          <w:szCs w:val="24"/>
        </w:rPr>
      </w:pPr>
      <w:r>
        <w:rPr>
          <w:rFonts w:hint="eastAsia" w:ascii="宋体" w:hAnsi="宋体" w:eastAsia="宋体" w:cs="宋体"/>
          <w:b w:val="0"/>
          <w:bCs/>
          <w:color w:val="auto"/>
          <w:szCs w:val="24"/>
        </w:rPr>
        <w:t>Diarrhoeal Disease Research, Bangladesh (icddr,b), Dhaka, Bangladesh.</w:t>
      </w:r>
    </w:p>
    <w:p w14:paraId="585DD1E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(10)Medical Department, Intersection Médecins Sans Frontières (OCBA, OCG, OCP, </w:t>
      </w:r>
    </w:p>
    <w:p w14:paraId="3046E1D4">
      <w:pPr>
        <w:rPr>
          <w:rFonts w:hint="eastAsia" w:ascii="宋体" w:hAnsi="宋体" w:eastAsia="宋体" w:cs="宋体"/>
          <w:b w:val="0"/>
          <w:bCs/>
          <w:color w:val="auto"/>
          <w:szCs w:val="24"/>
        </w:rPr>
      </w:pPr>
      <w:r>
        <w:rPr>
          <w:rFonts w:hint="eastAsia" w:ascii="宋体" w:hAnsi="宋体" w:eastAsia="宋体" w:cs="宋体"/>
          <w:b w:val="0"/>
          <w:bCs/>
          <w:color w:val="auto"/>
          <w:szCs w:val="24"/>
        </w:rPr>
        <w:t>WaCA), Niamey, Niger.</w:t>
      </w:r>
    </w:p>
    <w:p w14:paraId="2FFD58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(11)Department of Pediatrics, University of Wisconsin-Madison School of Medicine </w:t>
      </w:r>
    </w:p>
    <w:p w14:paraId="5D3442AE">
      <w:pPr>
        <w:rPr>
          <w:rFonts w:hint="eastAsia" w:ascii="宋体" w:hAnsi="宋体" w:eastAsia="宋体" w:cs="宋体"/>
          <w:b w:val="0"/>
          <w:bCs/>
          <w:color w:val="auto"/>
          <w:szCs w:val="24"/>
        </w:rPr>
      </w:pPr>
      <w:r>
        <w:rPr>
          <w:rFonts w:hint="eastAsia" w:ascii="宋体" w:hAnsi="宋体" w:eastAsia="宋体" w:cs="宋体"/>
          <w:b w:val="0"/>
          <w:bCs/>
          <w:color w:val="auto"/>
          <w:szCs w:val="24"/>
        </w:rPr>
        <w:t>and Public Health, Madison, Wisconsin, USA.</w:t>
      </w:r>
    </w:p>
    <w:p w14:paraId="6C01614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(12)Desmond Tutu TB Center, Department of Paediatrics and Child Health, Faculty </w:t>
      </w:r>
    </w:p>
    <w:p w14:paraId="1FEEB6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Medicine and Health Sciences, Stellenbosch University, Cape Town, South </w:t>
      </w:r>
    </w:p>
    <w:p w14:paraId="2C171FD9">
      <w:pPr>
        <w:rPr>
          <w:rFonts w:hint="eastAsia" w:ascii="宋体" w:hAnsi="宋体" w:eastAsia="宋体" w:cs="宋体"/>
          <w:b w:val="0"/>
          <w:bCs/>
          <w:color w:val="auto"/>
          <w:szCs w:val="24"/>
        </w:rPr>
      </w:pPr>
      <w:r>
        <w:rPr>
          <w:rFonts w:hint="eastAsia" w:ascii="宋体" w:hAnsi="宋体" w:eastAsia="宋体" w:cs="宋体"/>
          <w:b w:val="0"/>
          <w:bCs/>
          <w:color w:val="auto"/>
          <w:szCs w:val="24"/>
        </w:rPr>
        <w:t>Africa.</w:t>
      </w:r>
    </w:p>
    <w:p w14:paraId="5CCDF02C">
      <w:pPr>
        <w:rPr>
          <w:rFonts w:hint="eastAsia" w:ascii="宋体" w:hAnsi="宋体" w:eastAsia="宋体" w:cs="宋体"/>
          <w:b w:val="0"/>
          <w:bCs/>
          <w:color w:val="auto"/>
          <w:szCs w:val="24"/>
        </w:rPr>
      </w:pPr>
      <w:r>
        <w:rPr>
          <w:rFonts w:hint="eastAsia" w:ascii="宋体" w:hAnsi="宋体" w:eastAsia="宋体" w:cs="宋体"/>
          <w:b w:val="0"/>
          <w:bCs/>
          <w:color w:val="auto"/>
          <w:szCs w:val="24"/>
        </w:rPr>
        <w:t>(13)Medical Department, Médecins Sans Frontières, Paris, France.</w:t>
      </w:r>
    </w:p>
    <w:p w14:paraId="4C8356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(14)University of Bordeaux, Inserm, French National Research Institute for </w:t>
      </w:r>
    </w:p>
    <w:p w14:paraId="00B65C4C">
      <w:pPr>
        <w:rPr>
          <w:rFonts w:hint="eastAsia" w:ascii="宋体" w:hAnsi="宋体" w:eastAsia="宋体" w:cs="宋体"/>
          <w:b w:val="0"/>
          <w:bCs/>
          <w:color w:val="auto"/>
          <w:szCs w:val="24"/>
        </w:rPr>
      </w:pPr>
      <w:r>
        <w:rPr>
          <w:rFonts w:hint="eastAsia" w:ascii="宋体" w:hAnsi="宋体" w:eastAsia="宋体" w:cs="宋体"/>
          <w:b w:val="0"/>
          <w:bCs/>
          <w:color w:val="auto"/>
          <w:szCs w:val="24"/>
        </w:rPr>
        <w:t>Sustainable Development (Ird), Bordeaux, France.</w:t>
      </w:r>
    </w:p>
    <w:p w14:paraId="7572C0C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(15)Department of Paediatrics, University of Maiduguri Teaching Hospital, </w:t>
      </w:r>
    </w:p>
    <w:p w14:paraId="3ECFFAD1">
      <w:pPr>
        <w:rPr>
          <w:rFonts w:hint="eastAsia" w:ascii="宋体" w:hAnsi="宋体" w:eastAsia="宋体" w:cs="宋体"/>
          <w:b w:val="0"/>
          <w:bCs/>
          <w:color w:val="auto"/>
          <w:szCs w:val="24"/>
        </w:rPr>
      </w:pPr>
      <w:r>
        <w:rPr>
          <w:rFonts w:hint="eastAsia" w:ascii="宋体" w:hAnsi="宋体" w:eastAsia="宋体" w:cs="宋体"/>
          <w:b w:val="0"/>
          <w:bCs/>
          <w:color w:val="auto"/>
          <w:szCs w:val="24"/>
        </w:rPr>
        <w:t>Maiduguri, Nigeria.</w:t>
      </w:r>
    </w:p>
    <w:p w14:paraId="365381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(16)National Tuberculosis and Leprosy Control Programme, Department of Public </w:t>
      </w:r>
    </w:p>
    <w:p w14:paraId="25A15314">
      <w:pPr>
        <w:rPr>
          <w:rFonts w:hint="eastAsia" w:ascii="宋体" w:hAnsi="宋体" w:eastAsia="宋体" w:cs="宋体"/>
          <w:b w:val="0"/>
          <w:bCs/>
          <w:color w:val="auto"/>
          <w:szCs w:val="24"/>
        </w:rPr>
      </w:pPr>
      <w:r>
        <w:rPr>
          <w:rFonts w:hint="eastAsia" w:ascii="宋体" w:hAnsi="宋体" w:eastAsia="宋体" w:cs="宋体"/>
          <w:b w:val="0"/>
          <w:bCs/>
          <w:color w:val="auto"/>
          <w:szCs w:val="24"/>
        </w:rPr>
        <w:t>Health, Federal Ministry of Health, Abuja, Nigeria.</w:t>
      </w:r>
    </w:p>
    <w:p w14:paraId="684129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(17)Department of Epidemiology and Biostatistics, College of Human Medicine, </w:t>
      </w:r>
    </w:p>
    <w:p w14:paraId="3610BF37">
      <w:pPr>
        <w:rPr>
          <w:rFonts w:hint="eastAsia" w:ascii="宋体" w:hAnsi="宋体" w:eastAsia="宋体" w:cs="宋体"/>
          <w:b w:val="0"/>
          <w:bCs/>
          <w:color w:val="auto"/>
          <w:szCs w:val="24"/>
        </w:rPr>
      </w:pPr>
      <w:r>
        <w:rPr>
          <w:rFonts w:hint="eastAsia" w:ascii="宋体" w:hAnsi="宋体" w:eastAsia="宋体" w:cs="宋体"/>
          <w:b w:val="0"/>
          <w:bCs/>
          <w:color w:val="auto"/>
          <w:szCs w:val="24"/>
        </w:rPr>
        <w:t>Michigan State University, East Lansing, Michigan, USA.</w:t>
      </w:r>
    </w:p>
    <w:p w14:paraId="626FD5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(18)Department of Infectious Disease, Imperial College London, London, United </w:t>
      </w:r>
    </w:p>
    <w:p w14:paraId="6366FB14">
      <w:pPr>
        <w:rPr>
          <w:rFonts w:hint="eastAsia" w:ascii="宋体" w:hAnsi="宋体" w:eastAsia="宋体" w:cs="宋体"/>
          <w:b w:val="0"/>
          <w:bCs/>
          <w:color w:val="auto"/>
          <w:szCs w:val="24"/>
        </w:rPr>
      </w:pPr>
      <w:r>
        <w:rPr>
          <w:rFonts w:hint="eastAsia" w:ascii="宋体" w:hAnsi="宋体" w:eastAsia="宋体" w:cs="宋体"/>
          <w:b w:val="0"/>
          <w:bCs/>
          <w:color w:val="auto"/>
          <w:szCs w:val="24"/>
        </w:rPr>
        <w:t>Kingdom.</w:t>
      </w:r>
    </w:p>
    <w:p w14:paraId="155500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(19)Division of Infectious Diseases and International Health, Department of </w:t>
      </w:r>
    </w:p>
    <w:p w14:paraId="478FDC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Medicine, School of Medicine, University of Virginia, Charlottesville, Virginia, </w:t>
      </w:r>
    </w:p>
    <w:p w14:paraId="21E1F23E">
      <w:pPr>
        <w:rPr>
          <w:rFonts w:hint="eastAsia" w:ascii="宋体" w:hAnsi="宋体" w:eastAsia="宋体" w:cs="宋体"/>
          <w:b w:val="0"/>
          <w:bCs/>
          <w:color w:val="auto"/>
          <w:szCs w:val="24"/>
        </w:rPr>
      </w:pPr>
      <w:r>
        <w:rPr>
          <w:rFonts w:hint="eastAsia" w:ascii="宋体" w:hAnsi="宋体" w:eastAsia="宋体" w:cs="宋体"/>
          <w:b w:val="0"/>
          <w:bCs/>
          <w:color w:val="auto"/>
          <w:szCs w:val="24"/>
        </w:rPr>
        <w:t>USA.</w:t>
      </w:r>
    </w:p>
    <w:p w14:paraId="5D8FB4DE">
      <w:pPr>
        <w:rPr>
          <w:rFonts w:hint="eastAsia" w:ascii="宋体" w:hAnsi="宋体" w:eastAsia="宋体" w:cs="宋体"/>
          <w:b w:val="0"/>
          <w:bCs/>
          <w:color w:val="auto"/>
          <w:szCs w:val="24"/>
        </w:rPr>
      </w:pPr>
      <w:r>
        <w:rPr>
          <w:rFonts w:hint="eastAsia" w:ascii="宋体" w:hAnsi="宋体" w:eastAsia="宋体" w:cs="宋体"/>
          <w:b w:val="0"/>
          <w:bCs/>
          <w:color w:val="auto"/>
          <w:szCs w:val="24"/>
        </w:rPr>
        <w:t>(20)TransVIHMI, University of Montpellier, IRD, INSERM, Montpellier, France.</w:t>
      </w:r>
    </w:p>
    <w:p w14:paraId="5CB3896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(21)Global TB Program, Department of Pediatrics, Baylor College of Medicine, </w:t>
      </w:r>
    </w:p>
    <w:p w14:paraId="2D4803E9">
      <w:pPr>
        <w:rPr>
          <w:rFonts w:hint="eastAsia" w:ascii="宋体" w:hAnsi="宋体" w:eastAsia="宋体" w:cs="宋体"/>
          <w:b w:val="0"/>
          <w:bCs/>
          <w:color w:val="auto"/>
          <w:szCs w:val="24"/>
        </w:rPr>
      </w:pPr>
      <w:r>
        <w:rPr>
          <w:rFonts w:hint="eastAsia" w:ascii="宋体" w:hAnsi="宋体" w:eastAsia="宋体" w:cs="宋体"/>
          <w:b w:val="0"/>
          <w:bCs/>
          <w:color w:val="auto"/>
          <w:szCs w:val="24"/>
        </w:rPr>
        <w:t>Houston, Texas, USA.</w:t>
      </w:r>
    </w:p>
    <w:p w14:paraId="047355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(22)Division of Clinical Infectious Diseases, Research Center Borstel, Borstel, </w:t>
      </w:r>
    </w:p>
    <w:p w14:paraId="42D6F504">
      <w:pPr>
        <w:rPr>
          <w:rFonts w:hint="eastAsia" w:ascii="宋体" w:hAnsi="宋体" w:eastAsia="宋体" w:cs="宋体"/>
          <w:b w:val="0"/>
          <w:bCs/>
          <w:color w:val="auto"/>
          <w:szCs w:val="24"/>
        </w:rPr>
      </w:pPr>
      <w:r>
        <w:rPr>
          <w:rFonts w:hint="eastAsia" w:ascii="宋体" w:hAnsi="宋体" w:eastAsia="宋体" w:cs="宋体"/>
          <w:b w:val="0"/>
          <w:bCs/>
          <w:color w:val="auto"/>
          <w:szCs w:val="24"/>
        </w:rPr>
        <w:t>Germany.</w:t>
      </w:r>
    </w:p>
    <w:p w14:paraId="492639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(23)College of Osteopathic Medicine, Michigan State University, East Lansing, </w:t>
      </w:r>
    </w:p>
    <w:p w14:paraId="7B787863">
      <w:pPr>
        <w:rPr>
          <w:rFonts w:hint="eastAsia" w:ascii="宋体" w:hAnsi="宋体" w:eastAsia="宋体" w:cs="宋体"/>
          <w:b w:val="0"/>
          <w:bCs/>
          <w:color w:val="auto"/>
          <w:szCs w:val="24"/>
        </w:rPr>
      </w:pPr>
      <w:r>
        <w:rPr>
          <w:rFonts w:hint="eastAsia" w:ascii="宋体" w:hAnsi="宋体" w:eastAsia="宋体" w:cs="宋体"/>
          <w:b w:val="0"/>
          <w:bCs/>
          <w:color w:val="auto"/>
          <w:szCs w:val="24"/>
        </w:rPr>
        <w:t>Michigan, USA.</w:t>
      </w:r>
    </w:p>
    <w:p w14:paraId="5BB87F58">
      <w:pPr>
        <w:rPr>
          <w:rFonts w:hint="eastAsia" w:ascii="宋体" w:hAnsi="宋体" w:eastAsia="宋体" w:cs="宋体"/>
          <w:b w:val="0"/>
          <w:bCs/>
          <w:color w:val="auto"/>
          <w:szCs w:val="24"/>
        </w:rPr>
      </w:pPr>
    </w:p>
    <w:p w14:paraId="2AF805AB">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w:t>
      </w:r>
      <w:r>
        <w:rPr>
          <w:rFonts w:hint="eastAsia" w:ascii="宋体" w:hAnsi="宋体" w:eastAsia="宋体" w:cs="宋体"/>
          <w:b w:val="0"/>
          <w:bCs/>
          <w:color w:val="auto"/>
          <w:szCs w:val="24"/>
        </w:rPr>
        <w:t xml:space="preserve"> Control of tuberculosis (TB) in children remains a major challenge </w:t>
      </w:r>
    </w:p>
    <w:p w14:paraId="44754C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globally. There is growing recognition that children with severe acute </w:t>
      </w:r>
    </w:p>
    <w:p w14:paraId="3A1C0D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malnutrition (SAM) are a high-risk population for TB, but the global burden of </w:t>
      </w:r>
    </w:p>
    <w:p w14:paraId="619659BE">
      <w:pPr>
        <w:rPr>
          <w:rFonts w:hint="eastAsia" w:ascii="宋体" w:hAnsi="宋体" w:eastAsia="宋体" w:cs="宋体"/>
          <w:b w:val="0"/>
          <w:bCs/>
          <w:color w:val="auto"/>
          <w:szCs w:val="24"/>
        </w:rPr>
      </w:pPr>
      <w:r>
        <w:rPr>
          <w:rFonts w:hint="eastAsia" w:ascii="宋体" w:hAnsi="宋体" w:eastAsia="宋体" w:cs="宋体"/>
          <w:b w:val="0"/>
          <w:bCs/>
          <w:color w:val="auto"/>
          <w:szCs w:val="24"/>
        </w:rPr>
        <w:t>TB in this group has never been comprehensively quantified.</w:t>
      </w:r>
    </w:p>
    <w:p w14:paraId="69FB2FED">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We conducted a systematic review and meta-analysis to estimate the </w:t>
      </w:r>
    </w:p>
    <w:p w14:paraId="34BE62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prevalence of TB among children with SAM. Following PRISMA guidelines, we </w:t>
      </w:r>
    </w:p>
    <w:p w14:paraId="18A22C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searched PubMed/MEDLINE, Embase, Scopus, Web of Science, Cochrane Library, and </w:t>
      </w:r>
    </w:p>
    <w:p w14:paraId="554F28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WHO Global Index Medicus from database inception to June 15, 2026. We included </w:t>
      </w:r>
    </w:p>
    <w:p w14:paraId="08B857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studies reporting TB among systematically sampled cohorts of children &lt;15 years </w:t>
      </w:r>
    </w:p>
    <w:p w14:paraId="6DFC411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SAM as defined by the World Health Organization. Methodological study </w:t>
      </w:r>
    </w:p>
    <w:p w14:paraId="21E26C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quality was assessed with adapted versions of the Newcastle-Ottawa Scale or the </w:t>
      </w:r>
    </w:p>
    <w:p w14:paraId="22FAC9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Joanna Briggs Institute critical appraisal checklist. Pooled TB prevalence was </w:t>
      </w:r>
    </w:p>
    <w:p w14:paraId="5F01039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calculated using a random-effects model with predefined stratification of </w:t>
      </w:r>
    </w:p>
    <w:p w14:paraId="222122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studies by geographic region, national TB incidence, and study quality. We also </w:t>
      </w:r>
    </w:p>
    <w:p w14:paraId="00C2E6B4">
      <w:pPr>
        <w:rPr>
          <w:rFonts w:hint="eastAsia" w:ascii="宋体" w:hAnsi="宋体" w:eastAsia="宋体" w:cs="宋体"/>
          <w:b w:val="0"/>
          <w:bCs/>
          <w:color w:val="auto"/>
          <w:szCs w:val="24"/>
        </w:rPr>
      </w:pPr>
      <w:r>
        <w:rPr>
          <w:rFonts w:hint="eastAsia" w:ascii="宋体" w:hAnsi="宋体" w:eastAsia="宋体" w:cs="宋体"/>
          <w:b w:val="0"/>
          <w:bCs/>
          <w:color w:val="auto"/>
          <w:szCs w:val="24"/>
        </w:rPr>
        <w:t>conducted subgroup analyses by age, sex, HIV status, SAM type, and TB exposure.</w:t>
      </w:r>
    </w:p>
    <w:p w14:paraId="1B6F699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We included 73 studies comprising 33,869 children with SAM across 15 </w:t>
      </w:r>
    </w:p>
    <w:p w14:paraId="095760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countries, predominantly from sub-Saharan Africa and South Asia, and </w:t>
      </w:r>
    </w:p>
    <w:p w14:paraId="6103E4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predominantly reporting on hospitalized children. The pooled TB prevalence was </w:t>
      </w:r>
    </w:p>
    <w:p w14:paraId="3DCD613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13% (95% CI: 11-16%), but there was substantial heterogeneity (I2=98%). Studies </w:t>
      </w:r>
    </w:p>
    <w:p w14:paraId="373D1CA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conducted in Southern Africa had the highest pooled TB prevalence (36%, 95% CI: </w:t>
      </w:r>
    </w:p>
    <w:p w14:paraId="3BD6A4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19-56%) compared to other regions (p&lt;0.01). Pooled TB prevalence was higher in </w:t>
      </w:r>
    </w:p>
    <w:p w14:paraId="0448AE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those with history of TB household exposure compared to those without (74% vs. </w:t>
      </w:r>
    </w:p>
    <w:p w14:paraId="33E13557">
      <w:pPr>
        <w:rPr>
          <w:rFonts w:hint="eastAsia" w:ascii="宋体" w:hAnsi="宋体" w:eastAsia="宋体" w:cs="宋体"/>
          <w:b w:val="0"/>
          <w:bCs/>
          <w:color w:val="auto"/>
          <w:szCs w:val="24"/>
        </w:rPr>
      </w:pPr>
      <w:r>
        <w:rPr>
          <w:rFonts w:hint="eastAsia" w:ascii="宋体" w:hAnsi="宋体" w:eastAsia="宋体" w:cs="宋体"/>
          <w:b w:val="0"/>
          <w:bCs/>
          <w:color w:val="auto"/>
          <w:szCs w:val="24"/>
        </w:rPr>
        <w:t>17%, p=0.01).</w:t>
      </w:r>
    </w:p>
    <w:p w14:paraId="38BA1DF8">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CONCLUSIONS:</w:t>
      </w:r>
      <w:r>
        <w:rPr>
          <w:rFonts w:hint="eastAsia" w:ascii="宋体" w:hAnsi="宋体" w:eastAsia="宋体" w:cs="宋体"/>
          <w:b w:val="0"/>
          <w:bCs/>
          <w:color w:val="auto"/>
          <w:szCs w:val="24"/>
        </w:rPr>
        <w:t xml:space="preserve"> Approximately one in eight children hospitalized with SAM have TB, </w:t>
      </w:r>
    </w:p>
    <w:p w14:paraId="269035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greatest among children with history of TB exposure and those in Southern </w:t>
      </w:r>
    </w:p>
    <w:p w14:paraId="77469AC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Africa. These findings highlight opportunities for improved early TB diagnosis </w:t>
      </w:r>
    </w:p>
    <w:p w14:paraId="3F0E21D5">
      <w:pPr>
        <w:rPr>
          <w:rFonts w:hint="eastAsia" w:ascii="宋体" w:hAnsi="宋体" w:eastAsia="宋体" w:cs="宋体"/>
          <w:b w:val="0"/>
          <w:bCs/>
          <w:color w:val="auto"/>
          <w:szCs w:val="24"/>
        </w:rPr>
      </w:pPr>
      <w:r>
        <w:rPr>
          <w:rFonts w:hint="eastAsia" w:ascii="宋体" w:hAnsi="宋体" w:eastAsia="宋体" w:cs="宋体"/>
          <w:b w:val="0"/>
          <w:bCs/>
          <w:color w:val="auto"/>
          <w:szCs w:val="24"/>
        </w:rPr>
        <w:t>and routine, integrated TB screening within hospital-based SAM care pathways.</w:t>
      </w:r>
    </w:p>
    <w:p w14:paraId="6D5FDBED">
      <w:pPr>
        <w:rPr>
          <w:rFonts w:hint="eastAsia" w:ascii="宋体" w:hAnsi="宋体" w:eastAsia="宋体" w:cs="宋体"/>
          <w:b w:val="0"/>
          <w:bCs/>
          <w:color w:val="auto"/>
          <w:szCs w:val="24"/>
        </w:rPr>
      </w:pPr>
    </w:p>
    <w:p w14:paraId="4F736BD0">
      <w:pPr>
        <w:rPr>
          <w:rFonts w:hint="eastAsia" w:ascii="宋体" w:hAnsi="宋体" w:eastAsia="宋体" w:cs="宋体"/>
          <w:b w:val="0"/>
          <w:bCs/>
          <w:color w:val="auto"/>
          <w:szCs w:val="24"/>
        </w:rPr>
      </w:pPr>
      <w:r>
        <w:rPr>
          <w:rFonts w:hint="eastAsia" w:ascii="宋体" w:hAnsi="宋体" w:eastAsia="宋体" w:cs="宋体"/>
          <w:b w:val="0"/>
          <w:bCs/>
          <w:color w:val="auto"/>
          <w:szCs w:val="24"/>
        </w:rPr>
        <w:t>DOI: 10.64898/2026.08.12.26360317</w:t>
      </w:r>
    </w:p>
    <w:p w14:paraId="783F2746">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PMC13551367</w:t>
      </w:r>
    </w:p>
    <w:p w14:paraId="23EF2F0E">
      <w:pPr>
        <w:rPr>
          <w:rFonts w:hint="eastAsia" w:ascii="宋体" w:hAnsi="宋体" w:eastAsia="宋体" w:cs="宋体"/>
          <w:b w:val="0"/>
          <w:bCs/>
          <w:color w:val="auto"/>
          <w:szCs w:val="24"/>
        </w:rPr>
      </w:pPr>
      <w:r>
        <w:rPr>
          <w:rFonts w:hint="eastAsia" w:ascii="宋体" w:hAnsi="宋体" w:eastAsia="宋体" w:cs="宋体"/>
          <w:b w:val="0"/>
          <w:bCs/>
          <w:color w:val="auto"/>
          <w:szCs w:val="24"/>
        </w:rPr>
        <w:t>PMID: 42718371</w:t>
      </w:r>
    </w:p>
    <w:p w14:paraId="1B8F8704">
      <w:pPr>
        <w:rPr>
          <w:rFonts w:hint="eastAsia" w:ascii="宋体" w:hAnsi="宋体" w:eastAsia="宋体" w:cs="宋体"/>
          <w:b w:val="0"/>
          <w:bCs/>
          <w:color w:val="auto"/>
          <w:szCs w:val="24"/>
        </w:rPr>
      </w:pPr>
    </w:p>
    <w:p w14:paraId="2280B121">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w:t>
      </w:r>
      <w:r>
        <w:rPr>
          <w:rFonts w:hint="eastAsia" w:ascii="宋体" w:hAnsi="宋体" w:eastAsia="宋体" w:cs="宋体"/>
          <w:b/>
          <w:bCs w:val="0"/>
          <w:color w:val="FF0000"/>
          <w:szCs w:val="24"/>
        </w:rPr>
        <w:t>3. J Orthop Case Rep. 2026 Sep;16(9):531-536. doi: 10.13107/jocr.2026.v16.i09.8144.</w:t>
      </w:r>
    </w:p>
    <w:p w14:paraId="45C54203">
      <w:pPr>
        <w:rPr>
          <w:rFonts w:hint="eastAsia" w:ascii="宋体" w:hAnsi="宋体" w:eastAsia="宋体" w:cs="宋体"/>
          <w:b w:val="0"/>
          <w:bCs/>
          <w:color w:val="auto"/>
          <w:szCs w:val="24"/>
        </w:rPr>
      </w:pPr>
    </w:p>
    <w:p w14:paraId="4E04FF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Association of Vitamin D Receptor Gene Polymorphism (FokI) with Susceptibility </w:t>
      </w:r>
    </w:p>
    <w:p w14:paraId="402C172A">
      <w:pPr>
        <w:rPr>
          <w:rFonts w:hint="eastAsia" w:ascii="宋体" w:hAnsi="宋体" w:eastAsia="宋体" w:cs="宋体"/>
          <w:b w:val="0"/>
          <w:bCs/>
          <w:color w:val="auto"/>
          <w:szCs w:val="24"/>
        </w:rPr>
      </w:pPr>
      <w:r>
        <w:rPr>
          <w:rFonts w:hint="eastAsia" w:ascii="宋体" w:hAnsi="宋体" w:eastAsia="宋体" w:cs="宋体"/>
          <w:b w:val="0"/>
          <w:bCs/>
          <w:color w:val="auto"/>
          <w:szCs w:val="24"/>
        </w:rPr>
        <w:t>to Musculoskeletal Tuberculosis: A Case-Control Study from Central India.</w:t>
      </w:r>
    </w:p>
    <w:p w14:paraId="6242E945">
      <w:pPr>
        <w:rPr>
          <w:rFonts w:hint="eastAsia" w:ascii="宋体" w:hAnsi="宋体" w:eastAsia="宋体" w:cs="宋体"/>
          <w:b w:val="0"/>
          <w:bCs/>
          <w:color w:val="auto"/>
          <w:szCs w:val="24"/>
        </w:rPr>
      </w:pPr>
    </w:p>
    <w:p w14:paraId="05DB4C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Gujar HR(1), Goyal RR(1), Verma VK(1), Chaware P(2), Santoshi JA(1), Aduri </w:t>
      </w:r>
    </w:p>
    <w:p w14:paraId="486EE744">
      <w:pPr>
        <w:rPr>
          <w:rFonts w:hint="eastAsia" w:ascii="宋体" w:hAnsi="宋体" w:eastAsia="宋体" w:cs="宋体"/>
          <w:b w:val="0"/>
          <w:bCs/>
          <w:color w:val="auto"/>
          <w:szCs w:val="24"/>
        </w:rPr>
      </w:pPr>
      <w:r>
        <w:rPr>
          <w:rFonts w:hint="eastAsia" w:ascii="宋体" w:hAnsi="宋体" w:eastAsia="宋体" w:cs="宋体"/>
          <w:b w:val="0"/>
          <w:bCs/>
          <w:color w:val="auto"/>
          <w:szCs w:val="24"/>
        </w:rPr>
        <w:t>TT(1).</w:t>
      </w:r>
    </w:p>
    <w:p w14:paraId="15919C6F">
      <w:pPr>
        <w:rPr>
          <w:rFonts w:hint="eastAsia" w:ascii="宋体" w:hAnsi="宋体" w:eastAsia="宋体" w:cs="宋体"/>
          <w:b w:val="0"/>
          <w:bCs/>
          <w:color w:val="auto"/>
          <w:szCs w:val="24"/>
        </w:rPr>
      </w:pPr>
    </w:p>
    <w:p w14:paraId="29B3A2A9">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48B876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Orthopaedics, All India Institute of Medical Sciences, Bhopal, </w:t>
      </w:r>
    </w:p>
    <w:p w14:paraId="05B0F408">
      <w:pPr>
        <w:rPr>
          <w:rFonts w:hint="eastAsia" w:ascii="宋体" w:hAnsi="宋体" w:eastAsia="宋体" w:cs="宋体"/>
          <w:b w:val="0"/>
          <w:bCs/>
          <w:color w:val="auto"/>
          <w:szCs w:val="24"/>
        </w:rPr>
      </w:pPr>
      <w:r>
        <w:rPr>
          <w:rFonts w:hint="eastAsia" w:ascii="宋体" w:hAnsi="宋体" w:eastAsia="宋体" w:cs="宋体"/>
          <w:b w:val="0"/>
          <w:bCs/>
          <w:color w:val="auto"/>
          <w:szCs w:val="24"/>
        </w:rPr>
        <w:t>Madhya Pradesh, India.</w:t>
      </w:r>
    </w:p>
    <w:p w14:paraId="7B23D6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Anatomy, All India Institute of Medical Sciences, Bhopal, </w:t>
      </w:r>
    </w:p>
    <w:p w14:paraId="2D1837F7">
      <w:pPr>
        <w:rPr>
          <w:rFonts w:hint="eastAsia" w:ascii="宋体" w:hAnsi="宋体" w:eastAsia="宋体" w:cs="宋体"/>
          <w:b w:val="0"/>
          <w:bCs/>
          <w:color w:val="auto"/>
          <w:szCs w:val="24"/>
        </w:rPr>
      </w:pPr>
      <w:r>
        <w:rPr>
          <w:rFonts w:hint="eastAsia" w:ascii="宋体" w:hAnsi="宋体" w:eastAsia="宋体" w:cs="宋体"/>
          <w:b w:val="0"/>
          <w:bCs/>
          <w:color w:val="auto"/>
          <w:szCs w:val="24"/>
        </w:rPr>
        <w:t>Madhya Pradesh, India.</w:t>
      </w:r>
    </w:p>
    <w:p w14:paraId="4A47EE9B">
      <w:pPr>
        <w:rPr>
          <w:rFonts w:hint="eastAsia" w:ascii="宋体" w:hAnsi="宋体" w:eastAsia="宋体" w:cs="宋体"/>
          <w:b w:val="0"/>
          <w:bCs/>
          <w:color w:val="auto"/>
          <w:szCs w:val="24"/>
        </w:rPr>
      </w:pPr>
    </w:p>
    <w:p w14:paraId="2E6AC6A9">
      <w:pPr>
        <w:rPr>
          <w:rFonts w:hint="eastAsia" w:ascii="宋体" w:hAnsi="宋体" w:eastAsia="宋体" w:cs="宋体"/>
          <w:b w:val="0"/>
          <w:bCs/>
          <w:color w:val="auto"/>
          <w:szCs w:val="24"/>
        </w:rPr>
      </w:pPr>
      <w:r>
        <w:rPr>
          <w:rFonts w:hint="eastAsia" w:ascii="宋体" w:hAnsi="宋体" w:eastAsia="宋体" w:cs="宋体"/>
          <w:b/>
          <w:bCs w:val="0"/>
          <w:color w:val="auto"/>
          <w:szCs w:val="24"/>
        </w:rPr>
        <w:t>AIM AND BACKGROUND:</w:t>
      </w:r>
      <w:r>
        <w:rPr>
          <w:rFonts w:hint="eastAsia" w:ascii="宋体" w:hAnsi="宋体" w:eastAsia="宋体" w:cs="宋体"/>
          <w:b w:val="0"/>
          <w:bCs/>
          <w:color w:val="auto"/>
          <w:szCs w:val="24"/>
        </w:rPr>
        <w:t xml:space="preserve"> Musculoskeletal tuberculosis (MSKTB) constitutes a </w:t>
      </w:r>
    </w:p>
    <w:p w14:paraId="7C2DC4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proportion of extra-pulmonary tuberculosis (TB), particularly in </w:t>
      </w:r>
    </w:p>
    <w:p w14:paraId="199642C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developing countries like India. While host genetic factors are known to </w:t>
      </w:r>
    </w:p>
    <w:p w14:paraId="6481A0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influence susceptibility to TB, the Vitamin D receptor (VDR) gene, particularly </w:t>
      </w:r>
    </w:p>
    <w:p w14:paraId="4050D7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FokI polymorphism, has been implicated in immune regulation and </w:t>
      </w:r>
    </w:p>
    <w:p w14:paraId="7B09785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susceptibility to pulmonary and extra-pulmonary TB, data on genetic </w:t>
      </w:r>
    </w:p>
    <w:p w14:paraId="00F8E0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predisposition to MSKTB remain limited. The present study aimed to investigate </w:t>
      </w:r>
    </w:p>
    <w:p w14:paraId="452FB2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role of the VDR FokI gene polymorphism in determining susceptibility to </w:t>
      </w:r>
    </w:p>
    <w:p w14:paraId="4C1B7410">
      <w:pPr>
        <w:rPr>
          <w:rFonts w:hint="eastAsia" w:ascii="宋体" w:hAnsi="宋体" w:eastAsia="宋体" w:cs="宋体"/>
          <w:b w:val="0"/>
          <w:bCs/>
          <w:color w:val="auto"/>
          <w:szCs w:val="24"/>
        </w:rPr>
      </w:pPr>
      <w:r>
        <w:rPr>
          <w:rFonts w:hint="eastAsia" w:ascii="宋体" w:hAnsi="宋体" w:eastAsia="宋体" w:cs="宋体"/>
          <w:b w:val="0"/>
          <w:bCs/>
          <w:color w:val="auto"/>
          <w:szCs w:val="24"/>
        </w:rPr>
        <w:t>MSKTB.</w:t>
      </w:r>
    </w:p>
    <w:p w14:paraId="406E6A61">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MATERIALS AND METHODS: </w:t>
      </w:r>
      <w:r>
        <w:rPr>
          <w:rFonts w:hint="eastAsia" w:ascii="宋体" w:hAnsi="宋体" w:eastAsia="宋体" w:cs="宋体"/>
          <w:b w:val="0"/>
          <w:bCs/>
          <w:color w:val="auto"/>
          <w:szCs w:val="24"/>
        </w:rPr>
        <w:t xml:space="preserve">This study included 110 patients with confirmed MSKTB and </w:t>
      </w:r>
    </w:p>
    <w:p w14:paraId="31F4C37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112 controls without TB, recruited from a tertiary care institution over a </w:t>
      </w:r>
    </w:p>
    <w:p w14:paraId="0EA8ED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3-year period. Clinical and demographic data were obtained. Genomic DNA was </w:t>
      </w:r>
    </w:p>
    <w:p w14:paraId="0EDE1F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extracted from peripheral venous blood samples, and VDR FokI polymorphism was </w:t>
      </w:r>
    </w:p>
    <w:p w14:paraId="5D4794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detected using polymerase chain reaction-based restriction fragment length </w:t>
      </w:r>
    </w:p>
    <w:p w14:paraId="36764B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polymorphism analysis. Genotype and allele frequencies were compared using a </w:t>
      </w:r>
    </w:p>
    <w:p w14:paraId="5855CA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Chi-square test, and odds ratios (OR) with 95% confidence intervals (CI) were </w:t>
      </w:r>
    </w:p>
    <w:p w14:paraId="74344996">
      <w:pPr>
        <w:rPr>
          <w:rFonts w:hint="eastAsia" w:ascii="宋体" w:hAnsi="宋体" w:eastAsia="宋体" w:cs="宋体"/>
          <w:b w:val="0"/>
          <w:bCs/>
          <w:color w:val="auto"/>
          <w:szCs w:val="24"/>
        </w:rPr>
      </w:pPr>
      <w:r>
        <w:rPr>
          <w:rFonts w:hint="eastAsia" w:ascii="宋体" w:hAnsi="宋体" w:eastAsia="宋体" w:cs="宋体"/>
          <w:b w:val="0"/>
          <w:bCs/>
          <w:color w:val="auto"/>
          <w:szCs w:val="24"/>
        </w:rPr>
        <w:t>calculated.</w:t>
      </w:r>
    </w:p>
    <w:p w14:paraId="32075655">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The ff genotype was significantly more frequent in cases (17.3%) </w:t>
      </w:r>
    </w:p>
    <w:p w14:paraId="512137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compared to controls (9.8%) and was associated with increased risk of MSKTB (OR </w:t>
      </w:r>
    </w:p>
    <w:p w14:paraId="3F18EB7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2.30, 95% CI: 1.03-5.15, P = 0.04). The polymorphic f allele frequency was </w:t>
      </w:r>
    </w:p>
    <w:p w14:paraId="02A13CF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also significantly higher in cases than controls (38.2% vs. 28.1%; OR = 1.58, </w:t>
      </w:r>
    </w:p>
    <w:p w14:paraId="332AFE3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95% CI: 1.05-2.37, P = 0.023). However, the dominant and recessive genetic </w:t>
      </w:r>
    </w:p>
    <w:p w14:paraId="1DF2E5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models showed a non-significant association. Demographically, MSKTB was more </w:t>
      </w:r>
    </w:p>
    <w:p w14:paraId="49CF70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common among females, individuals from rural backgrounds, those of lower </w:t>
      </w:r>
    </w:p>
    <w:p w14:paraId="2255D5AA">
      <w:pPr>
        <w:rPr>
          <w:rFonts w:hint="eastAsia" w:ascii="宋体" w:hAnsi="宋体" w:eastAsia="宋体" w:cs="宋体"/>
          <w:b w:val="0"/>
          <w:bCs/>
          <w:color w:val="auto"/>
          <w:szCs w:val="24"/>
        </w:rPr>
      </w:pPr>
      <w:r>
        <w:rPr>
          <w:rFonts w:hint="eastAsia" w:ascii="宋体" w:hAnsi="宋体" w:eastAsia="宋体" w:cs="宋体"/>
          <w:b w:val="0"/>
          <w:bCs/>
          <w:color w:val="auto"/>
          <w:szCs w:val="24"/>
        </w:rPr>
        <w:t>socioeconomic status, and those with low body mass index.</w:t>
      </w:r>
    </w:p>
    <w:p w14:paraId="37807A0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The VDR FokI polymorphism, particularly the ff genotype and f </w:t>
      </w:r>
    </w:p>
    <w:p w14:paraId="0832F6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allele, is associated with increased susceptibility to MSKTB. These findings </w:t>
      </w:r>
    </w:p>
    <w:p w14:paraId="5BE925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highlight the potential role of genetic factors in MSKTB and may aid in </w:t>
      </w:r>
    </w:p>
    <w:p w14:paraId="5E9DEBC8">
      <w:pPr>
        <w:rPr>
          <w:rFonts w:hint="eastAsia" w:ascii="宋体" w:hAnsi="宋体" w:eastAsia="宋体" w:cs="宋体"/>
          <w:b w:val="0"/>
          <w:bCs/>
          <w:color w:val="auto"/>
          <w:szCs w:val="24"/>
        </w:rPr>
      </w:pPr>
      <w:r>
        <w:rPr>
          <w:rFonts w:hint="eastAsia" w:ascii="宋体" w:hAnsi="宋体" w:eastAsia="宋体" w:cs="宋体"/>
          <w:b w:val="0"/>
          <w:bCs/>
          <w:color w:val="auto"/>
          <w:szCs w:val="24"/>
        </w:rPr>
        <w:t>identifying at-risk populations.</w:t>
      </w:r>
    </w:p>
    <w:p w14:paraId="6BB598D5">
      <w:pPr>
        <w:rPr>
          <w:rFonts w:hint="eastAsia" w:ascii="宋体" w:hAnsi="宋体" w:eastAsia="宋体" w:cs="宋体"/>
          <w:b w:val="0"/>
          <w:bCs/>
          <w:color w:val="auto"/>
          <w:szCs w:val="24"/>
        </w:rPr>
      </w:pPr>
    </w:p>
    <w:p w14:paraId="23B47C9D">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Indian Orthopaedic Research Group.</w:t>
      </w:r>
    </w:p>
    <w:p w14:paraId="75E3F702">
      <w:pPr>
        <w:rPr>
          <w:rFonts w:hint="eastAsia" w:ascii="宋体" w:hAnsi="宋体" w:eastAsia="宋体" w:cs="宋体"/>
          <w:b w:val="0"/>
          <w:bCs/>
          <w:color w:val="auto"/>
          <w:szCs w:val="24"/>
        </w:rPr>
      </w:pPr>
    </w:p>
    <w:p w14:paraId="69A880AE">
      <w:pPr>
        <w:rPr>
          <w:rFonts w:hint="eastAsia" w:ascii="宋体" w:hAnsi="宋体" w:eastAsia="宋体" w:cs="宋体"/>
          <w:b w:val="0"/>
          <w:bCs/>
          <w:color w:val="auto"/>
          <w:szCs w:val="24"/>
        </w:rPr>
      </w:pPr>
      <w:r>
        <w:rPr>
          <w:rFonts w:hint="eastAsia" w:ascii="宋体" w:hAnsi="宋体" w:eastAsia="宋体" w:cs="宋体"/>
          <w:b w:val="0"/>
          <w:bCs/>
          <w:color w:val="auto"/>
          <w:szCs w:val="24"/>
        </w:rPr>
        <w:t>DOI: 10.13107/jocr.2026.v16.i09.8144</w:t>
      </w:r>
    </w:p>
    <w:p w14:paraId="75F361F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PMC13552140</w:t>
      </w:r>
    </w:p>
    <w:p w14:paraId="3E131317">
      <w:pPr>
        <w:rPr>
          <w:rFonts w:hint="eastAsia" w:ascii="宋体" w:hAnsi="宋体" w:eastAsia="宋体" w:cs="宋体"/>
          <w:b w:val="0"/>
          <w:bCs/>
          <w:color w:val="auto"/>
          <w:szCs w:val="24"/>
        </w:rPr>
      </w:pPr>
      <w:r>
        <w:rPr>
          <w:rFonts w:hint="eastAsia" w:ascii="宋体" w:hAnsi="宋体" w:eastAsia="宋体" w:cs="宋体"/>
          <w:b w:val="0"/>
          <w:bCs/>
          <w:color w:val="auto"/>
          <w:szCs w:val="24"/>
        </w:rPr>
        <w:t>PMID: 42713054</w:t>
      </w:r>
    </w:p>
    <w:p w14:paraId="4DE8ED18">
      <w:pPr>
        <w:rPr>
          <w:rFonts w:hint="eastAsia" w:ascii="宋体" w:hAnsi="宋体" w:eastAsia="宋体" w:cs="宋体"/>
          <w:b w:val="0"/>
          <w:bCs/>
          <w:color w:val="auto"/>
          <w:szCs w:val="24"/>
        </w:rPr>
      </w:pPr>
    </w:p>
    <w:p w14:paraId="59F3218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74</w:t>
      </w:r>
      <w:r>
        <w:rPr>
          <w:rFonts w:hint="eastAsia" w:ascii="宋体" w:hAnsi="宋体" w:eastAsia="宋体" w:cs="宋体"/>
          <w:b/>
          <w:bCs w:val="0"/>
          <w:color w:val="FF0000"/>
          <w:szCs w:val="24"/>
        </w:rPr>
        <w:t xml:space="preserve">. Front Immunol. 2026 Aug 25;17:1897502. doi: 10.3389/fimmu.2026.1897502. </w:t>
      </w:r>
    </w:p>
    <w:p w14:paraId="00300BA9">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093F3880">
      <w:pPr>
        <w:rPr>
          <w:rFonts w:hint="eastAsia" w:ascii="宋体" w:hAnsi="宋体" w:eastAsia="宋体" w:cs="宋体"/>
          <w:b w:val="0"/>
          <w:bCs/>
          <w:color w:val="auto"/>
          <w:szCs w:val="24"/>
        </w:rPr>
      </w:pPr>
    </w:p>
    <w:p w14:paraId="07CCAB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Circulating antibody signatures against Mycobacterium tuberculosis antigens are </w:t>
      </w:r>
    </w:p>
    <w:p w14:paraId="5CFDBA83">
      <w:pPr>
        <w:rPr>
          <w:rFonts w:hint="eastAsia" w:ascii="宋体" w:hAnsi="宋体" w:eastAsia="宋体" w:cs="宋体"/>
          <w:b w:val="0"/>
          <w:bCs/>
          <w:color w:val="auto"/>
          <w:szCs w:val="24"/>
        </w:rPr>
      </w:pPr>
      <w:r>
        <w:rPr>
          <w:rFonts w:hint="eastAsia" w:ascii="宋体" w:hAnsi="宋体" w:eastAsia="宋体" w:cs="宋体"/>
          <w:b w:val="0"/>
          <w:bCs/>
          <w:color w:val="auto"/>
          <w:szCs w:val="24"/>
        </w:rPr>
        <w:t>associated with severe and mild tuberculosis.</w:t>
      </w:r>
    </w:p>
    <w:p w14:paraId="5A7E431D">
      <w:pPr>
        <w:rPr>
          <w:rFonts w:hint="eastAsia" w:ascii="宋体" w:hAnsi="宋体" w:eastAsia="宋体" w:cs="宋体"/>
          <w:b w:val="0"/>
          <w:bCs/>
          <w:color w:val="auto"/>
          <w:szCs w:val="24"/>
        </w:rPr>
      </w:pPr>
    </w:p>
    <w:p w14:paraId="7020D0F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Vitti AD(1)(2), Zuazo R(1)(2), Bazán Bouyrie AJ(1)(2), Nemirovsky SI(1)(2), </w:t>
      </w:r>
    </w:p>
    <w:p w14:paraId="08FEFF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Martin C(1)(2), Martinena CB(1)(2), Tateosian NL(1)(2), Ciallella LM(3), de </w:t>
      </w:r>
    </w:p>
    <w:p w14:paraId="7110FE48">
      <w:pPr>
        <w:rPr>
          <w:rFonts w:hint="eastAsia" w:ascii="宋体" w:hAnsi="宋体" w:eastAsia="宋体" w:cs="宋体"/>
          <w:b w:val="0"/>
          <w:bCs/>
          <w:color w:val="auto"/>
          <w:szCs w:val="24"/>
        </w:rPr>
      </w:pPr>
      <w:r>
        <w:rPr>
          <w:rFonts w:hint="eastAsia" w:ascii="宋体" w:hAnsi="宋体" w:eastAsia="宋体" w:cs="宋体"/>
          <w:b w:val="0"/>
          <w:bCs/>
          <w:color w:val="auto"/>
          <w:szCs w:val="24"/>
        </w:rPr>
        <w:t>Casado GC(3), Palmero DJ(3), Iovanna JL(4), García VE(1)(2), Amiano NO(1)(5).</w:t>
      </w:r>
    </w:p>
    <w:p w14:paraId="541FCC7B">
      <w:pPr>
        <w:rPr>
          <w:rFonts w:hint="eastAsia" w:ascii="宋体" w:hAnsi="宋体" w:eastAsia="宋体" w:cs="宋体"/>
          <w:b w:val="0"/>
          <w:bCs/>
          <w:color w:val="auto"/>
          <w:szCs w:val="24"/>
        </w:rPr>
      </w:pPr>
    </w:p>
    <w:p w14:paraId="0138BB8C">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F0E1D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(1)Laboratory of Immunity and Tuberculosis, Institute of Biological Chemistry of </w:t>
      </w:r>
    </w:p>
    <w:p w14:paraId="4822DA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Faculty of Exact and Natural Sciences, University of Buenos Aires (UBA) - </w:t>
      </w:r>
    </w:p>
    <w:p w14:paraId="6D21D5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National Council of Scientific and Technical Investigations (CONICET), Buenos </w:t>
      </w:r>
    </w:p>
    <w:p w14:paraId="5D34D7AC">
      <w:pPr>
        <w:rPr>
          <w:rFonts w:hint="eastAsia" w:ascii="宋体" w:hAnsi="宋体" w:eastAsia="宋体" w:cs="宋体"/>
          <w:b w:val="0"/>
          <w:bCs/>
          <w:color w:val="auto"/>
          <w:szCs w:val="24"/>
        </w:rPr>
      </w:pPr>
      <w:r>
        <w:rPr>
          <w:rFonts w:hint="eastAsia" w:ascii="宋体" w:hAnsi="宋体" w:eastAsia="宋体" w:cs="宋体"/>
          <w:b w:val="0"/>
          <w:bCs/>
          <w:color w:val="auto"/>
          <w:szCs w:val="24"/>
        </w:rPr>
        <w:t>Aires, Argentina.</w:t>
      </w:r>
    </w:p>
    <w:p w14:paraId="62952AD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Biological Chemistry, Faculty of Exact and Natural Sciences, </w:t>
      </w:r>
    </w:p>
    <w:p w14:paraId="2FE9DD43">
      <w:pPr>
        <w:rPr>
          <w:rFonts w:hint="eastAsia" w:ascii="宋体" w:hAnsi="宋体" w:eastAsia="宋体" w:cs="宋体"/>
          <w:b w:val="0"/>
          <w:bCs/>
          <w:color w:val="auto"/>
          <w:szCs w:val="24"/>
        </w:rPr>
      </w:pPr>
      <w:r>
        <w:rPr>
          <w:rFonts w:hint="eastAsia" w:ascii="宋体" w:hAnsi="宋体" w:eastAsia="宋体" w:cs="宋体"/>
          <w:b w:val="0"/>
          <w:bCs/>
          <w:color w:val="auto"/>
          <w:szCs w:val="24"/>
        </w:rPr>
        <w:t>Universidad de Buenos Aires (UBA), Buenos Aires, Argentina.</w:t>
      </w:r>
    </w:p>
    <w:p w14:paraId="32FDC15E">
      <w:pPr>
        <w:rPr>
          <w:rFonts w:hint="eastAsia" w:ascii="宋体" w:hAnsi="宋体" w:eastAsia="宋体" w:cs="宋体"/>
          <w:b w:val="0"/>
          <w:bCs/>
          <w:color w:val="auto"/>
          <w:szCs w:val="24"/>
        </w:rPr>
      </w:pPr>
      <w:r>
        <w:rPr>
          <w:rFonts w:hint="eastAsia" w:ascii="宋体" w:hAnsi="宋体" w:eastAsia="宋体" w:cs="宋体"/>
          <w:b w:val="0"/>
          <w:bCs/>
          <w:color w:val="auto"/>
          <w:szCs w:val="24"/>
        </w:rPr>
        <w:t>(3)Division of Tisioneumonology, Hospital F.J. Muñiz, Buenos Aires, Argentina.</w:t>
      </w:r>
    </w:p>
    <w:p w14:paraId="2CC195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(4)Cancer Research Center of Marseille, National Institute of Health and Medical </w:t>
      </w:r>
    </w:p>
    <w:p w14:paraId="7B3C7B8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Research (INSERM) - National Centre for Scientific Research (CNRS) - Institute </w:t>
      </w:r>
    </w:p>
    <w:p w14:paraId="559697BC">
      <w:pPr>
        <w:rPr>
          <w:rFonts w:hint="eastAsia" w:ascii="宋体" w:hAnsi="宋体" w:eastAsia="宋体" w:cs="宋体"/>
          <w:b w:val="0"/>
          <w:bCs/>
          <w:color w:val="auto"/>
          <w:szCs w:val="24"/>
        </w:rPr>
      </w:pPr>
      <w:r>
        <w:rPr>
          <w:rFonts w:hint="eastAsia" w:ascii="宋体" w:hAnsi="宋体" w:eastAsia="宋体" w:cs="宋体"/>
          <w:b w:val="0"/>
          <w:bCs/>
          <w:color w:val="auto"/>
          <w:szCs w:val="24"/>
        </w:rPr>
        <w:t>Paoli-Calmettes - Aix-Marseille University, Marseille, France.</w:t>
      </w:r>
    </w:p>
    <w:p w14:paraId="0A50C88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(5)Department of Organic Chemistry, Faculty of Exact and Natural Sciences </w:t>
      </w:r>
    </w:p>
    <w:p w14:paraId="3537D142">
      <w:pPr>
        <w:rPr>
          <w:rFonts w:hint="eastAsia" w:ascii="宋体" w:hAnsi="宋体" w:eastAsia="宋体" w:cs="宋体"/>
          <w:b w:val="0"/>
          <w:bCs/>
          <w:color w:val="auto"/>
          <w:szCs w:val="24"/>
        </w:rPr>
      </w:pPr>
      <w:r>
        <w:rPr>
          <w:rFonts w:hint="eastAsia" w:ascii="宋体" w:hAnsi="宋体" w:eastAsia="宋体" w:cs="宋体"/>
          <w:b w:val="0"/>
          <w:bCs/>
          <w:color w:val="auto"/>
          <w:szCs w:val="24"/>
        </w:rPr>
        <w:t>(FCEN). University of Buenos Aires (UBA), Buenos Aires, Argentina.</w:t>
      </w:r>
    </w:p>
    <w:p w14:paraId="10CCEDE2">
      <w:pPr>
        <w:rPr>
          <w:rFonts w:hint="eastAsia" w:ascii="宋体" w:hAnsi="宋体" w:eastAsia="宋体" w:cs="宋体"/>
          <w:b w:val="0"/>
          <w:bCs/>
          <w:color w:val="auto"/>
          <w:szCs w:val="24"/>
        </w:rPr>
      </w:pPr>
    </w:p>
    <w:p w14:paraId="086F19A7">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w:t>
      </w:r>
      <w:r>
        <w:rPr>
          <w:rFonts w:hint="eastAsia" w:ascii="宋体" w:hAnsi="宋体" w:eastAsia="宋体" w:cs="宋体"/>
          <w:b w:val="0"/>
          <w:bCs/>
          <w:color w:val="auto"/>
          <w:szCs w:val="24"/>
        </w:rPr>
        <w:t xml:space="preserve"> Tuberculosis (TB), caused by Mycobacterium tuberculosis, is a </w:t>
      </w:r>
    </w:p>
    <w:p w14:paraId="52A314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highly heterogeneous disease driven by the pathogen's adaptive mechanisms to </w:t>
      </w:r>
    </w:p>
    <w:p w14:paraId="6496DF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subvert the host immune response. Identifying biomarkers that can stratify </w:t>
      </w:r>
    </w:p>
    <w:p w14:paraId="6F48720B">
      <w:pPr>
        <w:rPr>
          <w:rFonts w:hint="eastAsia" w:ascii="宋体" w:hAnsi="宋体" w:eastAsia="宋体" w:cs="宋体"/>
          <w:b w:val="0"/>
          <w:bCs/>
          <w:color w:val="auto"/>
          <w:szCs w:val="24"/>
        </w:rPr>
      </w:pPr>
      <w:r>
        <w:rPr>
          <w:rFonts w:hint="eastAsia" w:ascii="宋体" w:hAnsi="宋体" w:eastAsia="宋体" w:cs="宋体"/>
          <w:b w:val="0"/>
          <w:bCs/>
          <w:color w:val="auto"/>
          <w:szCs w:val="24"/>
        </w:rPr>
        <w:t>disease severity remains a major challenge.</w:t>
      </w:r>
    </w:p>
    <w:p w14:paraId="40C08E35">
      <w:pPr>
        <w:rPr>
          <w:rFonts w:hint="eastAsia" w:ascii="宋体" w:hAnsi="宋体" w:eastAsia="宋体" w:cs="宋体"/>
          <w:b w:val="0"/>
          <w:bCs/>
          <w:color w:val="auto"/>
          <w:szCs w:val="24"/>
        </w:rPr>
      </w:pPr>
      <w:r>
        <w:rPr>
          <w:rFonts w:hint="eastAsia" w:ascii="宋体" w:hAnsi="宋体" w:eastAsia="宋体" w:cs="宋体"/>
          <w:b/>
          <w:bCs w:val="0"/>
          <w:color w:val="auto"/>
          <w:szCs w:val="24"/>
        </w:rPr>
        <w:t>METHODS: I</w:t>
      </w:r>
      <w:r>
        <w:rPr>
          <w:rFonts w:hint="eastAsia" w:ascii="宋体" w:hAnsi="宋体" w:eastAsia="宋体" w:cs="宋体"/>
          <w:b w:val="0"/>
          <w:bCs/>
          <w:color w:val="auto"/>
          <w:szCs w:val="24"/>
        </w:rPr>
        <w:t xml:space="preserve">n this work, we analyzed a large cohort of patients with active TB by </w:t>
      </w:r>
    </w:p>
    <w:p w14:paraId="3A2F92A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integrating clinical, radiological, and laboratory variables. Using Factor </w:t>
      </w:r>
    </w:p>
    <w:p w14:paraId="3F6119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Analysis of Mixed Data (FAMD) to define a range of severity-associated </w:t>
      </w:r>
    </w:p>
    <w:p w14:paraId="1A4372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phenotypes, two principal components of variation, related to systemic and </w:t>
      </w:r>
    </w:p>
    <w:p w14:paraId="5CEB9B4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pulmonary severity were identified and combined in an overall score. Plasma </w:t>
      </w:r>
    </w:p>
    <w:p w14:paraId="6D53791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circulating IgG responses against ESAT-6/CFP-10, Ag85A, HspX and Rv2626c -four </w:t>
      </w:r>
    </w:p>
    <w:p w14:paraId="467703B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key antigens with distinct behaviors during metabolic switches of Mtb- were </w:t>
      </w:r>
    </w:p>
    <w:p w14:paraId="63BE08B9">
      <w:pPr>
        <w:rPr>
          <w:rFonts w:hint="eastAsia" w:ascii="宋体" w:hAnsi="宋体" w:eastAsia="宋体" w:cs="宋体"/>
          <w:b w:val="0"/>
          <w:bCs/>
          <w:color w:val="auto"/>
          <w:szCs w:val="24"/>
        </w:rPr>
      </w:pPr>
      <w:r>
        <w:rPr>
          <w:rFonts w:hint="eastAsia" w:ascii="宋体" w:hAnsi="宋体" w:eastAsia="宋体" w:cs="宋体"/>
          <w:b w:val="0"/>
          <w:bCs/>
          <w:color w:val="auto"/>
          <w:szCs w:val="24"/>
        </w:rPr>
        <w:t>evaluated as antibody signatures.</w:t>
      </w:r>
    </w:p>
    <w:p w14:paraId="53169F12">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Individual antibody responses showed limited associations with </w:t>
      </w:r>
    </w:p>
    <w:p w14:paraId="116F420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severity. However, specific antibody signatures presented a significantly higher </w:t>
      </w:r>
    </w:p>
    <w:p w14:paraId="471433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effect. A signature defined by IgG responses against ESAT-6/CFP-10, Ag85A, and </w:t>
      </w:r>
    </w:p>
    <w:p w14:paraId="3CA9C8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HspX (excluding Rv2626c) was associated with higher severity scores and features </w:t>
      </w:r>
    </w:p>
    <w:p w14:paraId="393EB6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advanced pulmonary disease. In contrast, signatures containing antibodies </w:t>
      </w:r>
    </w:p>
    <w:p w14:paraId="1FD4F50B">
      <w:pPr>
        <w:rPr>
          <w:rFonts w:hint="eastAsia" w:ascii="宋体" w:hAnsi="宋体" w:eastAsia="宋体" w:cs="宋体"/>
          <w:b w:val="0"/>
          <w:bCs/>
          <w:color w:val="auto"/>
          <w:szCs w:val="24"/>
        </w:rPr>
      </w:pPr>
      <w:r>
        <w:rPr>
          <w:rFonts w:hint="eastAsia" w:ascii="宋体" w:hAnsi="宋体" w:eastAsia="宋体" w:cs="宋体"/>
          <w:b w:val="0"/>
          <w:bCs/>
          <w:color w:val="auto"/>
          <w:szCs w:val="24"/>
        </w:rPr>
        <w:t>against Rv2626c were mainly associated with milder phenotypes.</w:t>
      </w:r>
    </w:p>
    <w:p w14:paraId="72CFA5D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These findings demonstrate that antigen-specific IgG signatures show </w:t>
      </w:r>
    </w:p>
    <w:p w14:paraId="4F669D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significant associations with specific forms of TB pathology. Additional </w:t>
      </w:r>
    </w:p>
    <w:p w14:paraId="5C2C49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prospective and longitudinal studies will be required to study their potential </w:t>
      </w:r>
    </w:p>
    <w:p w14:paraId="56720980">
      <w:pPr>
        <w:rPr>
          <w:rFonts w:hint="eastAsia" w:ascii="宋体" w:hAnsi="宋体" w:eastAsia="宋体" w:cs="宋体"/>
          <w:b w:val="0"/>
          <w:bCs/>
          <w:color w:val="auto"/>
          <w:szCs w:val="24"/>
        </w:rPr>
      </w:pPr>
      <w:r>
        <w:rPr>
          <w:rFonts w:hint="eastAsia" w:ascii="宋体" w:hAnsi="宋体" w:eastAsia="宋体" w:cs="宋体"/>
          <w:b w:val="0"/>
          <w:bCs/>
          <w:color w:val="auto"/>
          <w:szCs w:val="24"/>
        </w:rPr>
        <w:t>as biomarkers.</w:t>
      </w:r>
    </w:p>
    <w:p w14:paraId="193B0245">
      <w:pPr>
        <w:rPr>
          <w:rFonts w:hint="eastAsia" w:ascii="宋体" w:hAnsi="宋体" w:eastAsia="宋体" w:cs="宋体"/>
          <w:b w:val="0"/>
          <w:bCs/>
          <w:color w:val="auto"/>
          <w:szCs w:val="24"/>
        </w:rPr>
      </w:pPr>
    </w:p>
    <w:p w14:paraId="35FF0AD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Vitti, Zuazo, Bazán Bouyrie, Nemirovsky, Martin, Martinena, </w:t>
      </w:r>
    </w:p>
    <w:p w14:paraId="4BB24702">
      <w:pPr>
        <w:rPr>
          <w:rFonts w:hint="eastAsia" w:ascii="宋体" w:hAnsi="宋体" w:eastAsia="宋体" w:cs="宋体"/>
          <w:b w:val="0"/>
          <w:bCs/>
          <w:color w:val="auto"/>
          <w:szCs w:val="24"/>
        </w:rPr>
      </w:pPr>
      <w:r>
        <w:rPr>
          <w:rFonts w:hint="eastAsia" w:ascii="宋体" w:hAnsi="宋体" w:eastAsia="宋体" w:cs="宋体"/>
          <w:b w:val="0"/>
          <w:bCs/>
          <w:color w:val="auto"/>
          <w:szCs w:val="24"/>
        </w:rPr>
        <w:t>Tateosian, Ciallella, de Casado, Palmero, Iovanna, García and Amiano.</w:t>
      </w:r>
    </w:p>
    <w:p w14:paraId="2C5A2719">
      <w:pPr>
        <w:rPr>
          <w:rFonts w:hint="eastAsia" w:ascii="宋体" w:hAnsi="宋体" w:eastAsia="宋体" w:cs="宋体"/>
          <w:b w:val="0"/>
          <w:bCs/>
          <w:color w:val="auto"/>
          <w:szCs w:val="24"/>
        </w:rPr>
      </w:pPr>
    </w:p>
    <w:p w14:paraId="7F1E4D7A">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10.3389/fimmu.2026.1897502</w:t>
      </w:r>
    </w:p>
    <w:p w14:paraId="3426D698">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PMC13549925</w:t>
      </w:r>
    </w:p>
    <w:p w14:paraId="23D65B56">
      <w:pPr>
        <w:rPr>
          <w:rFonts w:hint="eastAsia" w:ascii="宋体" w:hAnsi="宋体" w:eastAsia="宋体" w:cs="宋体"/>
          <w:b w:val="0"/>
          <w:bCs/>
          <w:color w:val="auto"/>
          <w:szCs w:val="24"/>
        </w:rPr>
      </w:pPr>
      <w:r>
        <w:rPr>
          <w:rFonts w:hint="eastAsia" w:ascii="宋体" w:hAnsi="宋体" w:eastAsia="宋体" w:cs="宋体"/>
          <w:b w:val="0"/>
          <w:bCs/>
          <w:color w:val="auto"/>
          <w:szCs w:val="24"/>
        </w:rPr>
        <w:t>PMID: 42712507 [Indexed for MEDLINE]</w:t>
      </w:r>
    </w:p>
    <w:p w14:paraId="51FFB1FC">
      <w:pPr>
        <w:rPr>
          <w:rFonts w:hint="eastAsia" w:ascii="宋体" w:hAnsi="宋体" w:eastAsia="宋体" w:cs="宋体"/>
          <w:b w:val="0"/>
          <w:bCs/>
          <w:color w:val="auto"/>
          <w:szCs w:val="24"/>
        </w:rPr>
      </w:pPr>
    </w:p>
    <w:p w14:paraId="57FB63D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75</w:t>
      </w:r>
      <w:r>
        <w:rPr>
          <w:rFonts w:hint="eastAsia" w:ascii="宋体" w:hAnsi="宋体" w:eastAsia="宋体" w:cs="宋体"/>
          <w:b/>
          <w:bCs w:val="0"/>
          <w:color w:val="FF0000"/>
          <w:szCs w:val="24"/>
        </w:rPr>
        <w:t xml:space="preserve">. Front Microbiol. 2026 Aug 25;17:1898324. doi: 10.3389/fmicb.2026.1898324. </w:t>
      </w:r>
    </w:p>
    <w:p w14:paraId="1F9B45F3">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724A42C2">
      <w:pPr>
        <w:rPr>
          <w:rFonts w:hint="eastAsia" w:ascii="宋体" w:hAnsi="宋体" w:eastAsia="宋体" w:cs="宋体"/>
          <w:b w:val="0"/>
          <w:bCs/>
          <w:color w:val="auto"/>
          <w:szCs w:val="24"/>
        </w:rPr>
      </w:pPr>
    </w:p>
    <w:p w14:paraId="5EE740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Plasma kynurenine/tryptophan ratio as a sensitive blood-based diagnostic tool </w:t>
      </w:r>
    </w:p>
    <w:p w14:paraId="44587F47">
      <w:pPr>
        <w:rPr>
          <w:rFonts w:hint="eastAsia" w:ascii="宋体" w:hAnsi="宋体" w:eastAsia="宋体" w:cs="宋体"/>
          <w:b w:val="0"/>
          <w:bCs/>
          <w:color w:val="auto"/>
          <w:szCs w:val="24"/>
        </w:rPr>
      </w:pPr>
      <w:r>
        <w:rPr>
          <w:rFonts w:hint="eastAsia" w:ascii="宋体" w:hAnsi="宋体" w:eastAsia="宋体" w:cs="宋体"/>
          <w:b w:val="0"/>
          <w:bCs/>
          <w:color w:val="auto"/>
          <w:szCs w:val="24"/>
        </w:rPr>
        <w:t>for tuberculosis: a diagnostic accuracy study among children living with HIV.</w:t>
      </w:r>
    </w:p>
    <w:p w14:paraId="781B356C">
      <w:pPr>
        <w:rPr>
          <w:rFonts w:hint="eastAsia" w:ascii="宋体" w:hAnsi="宋体" w:eastAsia="宋体" w:cs="宋体"/>
          <w:b w:val="0"/>
          <w:bCs/>
          <w:color w:val="auto"/>
          <w:szCs w:val="24"/>
        </w:rPr>
      </w:pPr>
    </w:p>
    <w:p w14:paraId="5148DDC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Adu-Gyamfi CG(1)(2)(3)(4)(5), Makhathini L(1), Longlax SC(3), Varela AP(3), </w:t>
      </w:r>
    </w:p>
    <w:p w14:paraId="43EBBE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Scheuermaier K(2), Sikhondze N(4)(5), Otwombe K(6), Adjei AA(7), Martinson </w:t>
      </w:r>
    </w:p>
    <w:p w14:paraId="59A2F708">
      <w:pPr>
        <w:rPr>
          <w:rFonts w:hint="eastAsia" w:ascii="宋体" w:hAnsi="宋体" w:eastAsia="宋体" w:cs="宋体"/>
          <w:b w:val="0"/>
          <w:bCs/>
          <w:color w:val="auto"/>
          <w:szCs w:val="24"/>
        </w:rPr>
      </w:pPr>
      <w:r>
        <w:rPr>
          <w:rFonts w:hint="eastAsia" w:ascii="宋体" w:hAnsi="宋体" w:eastAsia="宋体" w:cs="宋体"/>
          <w:b w:val="0"/>
          <w:bCs/>
          <w:color w:val="auto"/>
          <w:szCs w:val="24"/>
        </w:rPr>
        <w:t>N(6)(8), Kay A(3)(4)(5), DiNardo AR(3), Mandalakas AM(3), Suchard M(9)(10).</w:t>
      </w:r>
    </w:p>
    <w:p w14:paraId="6A77727D">
      <w:pPr>
        <w:rPr>
          <w:rFonts w:hint="eastAsia" w:ascii="宋体" w:hAnsi="宋体" w:eastAsia="宋体" w:cs="宋体"/>
          <w:b w:val="0"/>
          <w:bCs/>
          <w:color w:val="auto"/>
          <w:szCs w:val="24"/>
        </w:rPr>
      </w:pPr>
    </w:p>
    <w:p w14:paraId="64A503E5">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21A93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(1)Centre for Vaccines and Immunology, National Institute for Communicable </w:t>
      </w:r>
    </w:p>
    <w:p w14:paraId="0A59D3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Diseases, a Division of the National Health Laboratory Service, Johannesburg, </w:t>
      </w:r>
    </w:p>
    <w:p w14:paraId="39F3FF7F">
      <w:pPr>
        <w:rPr>
          <w:rFonts w:hint="eastAsia" w:ascii="宋体" w:hAnsi="宋体" w:eastAsia="宋体" w:cs="宋体"/>
          <w:b w:val="0"/>
          <w:bCs/>
          <w:color w:val="auto"/>
          <w:szCs w:val="24"/>
        </w:rPr>
      </w:pPr>
      <w:r>
        <w:rPr>
          <w:rFonts w:hint="eastAsia" w:ascii="宋体" w:hAnsi="宋体" w:eastAsia="宋体" w:cs="宋体"/>
          <w:b w:val="0"/>
          <w:bCs/>
          <w:color w:val="auto"/>
          <w:szCs w:val="24"/>
        </w:rPr>
        <w:t>South Africa.</w:t>
      </w:r>
    </w:p>
    <w:p w14:paraId="1364E9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(2)Brain Function Research Group, Department of Physiology, School of Biomedical </w:t>
      </w:r>
    </w:p>
    <w:p w14:paraId="3C042C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Sciences, Faculty of Health Sciences, University of the Witwatersrand, </w:t>
      </w:r>
    </w:p>
    <w:p w14:paraId="1E08CCD5">
      <w:pPr>
        <w:rPr>
          <w:rFonts w:hint="eastAsia" w:ascii="宋体" w:hAnsi="宋体" w:eastAsia="宋体" w:cs="宋体"/>
          <w:b w:val="0"/>
          <w:bCs/>
          <w:color w:val="auto"/>
          <w:szCs w:val="24"/>
        </w:rPr>
      </w:pPr>
      <w:r>
        <w:rPr>
          <w:rFonts w:hint="eastAsia" w:ascii="宋体" w:hAnsi="宋体" w:eastAsia="宋体" w:cs="宋体"/>
          <w:b w:val="0"/>
          <w:bCs/>
          <w:color w:val="auto"/>
          <w:szCs w:val="24"/>
        </w:rPr>
        <w:t>Johannesburg, South Africa.</w:t>
      </w:r>
    </w:p>
    <w:p w14:paraId="5F16AB5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(3)Global TB Program, Department of Pediatrics, Baylor College of Medicine, </w:t>
      </w:r>
    </w:p>
    <w:p w14:paraId="10628344">
      <w:pPr>
        <w:rPr>
          <w:rFonts w:hint="eastAsia" w:ascii="宋体" w:hAnsi="宋体" w:eastAsia="宋体" w:cs="宋体"/>
          <w:b w:val="0"/>
          <w:bCs/>
          <w:color w:val="auto"/>
          <w:szCs w:val="24"/>
        </w:rPr>
      </w:pPr>
      <w:r>
        <w:rPr>
          <w:rFonts w:hint="eastAsia" w:ascii="宋体" w:hAnsi="宋体" w:eastAsia="宋体" w:cs="宋体"/>
          <w:b w:val="0"/>
          <w:bCs/>
          <w:color w:val="auto"/>
          <w:szCs w:val="24"/>
        </w:rPr>
        <w:t>Houston, TX, United States.</w:t>
      </w:r>
    </w:p>
    <w:p w14:paraId="47B19452">
      <w:pPr>
        <w:rPr>
          <w:rFonts w:hint="eastAsia" w:ascii="宋体" w:hAnsi="宋体" w:eastAsia="宋体" w:cs="宋体"/>
          <w:b w:val="0"/>
          <w:bCs/>
          <w:color w:val="auto"/>
          <w:szCs w:val="24"/>
        </w:rPr>
      </w:pPr>
      <w:r>
        <w:rPr>
          <w:rFonts w:hint="eastAsia" w:ascii="宋体" w:hAnsi="宋体" w:eastAsia="宋体" w:cs="宋体"/>
          <w:b w:val="0"/>
          <w:bCs/>
          <w:color w:val="auto"/>
          <w:szCs w:val="24"/>
        </w:rPr>
        <w:t>(4)Baylor College of Medicine, Houston, TX, United States.</w:t>
      </w:r>
    </w:p>
    <w:p w14:paraId="3BE6E5D1">
      <w:pPr>
        <w:rPr>
          <w:rFonts w:hint="eastAsia" w:ascii="宋体" w:hAnsi="宋体" w:eastAsia="宋体" w:cs="宋体"/>
          <w:b w:val="0"/>
          <w:bCs/>
          <w:color w:val="auto"/>
          <w:szCs w:val="24"/>
        </w:rPr>
      </w:pPr>
      <w:r>
        <w:rPr>
          <w:rFonts w:hint="eastAsia" w:ascii="宋体" w:hAnsi="宋体" w:eastAsia="宋体" w:cs="宋体"/>
          <w:b w:val="0"/>
          <w:bCs/>
          <w:color w:val="auto"/>
          <w:szCs w:val="24"/>
        </w:rPr>
        <w:t>(5)Baylor College of Medicine Children's Foundation Eswatini, Mbabane, Eswatini.</w:t>
      </w:r>
    </w:p>
    <w:p w14:paraId="4BE01AF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(6)Perinatal Health Research Unit (PHRU), Soweto Matlosana Collaborating Centre </w:t>
      </w:r>
    </w:p>
    <w:p w14:paraId="06EE302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HIV/AIDS and TB, Faculty of Health Sciences, University of The </w:t>
      </w:r>
    </w:p>
    <w:p w14:paraId="511D8EC0">
      <w:pPr>
        <w:rPr>
          <w:rFonts w:hint="eastAsia" w:ascii="宋体" w:hAnsi="宋体" w:eastAsia="宋体" w:cs="宋体"/>
          <w:b w:val="0"/>
          <w:bCs/>
          <w:color w:val="auto"/>
          <w:szCs w:val="24"/>
        </w:rPr>
      </w:pPr>
      <w:r>
        <w:rPr>
          <w:rFonts w:hint="eastAsia" w:ascii="宋体" w:hAnsi="宋体" w:eastAsia="宋体" w:cs="宋体"/>
          <w:b w:val="0"/>
          <w:bCs/>
          <w:color w:val="auto"/>
          <w:szCs w:val="24"/>
        </w:rPr>
        <w:t>Witwatersrand, Johannesburg, South Africa.</w:t>
      </w:r>
    </w:p>
    <w:p w14:paraId="2ABBC7A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Pathology, University of Ghana Medical School, Korle-Bu </w:t>
      </w:r>
    </w:p>
    <w:p w14:paraId="063AC3BF">
      <w:pPr>
        <w:rPr>
          <w:rFonts w:hint="eastAsia" w:ascii="宋体" w:hAnsi="宋体" w:eastAsia="宋体" w:cs="宋体"/>
          <w:b w:val="0"/>
          <w:bCs/>
          <w:color w:val="auto"/>
          <w:szCs w:val="24"/>
        </w:rPr>
      </w:pPr>
      <w:r>
        <w:rPr>
          <w:rFonts w:hint="eastAsia" w:ascii="宋体" w:hAnsi="宋体" w:eastAsia="宋体" w:cs="宋体"/>
          <w:b w:val="0"/>
          <w:bCs/>
          <w:color w:val="auto"/>
          <w:szCs w:val="24"/>
        </w:rPr>
        <w:t>Teaching Hospital, Accra, Ghana.</w:t>
      </w:r>
    </w:p>
    <w:p w14:paraId="7D8C52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(8)Global TB Program, Department of Pediatrics, Johns Hopkins University Centre </w:t>
      </w:r>
    </w:p>
    <w:p w14:paraId="2FD5F828">
      <w:pPr>
        <w:rPr>
          <w:rFonts w:hint="eastAsia" w:ascii="宋体" w:hAnsi="宋体" w:eastAsia="宋体" w:cs="宋体"/>
          <w:b w:val="0"/>
          <w:bCs/>
          <w:color w:val="auto"/>
          <w:szCs w:val="24"/>
        </w:rPr>
      </w:pPr>
      <w:r>
        <w:rPr>
          <w:rFonts w:hint="eastAsia" w:ascii="宋体" w:hAnsi="宋体" w:eastAsia="宋体" w:cs="宋体"/>
          <w:b w:val="0"/>
          <w:bCs/>
          <w:color w:val="auto"/>
          <w:szCs w:val="24"/>
        </w:rPr>
        <w:t>for TB Research, Baltimore, MD, United States.</w:t>
      </w:r>
    </w:p>
    <w:p w14:paraId="0EA578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(9)Department of Infectious Diseases, Doherty Institute, University of </w:t>
      </w:r>
    </w:p>
    <w:p w14:paraId="2E32F577">
      <w:pPr>
        <w:rPr>
          <w:rFonts w:hint="eastAsia" w:ascii="宋体" w:hAnsi="宋体" w:eastAsia="宋体" w:cs="宋体"/>
          <w:b w:val="0"/>
          <w:bCs/>
          <w:color w:val="auto"/>
          <w:szCs w:val="24"/>
        </w:rPr>
      </w:pPr>
      <w:r>
        <w:rPr>
          <w:rFonts w:hint="eastAsia" w:ascii="宋体" w:hAnsi="宋体" w:eastAsia="宋体" w:cs="宋体"/>
          <w:b w:val="0"/>
          <w:bCs/>
          <w:color w:val="auto"/>
          <w:szCs w:val="24"/>
        </w:rPr>
        <w:t>Melbourne, Melbourne, VIC, Australia.</w:t>
      </w:r>
    </w:p>
    <w:p w14:paraId="049D8E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(10)Faculty of Health Sciences, University of the Witwatersrand, Johannesburg, </w:t>
      </w:r>
    </w:p>
    <w:p w14:paraId="3B4120F3">
      <w:pPr>
        <w:rPr>
          <w:rFonts w:hint="eastAsia" w:ascii="宋体" w:hAnsi="宋体" w:eastAsia="宋体" w:cs="宋体"/>
          <w:b w:val="0"/>
          <w:bCs/>
          <w:color w:val="auto"/>
          <w:szCs w:val="24"/>
        </w:rPr>
      </w:pPr>
      <w:r>
        <w:rPr>
          <w:rFonts w:hint="eastAsia" w:ascii="宋体" w:hAnsi="宋体" w:eastAsia="宋体" w:cs="宋体"/>
          <w:b w:val="0"/>
          <w:bCs/>
          <w:color w:val="auto"/>
          <w:szCs w:val="24"/>
        </w:rPr>
        <w:t>South Africa.</w:t>
      </w:r>
    </w:p>
    <w:p w14:paraId="536EF101">
      <w:pPr>
        <w:rPr>
          <w:rFonts w:hint="eastAsia" w:ascii="宋体" w:hAnsi="宋体" w:eastAsia="宋体" w:cs="宋体"/>
          <w:b w:val="0"/>
          <w:bCs/>
          <w:color w:val="auto"/>
          <w:szCs w:val="24"/>
        </w:rPr>
      </w:pPr>
    </w:p>
    <w:p w14:paraId="012DB6F0">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Pediatric tuberculosis (TB) is challenging to diagnose and confirm. </w:t>
      </w:r>
    </w:p>
    <w:p w14:paraId="3ED3662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World Health Organization has prioritized development of non-sputum-based </w:t>
      </w:r>
    </w:p>
    <w:p w14:paraId="008AEA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diagnostics. We investigated the role of plasma K/T ratio for TB diagnosis among </w:t>
      </w:r>
    </w:p>
    <w:p w14:paraId="54FFB746">
      <w:pPr>
        <w:rPr>
          <w:rFonts w:hint="eastAsia" w:ascii="宋体" w:hAnsi="宋体" w:eastAsia="宋体" w:cs="宋体"/>
          <w:b w:val="0"/>
          <w:bCs/>
          <w:color w:val="auto"/>
          <w:szCs w:val="24"/>
        </w:rPr>
      </w:pPr>
      <w:r>
        <w:rPr>
          <w:rFonts w:hint="eastAsia" w:ascii="宋体" w:hAnsi="宋体" w:eastAsia="宋体" w:cs="宋体"/>
          <w:b w:val="0"/>
          <w:bCs/>
          <w:color w:val="auto"/>
          <w:szCs w:val="24"/>
        </w:rPr>
        <w:t>children with and without HIV.</w:t>
      </w:r>
    </w:p>
    <w:p w14:paraId="6A52D466">
      <w:pPr>
        <w:rPr>
          <w:rFonts w:hint="eastAsia" w:ascii="宋体" w:hAnsi="宋体" w:eastAsia="宋体" w:cs="宋体"/>
          <w:b w:val="0"/>
          <w:bCs/>
          <w:color w:val="auto"/>
          <w:szCs w:val="24"/>
        </w:rPr>
      </w:pPr>
      <w:r>
        <w:rPr>
          <w:rFonts w:hint="eastAsia" w:ascii="宋体" w:hAnsi="宋体" w:eastAsia="宋体" w:cs="宋体"/>
          <w:b/>
          <w:bCs w:val="0"/>
          <w:color w:val="auto"/>
          <w:szCs w:val="24"/>
        </w:rPr>
        <w:t>METHODOLOGY:</w:t>
      </w:r>
      <w:r>
        <w:rPr>
          <w:rFonts w:hint="eastAsia" w:ascii="宋体" w:hAnsi="宋体" w:eastAsia="宋体" w:cs="宋体"/>
          <w:b w:val="0"/>
          <w:bCs/>
          <w:color w:val="auto"/>
          <w:szCs w:val="24"/>
        </w:rPr>
        <w:t xml:space="preserve"> Plasma tryptophan and kynurenine concentrations measured via </w:t>
      </w:r>
    </w:p>
    <w:p w14:paraId="5307FB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enzyme-linked immunosorbent assay (ELISA) were used to calculate K/T ratios in a </w:t>
      </w:r>
    </w:p>
    <w:p w14:paraId="7BC531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nested case-control design with an optimization cohort (the Lung Cohort Study </w:t>
      </w:r>
    </w:p>
    <w:p w14:paraId="38D8C4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(LCS)) and a validation cohort (the NIH Stool4TB. The discovery cohort included </w:t>
      </w:r>
    </w:p>
    <w:p w14:paraId="5F350C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children with incident TB (n = 23) and age- and sex-matched controls (n = 75). </w:t>
      </w:r>
    </w:p>
    <w:p w14:paraId="4735E24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Stool4TB validation cohort included participants with and without HIV who </w:t>
      </w:r>
    </w:p>
    <w:p w14:paraId="13B7A46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had microbiologically confirmed TB (n = 15) or clinically diagnosed TB (n = 20), </w:t>
      </w:r>
    </w:p>
    <w:p w14:paraId="40A5AC25">
      <w:pPr>
        <w:rPr>
          <w:rFonts w:hint="eastAsia" w:ascii="宋体" w:hAnsi="宋体" w:eastAsia="宋体" w:cs="宋体"/>
          <w:b w:val="0"/>
          <w:bCs/>
          <w:color w:val="auto"/>
          <w:szCs w:val="24"/>
        </w:rPr>
      </w:pPr>
      <w:r>
        <w:rPr>
          <w:rFonts w:hint="eastAsia" w:ascii="宋体" w:hAnsi="宋体" w:eastAsia="宋体" w:cs="宋体"/>
          <w:b w:val="0"/>
          <w:bCs/>
          <w:color w:val="auto"/>
          <w:szCs w:val="24"/>
        </w:rPr>
        <w:t>and controls (n = 25).</w:t>
      </w:r>
    </w:p>
    <w:p w14:paraId="29862DC6">
      <w:pPr>
        <w:rPr>
          <w:rFonts w:hint="eastAsia" w:ascii="宋体" w:hAnsi="宋体" w:eastAsia="宋体" w:cs="宋体"/>
          <w:b w:val="0"/>
          <w:bCs/>
          <w:color w:val="auto"/>
          <w:szCs w:val="24"/>
        </w:rPr>
      </w:pPr>
      <w:r>
        <w:rPr>
          <w:rFonts w:hint="eastAsia" w:ascii="宋体" w:hAnsi="宋体" w:eastAsia="宋体" w:cs="宋体"/>
          <w:b/>
          <w:bCs w:val="0"/>
          <w:color w:val="auto"/>
          <w:szCs w:val="24"/>
        </w:rPr>
        <w:t>RESULTS:</w:t>
      </w:r>
      <w:r>
        <w:rPr>
          <w:rFonts w:hint="eastAsia" w:ascii="宋体" w:hAnsi="宋体" w:eastAsia="宋体" w:cs="宋体"/>
          <w:b w:val="0"/>
          <w:bCs/>
          <w:color w:val="auto"/>
          <w:szCs w:val="24"/>
        </w:rPr>
        <w:t xml:space="preserve"> LCS participants with HIV-associated TB had higher plasma K/T ratio </w:t>
      </w:r>
    </w:p>
    <w:p w14:paraId="73D0DB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(median 0.511 [IQR 0.182-0.820]) than controls (median 0.053 [IQR 0.030-0.072]), </w:t>
      </w:r>
    </w:p>
    <w:p w14:paraId="1129E6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 &lt; 0.0001. Among participants with microbiologically confirmed TB living with </w:t>
      </w:r>
    </w:p>
    <w:p w14:paraId="1CA26B9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HIV, plasma K/T ratio gave a sensitivity of 95% (CI 79-99), specificity of 85% </w:t>
      </w:r>
    </w:p>
    <w:p w14:paraId="37A0E0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(CI 0.75-0.91), PPV of 85%, NPV of 98%, and AUC of 0.96 (95% CI 0.93-0.99). In </w:t>
      </w:r>
    </w:p>
    <w:p w14:paraId="0D6A03B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validation cohort, among HIV uninfected children, applying a cut-off value </w:t>
      </w:r>
    </w:p>
    <w:p w14:paraId="717DDCD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0.090 gave a sensitivity of 83 % (CI 0.43-0.99), specificity of 96% (CI </w:t>
      </w:r>
    </w:p>
    <w:p w14:paraId="60C1A8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0.80-0.99), PPV of 96%, NPV of 90%, and AUC of 0.92 (95% CI 0.82-1) for </w:t>
      </w:r>
    </w:p>
    <w:p w14:paraId="632A2F5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laboratory confirmed TB. In the LCS, participants who had received intermittent </w:t>
      </w:r>
    </w:p>
    <w:p w14:paraId="2D2B5B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preventative therapy had lower K/T ratio compared to those who did not (p = </w:t>
      </w:r>
    </w:p>
    <w:p w14:paraId="490E6663">
      <w:pPr>
        <w:rPr>
          <w:rFonts w:hint="eastAsia" w:ascii="宋体" w:hAnsi="宋体" w:eastAsia="宋体" w:cs="宋体"/>
          <w:b w:val="0"/>
          <w:bCs/>
          <w:color w:val="auto"/>
          <w:szCs w:val="24"/>
        </w:rPr>
      </w:pPr>
      <w:r>
        <w:rPr>
          <w:rFonts w:hint="eastAsia" w:ascii="宋体" w:hAnsi="宋体" w:eastAsia="宋体" w:cs="宋体"/>
          <w:b w:val="0"/>
          <w:bCs/>
          <w:color w:val="auto"/>
          <w:szCs w:val="24"/>
        </w:rPr>
        <w:t>0.0191).</w:t>
      </w:r>
    </w:p>
    <w:p w14:paraId="65AD2C0B">
      <w:pPr>
        <w:rPr>
          <w:rFonts w:hint="eastAsia" w:ascii="宋体" w:hAnsi="宋体" w:eastAsia="宋体" w:cs="宋体"/>
          <w:b w:val="0"/>
          <w:bCs/>
          <w:color w:val="auto"/>
          <w:szCs w:val="24"/>
        </w:rPr>
      </w:pPr>
      <w:r>
        <w:rPr>
          <w:rFonts w:hint="eastAsia" w:ascii="宋体" w:hAnsi="宋体" w:eastAsia="宋体" w:cs="宋体"/>
          <w:b/>
          <w:bCs w:val="0"/>
          <w:color w:val="auto"/>
          <w:szCs w:val="24"/>
        </w:rPr>
        <w:t>CONCLUSION:</w:t>
      </w:r>
      <w:r>
        <w:rPr>
          <w:rFonts w:hint="eastAsia" w:ascii="宋体" w:hAnsi="宋体" w:eastAsia="宋体" w:cs="宋体"/>
          <w:b w:val="0"/>
          <w:bCs/>
          <w:color w:val="auto"/>
          <w:szCs w:val="24"/>
        </w:rPr>
        <w:t xml:space="preserve"> Plasma K/T ratio is a sensitive non-sputum-based test for diagnosing </w:t>
      </w:r>
    </w:p>
    <w:p w14:paraId="6A1166F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TB in children and has promising application within pediatric TB diagnostic </w:t>
      </w:r>
    </w:p>
    <w:p w14:paraId="1C553AF4">
      <w:pPr>
        <w:rPr>
          <w:rFonts w:hint="eastAsia" w:ascii="宋体" w:hAnsi="宋体" w:eastAsia="宋体" w:cs="宋体"/>
          <w:b w:val="0"/>
          <w:bCs/>
          <w:color w:val="auto"/>
          <w:szCs w:val="24"/>
        </w:rPr>
      </w:pPr>
      <w:r>
        <w:rPr>
          <w:rFonts w:hint="eastAsia" w:ascii="宋体" w:hAnsi="宋体" w:eastAsia="宋体" w:cs="宋体"/>
          <w:b w:val="0"/>
          <w:bCs/>
          <w:color w:val="auto"/>
          <w:szCs w:val="24"/>
        </w:rPr>
        <w:t>algorithms.</w:t>
      </w:r>
    </w:p>
    <w:p w14:paraId="1CD64B2B">
      <w:pPr>
        <w:rPr>
          <w:rFonts w:hint="eastAsia" w:ascii="宋体" w:hAnsi="宋体" w:eastAsia="宋体" w:cs="宋体"/>
          <w:b w:val="0"/>
          <w:bCs/>
          <w:color w:val="auto"/>
          <w:szCs w:val="24"/>
        </w:rPr>
      </w:pPr>
    </w:p>
    <w:p w14:paraId="4192BA8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 2026 Adu-Gyamfi, Makhathini, Longlax, Varela, Scheuermaier, </w:t>
      </w:r>
    </w:p>
    <w:p w14:paraId="3418EC1B">
      <w:pPr>
        <w:rPr>
          <w:rFonts w:hint="eastAsia" w:ascii="宋体" w:hAnsi="宋体" w:eastAsia="宋体" w:cs="宋体"/>
          <w:b w:val="0"/>
          <w:bCs/>
          <w:color w:val="auto"/>
          <w:szCs w:val="24"/>
        </w:rPr>
      </w:pPr>
      <w:r>
        <w:rPr>
          <w:rFonts w:hint="eastAsia" w:ascii="宋体" w:hAnsi="宋体" w:eastAsia="宋体" w:cs="宋体"/>
          <w:b w:val="0"/>
          <w:bCs/>
          <w:color w:val="auto"/>
          <w:szCs w:val="24"/>
        </w:rPr>
        <w:t>Sikhondze, Otwombe, Adjei, Martinson, Kay, DiNardo, Mandalakas and Suchard.</w:t>
      </w:r>
    </w:p>
    <w:p w14:paraId="13DF0145">
      <w:pPr>
        <w:rPr>
          <w:rFonts w:hint="eastAsia" w:ascii="宋体" w:hAnsi="宋体" w:eastAsia="宋体" w:cs="宋体"/>
          <w:b w:val="0"/>
          <w:bCs/>
          <w:color w:val="auto"/>
          <w:szCs w:val="24"/>
        </w:rPr>
      </w:pPr>
    </w:p>
    <w:p w14:paraId="5F3A0FDA">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10.3389/fmicb.2026.1898324</w:t>
      </w:r>
    </w:p>
    <w:p w14:paraId="335A0920">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PMC13550139</w:t>
      </w:r>
    </w:p>
    <w:p w14:paraId="63C1A696">
      <w:pPr>
        <w:rPr>
          <w:rFonts w:hint="eastAsia" w:ascii="宋体" w:hAnsi="宋体" w:eastAsia="宋体" w:cs="宋体"/>
          <w:b w:val="0"/>
          <w:bCs/>
          <w:color w:val="auto"/>
          <w:szCs w:val="24"/>
        </w:rPr>
      </w:pPr>
      <w:r>
        <w:rPr>
          <w:rFonts w:hint="eastAsia" w:ascii="宋体" w:hAnsi="宋体" w:eastAsia="宋体" w:cs="宋体"/>
          <w:b w:val="0"/>
          <w:bCs/>
          <w:color w:val="auto"/>
          <w:szCs w:val="24"/>
        </w:rPr>
        <w:t>PMID: 42712451</w:t>
      </w:r>
    </w:p>
    <w:p w14:paraId="6C73371C">
      <w:pPr>
        <w:rPr>
          <w:rFonts w:hint="eastAsia" w:ascii="宋体" w:hAnsi="宋体" w:eastAsia="宋体" w:cs="宋体"/>
          <w:b w:val="0"/>
          <w:bCs/>
          <w:color w:val="auto"/>
          <w:szCs w:val="24"/>
        </w:rPr>
      </w:pPr>
    </w:p>
    <w:p w14:paraId="08CBAA5F">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76</w:t>
      </w:r>
      <w:r>
        <w:rPr>
          <w:rFonts w:hint="eastAsia" w:ascii="宋体" w:hAnsi="宋体" w:eastAsia="宋体" w:cs="宋体"/>
          <w:b/>
          <w:bCs w:val="0"/>
          <w:color w:val="FF0000"/>
          <w:szCs w:val="24"/>
        </w:rPr>
        <w:t>. Immun Inflamm Dis. 2026 Sep;14(9):e70508. doi: 10.1002/iid3.70508.</w:t>
      </w:r>
    </w:p>
    <w:p w14:paraId="740A0333">
      <w:pPr>
        <w:rPr>
          <w:rFonts w:hint="eastAsia" w:ascii="宋体" w:hAnsi="宋体" w:eastAsia="宋体" w:cs="宋体"/>
          <w:b w:val="0"/>
          <w:bCs/>
          <w:color w:val="auto"/>
          <w:szCs w:val="24"/>
        </w:rPr>
      </w:pPr>
    </w:p>
    <w:p w14:paraId="77E894D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Hypercalcemia in a Patient With Spinal Tuberculosis and Aspergillus </w:t>
      </w:r>
    </w:p>
    <w:p w14:paraId="538CC957">
      <w:pPr>
        <w:rPr>
          <w:rFonts w:hint="eastAsia" w:ascii="宋体" w:hAnsi="宋体" w:eastAsia="宋体" w:cs="宋体"/>
          <w:b w:val="0"/>
          <w:bCs/>
          <w:color w:val="auto"/>
          <w:szCs w:val="24"/>
        </w:rPr>
      </w:pPr>
      <w:r>
        <w:rPr>
          <w:rFonts w:hint="eastAsia" w:ascii="宋体" w:hAnsi="宋体" w:eastAsia="宋体" w:cs="宋体"/>
          <w:b w:val="0"/>
          <w:bCs/>
          <w:color w:val="auto"/>
          <w:szCs w:val="24"/>
        </w:rPr>
        <w:t>Co-Infection: A Case-Report.</w:t>
      </w:r>
    </w:p>
    <w:p w14:paraId="5FA0D7F3">
      <w:pPr>
        <w:rPr>
          <w:rFonts w:hint="eastAsia" w:ascii="宋体" w:hAnsi="宋体" w:eastAsia="宋体" w:cs="宋体"/>
          <w:b w:val="0"/>
          <w:bCs/>
          <w:color w:val="auto"/>
          <w:szCs w:val="24"/>
        </w:rPr>
      </w:pPr>
    </w:p>
    <w:p w14:paraId="26709154">
      <w:pPr>
        <w:rPr>
          <w:rFonts w:hint="eastAsia" w:ascii="宋体" w:hAnsi="宋体" w:eastAsia="宋体" w:cs="宋体"/>
          <w:b w:val="0"/>
          <w:bCs/>
          <w:color w:val="auto"/>
          <w:szCs w:val="24"/>
        </w:rPr>
      </w:pPr>
      <w:r>
        <w:rPr>
          <w:rFonts w:hint="eastAsia" w:ascii="宋体" w:hAnsi="宋体" w:eastAsia="宋体" w:cs="宋体"/>
          <w:b w:val="0"/>
          <w:bCs/>
          <w:color w:val="auto"/>
          <w:szCs w:val="24"/>
        </w:rPr>
        <w:t>Parsa N(1), Amlelshahbaz A(2), Soltani H(3).</w:t>
      </w:r>
    </w:p>
    <w:p w14:paraId="46328FA2">
      <w:pPr>
        <w:rPr>
          <w:rFonts w:hint="eastAsia" w:ascii="宋体" w:hAnsi="宋体" w:eastAsia="宋体" w:cs="宋体"/>
          <w:b w:val="0"/>
          <w:bCs/>
          <w:color w:val="auto"/>
          <w:szCs w:val="24"/>
        </w:rPr>
      </w:pPr>
    </w:p>
    <w:p w14:paraId="7E1B6BE2">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CC1E71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(1)Student Research Committee, Shahid Sadoughi University of Medical Sciences </w:t>
      </w:r>
    </w:p>
    <w:p w14:paraId="2DE122B3">
      <w:pPr>
        <w:rPr>
          <w:rFonts w:hint="eastAsia" w:ascii="宋体" w:hAnsi="宋体" w:eastAsia="宋体" w:cs="宋体"/>
          <w:b w:val="0"/>
          <w:bCs/>
          <w:color w:val="auto"/>
          <w:szCs w:val="24"/>
        </w:rPr>
      </w:pPr>
      <w:r>
        <w:rPr>
          <w:rFonts w:hint="eastAsia" w:ascii="宋体" w:hAnsi="宋体" w:eastAsia="宋体" w:cs="宋体"/>
          <w:b w:val="0"/>
          <w:bCs/>
          <w:color w:val="auto"/>
          <w:szCs w:val="24"/>
        </w:rPr>
        <w:t>and Health Services, Yazd, Iran.</w:t>
      </w:r>
    </w:p>
    <w:p w14:paraId="0216D7D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Radiology, Shahid Sadoughi University of Medical Sciences and </w:t>
      </w:r>
    </w:p>
    <w:p w14:paraId="591184B2">
      <w:pPr>
        <w:rPr>
          <w:rFonts w:hint="eastAsia" w:ascii="宋体" w:hAnsi="宋体" w:eastAsia="宋体" w:cs="宋体"/>
          <w:b w:val="0"/>
          <w:bCs/>
          <w:color w:val="auto"/>
          <w:szCs w:val="24"/>
        </w:rPr>
      </w:pPr>
      <w:r>
        <w:rPr>
          <w:rFonts w:hint="eastAsia" w:ascii="宋体" w:hAnsi="宋体" w:eastAsia="宋体" w:cs="宋体"/>
          <w:b w:val="0"/>
          <w:bCs/>
          <w:color w:val="auto"/>
          <w:szCs w:val="24"/>
        </w:rPr>
        <w:t>Health Services, Yazd, Iran.</w:t>
      </w:r>
    </w:p>
    <w:p w14:paraId="79240B6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(3)Department of Internal Medicine, Rheumatology, Shahid Sadoughi University of </w:t>
      </w:r>
    </w:p>
    <w:p w14:paraId="72912E38">
      <w:pPr>
        <w:rPr>
          <w:rFonts w:hint="eastAsia" w:ascii="宋体" w:hAnsi="宋体" w:eastAsia="宋体" w:cs="宋体"/>
          <w:b w:val="0"/>
          <w:bCs/>
          <w:color w:val="auto"/>
          <w:szCs w:val="24"/>
        </w:rPr>
      </w:pPr>
      <w:r>
        <w:rPr>
          <w:rFonts w:hint="eastAsia" w:ascii="宋体" w:hAnsi="宋体" w:eastAsia="宋体" w:cs="宋体"/>
          <w:b w:val="0"/>
          <w:bCs/>
          <w:color w:val="auto"/>
          <w:szCs w:val="24"/>
        </w:rPr>
        <w:t>Medical Sciences and Health Services, Yazd, Iran.</w:t>
      </w:r>
    </w:p>
    <w:p w14:paraId="44995B00">
      <w:pPr>
        <w:rPr>
          <w:rFonts w:hint="eastAsia" w:ascii="宋体" w:hAnsi="宋体" w:eastAsia="宋体" w:cs="宋体"/>
          <w:b w:val="0"/>
          <w:bCs/>
          <w:color w:val="auto"/>
          <w:szCs w:val="24"/>
        </w:rPr>
      </w:pPr>
    </w:p>
    <w:p w14:paraId="0CBEC435">
      <w:pPr>
        <w:rPr>
          <w:rFonts w:hint="eastAsia" w:ascii="宋体" w:hAnsi="宋体" w:eastAsia="宋体" w:cs="宋体"/>
          <w:b w:val="0"/>
          <w:bCs/>
          <w:color w:val="auto"/>
          <w:szCs w:val="24"/>
        </w:rPr>
      </w:pPr>
      <w:r>
        <w:rPr>
          <w:rFonts w:hint="eastAsia" w:ascii="宋体" w:hAnsi="宋体" w:eastAsia="宋体" w:cs="宋体"/>
          <w:b/>
          <w:bCs w:val="0"/>
          <w:color w:val="auto"/>
          <w:szCs w:val="24"/>
        </w:rPr>
        <w:t>BACKGROUND:</w:t>
      </w:r>
      <w:r>
        <w:rPr>
          <w:rFonts w:hint="eastAsia" w:ascii="宋体" w:hAnsi="宋体" w:eastAsia="宋体" w:cs="宋体"/>
          <w:b w:val="0"/>
          <w:bCs/>
          <w:color w:val="auto"/>
          <w:szCs w:val="24"/>
        </w:rPr>
        <w:t xml:space="preserve"> Tuberculosis (TB), one of the leading infectious causes of mortality </w:t>
      </w:r>
    </w:p>
    <w:p w14:paraId="75021B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worldwide, may disseminate hematogenously and result in extrapulmonary </w:t>
      </w:r>
    </w:p>
    <w:p w14:paraId="483060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manifestations. Spinal tuberculosis (ST) is an uncommon but serious form of </w:t>
      </w:r>
    </w:p>
    <w:p w14:paraId="397BFA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extrapulmonary TB. In addition, TB may predispose patient to opportunistic </w:t>
      </w:r>
    </w:p>
    <w:p w14:paraId="3AE755D6">
      <w:pPr>
        <w:rPr>
          <w:rFonts w:hint="eastAsia" w:ascii="宋体" w:hAnsi="宋体" w:eastAsia="宋体" w:cs="宋体"/>
          <w:b w:val="0"/>
          <w:bCs/>
          <w:color w:val="auto"/>
          <w:szCs w:val="24"/>
        </w:rPr>
      </w:pPr>
      <w:r>
        <w:rPr>
          <w:rFonts w:hint="eastAsia" w:ascii="宋体" w:hAnsi="宋体" w:eastAsia="宋体" w:cs="宋体"/>
          <w:b w:val="0"/>
          <w:bCs/>
          <w:color w:val="auto"/>
          <w:szCs w:val="24"/>
        </w:rPr>
        <w:t>infections, including Aspergillus species.</w:t>
      </w:r>
    </w:p>
    <w:p w14:paraId="3E4235C9">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CASE PRESENTATION: </w:t>
      </w:r>
      <w:r>
        <w:rPr>
          <w:rFonts w:hint="eastAsia" w:ascii="宋体" w:hAnsi="宋体" w:eastAsia="宋体" w:cs="宋体"/>
          <w:b w:val="0"/>
          <w:bCs/>
          <w:color w:val="auto"/>
          <w:szCs w:val="24"/>
        </w:rPr>
        <w:t xml:space="preserve">A 62-year-old man presented with chronic back pain and sudden </w:t>
      </w:r>
    </w:p>
    <w:p w14:paraId="63E073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paraplegia. High-resolution computed tomography (HRCT) of the chest demonstrated </w:t>
      </w:r>
    </w:p>
    <w:p w14:paraId="253A784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findings suggestive of miliary TB, which was supported by a strongly positive </w:t>
      </w:r>
    </w:p>
    <w:p w14:paraId="13B5C99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purified protein derivative (PPD) test and a positive sputum smears for </w:t>
      </w:r>
    </w:p>
    <w:p w14:paraId="29E23D9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acid-fast bacilli. Anti-TB therapy was subsequently initiated. Aspiration of an </w:t>
      </w:r>
    </w:p>
    <w:p w14:paraId="3068C5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epidural abscess revealed a positive polymerase chain reaction (PCR) result for </w:t>
      </w:r>
    </w:p>
    <w:p w14:paraId="2777EA0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while histopathological examination demonstrated </w:t>
      </w:r>
    </w:p>
    <w:p w14:paraId="02B99C3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septate hyaline hyphae suggestive of Aspergillus species. During </w:t>
      </w:r>
    </w:p>
    <w:p w14:paraId="33B25F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hospitalization, the patient developed recurrent fever, agitation, and </w:t>
      </w:r>
    </w:p>
    <w:p w14:paraId="02928D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progression of pulmonary lesions. In conjunction with a positive serum </w:t>
      </w:r>
    </w:p>
    <w:p w14:paraId="72F0E0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galactomannan assay, these findings raised suspicion for concomitant </w:t>
      </w:r>
    </w:p>
    <w:p w14:paraId="7BFD9BD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aspergillosis infection, prompting initiation antifungal therapy with </w:t>
      </w:r>
    </w:p>
    <w:p w14:paraId="7CDF8BE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amphotericin B and voriconazole. A major clinical challenge was severe </w:t>
      </w:r>
    </w:p>
    <w:p w14:paraId="1D4DAD8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hypercalcemia, which progressed despite intravenous hydration and calcitonin </w:t>
      </w:r>
    </w:p>
    <w:p w14:paraId="0C35D3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therapy, reaching a peak serum calcium level of 18.01 mg/dl. Subsequent </w:t>
      </w:r>
    </w:p>
    <w:p w14:paraId="157EAEA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with pamidronate resulted in gradual normalization of serum calcium </w:t>
      </w:r>
    </w:p>
    <w:p w14:paraId="28AE28BD">
      <w:pPr>
        <w:rPr>
          <w:rFonts w:hint="eastAsia" w:ascii="宋体" w:hAnsi="宋体" w:eastAsia="宋体" w:cs="宋体"/>
          <w:b w:val="0"/>
          <w:bCs/>
          <w:color w:val="auto"/>
          <w:szCs w:val="24"/>
        </w:rPr>
      </w:pPr>
      <w:r>
        <w:rPr>
          <w:rFonts w:hint="eastAsia" w:ascii="宋体" w:hAnsi="宋体" w:eastAsia="宋体" w:cs="宋体"/>
          <w:b w:val="0"/>
          <w:bCs/>
          <w:color w:val="auto"/>
          <w:szCs w:val="24"/>
        </w:rPr>
        <w:t>levels.</w:t>
      </w:r>
    </w:p>
    <w:p w14:paraId="4AD99B9B">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This case highlights the diagnostic and therapeutic challenges </w:t>
      </w:r>
    </w:p>
    <w:p w14:paraId="7EDB45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associated with spinal tuberculosis, probable Aspergillus co-infection, and </w:t>
      </w:r>
    </w:p>
    <w:p w14:paraId="7B7B56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severe treatment-resistant hypercalcemia. Clinicians should consider </w:t>
      </w:r>
    </w:p>
    <w:p w14:paraId="0A1524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opportunistic fungal infections and metabolic complications when evaluating </w:t>
      </w:r>
    </w:p>
    <w:p w14:paraId="7CC4A2F0">
      <w:pPr>
        <w:rPr>
          <w:rFonts w:hint="eastAsia" w:ascii="宋体" w:hAnsi="宋体" w:eastAsia="宋体" w:cs="宋体"/>
          <w:b w:val="0"/>
          <w:bCs/>
          <w:color w:val="auto"/>
          <w:szCs w:val="24"/>
        </w:rPr>
      </w:pPr>
      <w:r>
        <w:rPr>
          <w:rFonts w:hint="eastAsia" w:ascii="宋体" w:hAnsi="宋体" w:eastAsia="宋体" w:cs="宋体"/>
          <w:b w:val="0"/>
          <w:bCs/>
          <w:color w:val="auto"/>
          <w:szCs w:val="24"/>
        </w:rPr>
        <w:t>patients with disseminated TB.</w:t>
      </w:r>
    </w:p>
    <w:p w14:paraId="00818476">
      <w:pPr>
        <w:rPr>
          <w:rFonts w:hint="eastAsia" w:ascii="宋体" w:hAnsi="宋体" w:eastAsia="宋体" w:cs="宋体"/>
          <w:b w:val="0"/>
          <w:bCs/>
          <w:color w:val="auto"/>
          <w:szCs w:val="24"/>
        </w:rPr>
      </w:pPr>
    </w:p>
    <w:p w14:paraId="718864F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 2026 The Author(s). Immunity, Inflammation and Disease published by John Wiley </w:t>
      </w:r>
    </w:p>
    <w:p w14:paraId="4364A393">
      <w:pPr>
        <w:rPr>
          <w:rFonts w:hint="eastAsia" w:ascii="宋体" w:hAnsi="宋体" w:eastAsia="宋体" w:cs="宋体"/>
          <w:b w:val="0"/>
          <w:bCs/>
          <w:color w:val="auto"/>
          <w:szCs w:val="24"/>
        </w:rPr>
      </w:pPr>
      <w:r>
        <w:rPr>
          <w:rFonts w:hint="eastAsia" w:ascii="宋体" w:hAnsi="宋体" w:eastAsia="宋体" w:cs="宋体"/>
          <w:b w:val="0"/>
          <w:bCs/>
          <w:color w:val="auto"/>
          <w:szCs w:val="24"/>
        </w:rPr>
        <w:t>&amp; Sons Ltd.</w:t>
      </w:r>
    </w:p>
    <w:p w14:paraId="4ACDE380">
      <w:pPr>
        <w:rPr>
          <w:rFonts w:hint="eastAsia" w:ascii="宋体" w:hAnsi="宋体" w:eastAsia="宋体" w:cs="宋体"/>
          <w:b w:val="0"/>
          <w:bCs/>
          <w:color w:val="auto"/>
          <w:szCs w:val="24"/>
        </w:rPr>
      </w:pPr>
    </w:p>
    <w:p w14:paraId="30467488">
      <w:pPr>
        <w:rPr>
          <w:rFonts w:hint="eastAsia" w:ascii="宋体" w:hAnsi="宋体" w:eastAsia="宋体" w:cs="宋体"/>
          <w:b w:val="0"/>
          <w:bCs/>
          <w:color w:val="auto"/>
          <w:szCs w:val="24"/>
        </w:rPr>
      </w:pPr>
      <w:r>
        <w:rPr>
          <w:rFonts w:hint="eastAsia" w:ascii="宋体" w:hAnsi="宋体" w:eastAsia="宋体" w:cs="宋体"/>
          <w:b w:val="0"/>
          <w:bCs/>
          <w:color w:val="auto"/>
          <w:szCs w:val="24"/>
        </w:rPr>
        <w:t>DOI: 10.1002/iid3.70508</w:t>
      </w:r>
    </w:p>
    <w:p w14:paraId="79159ED3">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PMC13555011</w:t>
      </w:r>
    </w:p>
    <w:p w14:paraId="26ACA003">
      <w:pPr>
        <w:rPr>
          <w:rFonts w:hint="eastAsia" w:ascii="宋体" w:hAnsi="宋体" w:eastAsia="宋体" w:cs="宋体"/>
          <w:b w:val="0"/>
          <w:bCs/>
          <w:color w:val="auto"/>
          <w:szCs w:val="24"/>
        </w:rPr>
      </w:pPr>
      <w:r>
        <w:rPr>
          <w:rFonts w:hint="eastAsia" w:ascii="宋体" w:hAnsi="宋体" w:eastAsia="宋体" w:cs="宋体"/>
          <w:b w:val="0"/>
          <w:bCs/>
          <w:color w:val="auto"/>
          <w:szCs w:val="24"/>
        </w:rPr>
        <w:t>PMID: 42712159 [Indexed for MEDLINE]</w:t>
      </w:r>
    </w:p>
    <w:p w14:paraId="58C0E216">
      <w:pPr>
        <w:rPr>
          <w:rFonts w:hint="eastAsia" w:ascii="宋体" w:hAnsi="宋体" w:eastAsia="宋体" w:cs="宋体"/>
          <w:b w:val="0"/>
          <w:bCs/>
          <w:color w:val="auto"/>
          <w:szCs w:val="24"/>
        </w:rPr>
      </w:pPr>
    </w:p>
    <w:p w14:paraId="103DF930">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77</w:t>
      </w:r>
      <w:r>
        <w:rPr>
          <w:rFonts w:hint="eastAsia" w:ascii="宋体" w:hAnsi="宋体" w:eastAsia="宋体" w:cs="宋体"/>
          <w:b/>
          <w:bCs w:val="0"/>
          <w:color w:val="FF0000"/>
          <w:szCs w:val="24"/>
        </w:rPr>
        <w:t xml:space="preserve">. Clin Nucl Med. 2026 Oct 1;51(10):e944-e946. doi: 10.1097/RLU.0000000000006583. </w:t>
      </w:r>
    </w:p>
    <w:p w14:paraId="1B935B9B">
      <w:pPr>
        <w:rPr>
          <w:rFonts w:hint="eastAsia" w:ascii="宋体" w:hAnsi="宋体" w:eastAsia="宋体" w:cs="宋体"/>
          <w:b/>
          <w:bCs w:val="0"/>
          <w:color w:val="FF0000"/>
          <w:szCs w:val="24"/>
        </w:rPr>
      </w:pPr>
      <w:r>
        <w:rPr>
          <w:rFonts w:hint="eastAsia" w:ascii="宋体" w:hAnsi="宋体" w:eastAsia="宋体" w:cs="宋体"/>
          <w:b/>
          <w:bCs w:val="0"/>
          <w:color w:val="FF0000"/>
          <w:szCs w:val="24"/>
        </w:rPr>
        <w:t>Epub 2026 Jul 24.</w:t>
      </w:r>
    </w:p>
    <w:p w14:paraId="50BAFB2C">
      <w:pPr>
        <w:rPr>
          <w:rFonts w:hint="eastAsia" w:ascii="宋体" w:hAnsi="宋体" w:eastAsia="宋体" w:cs="宋体"/>
          <w:b w:val="0"/>
          <w:bCs/>
          <w:color w:val="auto"/>
          <w:szCs w:val="24"/>
        </w:rPr>
      </w:pPr>
    </w:p>
    <w:p w14:paraId="7BCF8A3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Mimicking Tumor Progression on Dual-tracer 68Ga-DOTATATE and </w:t>
      </w:r>
    </w:p>
    <w:p w14:paraId="5F544F6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18F-FDG PET/CT in Metastatic Neuroendocrine Tumor of Unknown Primary: A </w:t>
      </w:r>
    </w:p>
    <w:p w14:paraId="298ED45B">
      <w:pPr>
        <w:rPr>
          <w:rFonts w:hint="eastAsia" w:ascii="宋体" w:hAnsi="宋体" w:eastAsia="宋体" w:cs="宋体"/>
          <w:b w:val="0"/>
          <w:bCs/>
          <w:color w:val="auto"/>
          <w:szCs w:val="24"/>
        </w:rPr>
      </w:pPr>
      <w:r>
        <w:rPr>
          <w:rFonts w:hint="eastAsia" w:ascii="宋体" w:hAnsi="宋体" w:eastAsia="宋体" w:cs="宋体"/>
          <w:b w:val="0"/>
          <w:bCs/>
          <w:color w:val="auto"/>
          <w:szCs w:val="24"/>
        </w:rPr>
        <w:t>Potential Imaging Pitfall in Neuroendocrine Tumor Surveillance.</w:t>
      </w:r>
    </w:p>
    <w:p w14:paraId="793EB2C2">
      <w:pPr>
        <w:rPr>
          <w:rFonts w:hint="eastAsia" w:ascii="宋体" w:hAnsi="宋体" w:eastAsia="宋体" w:cs="宋体"/>
          <w:b w:val="0"/>
          <w:bCs/>
          <w:color w:val="auto"/>
          <w:szCs w:val="24"/>
        </w:rPr>
      </w:pPr>
    </w:p>
    <w:p w14:paraId="7976F60D">
      <w:pPr>
        <w:rPr>
          <w:rFonts w:hint="eastAsia" w:ascii="宋体" w:hAnsi="宋体" w:eastAsia="宋体" w:cs="宋体"/>
          <w:b w:val="0"/>
          <w:bCs/>
          <w:color w:val="auto"/>
          <w:szCs w:val="24"/>
        </w:rPr>
      </w:pPr>
      <w:r>
        <w:rPr>
          <w:rFonts w:hint="eastAsia" w:ascii="宋体" w:hAnsi="宋体" w:eastAsia="宋体" w:cs="宋体"/>
          <w:b w:val="0"/>
          <w:bCs/>
          <w:color w:val="auto"/>
          <w:szCs w:val="24"/>
        </w:rPr>
        <w:t>Bagasariya R(1)(2), Sonavane S(1)(2), Basu S(1)(2).</w:t>
      </w:r>
    </w:p>
    <w:p w14:paraId="15CE3AD8">
      <w:pPr>
        <w:rPr>
          <w:rFonts w:hint="eastAsia" w:ascii="宋体" w:hAnsi="宋体" w:eastAsia="宋体" w:cs="宋体"/>
          <w:b w:val="0"/>
          <w:bCs/>
          <w:color w:val="auto"/>
          <w:szCs w:val="24"/>
        </w:rPr>
      </w:pPr>
    </w:p>
    <w:p w14:paraId="6FB7AE80">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2A1EFD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(1)Radiation Medicine Centre, Bhabha Atomic Research Centre, Tata Memorial </w:t>
      </w:r>
    </w:p>
    <w:p w14:paraId="2D68F172">
      <w:pPr>
        <w:rPr>
          <w:rFonts w:hint="eastAsia" w:ascii="宋体" w:hAnsi="宋体" w:eastAsia="宋体" w:cs="宋体"/>
          <w:b w:val="0"/>
          <w:bCs/>
          <w:color w:val="auto"/>
          <w:szCs w:val="24"/>
        </w:rPr>
      </w:pPr>
      <w:r>
        <w:rPr>
          <w:rFonts w:hint="eastAsia" w:ascii="宋体" w:hAnsi="宋体" w:eastAsia="宋体" w:cs="宋体"/>
          <w:b w:val="0"/>
          <w:bCs/>
          <w:color w:val="auto"/>
          <w:szCs w:val="24"/>
        </w:rPr>
        <w:t>Hospital Annexe, Parel.</w:t>
      </w:r>
    </w:p>
    <w:p w14:paraId="5B53B6B3">
      <w:pPr>
        <w:rPr>
          <w:rFonts w:hint="eastAsia" w:ascii="宋体" w:hAnsi="宋体" w:eastAsia="宋体" w:cs="宋体"/>
          <w:b w:val="0"/>
          <w:bCs/>
          <w:color w:val="auto"/>
          <w:szCs w:val="24"/>
        </w:rPr>
      </w:pPr>
      <w:r>
        <w:rPr>
          <w:rFonts w:hint="eastAsia" w:ascii="宋体" w:hAnsi="宋体" w:eastAsia="宋体" w:cs="宋体"/>
          <w:b w:val="0"/>
          <w:bCs/>
          <w:color w:val="auto"/>
          <w:szCs w:val="24"/>
        </w:rPr>
        <w:t>(2)Homi Bhabha National Institute, Mumbai, MH, India.</w:t>
      </w:r>
    </w:p>
    <w:p w14:paraId="448D85F3">
      <w:pPr>
        <w:rPr>
          <w:rFonts w:hint="eastAsia" w:ascii="宋体" w:hAnsi="宋体" w:eastAsia="宋体" w:cs="宋体"/>
          <w:b w:val="0"/>
          <w:bCs/>
          <w:color w:val="auto"/>
          <w:szCs w:val="24"/>
        </w:rPr>
      </w:pPr>
    </w:p>
    <w:p w14:paraId="6B5A937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False-positive findings on molecular imaging can pose significant diagnostic </w:t>
      </w:r>
    </w:p>
    <w:p w14:paraId="681F6C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dilemmas in oncological cases. We report an elderly woman with metastatic </w:t>
      </w:r>
    </w:p>
    <w:p w14:paraId="36EDDEC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neuroendocrine tumor of unknown primary who underwent 5 cycles of </w:t>
      </w:r>
    </w:p>
    <w:p w14:paraId="0A3E9D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[177Lu]Lu-DOTATATE PRRT and achieved a partial response. On follow-up, </w:t>
      </w:r>
    </w:p>
    <w:p w14:paraId="2DEAF02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[68Ga]Ga-DOTATATE and [18F]FDG-PET/CT scans demonstrated a new-onset FDG </w:t>
      </w:r>
    </w:p>
    <w:p w14:paraId="4E01D82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avid-hypermetabolic, low-grade SSTR-expressing cervical lymph node chain </w:t>
      </w:r>
    </w:p>
    <w:p w14:paraId="63E5646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extending into the mediastinum, raising concern for disease progression or a </w:t>
      </w:r>
    </w:p>
    <w:p w14:paraId="41DE03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second malignancy. Histopathology of the lymph nodes revealed granulomatous </w:t>
      </w:r>
    </w:p>
    <w:p w14:paraId="14E972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inflammation consistent with tuberculosis. This case highlights tuberculosis as </w:t>
      </w:r>
    </w:p>
    <w:p w14:paraId="629169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potential cause of false-positive dual-tracer PET positivity and the need for </w:t>
      </w:r>
    </w:p>
    <w:p w14:paraId="42018E8D">
      <w:pPr>
        <w:rPr>
          <w:rFonts w:hint="eastAsia" w:ascii="宋体" w:hAnsi="宋体" w:eastAsia="宋体" w:cs="宋体"/>
          <w:b w:val="0"/>
          <w:bCs/>
          <w:color w:val="auto"/>
          <w:szCs w:val="24"/>
        </w:rPr>
      </w:pPr>
      <w:r>
        <w:rPr>
          <w:rFonts w:hint="eastAsia" w:ascii="宋体" w:hAnsi="宋体" w:eastAsia="宋体" w:cs="宋体"/>
          <w:b w:val="0"/>
          <w:bCs/>
          <w:color w:val="auto"/>
          <w:szCs w:val="24"/>
        </w:rPr>
        <w:t>histologic confirmation before changing the management.</w:t>
      </w:r>
    </w:p>
    <w:p w14:paraId="16471C79">
      <w:pPr>
        <w:rPr>
          <w:rFonts w:hint="eastAsia" w:ascii="宋体" w:hAnsi="宋体" w:eastAsia="宋体" w:cs="宋体"/>
          <w:b w:val="0"/>
          <w:bCs/>
          <w:color w:val="auto"/>
          <w:szCs w:val="24"/>
        </w:rPr>
      </w:pPr>
    </w:p>
    <w:p w14:paraId="742B34E6">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Wolters Kluwer Health, LLC. All rights reserved.</w:t>
      </w:r>
    </w:p>
    <w:p w14:paraId="4242E32C">
      <w:pPr>
        <w:rPr>
          <w:rFonts w:hint="eastAsia" w:ascii="宋体" w:hAnsi="宋体" w:eastAsia="宋体" w:cs="宋体"/>
          <w:b w:val="0"/>
          <w:bCs/>
          <w:color w:val="auto"/>
          <w:szCs w:val="24"/>
        </w:rPr>
      </w:pPr>
    </w:p>
    <w:p w14:paraId="2399F5DA">
      <w:pPr>
        <w:rPr>
          <w:rFonts w:hint="eastAsia" w:ascii="宋体" w:hAnsi="宋体" w:eastAsia="宋体" w:cs="宋体"/>
          <w:b w:val="0"/>
          <w:bCs/>
          <w:color w:val="auto"/>
          <w:szCs w:val="24"/>
        </w:rPr>
      </w:pPr>
      <w:r>
        <w:rPr>
          <w:rFonts w:hint="eastAsia" w:ascii="宋体" w:hAnsi="宋体" w:eastAsia="宋体" w:cs="宋体"/>
          <w:b w:val="0"/>
          <w:bCs/>
          <w:color w:val="auto"/>
          <w:szCs w:val="24"/>
        </w:rPr>
        <w:t>DOI: 10.1097/RLU.0000000000006583</w:t>
      </w:r>
    </w:p>
    <w:p w14:paraId="569CCA06">
      <w:pPr>
        <w:rPr>
          <w:rFonts w:hint="eastAsia" w:ascii="宋体" w:hAnsi="宋体" w:eastAsia="宋体" w:cs="宋体"/>
          <w:b w:val="0"/>
          <w:bCs/>
          <w:color w:val="auto"/>
          <w:szCs w:val="24"/>
        </w:rPr>
      </w:pPr>
      <w:r>
        <w:rPr>
          <w:rFonts w:hint="eastAsia" w:ascii="宋体" w:hAnsi="宋体" w:eastAsia="宋体" w:cs="宋体"/>
          <w:b w:val="0"/>
          <w:bCs/>
          <w:color w:val="auto"/>
          <w:szCs w:val="24"/>
        </w:rPr>
        <w:t>PMID: 42710084 [Indexed for MEDLINE]</w:t>
      </w:r>
    </w:p>
    <w:p w14:paraId="754392F6">
      <w:pPr>
        <w:rPr>
          <w:rFonts w:hint="eastAsia" w:ascii="宋体" w:hAnsi="宋体" w:eastAsia="宋体" w:cs="宋体"/>
          <w:b w:val="0"/>
          <w:bCs/>
          <w:color w:val="auto"/>
          <w:szCs w:val="24"/>
        </w:rPr>
      </w:pPr>
    </w:p>
    <w:p w14:paraId="75B64BEA">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78</w:t>
      </w:r>
      <w:r>
        <w:rPr>
          <w:rFonts w:hint="eastAsia" w:ascii="宋体" w:hAnsi="宋体" w:eastAsia="宋体" w:cs="宋体"/>
          <w:b/>
          <w:bCs w:val="0"/>
          <w:color w:val="FF0000"/>
          <w:szCs w:val="24"/>
        </w:rPr>
        <w:t xml:space="preserve">. Curr Comput Aided Drug Des. 2026 Sep 1. doi: </w:t>
      </w:r>
    </w:p>
    <w:p w14:paraId="3891DBE6">
      <w:pPr>
        <w:rPr>
          <w:rFonts w:hint="eastAsia" w:ascii="宋体" w:hAnsi="宋体" w:eastAsia="宋体" w:cs="宋体"/>
          <w:b/>
          <w:bCs w:val="0"/>
          <w:color w:val="FF0000"/>
          <w:szCs w:val="24"/>
        </w:rPr>
      </w:pPr>
      <w:r>
        <w:rPr>
          <w:rFonts w:hint="eastAsia" w:ascii="宋体" w:hAnsi="宋体" w:eastAsia="宋体" w:cs="宋体"/>
          <w:b/>
          <w:bCs w:val="0"/>
          <w:color w:val="FF0000"/>
          <w:szCs w:val="24"/>
        </w:rPr>
        <w:t>10.2174/0115734099478541260828062328. Online ahead of print.</w:t>
      </w:r>
    </w:p>
    <w:p w14:paraId="597860B8">
      <w:pPr>
        <w:rPr>
          <w:rFonts w:hint="eastAsia" w:ascii="宋体" w:hAnsi="宋体" w:eastAsia="宋体" w:cs="宋体"/>
          <w:b w:val="0"/>
          <w:bCs/>
          <w:color w:val="auto"/>
          <w:szCs w:val="24"/>
        </w:rPr>
      </w:pPr>
    </w:p>
    <w:p w14:paraId="71F6C4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Computational Discovery of Phytochemicals Targeting InhA of Mycobacterium </w:t>
      </w:r>
    </w:p>
    <w:p w14:paraId="3BF509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Insights from Molecular Docking, MMGBSA, ADME Profiling, and </w:t>
      </w:r>
    </w:p>
    <w:p w14:paraId="7570BC33">
      <w:pPr>
        <w:rPr>
          <w:rFonts w:hint="eastAsia" w:ascii="宋体" w:hAnsi="宋体" w:eastAsia="宋体" w:cs="宋体"/>
          <w:b w:val="0"/>
          <w:bCs/>
          <w:color w:val="auto"/>
          <w:szCs w:val="24"/>
        </w:rPr>
      </w:pPr>
      <w:r>
        <w:rPr>
          <w:rFonts w:hint="eastAsia" w:ascii="宋体" w:hAnsi="宋体" w:eastAsia="宋体" w:cs="宋体"/>
          <w:b w:val="0"/>
          <w:bCs/>
          <w:color w:val="auto"/>
          <w:szCs w:val="24"/>
        </w:rPr>
        <w:t>Molecular Dynamics Simulations.</w:t>
      </w:r>
    </w:p>
    <w:p w14:paraId="1A2A7096">
      <w:pPr>
        <w:rPr>
          <w:rFonts w:hint="eastAsia" w:ascii="宋体" w:hAnsi="宋体" w:eastAsia="宋体" w:cs="宋体"/>
          <w:b w:val="0"/>
          <w:bCs/>
          <w:color w:val="auto"/>
          <w:szCs w:val="24"/>
        </w:rPr>
      </w:pPr>
    </w:p>
    <w:p w14:paraId="17E5F38B">
      <w:pPr>
        <w:rPr>
          <w:rFonts w:hint="eastAsia" w:ascii="宋体" w:hAnsi="宋体" w:eastAsia="宋体" w:cs="宋体"/>
          <w:b w:val="0"/>
          <w:bCs/>
          <w:color w:val="auto"/>
          <w:szCs w:val="24"/>
        </w:rPr>
      </w:pPr>
      <w:r>
        <w:rPr>
          <w:rFonts w:hint="eastAsia" w:ascii="宋体" w:hAnsi="宋体" w:eastAsia="宋体" w:cs="宋体"/>
          <w:b w:val="0"/>
          <w:bCs/>
          <w:color w:val="auto"/>
          <w:szCs w:val="24"/>
        </w:rPr>
        <w:t>Kumar D(1), Bhoomika(1), Khichi A(1), Jakhar R(1), Dangi M(1).</w:t>
      </w:r>
    </w:p>
    <w:p w14:paraId="64A11F45">
      <w:pPr>
        <w:rPr>
          <w:rFonts w:hint="eastAsia" w:ascii="宋体" w:hAnsi="宋体" w:eastAsia="宋体" w:cs="宋体"/>
          <w:b w:val="0"/>
          <w:bCs/>
          <w:color w:val="auto"/>
          <w:szCs w:val="24"/>
        </w:rPr>
      </w:pPr>
    </w:p>
    <w:p w14:paraId="20D9D92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6070A73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(1)Centre for Bioinformatics, Maharshi Dayanand University, Rohtak, 124001, </w:t>
      </w:r>
    </w:p>
    <w:p w14:paraId="69A19936">
      <w:pPr>
        <w:rPr>
          <w:rFonts w:hint="eastAsia" w:ascii="宋体" w:hAnsi="宋体" w:eastAsia="宋体" w:cs="宋体"/>
          <w:b w:val="0"/>
          <w:bCs/>
          <w:color w:val="auto"/>
          <w:szCs w:val="24"/>
        </w:rPr>
      </w:pPr>
      <w:r>
        <w:rPr>
          <w:rFonts w:hint="eastAsia" w:ascii="宋体" w:hAnsi="宋体" w:eastAsia="宋体" w:cs="宋体"/>
          <w:b w:val="0"/>
          <w:bCs/>
          <w:color w:val="auto"/>
          <w:szCs w:val="24"/>
        </w:rPr>
        <w:t>India.</w:t>
      </w:r>
    </w:p>
    <w:p w14:paraId="43318A6D">
      <w:pPr>
        <w:rPr>
          <w:rFonts w:hint="eastAsia" w:ascii="宋体" w:hAnsi="宋体" w:eastAsia="宋体" w:cs="宋体"/>
          <w:b w:val="0"/>
          <w:bCs/>
          <w:color w:val="auto"/>
          <w:szCs w:val="24"/>
        </w:rPr>
      </w:pPr>
    </w:p>
    <w:p w14:paraId="1E46C3B5">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 T</w:t>
      </w:r>
      <w:r>
        <w:rPr>
          <w:rFonts w:hint="eastAsia" w:ascii="宋体" w:hAnsi="宋体" w:eastAsia="宋体" w:cs="宋体"/>
          <w:b w:val="0"/>
          <w:bCs/>
          <w:color w:val="auto"/>
          <w:szCs w:val="24"/>
        </w:rPr>
        <w:t xml:space="preserve">uberculosis (TB) is one of the most serious global health issues, </w:t>
      </w:r>
    </w:p>
    <w:p w14:paraId="3555407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with the increasing number of multidrug-resistant TB cases emphasizing the need </w:t>
      </w:r>
    </w:p>
    <w:p w14:paraId="29E1B33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new therapeutic approaches. Phytochemicals, with their diverse structures </w:t>
      </w:r>
    </w:p>
    <w:p w14:paraId="13E2688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favorable safety profiles, are a largely unexplored area for anti-TB drug </w:t>
      </w:r>
    </w:p>
    <w:p w14:paraId="52EB9C8B">
      <w:pPr>
        <w:rPr>
          <w:rFonts w:hint="eastAsia" w:ascii="宋体" w:hAnsi="宋体" w:eastAsia="宋体" w:cs="宋体"/>
          <w:b w:val="0"/>
          <w:bCs/>
          <w:color w:val="auto"/>
          <w:szCs w:val="24"/>
        </w:rPr>
      </w:pPr>
      <w:r>
        <w:rPr>
          <w:rFonts w:hint="eastAsia" w:ascii="宋体" w:hAnsi="宋体" w:eastAsia="宋体" w:cs="宋体"/>
          <w:b w:val="0"/>
          <w:bCs/>
          <w:color w:val="auto"/>
          <w:szCs w:val="24"/>
        </w:rPr>
        <w:t>development.</w:t>
      </w:r>
    </w:p>
    <w:p w14:paraId="15173975">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An ethnobotanical study and literature analysis identified 310 </w:t>
      </w:r>
    </w:p>
    <w:p w14:paraId="40F315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medicinal plants traditionally used to treat respiratory infections, which </w:t>
      </w:r>
    </w:p>
    <w:p w14:paraId="147A997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produced 4,087 phytochemicals. Their structures were obtained from PubChem or </w:t>
      </w:r>
    </w:p>
    <w:p w14:paraId="24C377E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drawn using ChemDraw, and pharmacokinetic properties were analyzed using </w:t>
      </w:r>
    </w:p>
    <w:p w14:paraId="4EF1EB3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QikProp. Enoyl-acyl carrier protein reductase (InhA, PDB ID: 4TRO), an important </w:t>
      </w:r>
    </w:p>
    <w:p w14:paraId="0D676A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enzyme involved in mycolic acid biosynthesis, was selected as the target </w:t>
      </w:r>
    </w:p>
    <w:p w14:paraId="16BC657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protein. Molecular docking was performed using Glide, followed by MMGBSA </w:t>
      </w:r>
    </w:p>
    <w:p w14:paraId="451D688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calculations, and the best hits were validated by 300 ns molecular dynamics </w:t>
      </w:r>
    </w:p>
    <w:p w14:paraId="53F270B7">
      <w:pPr>
        <w:rPr>
          <w:rFonts w:hint="eastAsia" w:ascii="宋体" w:hAnsi="宋体" w:eastAsia="宋体" w:cs="宋体"/>
          <w:b w:val="0"/>
          <w:bCs/>
          <w:color w:val="auto"/>
          <w:szCs w:val="24"/>
        </w:rPr>
      </w:pPr>
      <w:r>
        <w:rPr>
          <w:rFonts w:hint="eastAsia" w:ascii="宋体" w:hAnsi="宋体" w:eastAsia="宋体" w:cs="宋体"/>
          <w:b w:val="0"/>
          <w:bCs/>
          <w:color w:val="auto"/>
          <w:szCs w:val="24"/>
        </w:rPr>
        <w:t>simulations using the GROMACS pipeline.</w:t>
      </w:r>
    </w:p>
    <w:p w14:paraId="5EB3913C">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Binding affinities showed that four phytochemicals, namely Patuletin, </w:t>
      </w:r>
    </w:p>
    <w:p w14:paraId="279394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skimmin, flavonol- 3-O-D-glycoside, and salicin, had significantly higher </w:t>
      </w:r>
    </w:p>
    <w:p w14:paraId="322D689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binding affinity scores (-10.06 to -8.82 kcal/mol) than first-line anti-TB drugs </w:t>
      </w:r>
    </w:p>
    <w:p w14:paraId="0AD08E8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isoniazid (-6.35 kcal/mol) and pyrazinamide (-4.22 kcal/mol). Patuletin and </w:t>
      </w:r>
    </w:p>
    <w:p w14:paraId="674E26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skimmin had MM-GBSA binding affinity scores of -74.89 and -71.76 kcal/mol, </w:t>
      </w:r>
    </w:p>
    <w:p w14:paraId="1255B70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respectively. MD simulations of the top 3 compounds and control showed that the </w:t>
      </w:r>
    </w:p>
    <w:p w14:paraId="471C25C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protein-ligand complexes were stable, as indicated by the RMSD, RMSF, Radius of </w:t>
      </w:r>
    </w:p>
    <w:p w14:paraId="189FC7DD">
      <w:pPr>
        <w:rPr>
          <w:rFonts w:hint="eastAsia" w:ascii="宋体" w:hAnsi="宋体" w:eastAsia="宋体" w:cs="宋体"/>
          <w:b w:val="0"/>
          <w:bCs/>
          <w:color w:val="auto"/>
          <w:szCs w:val="24"/>
        </w:rPr>
      </w:pPr>
      <w:r>
        <w:rPr>
          <w:rFonts w:hint="eastAsia" w:ascii="宋体" w:hAnsi="宋体" w:eastAsia="宋体" w:cs="宋体"/>
          <w:b w:val="0"/>
          <w:bCs/>
          <w:color w:val="auto"/>
          <w:szCs w:val="24"/>
        </w:rPr>
        <w:t>gyration, SASA, and HBONDS.</w:t>
      </w:r>
    </w:p>
    <w:p w14:paraId="544A3ADA">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DISCUSSION: </w:t>
      </w:r>
      <w:r>
        <w:rPr>
          <w:rFonts w:hint="eastAsia" w:ascii="宋体" w:hAnsi="宋体" w:eastAsia="宋体" w:cs="宋体"/>
          <w:b w:val="0"/>
          <w:bCs/>
          <w:color w:val="auto"/>
          <w:szCs w:val="24"/>
        </w:rPr>
        <w:t xml:space="preserve">Patuletin and Skimmin demonstrated strong binding affinity and </w:t>
      </w:r>
    </w:p>
    <w:p w14:paraId="0BAA0D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structural stability against the InhA enzyme (PDB: 4TRO), indicating their </w:t>
      </w:r>
    </w:p>
    <w:p w14:paraId="09F5EA1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potential as promising lead compounds for anti-tuberculosis effects. Derived </w:t>
      </w:r>
    </w:p>
    <w:p w14:paraId="0291FC6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from ethnomedicinal plants, these phytochemicals not only target key </w:t>
      </w:r>
    </w:p>
    <w:p w14:paraId="1A26BF8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mycobacterial pathways but may also offer hepatoprotective and immunomodulatory </w:t>
      </w:r>
    </w:p>
    <w:p w14:paraId="08EE8BB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benefits. The findings support the exploration of plant-derived compounds as </w:t>
      </w:r>
    </w:p>
    <w:p w14:paraId="3BA2D61C">
      <w:pPr>
        <w:rPr>
          <w:rFonts w:hint="eastAsia" w:ascii="宋体" w:hAnsi="宋体" w:eastAsia="宋体" w:cs="宋体"/>
          <w:b w:val="0"/>
          <w:bCs/>
          <w:color w:val="auto"/>
          <w:szCs w:val="24"/>
        </w:rPr>
      </w:pPr>
      <w:r>
        <w:rPr>
          <w:rFonts w:hint="eastAsia" w:ascii="宋体" w:hAnsi="宋体" w:eastAsia="宋体" w:cs="宋体"/>
          <w:b w:val="0"/>
          <w:bCs/>
          <w:color w:val="auto"/>
          <w:szCs w:val="24"/>
        </w:rPr>
        <w:t>safer and effective alternatives or adjuncts to conventional anti-TB therapies.</w:t>
      </w:r>
    </w:p>
    <w:p w14:paraId="7B8CB01F">
      <w:pPr>
        <w:rPr>
          <w:rFonts w:hint="eastAsia" w:ascii="宋体" w:hAnsi="宋体" w:eastAsia="宋体" w:cs="宋体"/>
          <w:b w:val="0"/>
          <w:bCs/>
          <w:color w:val="auto"/>
          <w:szCs w:val="24"/>
        </w:rPr>
      </w:pPr>
      <w:bookmarkStart w:id="0" w:name="_GoBack"/>
      <w:r>
        <w:rPr>
          <w:rFonts w:hint="eastAsia" w:ascii="宋体" w:hAnsi="宋体" w:eastAsia="宋体" w:cs="宋体"/>
          <w:b/>
          <w:bCs w:val="0"/>
          <w:color w:val="auto"/>
          <w:szCs w:val="24"/>
        </w:rPr>
        <w:t xml:space="preserve">CONCLUSION: </w:t>
      </w:r>
      <w:bookmarkEnd w:id="0"/>
      <w:r>
        <w:rPr>
          <w:rFonts w:hint="eastAsia" w:ascii="宋体" w:hAnsi="宋体" w:eastAsia="宋体" w:cs="宋体"/>
          <w:b w:val="0"/>
          <w:bCs/>
          <w:color w:val="auto"/>
          <w:szCs w:val="24"/>
        </w:rPr>
        <w:t xml:space="preserve">The combination of virtual screening, ADME studies, and MD </w:t>
      </w:r>
    </w:p>
    <w:p w14:paraId="587C4F6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simulations enabled the identification of phytochemicals with promising </w:t>
      </w:r>
    </w:p>
    <w:p w14:paraId="446F03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interactions toward InhA, an established anti-TB target. The findings are based </w:t>
      </w:r>
    </w:p>
    <w:p w14:paraId="097AE5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solely on computational analysis and should be interpreted as preliminary </w:t>
      </w:r>
    </w:p>
    <w:p w14:paraId="5E882BC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evidence of target engagement rather than confirmed inhibitory activity or </w:t>
      </w:r>
    </w:p>
    <w:p w14:paraId="1C92CFA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therapeutic efficacy. These natural products may serve as potential lead </w:t>
      </w:r>
    </w:p>
    <w:p w14:paraId="1B17ED9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compounds for further anti-tubercular drug discovery, warranting subsequent </w:t>
      </w:r>
    </w:p>
    <w:p w14:paraId="31658E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biochemical, cellular, and in vivo validation to establish their inhibitory </w:t>
      </w:r>
    </w:p>
    <w:p w14:paraId="594042C2">
      <w:pPr>
        <w:rPr>
          <w:rFonts w:hint="eastAsia" w:ascii="宋体" w:hAnsi="宋体" w:eastAsia="宋体" w:cs="宋体"/>
          <w:b w:val="0"/>
          <w:bCs/>
          <w:color w:val="auto"/>
          <w:szCs w:val="24"/>
        </w:rPr>
      </w:pPr>
      <w:r>
        <w:rPr>
          <w:rFonts w:hint="eastAsia" w:ascii="宋体" w:hAnsi="宋体" w:eastAsia="宋体" w:cs="宋体"/>
          <w:b w:val="0"/>
          <w:bCs/>
          <w:color w:val="auto"/>
          <w:szCs w:val="24"/>
        </w:rPr>
        <w:t>potential, safety, and pharmacological effectiveness.</w:t>
      </w:r>
    </w:p>
    <w:p w14:paraId="0C25E6DD">
      <w:pPr>
        <w:rPr>
          <w:rFonts w:hint="eastAsia" w:ascii="宋体" w:hAnsi="宋体" w:eastAsia="宋体" w:cs="宋体"/>
          <w:b w:val="0"/>
          <w:bCs/>
          <w:color w:val="auto"/>
          <w:szCs w:val="24"/>
        </w:rPr>
      </w:pPr>
    </w:p>
    <w:p w14:paraId="022B038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Bentham Science Publishers; For any queries, please email at </w:t>
      </w:r>
    </w:p>
    <w:p w14:paraId="6BEFD657">
      <w:pPr>
        <w:rPr>
          <w:rFonts w:hint="eastAsia" w:ascii="宋体" w:hAnsi="宋体" w:eastAsia="宋体" w:cs="宋体"/>
          <w:b w:val="0"/>
          <w:bCs/>
          <w:color w:val="auto"/>
          <w:szCs w:val="24"/>
        </w:rPr>
      </w:pPr>
      <w:r>
        <w:rPr>
          <w:rFonts w:hint="eastAsia" w:ascii="宋体" w:hAnsi="宋体" w:eastAsia="宋体" w:cs="宋体"/>
          <w:b w:val="0"/>
          <w:bCs/>
          <w:color w:val="auto"/>
          <w:szCs w:val="24"/>
        </w:rPr>
        <w:t>epub@benthamscience.net.</w:t>
      </w:r>
    </w:p>
    <w:p w14:paraId="46F9E24F">
      <w:pPr>
        <w:rPr>
          <w:rFonts w:hint="eastAsia" w:ascii="宋体" w:hAnsi="宋体" w:eastAsia="宋体" w:cs="宋体"/>
          <w:b w:val="0"/>
          <w:bCs/>
          <w:color w:val="auto"/>
          <w:szCs w:val="24"/>
        </w:rPr>
      </w:pPr>
    </w:p>
    <w:p w14:paraId="0503435F">
      <w:pPr>
        <w:rPr>
          <w:rFonts w:hint="eastAsia" w:ascii="宋体" w:hAnsi="宋体" w:eastAsia="宋体" w:cs="宋体"/>
          <w:b w:val="0"/>
          <w:bCs/>
          <w:color w:val="auto"/>
          <w:szCs w:val="24"/>
        </w:rPr>
      </w:pPr>
      <w:r>
        <w:rPr>
          <w:rFonts w:hint="eastAsia" w:ascii="宋体" w:hAnsi="宋体" w:eastAsia="宋体" w:cs="宋体"/>
          <w:b w:val="0"/>
          <w:bCs/>
          <w:color w:val="auto"/>
          <w:szCs w:val="24"/>
        </w:rPr>
        <w:t>DOI: 10.2174/0115734099478541260828062328</w:t>
      </w:r>
    </w:p>
    <w:p w14:paraId="6E2F8974">
      <w:pPr>
        <w:rPr>
          <w:rFonts w:hint="eastAsia" w:ascii="宋体" w:hAnsi="宋体" w:eastAsia="宋体" w:cs="宋体"/>
          <w:b w:val="0"/>
          <w:bCs/>
          <w:color w:val="auto"/>
          <w:szCs w:val="24"/>
        </w:rPr>
      </w:pPr>
      <w:r>
        <w:rPr>
          <w:rFonts w:hint="eastAsia" w:ascii="宋体" w:hAnsi="宋体" w:eastAsia="宋体" w:cs="宋体"/>
          <w:b w:val="0"/>
          <w:bCs/>
          <w:color w:val="auto"/>
          <w:szCs w:val="24"/>
        </w:rPr>
        <w:t>PMID: 42708318</w:t>
      </w:r>
    </w:p>
    <w:p w14:paraId="65417FDB">
      <w:pPr>
        <w:rPr>
          <w:rFonts w:hint="eastAsia" w:ascii="宋体" w:hAnsi="宋体" w:eastAsia="宋体" w:cs="宋体"/>
          <w:b w:val="0"/>
          <w:bCs/>
          <w:color w:val="auto"/>
          <w:szCs w:val="24"/>
        </w:rPr>
      </w:pPr>
    </w:p>
    <w:p w14:paraId="4DA1C45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79</w:t>
      </w:r>
      <w:r>
        <w:rPr>
          <w:rFonts w:hint="eastAsia" w:ascii="宋体" w:hAnsi="宋体" w:eastAsia="宋体" w:cs="宋体"/>
          <w:b/>
          <w:bCs w:val="0"/>
          <w:color w:val="FF0000"/>
          <w:szCs w:val="24"/>
        </w:rPr>
        <w:t xml:space="preserve">. Curr Pharm Biotechnol. 2026 Sep 1. doi: 10.2174/0113892010499218260826064037. </w:t>
      </w:r>
    </w:p>
    <w:p w14:paraId="37F71E66">
      <w:pPr>
        <w:rPr>
          <w:rFonts w:hint="eastAsia" w:ascii="宋体" w:hAnsi="宋体" w:eastAsia="宋体" w:cs="宋体"/>
          <w:b/>
          <w:bCs w:val="0"/>
          <w:color w:val="FF0000"/>
          <w:szCs w:val="24"/>
        </w:rPr>
      </w:pPr>
      <w:r>
        <w:rPr>
          <w:rFonts w:hint="eastAsia" w:ascii="宋体" w:hAnsi="宋体" w:eastAsia="宋体" w:cs="宋体"/>
          <w:b/>
          <w:bCs w:val="0"/>
          <w:color w:val="FF0000"/>
          <w:szCs w:val="24"/>
        </w:rPr>
        <w:t>Online ahead of print.</w:t>
      </w:r>
    </w:p>
    <w:p w14:paraId="6F696D49">
      <w:pPr>
        <w:rPr>
          <w:rFonts w:hint="eastAsia" w:ascii="宋体" w:hAnsi="宋体" w:eastAsia="宋体" w:cs="宋体"/>
          <w:b w:val="0"/>
          <w:bCs/>
          <w:color w:val="auto"/>
          <w:szCs w:val="24"/>
        </w:rPr>
      </w:pPr>
    </w:p>
    <w:p w14:paraId="0EC391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Modeling M. tuberculosis Response to Antibiotics: A Comparison of Logarithmic, </w:t>
      </w:r>
    </w:p>
    <w:p w14:paraId="3814AB51">
      <w:pPr>
        <w:rPr>
          <w:rFonts w:hint="eastAsia" w:ascii="宋体" w:hAnsi="宋体" w:eastAsia="宋体" w:cs="宋体"/>
          <w:b w:val="0"/>
          <w:bCs/>
          <w:color w:val="auto"/>
          <w:szCs w:val="24"/>
        </w:rPr>
      </w:pPr>
      <w:r>
        <w:rPr>
          <w:rFonts w:hint="eastAsia" w:ascii="宋体" w:hAnsi="宋体" w:eastAsia="宋体" w:cs="宋体"/>
          <w:b w:val="0"/>
          <w:bCs/>
          <w:color w:val="auto"/>
          <w:szCs w:val="24"/>
        </w:rPr>
        <w:t>Logistic, and Michaelis-Menten Models.</w:t>
      </w:r>
    </w:p>
    <w:p w14:paraId="284C8782">
      <w:pPr>
        <w:rPr>
          <w:rFonts w:hint="eastAsia" w:ascii="宋体" w:hAnsi="宋体" w:eastAsia="宋体" w:cs="宋体"/>
          <w:b w:val="0"/>
          <w:bCs/>
          <w:color w:val="auto"/>
          <w:szCs w:val="24"/>
        </w:rPr>
      </w:pPr>
    </w:p>
    <w:p w14:paraId="01527971">
      <w:pPr>
        <w:rPr>
          <w:rFonts w:hint="eastAsia" w:ascii="宋体" w:hAnsi="宋体" w:eastAsia="宋体" w:cs="宋体"/>
          <w:b w:val="0"/>
          <w:bCs/>
          <w:color w:val="auto"/>
          <w:szCs w:val="24"/>
        </w:rPr>
      </w:pPr>
      <w:r>
        <w:rPr>
          <w:rFonts w:hint="eastAsia" w:ascii="宋体" w:hAnsi="宋体" w:eastAsia="宋体" w:cs="宋体"/>
          <w:b w:val="0"/>
          <w:bCs/>
          <w:color w:val="auto"/>
          <w:szCs w:val="24"/>
        </w:rPr>
        <w:t>AlMatar M(1), Ali MJ(2), Yakici G(3), Balgouthi K(4), Basheir E(5), Wannes W(5).</w:t>
      </w:r>
    </w:p>
    <w:p w14:paraId="16C07341">
      <w:pPr>
        <w:rPr>
          <w:rFonts w:hint="eastAsia" w:ascii="宋体" w:hAnsi="宋体" w:eastAsia="宋体" w:cs="宋体"/>
          <w:b w:val="0"/>
          <w:bCs/>
          <w:color w:val="auto"/>
          <w:szCs w:val="24"/>
        </w:rPr>
      </w:pPr>
    </w:p>
    <w:p w14:paraId="10342FB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772A76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(1)Biology Department, Faculty of Education and Arts, Sohar University, Sohar, </w:t>
      </w:r>
    </w:p>
    <w:p w14:paraId="6A60D761">
      <w:pPr>
        <w:rPr>
          <w:rFonts w:hint="eastAsia" w:ascii="宋体" w:hAnsi="宋体" w:eastAsia="宋体" w:cs="宋体"/>
          <w:b w:val="0"/>
          <w:bCs/>
          <w:color w:val="auto"/>
          <w:szCs w:val="24"/>
        </w:rPr>
      </w:pPr>
      <w:r>
        <w:rPr>
          <w:rFonts w:hint="eastAsia" w:ascii="宋体" w:hAnsi="宋体" w:eastAsia="宋体" w:cs="宋体"/>
          <w:b w:val="0"/>
          <w:bCs/>
          <w:color w:val="auto"/>
          <w:szCs w:val="24"/>
        </w:rPr>
        <w:t>311, Sultanate of Oman.</w:t>
      </w:r>
    </w:p>
    <w:p w14:paraId="67377C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(2)Medical Laboratory Techniques, Polytechnic College Hawija, Northern Technical </w:t>
      </w:r>
    </w:p>
    <w:p w14:paraId="1146BC2C">
      <w:pPr>
        <w:rPr>
          <w:rFonts w:hint="eastAsia" w:ascii="宋体" w:hAnsi="宋体" w:eastAsia="宋体" w:cs="宋体"/>
          <w:b w:val="0"/>
          <w:bCs/>
          <w:color w:val="auto"/>
          <w:szCs w:val="24"/>
        </w:rPr>
      </w:pPr>
      <w:r>
        <w:rPr>
          <w:rFonts w:hint="eastAsia" w:ascii="宋体" w:hAnsi="宋体" w:eastAsia="宋体" w:cs="宋体"/>
          <w:b w:val="0"/>
          <w:bCs/>
          <w:color w:val="auto"/>
          <w:szCs w:val="24"/>
        </w:rPr>
        <w:t>University, Hawija, Mosul, 36007, Iraq.</w:t>
      </w:r>
    </w:p>
    <w:p w14:paraId="57D2CE6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(3)Gaziantep İslam Bilim ve Teknoloji Üniversitesi (GISTU), Faculty of Medicine, </w:t>
      </w:r>
    </w:p>
    <w:p w14:paraId="4BDAD844">
      <w:pPr>
        <w:rPr>
          <w:rFonts w:hint="eastAsia" w:ascii="宋体" w:hAnsi="宋体" w:eastAsia="宋体" w:cs="宋体"/>
          <w:b w:val="0"/>
          <w:bCs/>
          <w:color w:val="auto"/>
          <w:szCs w:val="24"/>
        </w:rPr>
      </w:pPr>
      <w:r>
        <w:rPr>
          <w:rFonts w:hint="eastAsia" w:ascii="宋体" w:hAnsi="宋体" w:eastAsia="宋体" w:cs="宋体"/>
          <w:b w:val="0"/>
          <w:bCs/>
          <w:color w:val="auto"/>
          <w:szCs w:val="24"/>
        </w:rPr>
        <w:t>Department of Medical Microbiology, Gaziantep, Türkiye.</w:t>
      </w:r>
    </w:p>
    <w:p w14:paraId="2E90D46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(4)Department of Biotechnology, Institute of Natural and Applied Sciences, </w:t>
      </w:r>
    </w:p>
    <w:p w14:paraId="4E5FC8C7">
      <w:pPr>
        <w:rPr>
          <w:rFonts w:hint="eastAsia" w:ascii="宋体" w:hAnsi="宋体" w:eastAsia="宋体" w:cs="宋体"/>
          <w:b w:val="0"/>
          <w:bCs/>
          <w:color w:val="auto"/>
          <w:szCs w:val="24"/>
        </w:rPr>
      </w:pPr>
      <w:r>
        <w:rPr>
          <w:rFonts w:hint="eastAsia" w:ascii="宋体" w:hAnsi="宋体" w:eastAsia="宋体" w:cs="宋体"/>
          <w:b w:val="0"/>
          <w:bCs/>
          <w:color w:val="auto"/>
          <w:szCs w:val="24"/>
        </w:rPr>
        <w:t>Çukurova University, 01330, Balcalı, Adana, Türkiye.</w:t>
      </w:r>
    </w:p>
    <w:p w14:paraId="60BBB9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(5)Mathematical Department, Faculty of Education and Arts, Sohar University, </w:t>
      </w:r>
    </w:p>
    <w:p w14:paraId="1BB3B0A7">
      <w:pPr>
        <w:rPr>
          <w:rFonts w:hint="eastAsia" w:ascii="宋体" w:hAnsi="宋体" w:eastAsia="宋体" w:cs="宋体"/>
          <w:b w:val="0"/>
          <w:bCs/>
          <w:color w:val="auto"/>
          <w:szCs w:val="24"/>
        </w:rPr>
      </w:pPr>
      <w:r>
        <w:rPr>
          <w:rFonts w:hint="eastAsia" w:ascii="宋体" w:hAnsi="宋体" w:eastAsia="宋体" w:cs="宋体"/>
          <w:b w:val="0"/>
          <w:bCs/>
          <w:color w:val="auto"/>
          <w:szCs w:val="24"/>
        </w:rPr>
        <w:t>Sohar, 311, Sultanate of Oman.</w:t>
      </w:r>
    </w:p>
    <w:p w14:paraId="6D29B691">
      <w:pPr>
        <w:rPr>
          <w:rFonts w:hint="eastAsia" w:ascii="宋体" w:hAnsi="宋体" w:eastAsia="宋体" w:cs="宋体"/>
          <w:b w:val="0"/>
          <w:bCs/>
          <w:color w:val="auto"/>
          <w:szCs w:val="24"/>
        </w:rPr>
      </w:pPr>
    </w:p>
    <w:p w14:paraId="1FB96444">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BACKGROUND: </w:t>
      </w:r>
      <w:r>
        <w:rPr>
          <w:rFonts w:hint="eastAsia" w:ascii="宋体" w:hAnsi="宋体" w:eastAsia="宋体" w:cs="宋体"/>
          <w:b w:val="0"/>
          <w:bCs/>
          <w:color w:val="auto"/>
          <w:szCs w:val="24"/>
        </w:rPr>
        <w:t xml:space="preserve">Antimicrobial resistance (AMR) poses a serious threat to global </w:t>
      </w:r>
    </w:p>
    <w:p w14:paraId="5308990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public health and requires truthful measurement to assess bacterial </w:t>
      </w:r>
    </w:p>
    <w:p w14:paraId="0E17FD7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susceptibility to antibiotics. Mathematical modeling is a useful tool for </w:t>
      </w:r>
    </w:p>
    <w:p w14:paraId="3FB069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quantifying and predicting antimicrobial susceptibility and its relationship to </w:t>
      </w:r>
    </w:p>
    <w:p w14:paraId="59087D5C">
      <w:pPr>
        <w:rPr>
          <w:rFonts w:hint="eastAsia" w:ascii="宋体" w:hAnsi="宋体" w:eastAsia="宋体" w:cs="宋体"/>
          <w:b w:val="0"/>
          <w:bCs/>
          <w:color w:val="auto"/>
          <w:szCs w:val="24"/>
        </w:rPr>
      </w:pPr>
      <w:r>
        <w:rPr>
          <w:rFonts w:hint="eastAsia" w:ascii="宋体" w:hAnsi="宋体" w:eastAsia="宋体" w:cs="宋体"/>
          <w:b w:val="0"/>
          <w:bCs/>
          <w:color w:val="auto"/>
          <w:szCs w:val="24"/>
        </w:rPr>
        <w:t>other features.</w:t>
      </w:r>
    </w:p>
    <w:p w14:paraId="6D0A2E39">
      <w:pPr>
        <w:rPr>
          <w:rFonts w:hint="eastAsia" w:ascii="宋体" w:hAnsi="宋体" w:eastAsia="宋体" w:cs="宋体"/>
          <w:b w:val="0"/>
          <w:bCs/>
          <w:color w:val="auto"/>
          <w:szCs w:val="24"/>
        </w:rPr>
      </w:pPr>
      <w:r>
        <w:rPr>
          <w:rFonts w:hint="eastAsia" w:ascii="宋体" w:hAnsi="宋体" w:eastAsia="宋体" w:cs="宋体"/>
          <w:b/>
          <w:bCs w:val="0"/>
          <w:color w:val="auto"/>
          <w:szCs w:val="24"/>
        </w:rPr>
        <w:t>METHOD:</w:t>
      </w:r>
      <w:r>
        <w:rPr>
          <w:rFonts w:hint="eastAsia" w:ascii="宋体" w:hAnsi="宋体" w:eastAsia="宋体" w:cs="宋体"/>
          <w:b w:val="0"/>
          <w:bCs/>
          <w:color w:val="auto"/>
          <w:szCs w:val="24"/>
        </w:rPr>
        <w:t xml:space="preserve"> This study aimed to identify the most appropriate mathematical model for </w:t>
      </w:r>
    </w:p>
    <w:p w14:paraId="39F645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relationship between Minimum Inhibitory Concentration (MIC) and bacterial </w:t>
      </w:r>
    </w:p>
    <w:p w14:paraId="55C0B9B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susceptibility. The models assessed were the Michaelis-Menten model, the </w:t>
      </w:r>
    </w:p>
    <w:p w14:paraId="342F13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logistic growth model and the logarithmic regression model. To ensure objective </w:t>
      </w:r>
    </w:p>
    <w:p w14:paraId="3C14F2F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and comprehensive comparisons, various statistical indicators were used, </w:t>
      </w:r>
    </w:p>
    <w:p w14:paraId="0CE5012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coefficient of determination (R²), Mean Squared Error (MSE), Root Mean </w:t>
      </w:r>
    </w:p>
    <w:p w14:paraId="580F637F">
      <w:pPr>
        <w:rPr>
          <w:rFonts w:hint="eastAsia" w:ascii="宋体" w:hAnsi="宋体" w:eastAsia="宋体" w:cs="宋体"/>
          <w:b w:val="0"/>
          <w:bCs/>
          <w:color w:val="auto"/>
          <w:szCs w:val="24"/>
        </w:rPr>
      </w:pPr>
      <w:r>
        <w:rPr>
          <w:rFonts w:hint="eastAsia" w:ascii="宋体" w:hAnsi="宋体" w:eastAsia="宋体" w:cs="宋体"/>
          <w:b w:val="0"/>
          <w:bCs/>
          <w:color w:val="auto"/>
          <w:szCs w:val="24"/>
        </w:rPr>
        <w:t>Squared Error (RMSE), and the Akaike Information Criterion (AIC).</w:t>
      </w:r>
    </w:p>
    <w:p w14:paraId="71528BCA">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 </w:t>
      </w:r>
      <w:r>
        <w:rPr>
          <w:rFonts w:hint="eastAsia" w:ascii="宋体" w:hAnsi="宋体" w:eastAsia="宋体" w:cs="宋体"/>
          <w:b w:val="0"/>
          <w:bCs/>
          <w:color w:val="auto"/>
          <w:szCs w:val="24"/>
        </w:rPr>
        <w:t xml:space="preserve">The logarithmic regression model provided the best fit to the data. It </w:t>
      </w:r>
    </w:p>
    <w:p w14:paraId="48A2B0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yielded the highest R² value and the lowest MSE, RMSE and AIC values compared to </w:t>
      </w:r>
    </w:p>
    <w:p w14:paraId="380D870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Michaelis-Menten and logistic growth models. On the other hand, the logistic </w:t>
      </w:r>
    </w:p>
    <w:p w14:paraId="298B71D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growth model provided the poorest fit, with the lowest R² and the largest </w:t>
      </w:r>
    </w:p>
    <w:p w14:paraId="7B6EFBB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prediction errors. Although the Michaelis-Menten model outperformed the logistic </w:t>
      </w:r>
    </w:p>
    <w:p w14:paraId="32C834A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growth model, the logarithmic regression model consistently achieved lower error </w:t>
      </w:r>
    </w:p>
    <w:p w14:paraId="3C4098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metrics and provided a more accurate and informative representation of the </w:t>
      </w:r>
    </w:p>
    <w:p w14:paraId="5B55948E">
      <w:pPr>
        <w:rPr>
          <w:rFonts w:hint="eastAsia" w:ascii="宋体" w:hAnsi="宋体" w:eastAsia="宋体" w:cs="宋体"/>
          <w:b w:val="0"/>
          <w:bCs/>
          <w:color w:val="auto"/>
          <w:szCs w:val="24"/>
        </w:rPr>
      </w:pPr>
      <w:r>
        <w:rPr>
          <w:rFonts w:hint="eastAsia" w:ascii="宋体" w:hAnsi="宋体" w:eastAsia="宋体" w:cs="宋体"/>
          <w:b w:val="0"/>
          <w:bCs/>
          <w:color w:val="auto"/>
          <w:szCs w:val="24"/>
        </w:rPr>
        <w:t>relationship between MIC and bacterial susceptibility.</w:t>
      </w:r>
    </w:p>
    <w:p w14:paraId="4CF1D431">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DISCUSSION: </w:t>
      </w:r>
      <w:r>
        <w:rPr>
          <w:rFonts w:hint="eastAsia" w:ascii="宋体" w:hAnsi="宋体" w:eastAsia="宋体" w:cs="宋体"/>
          <w:b w:val="0"/>
          <w:bCs/>
          <w:color w:val="auto"/>
          <w:szCs w:val="24"/>
        </w:rPr>
        <w:t xml:space="preserve">The logarithmic regression model performed best; thus, this model is </w:t>
      </w:r>
    </w:p>
    <w:p w14:paraId="0A148D2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appropriate for modeling antimicrobial susceptibility data. The findings </w:t>
      </w:r>
    </w:p>
    <w:p w14:paraId="1048A38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indicate that mathematical modeling is important in AST and has the potential to </w:t>
      </w:r>
    </w:p>
    <w:p w14:paraId="57DB42E7">
      <w:pPr>
        <w:rPr>
          <w:rFonts w:hint="eastAsia" w:ascii="宋体" w:hAnsi="宋体" w:eastAsia="宋体" w:cs="宋体"/>
          <w:b w:val="0"/>
          <w:bCs/>
          <w:color w:val="auto"/>
          <w:szCs w:val="24"/>
        </w:rPr>
      </w:pPr>
      <w:r>
        <w:rPr>
          <w:rFonts w:hint="eastAsia" w:ascii="宋体" w:hAnsi="宋体" w:eastAsia="宋体" w:cs="宋体"/>
          <w:b w:val="0"/>
          <w:bCs/>
          <w:color w:val="auto"/>
          <w:szCs w:val="24"/>
        </w:rPr>
        <w:t>become a powerful predictive tool in the fight against antibiotic resistance.</w:t>
      </w:r>
    </w:p>
    <w:p w14:paraId="32BA079B">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The logarithmic regression is the strongest and most valid model for </w:t>
      </w:r>
    </w:p>
    <w:p w14:paraId="4CE981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describing the relationship between MIC and bacterial susceptibility, and it can </w:t>
      </w:r>
    </w:p>
    <w:p w14:paraId="23303A3E">
      <w:pPr>
        <w:rPr>
          <w:rFonts w:hint="eastAsia" w:ascii="宋体" w:hAnsi="宋体" w:eastAsia="宋体" w:cs="宋体"/>
          <w:b w:val="0"/>
          <w:bCs/>
          <w:color w:val="auto"/>
          <w:szCs w:val="24"/>
        </w:rPr>
      </w:pPr>
      <w:r>
        <w:rPr>
          <w:rFonts w:hint="eastAsia" w:ascii="宋体" w:hAnsi="宋体" w:eastAsia="宋体" w:cs="宋体"/>
          <w:b w:val="0"/>
          <w:bCs/>
          <w:color w:val="auto"/>
          <w:szCs w:val="24"/>
        </w:rPr>
        <w:t>be useful for interpreting and predicting antimicrobial susceptibility data.</w:t>
      </w:r>
    </w:p>
    <w:p w14:paraId="01F9931D">
      <w:pPr>
        <w:rPr>
          <w:rFonts w:hint="eastAsia" w:ascii="宋体" w:hAnsi="宋体" w:eastAsia="宋体" w:cs="宋体"/>
          <w:b w:val="0"/>
          <w:bCs/>
          <w:color w:val="auto"/>
          <w:szCs w:val="24"/>
        </w:rPr>
      </w:pPr>
    </w:p>
    <w:p w14:paraId="3DCBC8D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Bentham Science Publishers; For any queries, please email at </w:t>
      </w:r>
    </w:p>
    <w:p w14:paraId="010265D8">
      <w:pPr>
        <w:rPr>
          <w:rFonts w:hint="eastAsia" w:ascii="宋体" w:hAnsi="宋体" w:eastAsia="宋体" w:cs="宋体"/>
          <w:b w:val="0"/>
          <w:bCs/>
          <w:color w:val="auto"/>
          <w:szCs w:val="24"/>
        </w:rPr>
      </w:pPr>
      <w:r>
        <w:rPr>
          <w:rFonts w:hint="eastAsia" w:ascii="宋体" w:hAnsi="宋体" w:eastAsia="宋体" w:cs="宋体"/>
          <w:b w:val="0"/>
          <w:bCs/>
          <w:color w:val="auto"/>
          <w:szCs w:val="24"/>
        </w:rPr>
        <w:t>epub@benthamscience.net.</w:t>
      </w:r>
    </w:p>
    <w:p w14:paraId="7A2B24ED">
      <w:pPr>
        <w:rPr>
          <w:rFonts w:hint="eastAsia" w:ascii="宋体" w:hAnsi="宋体" w:eastAsia="宋体" w:cs="宋体"/>
          <w:b w:val="0"/>
          <w:bCs/>
          <w:color w:val="auto"/>
          <w:szCs w:val="24"/>
        </w:rPr>
      </w:pPr>
    </w:p>
    <w:p w14:paraId="7DCB8099">
      <w:pPr>
        <w:rPr>
          <w:rFonts w:hint="eastAsia" w:ascii="宋体" w:hAnsi="宋体" w:eastAsia="宋体" w:cs="宋体"/>
          <w:b w:val="0"/>
          <w:bCs/>
          <w:color w:val="auto"/>
          <w:szCs w:val="24"/>
        </w:rPr>
      </w:pPr>
      <w:r>
        <w:rPr>
          <w:rFonts w:hint="eastAsia" w:ascii="宋体" w:hAnsi="宋体" w:eastAsia="宋体" w:cs="宋体"/>
          <w:b w:val="0"/>
          <w:bCs/>
          <w:color w:val="auto"/>
          <w:szCs w:val="24"/>
        </w:rPr>
        <w:t>DOI: 10.2174/0113892010499218260826064037</w:t>
      </w:r>
    </w:p>
    <w:p w14:paraId="4A26BAF8">
      <w:pPr>
        <w:rPr>
          <w:rFonts w:hint="eastAsia" w:ascii="宋体" w:hAnsi="宋体" w:eastAsia="宋体" w:cs="宋体"/>
          <w:b w:val="0"/>
          <w:bCs/>
          <w:color w:val="auto"/>
          <w:szCs w:val="24"/>
        </w:rPr>
      </w:pPr>
      <w:r>
        <w:rPr>
          <w:rFonts w:hint="eastAsia" w:ascii="宋体" w:hAnsi="宋体" w:eastAsia="宋体" w:cs="宋体"/>
          <w:b w:val="0"/>
          <w:bCs/>
          <w:color w:val="auto"/>
          <w:szCs w:val="24"/>
        </w:rPr>
        <w:t>PMID: 42708314</w:t>
      </w:r>
    </w:p>
    <w:p w14:paraId="102B3052">
      <w:pPr>
        <w:rPr>
          <w:rFonts w:hint="eastAsia" w:ascii="宋体" w:hAnsi="宋体" w:eastAsia="宋体" w:cs="宋体"/>
          <w:b w:val="0"/>
          <w:bCs/>
          <w:color w:val="auto"/>
          <w:szCs w:val="24"/>
        </w:rPr>
      </w:pPr>
    </w:p>
    <w:p w14:paraId="08244115">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80</w:t>
      </w:r>
      <w:r>
        <w:rPr>
          <w:rFonts w:hint="eastAsia" w:ascii="宋体" w:hAnsi="宋体" w:eastAsia="宋体" w:cs="宋体"/>
          <w:b/>
          <w:bCs w:val="0"/>
          <w:color w:val="FF0000"/>
          <w:szCs w:val="24"/>
        </w:rPr>
        <w:t xml:space="preserve">. Front Cell Infect Microbiol. 2026 Aug 24;16:1896798. doi: </w:t>
      </w:r>
    </w:p>
    <w:p w14:paraId="7E787A57">
      <w:pPr>
        <w:rPr>
          <w:rFonts w:hint="eastAsia" w:ascii="宋体" w:hAnsi="宋体" w:eastAsia="宋体" w:cs="宋体"/>
          <w:b/>
          <w:bCs w:val="0"/>
          <w:color w:val="FF0000"/>
          <w:szCs w:val="24"/>
        </w:rPr>
      </w:pPr>
      <w:r>
        <w:rPr>
          <w:rFonts w:hint="eastAsia" w:ascii="宋体" w:hAnsi="宋体" w:eastAsia="宋体" w:cs="宋体"/>
          <w:b/>
          <w:bCs w:val="0"/>
          <w:color w:val="FF0000"/>
          <w:szCs w:val="24"/>
        </w:rPr>
        <w:t>10.3389/fcimb.2026.1896798. eCollection 2026.</w:t>
      </w:r>
    </w:p>
    <w:p w14:paraId="23F21B0F">
      <w:pPr>
        <w:rPr>
          <w:rFonts w:hint="eastAsia" w:ascii="宋体" w:hAnsi="宋体" w:eastAsia="宋体" w:cs="宋体"/>
          <w:b w:val="0"/>
          <w:bCs/>
          <w:color w:val="auto"/>
          <w:szCs w:val="24"/>
        </w:rPr>
      </w:pPr>
    </w:p>
    <w:p w14:paraId="592A54F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Autophagy in tuberculosis: advances, translational gaps, and the promise of </w:t>
      </w:r>
    </w:p>
    <w:p w14:paraId="4E050A4D">
      <w:pPr>
        <w:rPr>
          <w:rFonts w:hint="eastAsia" w:ascii="宋体" w:hAnsi="宋体" w:eastAsia="宋体" w:cs="宋体"/>
          <w:b w:val="0"/>
          <w:bCs/>
          <w:color w:val="auto"/>
          <w:szCs w:val="24"/>
        </w:rPr>
      </w:pPr>
      <w:r>
        <w:rPr>
          <w:rFonts w:hint="eastAsia" w:ascii="宋体" w:hAnsi="宋体" w:eastAsia="宋体" w:cs="宋体"/>
          <w:b w:val="0"/>
          <w:bCs/>
          <w:color w:val="auto"/>
          <w:szCs w:val="24"/>
        </w:rPr>
        <w:t>host-directed therapies.</w:t>
      </w:r>
    </w:p>
    <w:p w14:paraId="273C1A6D">
      <w:pPr>
        <w:rPr>
          <w:rFonts w:hint="eastAsia" w:ascii="宋体" w:hAnsi="宋体" w:eastAsia="宋体" w:cs="宋体"/>
          <w:b w:val="0"/>
          <w:bCs/>
          <w:color w:val="auto"/>
          <w:szCs w:val="24"/>
        </w:rPr>
      </w:pPr>
    </w:p>
    <w:p w14:paraId="5EB81A78">
      <w:pPr>
        <w:rPr>
          <w:rFonts w:hint="eastAsia" w:ascii="宋体" w:hAnsi="宋体" w:eastAsia="宋体" w:cs="宋体"/>
          <w:b w:val="0"/>
          <w:bCs/>
          <w:color w:val="auto"/>
          <w:szCs w:val="24"/>
        </w:rPr>
      </w:pPr>
      <w:r>
        <w:rPr>
          <w:rFonts w:hint="eastAsia" w:ascii="宋体" w:hAnsi="宋体" w:eastAsia="宋体" w:cs="宋体"/>
          <w:b w:val="0"/>
          <w:bCs/>
          <w:color w:val="auto"/>
          <w:szCs w:val="24"/>
        </w:rPr>
        <w:t>Challa M(1), Padma B J(1), Shanmugam S(1).</w:t>
      </w:r>
    </w:p>
    <w:p w14:paraId="28884C42">
      <w:pPr>
        <w:rPr>
          <w:rFonts w:hint="eastAsia" w:ascii="宋体" w:hAnsi="宋体" w:eastAsia="宋体" w:cs="宋体"/>
          <w:b w:val="0"/>
          <w:bCs/>
          <w:color w:val="auto"/>
          <w:szCs w:val="24"/>
        </w:rPr>
      </w:pPr>
    </w:p>
    <w:p w14:paraId="03F412B5">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1D243D7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Bacteriology, National Institute for Research in Tuberculosis - </w:t>
      </w:r>
    </w:p>
    <w:p w14:paraId="07D33FDF">
      <w:pPr>
        <w:rPr>
          <w:rFonts w:hint="eastAsia" w:ascii="宋体" w:hAnsi="宋体" w:eastAsia="宋体" w:cs="宋体"/>
          <w:b w:val="0"/>
          <w:bCs/>
          <w:color w:val="auto"/>
          <w:szCs w:val="24"/>
        </w:rPr>
      </w:pPr>
      <w:r>
        <w:rPr>
          <w:rFonts w:hint="eastAsia" w:ascii="宋体" w:hAnsi="宋体" w:eastAsia="宋体" w:cs="宋体"/>
          <w:b w:val="0"/>
          <w:bCs/>
          <w:color w:val="auto"/>
          <w:szCs w:val="24"/>
        </w:rPr>
        <w:t>ICMR, Chennai, India.</w:t>
      </w:r>
    </w:p>
    <w:p w14:paraId="08158C13">
      <w:pPr>
        <w:rPr>
          <w:rFonts w:hint="eastAsia" w:ascii="宋体" w:hAnsi="宋体" w:eastAsia="宋体" w:cs="宋体"/>
          <w:b w:val="0"/>
          <w:bCs/>
          <w:color w:val="auto"/>
          <w:szCs w:val="24"/>
        </w:rPr>
      </w:pPr>
    </w:p>
    <w:p w14:paraId="171EE44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(TB) is still a major global health threat, worsened by the </w:t>
      </w:r>
    </w:p>
    <w:p w14:paraId="48E417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advancement of multidrug-resistant and extensively drug-resistant strains of </w:t>
      </w:r>
    </w:p>
    <w:p w14:paraId="09F0446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Mycobacterium tuberculosis (Mtb). Autophagy is a natural degradation and immune </w:t>
      </w:r>
    </w:p>
    <w:p w14:paraId="7FFAE94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process that plays a critical role in the defence against intracellular </w:t>
      </w:r>
    </w:p>
    <w:p w14:paraId="3B99BF8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pathogens, including Mtb. However, Mtb has developed complex mechanisms to evade </w:t>
      </w:r>
    </w:p>
    <w:p w14:paraId="7E51CE5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autophagy by modulating phagosome-lysosome fusion, inhibiting xenophagy, and </w:t>
      </w:r>
    </w:p>
    <w:p w14:paraId="0C2722C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modifying host signaling pathways, including mTORC1 and AMPK, thereby </w:t>
      </w:r>
    </w:p>
    <w:p w14:paraId="388098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suppressing epigenetically autophagy-related genes. These immune evasion </w:t>
      </w:r>
    </w:p>
    <w:p w14:paraId="0ACCD3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strategies identify autophagy as a highly attractive target for host-directed </w:t>
      </w:r>
    </w:p>
    <w:p w14:paraId="18D2513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therapies (HDTs). In many experimental models, several pharmacological and </w:t>
      </w:r>
    </w:p>
    <w:p w14:paraId="62C40D7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repurposed compounds, such as mTOR inhibitors, AMPK activators, lysosomal </w:t>
      </w:r>
    </w:p>
    <w:p w14:paraId="49E9DE7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modulators, peptides, and small-molecule inhibitors, are promising factors in </w:t>
      </w:r>
    </w:p>
    <w:p w14:paraId="74556BD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restoring autophagy, promoting bacterial clearance, and ameliorating </w:t>
      </w:r>
    </w:p>
    <w:p w14:paraId="312B5D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inflammation. Despite the bright prospects of these preclinical studies, the </w:t>
      </w:r>
    </w:p>
    <w:p w14:paraId="16DAA92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intricacies of cellular pathways, the lack of selective autophagy modulators, </w:t>
      </w:r>
    </w:p>
    <w:p w14:paraId="6F0ECBF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limited biomarkers, and the still inadequate models for translational </w:t>
      </w:r>
    </w:p>
    <w:p w14:paraId="0B2150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research remain problematic. In this review, we summarise current insights into </w:t>
      </w:r>
    </w:p>
    <w:p w14:paraId="22D5E4F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Mtb-mediated disruption of autophagy, evaluate emerging autophagy-enhancing </w:t>
      </w:r>
    </w:p>
    <w:p w14:paraId="1CBCEDE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HDTs, and highlight key biological and translational gaps. Further development </w:t>
      </w:r>
    </w:p>
    <w:p w14:paraId="12CF77D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of selective, system-level autophagy modulators may offer powerful adjunct </w:t>
      </w:r>
    </w:p>
    <w:p w14:paraId="2D2593E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therapies to improve TB treatment outcomes, especially in the era of escalating </w:t>
      </w:r>
    </w:p>
    <w:p w14:paraId="630B78D6">
      <w:pPr>
        <w:rPr>
          <w:rFonts w:hint="eastAsia" w:ascii="宋体" w:hAnsi="宋体" w:eastAsia="宋体" w:cs="宋体"/>
          <w:b w:val="0"/>
          <w:bCs/>
          <w:color w:val="auto"/>
          <w:szCs w:val="24"/>
        </w:rPr>
      </w:pPr>
      <w:r>
        <w:rPr>
          <w:rFonts w:hint="eastAsia" w:ascii="宋体" w:hAnsi="宋体" w:eastAsia="宋体" w:cs="宋体"/>
          <w:b w:val="0"/>
          <w:bCs/>
          <w:color w:val="auto"/>
          <w:szCs w:val="24"/>
        </w:rPr>
        <w:t>drug resistance.</w:t>
      </w:r>
    </w:p>
    <w:p w14:paraId="5DFDF924">
      <w:pPr>
        <w:rPr>
          <w:rFonts w:hint="eastAsia" w:ascii="宋体" w:hAnsi="宋体" w:eastAsia="宋体" w:cs="宋体"/>
          <w:b w:val="0"/>
          <w:bCs/>
          <w:color w:val="auto"/>
          <w:szCs w:val="24"/>
        </w:rPr>
      </w:pPr>
    </w:p>
    <w:p w14:paraId="4AAAA728">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Challa, Padma B and Shanmugam.</w:t>
      </w:r>
    </w:p>
    <w:p w14:paraId="1139A2C4">
      <w:pPr>
        <w:rPr>
          <w:rFonts w:hint="eastAsia" w:ascii="宋体" w:hAnsi="宋体" w:eastAsia="宋体" w:cs="宋体"/>
          <w:b w:val="0"/>
          <w:bCs/>
          <w:color w:val="auto"/>
          <w:szCs w:val="24"/>
        </w:rPr>
      </w:pPr>
    </w:p>
    <w:p w14:paraId="7B77FC90">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10.3389/fcimb.2026.1896798</w:t>
      </w:r>
    </w:p>
    <w:p w14:paraId="2E07ED54">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PMC13548514</w:t>
      </w:r>
    </w:p>
    <w:p w14:paraId="24B9144D">
      <w:pPr>
        <w:rPr>
          <w:rFonts w:hint="eastAsia" w:ascii="宋体" w:hAnsi="宋体" w:eastAsia="宋体" w:cs="宋体"/>
          <w:b w:val="0"/>
          <w:bCs/>
          <w:color w:val="auto"/>
          <w:szCs w:val="24"/>
        </w:rPr>
      </w:pPr>
      <w:r>
        <w:rPr>
          <w:rFonts w:hint="eastAsia" w:ascii="宋体" w:hAnsi="宋体" w:eastAsia="宋体" w:cs="宋体"/>
          <w:b w:val="0"/>
          <w:bCs/>
          <w:color w:val="auto"/>
          <w:szCs w:val="24"/>
        </w:rPr>
        <w:t>PMID: 42707965 [Indexed for MEDLINE]</w:t>
      </w:r>
    </w:p>
    <w:p w14:paraId="400910D7">
      <w:pPr>
        <w:rPr>
          <w:rFonts w:hint="eastAsia" w:ascii="宋体" w:hAnsi="宋体" w:eastAsia="宋体" w:cs="宋体"/>
          <w:b w:val="0"/>
          <w:bCs/>
          <w:color w:val="auto"/>
          <w:szCs w:val="24"/>
        </w:rPr>
      </w:pPr>
    </w:p>
    <w:p w14:paraId="00DD00CC">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81</w:t>
      </w:r>
      <w:r>
        <w:rPr>
          <w:rFonts w:hint="eastAsia" w:ascii="宋体" w:hAnsi="宋体" w:eastAsia="宋体" w:cs="宋体"/>
          <w:b/>
          <w:bCs w:val="0"/>
          <w:color w:val="FF0000"/>
          <w:szCs w:val="24"/>
        </w:rPr>
        <w:t xml:space="preserve">. Front Microbiol. 2026 Aug 24;17:1882584. doi: 10.3389/fmicb.2026.1882584. </w:t>
      </w:r>
    </w:p>
    <w:p w14:paraId="24254BE1">
      <w:pPr>
        <w:rPr>
          <w:rFonts w:hint="eastAsia" w:ascii="宋体" w:hAnsi="宋体" w:eastAsia="宋体" w:cs="宋体"/>
          <w:b/>
          <w:bCs w:val="0"/>
          <w:color w:val="FF0000"/>
          <w:szCs w:val="24"/>
        </w:rPr>
      </w:pPr>
      <w:r>
        <w:rPr>
          <w:rFonts w:hint="eastAsia" w:ascii="宋体" w:hAnsi="宋体" w:eastAsia="宋体" w:cs="宋体"/>
          <w:b/>
          <w:bCs w:val="0"/>
          <w:color w:val="FF0000"/>
          <w:szCs w:val="24"/>
        </w:rPr>
        <w:t>eCollection 2026.</w:t>
      </w:r>
    </w:p>
    <w:p w14:paraId="55F87CF6">
      <w:pPr>
        <w:rPr>
          <w:rFonts w:hint="eastAsia" w:ascii="宋体" w:hAnsi="宋体" w:eastAsia="宋体" w:cs="宋体"/>
          <w:b w:val="0"/>
          <w:bCs/>
          <w:color w:val="auto"/>
          <w:szCs w:val="24"/>
        </w:rPr>
      </w:pPr>
    </w:p>
    <w:p w14:paraId="1835B58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Alternative ribosome expression alone is insufficient to drive antibiotic </w:t>
      </w:r>
    </w:p>
    <w:p w14:paraId="7896BF8B">
      <w:pPr>
        <w:rPr>
          <w:rFonts w:hint="eastAsia" w:ascii="宋体" w:hAnsi="宋体" w:eastAsia="宋体" w:cs="宋体"/>
          <w:b w:val="0"/>
          <w:bCs/>
          <w:color w:val="auto"/>
          <w:szCs w:val="24"/>
        </w:rPr>
      </w:pPr>
      <w:r>
        <w:rPr>
          <w:rFonts w:hint="eastAsia" w:ascii="宋体" w:hAnsi="宋体" w:eastAsia="宋体" w:cs="宋体"/>
          <w:b w:val="0"/>
          <w:bCs/>
          <w:color w:val="auto"/>
          <w:szCs w:val="24"/>
        </w:rPr>
        <w:t>tolerance in Mycobacterium bovis BCG.</w:t>
      </w:r>
    </w:p>
    <w:p w14:paraId="21ABBA8B">
      <w:pPr>
        <w:rPr>
          <w:rFonts w:hint="eastAsia" w:ascii="宋体" w:hAnsi="宋体" w:eastAsia="宋体" w:cs="宋体"/>
          <w:b w:val="0"/>
          <w:bCs/>
          <w:color w:val="auto"/>
          <w:szCs w:val="24"/>
        </w:rPr>
      </w:pPr>
    </w:p>
    <w:p w14:paraId="6A2531E3">
      <w:pPr>
        <w:rPr>
          <w:rFonts w:hint="eastAsia" w:ascii="宋体" w:hAnsi="宋体" w:eastAsia="宋体" w:cs="宋体"/>
          <w:b w:val="0"/>
          <w:bCs/>
          <w:color w:val="auto"/>
          <w:szCs w:val="24"/>
        </w:rPr>
      </w:pPr>
      <w:r>
        <w:rPr>
          <w:rFonts w:hint="eastAsia" w:ascii="宋体" w:hAnsi="宋体" w:eastAsia="宋体" w:cs="宋体"/>
          <w:b w:val="0"/>
          <w:bCs/>
          <w:color w:val="auto"/>
          <w:szCs w:val="24"/>
        </w:rPr>
        <w:t>Butler RE(1), Barber J(1), Mayson G(1), Wallis G(2), Stewart GR(1).</w:t>
      </w:r>
    </w:p>
    <w:p w14:paraId="4F325527">
      <w:pPr>
        <w:rPr>
          <w:rFonts w:hint="eastAsia" w:ascii="宋体" w:hAnsi="宋体" w:eastAsia="宋体" w:cs="宋体"/>
          <w:b w:val="0"/>
          <w:bCs/>
          <w:color w:val="auto"/>
          <w:szCs w:val="24"/>
        </w:rPr>
      </w:pPr>
    </w:p>
    <w:p w14:paraId="4C92A434">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53259CC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(1)School of Biosciences, Faculty of Health and Medical Sciences, University of </w:t>
      </w:r>
    </w:p>
    <w:p w14:paraId="55CA87E6">
      <w:pPr>
        <w:rPr>
          <w:rFonts w:hint="eastAsia" w:ascii="宋体" w:hAnsi="宋体" w:eastAsia="宋体" w:cs="宋体"/>
          <w:b w:val="0"/>
          <w:bCs/>
          <w:color w:val="auto"/>
          <w:szCs w:val="24"/>
        </w:rPr>
      </w:pPr>
      <w:r>
        <w:rPr>
          <w:rFonts w:hint="eastAsia" w:ascii="宋体" w:hAnsi="宋体" w:eastAsia="宋体" w:cs="宋体"/>
          <w:b w:val="0"/>
          <w:bCs/>
          <w:color w:val="auto"/>
          <w:szCs w:val="24"/>
        </w:rPr>
        <w:t>Surrey, Guildford, United Kingdom.</w:t>
      </w:r>
    </w:p>
    <w:p w14:paraId="751202D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(2)Bioimaging and Flow Cytometry Core Facility, School of Biosciences, Faculty </w:t>
      </w:r>
    </w:p>
    <w:p w14:paraId="12DA3779">
      <w:pPr>
        <w:rPr>
          <w:rFonts w:hint="eastAsia" w:ascii="宋体" w:hAnsi="宋体" w:eastAsia="宋体" w:cs="宋体"/>
          <w:b w:val="0"/>
          <w:bCs/>
          <w:color w:val="auto"/>
          <w:szCs w:val="24"/>
        </w:rPr>
      </w:pPr>
      <w:r>
        <w:rPr>
          <w:rFonts w:hint="eastAsia" w:ascii="宋体" w:hAnsi="宋体" w:eastAsia="宋体" w:cs="宋体"/>
          <w:b w:val="0"/>
          <w:bCs/>
          <w:color w:val="auto"/>
          <w:szCs w:val="24"/>
        </w:rPr>
        <w:t>of Health and Medical Sciences, University of Surrey, Guildford, United Kingdom.</w:t>
      </w:r>
    </w:p>
    <w:p w14:paraId="006A1422">
      <w:pPr>
        <w:rPr>
          <w:rFonts w:hint="eastAsia" w:ascii="宋体" w:hAnsi="宋体" w:eastAsia="宋体" w:cs="宋体"/>
          <w:b w:val="0"/>
          <w:bCs/>
          <w:color w:val="auto"/>
          <w:szCs w:val="24"/>
        </w:rPr>
      </w:pPr>
    </w:p>
    <w:p w14:paraId="04489900">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w:t>
      </w:r>
      <w:r>
        <w:rPr>
          <w:rFonts w:hint="eastAsia" w:ascii="宋体" w:hAnsi="宋体" w:eastAsia="宋体" w:cs="宋体"/>
          <w:b w:val="0"/>
          <w:bCs/>
          <w:color w:val="auto"/>
          <w:szCs w:val="24"/>
        </w:rPr>
        <w:t xml:space="preserve"> Mycobacterium tuberculosis and other members of the M. </w:t>
      </w:r>
    </w:p>
    <w:p w14:paraId="68CE2D4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tuberculosis-complex are obligate pathogens of mammals. Their unique life and </w:t>
      </w:r>
    </w:p>
    <w:p w14:paraId="636DEFA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transmission cycle finds them in micro-environments with extremes in </w:t>
      </w:r>
    </w:p>
    <w:p w14:paraId="7B26E88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concentration of zinc. In the macrophage, zinc is pumped into the phagosome by </w:t>
      </w:r>
    </w:p>
    <w:p w14:paraId="0E77238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host cell causing zinc poisoning. However once M. tuberculosis exits from </w:t>
      </w:r>
    </w:p>
    <w:p w14:paraId="075028E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phagosome and macrophage, the extracellular milieu and caseum of the </w:t>
      </w:r>
    </w:p>
    <w:p w14:paraId="2F089E5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tubercle lesion are zinc restricted due to zinc sequestration by the neutrophil </w:t>
      </w:r>
    </w:p>
    <w:p w14:paraId="311B899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protein calprotectin. To counter low zinc levels, M. tuberculosis expresses </w:t>
      </w:r>
    </w:p>
    <w:p w14:paraId="7AC119E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genes that are members of the "Zur" regulon. These include zinc uptake </w:t>
      </w:r>
    </w:p>
    <w:p w14:paraId="747DEA9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transporters, and five "alternative" ribosome paralogues that are </w:t>
      </w:r>
    </w:p>
    <w:p w14:paraId="5F7EA7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zinc-independent. Under zinc replete conditions, the Zur protein is bound to </w:t>
      </w:r>
    </w:p>
    <w:p w14:paraId="5F3002F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zinc and acts as a transcriptional repressor, binding to conserved DNA sites in </w:t>
      </w:r>
    </w:p>
    <w:p w14:paraId="6C91821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promoter regions of the Zur regulon. During zinc limiting conditions, the apo </w:t>
      </w:r>
    </w:p>
    <w:p w14:paraId="563AC8F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form of Zur dissociates from promoter regions allowing transcription of the Zur </w:t>
      </w:r>
    </w:p>
    <w:p w14:paraId="061A050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regulon including alternative ribosome proteins. The expression of alternative </w:t>
      </w:r>
    </w:p>
    <w:p w14:paraId="5A4DE4A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ribosomes by mycobacteria is of considerable interest due to the association of </w:t>
      </w:r>
    </w:p>
    <w:p w14:paraId="691741AC">
      <w:pPr>
        <w:rPr>
          <w:rFonts w:hint="eastAsia" w:ascii="宋体" w:hAnsi="宋体" w:eastAsia="宋体" w:cs="宋体"/>
          <w:b w:val="0"/>
          <w:bCs/>
          <w:color w:val="auto"/>
          <w:szCs w:val="24"/>
        </w:rPr>
      </w:pPr>
      <w:r>
        <w:rPr>
          <w:rFonts w:hint="eastAsia" w:ascii="宋体" w:hAnsi="宋体" w:eastAsia="宋体" w:cs="宋体"/>
          <w:b w:val="0"/>
          <w:bCs/>
          <w:color w:val="auto"/>
          <w:szCs w:val="24"/>
        </w:rPr>
        <w:t>expression with antibiotic tolerance.</w:t>
      </w:r>
    </w:p>
    <w:p w14:paraId="0AE99111">
      <w:pPr>
        <w:rPr>
          <w:rFonts w:hint="eastAsia" w:ascii="宋体" w:hAnsi="宋体" w:eastAsia="宋体" w:cs="宋体"/>
          <w:b w:val="0"/>
          <w:bCs/>
          <w:color w:val="auto"/>
          <w:szCs w:val="24"/>
        </w:rPr>
      </w:pPr>
      <w:r>
        <w:rPr>
          <w:rFonts w:hint="eastAsia" w:ascii="宋体" w:hAnsi="宋体" w:eastAsia="宋体" w:cs="宋体"/>
          <w:b/>
          <w:bCs w:val="0"/>
          <w:color w:val="auto"/>
          <w:szCs w:val="24"/>
        </w:rPr>
        <w:t>METHODS:</w:t>
      </w:r>
      <w:r>
        <w:rPr>
          <w:rFonts w:hint="eastAsia" w:ascii="宋体" w:hAnsi="宋体" w:eastAsia="宋体" w:cs="宋体"/>
          <w:b w:val="0"/>
          <w:bCs/>
          <w:color w:val="auto"/>
          <w:szCs w:val="24"/>
        </w:rPr>
        <w:t xml:space="preserve"> In this study, we have utilised a fluorescent reporter construct and </w:t>
      </w:r>
    </w:p>
    <w:p w14:paraId="7E6E6339">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flow cytometry to evaluate alternative ribosome expression in M. bovis BCG under </w:t>
      </w:r>
    </w:p>
    <w:p w14:paraId="5775DEEB">
      <w:pPr>
        <w:rPr>
          <w:rFonts w:hint="eastAsia" w:ascii="宋体" w:hAnsi="宋体" w:eastAsia="宋体" w:cs="宋体"/>
          <w:b w:val="0"/>
          <w:bCs/>
          <w:color w:val="auto"/>
          <w:szCs w:val="24"/>
        </w:rPr>
      </w:pPr>
      <w:r>
        <w:rPr>
          <w:rFonts w:hint="eastAsia" w:ascii="宋体" w:hAnsi="宋体" w:eastAsia="宋体" w:cs="宋体"/>
          <w:b w:val="0"/>
          <w:bCs/>
          <w:color w:val="auto"/>
          <w:szCs w:val="24"/>
        </w:rPr>
        <w:t>a range of culture conditions and laboratory media.</w:t>
      </w:r>
    </w:p>
    <w:p w14:paraId="6DD6EDF3">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Our data show two general scenarios under which alternative ribosome </w:t>
      </w:r>
    </w:p>
    <w:p w14:paraId="4E5AC00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expression is induced - under zinc restriction and in extended stationary phase </w:t>
      </w:r>
    </w:p>
    <w:p w14:paraId="0495F91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under certain culture conditions. Zinc-restricted bacilli were not found to be </w:t>
      </w:r>
    </w:p>
    <w:p w14:paraId="3B53BEC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more tolerant to antibiotic treatment than those grown in zinc-replete media. </w:t>
      </w:r>
    </w:p>
    <w:p w14:paraId="019B284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 bacilli in extended stationary phase, alternative ribosome expression did </w:t>
      </w:r>
    </w:p>
    <w:p w14:paraId="049E2913">
      <w:pPr>
        <w:rPr>
          <w:rFonts w:hint="eastAsia" w:ascii="宋体" w:hAnsi="宋体" w:eastAsia="宋体" w:cs="宋体"/>
          <w:b w:val="0"/>
          <w:bCs/>
          <w:color w:val="auto"/>
          <w:szCs w:val="24"/>
        </w:rPr>
      </w:pPr>
      <w:r>
        <w:rPr>
          <w:rFonts w:hint="eastAsia" w:ascii="宋体" w:hAnsi="宋体" w:eastAsia="宋体" w:cs="宋体"/>
          <w:b w:val="0"/>
          <w:bCs/>
          <w:color w:val="auto"/>
          <w:szCs w:val="24"/>
        </w:rPr>
        <w:t>not consistently correlate with tolerance to streptomycin or rifampicin.</w:t>
      </w:r>
    </w:p>
    <w:p w14:paraId="37814E1C">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DISCUSSION: </w:t>
      </w:r>
      <w:r>
        <w:rPr>
          <w:rFonts w:hint="eastAsia" w:ascii="宋体" w:hAnsi="宋体" w:eastAsia="宋体" w:cs="宋体"/>
          <w:b w:val="0"/>
          <w:bCs/>
          <w:color w:val="auto"/>
          <w:szCs w:val="24"/>
        </w:rPr>
        <w:t xml:space="preserve">Our data suggest that rather than causing antibiotic tolerance, </w:t>
      </w:r>
    </w:p>
    <w:p w14:paraId="6560AD5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expression of alternative ribosomes can occur concurrently with other </w:t>
      </w:r>
    </w:p>
    <w:p w14:paraId="4A9AB715">
      <w:pPr>
        <w:rPr>
          <w:rFonts w:hint="eastAsia" w:ascii="宋体" w:hAnsi="宋体" w:eastAsia="宋体" w:cs="宋体"/>
          <w:b w:val="0"/>
          <w:bCs/>
          <w:color w:val="auto"/>
          <w:szCs w:val="24"/>
        </w:rPr>
      </w:pPr>
      <w:r>
        <w:rPr>
          <w:rFonts w:hint="eastAsia" w:ascii="宋体" w:hAnsi="宋体" w:eastAsia="宋体" w:cs="宋体"/>
          <w:b w:val="0"/>
          <w:bCs/>
          <w:color w:val="auto"/>
          <w:szCs w:val="24"/>
        </w:rPr>
        <w:t>physiological changes that result in antibiotic tolerance.</w:t>
      </w:r>
    </w:p>
    <w:p w14:paraId="746AD107">
      <w:pPr>
        <w:rPr>
          <w:rFonts w:hint="eastAsia" w:ascii="宋体" w:hAnsi="宋体" w:eastAsia="宋体" w:cs="宋体"/>
          <w:b w:val="0"/>
          <w:bCs/>
          <w:color w:val="auto"/>
          <w:szCs w:val="24"/>
        </w:rPr>
      </w:pPr>
    </w:p>
    <w:p w14:paraId="640F96F0">
      <w:pPr>
        <w:rPr>
          <w:rFonts w:hint="eastAsia" w:ascii="宋体" w:hAnsi="宋体" w:eastAsia="宋体" w:cs="宋体"/>
          <w:b w:val="0"/>
          <w:bCs/>
          <w:color w:val="auto"/>
          <w:szCs w:val="24"/>
        </w:rPr>
      </w:pPr>
      <w:r>
        <w:rPr>
          <w:rFonts w:hint="eastAsia" w:ascii="宋体" w:hAnsi="宋体" w:eastAsia="宋体" w:cs="宋体"/>
          <w:b w:val="0"/>
          <w:bCs/>
          <w:color w:val="auto"/>
          <w:szCs w:val="24"/>
        </w:rPr>
        <w:t>Copyright © 2026 Butler, Barber, Mayson, Wallis and Stewart.</w:t>
      </w:r>
    </w:p>
    <w:p w14:paraId="7A1D7412">
      <w:pPr>
        <w:rPr>
          <w:rFonts w:hint="eastAsia" w:ascii="宋体" w:hAnsi="宋体" w:eastAsia="宋体" w:cs="宋体"/>
          <w:b w:val="0"/>
          <w:bCs/>
          <w:color w:val="auto"/>
          <w:szCs w:val="24"/>
        </w:rPr>
      </w:pPr>
    </w:p>
    <w:p w14:paraId="08976410">
      <w:pPr>
        <w:rPr>
          <w:rFonts w:hint="eastAsia" w:ascii="宋体" w:hAnsi="宋体" w:eastAsia="宋体" w:cs="宋体"/>
          <w:b w:val="0"/>
          <w:bCs/>
          <w:color w:val="auto"/>
          <w:szCs w:val="24"/>
        </w:rPr>
      </w:pPr>
      <w:r>
        <w:rPr>
          <w:rFonts w:hint="eastAsia" w:ascii="宋体" w:hAnsi="宋体" w:eastAsia="宋体" w:cs="宋体"/>
          <w:b w:val="0"/>
          <w:bCs/>
          <w:color w:val="auto"/>
          <w:szCs w:val="24"/>
        </w:rPr>
        <w:t>DOI: 10.3389/fmicb.2026.1882584</w:t>
      </w:r>
    </w:p>
    <w:p w14:paraId="10FB0B2E">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PMC13548396</w:t>
      </w:r>
    </w:p>
    <w:p w14:paraId="2A01E2FD">
      <w:pPr>
        <w:rPr>
          <w:rFonts w:hint="eastAsia" w:ascii="宋体" w:hAnsi="宋体" w:eastAsia="宋体" w:cs="宋体"/>
          <w:b w:val="0"/>
          <w:bCs/>
          <w:color w:val="auto"/>
          <w:szCs w:val="24"/>
        </w:rPr>
      </w:pPr>
      <w:r>
        <w:rPr>
          <w:rFonts w:hint="eastAsia" w:ascii="宋体" w:hAnsi="宋体" w:eastAsia="宋体" w:cs="宋体"/>
          <w:b w:val="0"/>
          <w:bCs/>
          <w:color w:val="auto"/>
          <w:szCs w:val="24"/>
        </w:rPr>
        <w:t>PMID: 42707923</w:t>
      </w:r>
    </w:p>
    <w:p w14:paraId="745894E3">
      <w:pPr>
        <w:rPr>
          <w:rFonts w:hint="eastAsia" w:ascii="宋体" w:hAnsi="宋体" w:eastAsia="宋体" w:cs="宋体"/>
          <w:b w:val="0"/>
          <w:bCs/>
          <w:color w:val="auto"/>
          <w:szCs w:val="24"/>
        </w:rPr>
      </w:pPr>
    </w:p>
    <w:p w14:paraId="4208CB34">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82</w:t>
      </w:r>
      <w:r>
        <w:rPr>
          <w:rFonts w:hint="eastAsia" w:ascii="宋体" w:hAnsi="宋体" w:eastAsia="宋体" w:cs="宋体"/>
          <w:b/>
          <w:bCs w:val="0"/>
          <w:color w:val="FF0000"/>
          <w:szCs w:val="24"/>
        </w:rPr>
        <w:t xml:space="preserve">. Clin Case Rep. 2026 Sep 6;14(9):e73443. doi: 10.1002/ccr3.73443. eCollection </w:t>
      </w:r>
    </w:p>
    <w:p w14:paraId="6A0400D3">
      <w:pPr>
        <w:rPr>
          <w:rFonts w:hint="eastAsia" w:ascii="宋体" w:hAnsi="宋体" w:eastAsia="宋体" w:cs="宋体"/>
          <w:b/>
          <w:bCs w:val="0"/>
          <w:color w:val="FF0000"/>
          <w:szCs w:val="24"/>
        </w:rPr>
      </w:pPr>
      <w:r>
        <w:rPr>
          <w:rFonts w:hint="eastAsia" w:ascii="宋体" w:hAnsi="宋体" w:eastAsia="宋体" w:cs="宋体"/>
          <w:b/>
          <w:bCs w:val="0"/>
          <w:color w:val="FF0000"/>
          <w:szCs w:val="24"/>
        </w:rPr>
        <w:t>2026 Sep.</w:t>
      </w:r>
    </w:p>
    <w:p w14:paraId="4BED0505">
      <w:pPr>
        <w:rPr>
          <w:rFonts w:hint="eastAsia" w:ascii="宋体" w:hAnsi="宋体" w:eastAsia="宋体" w:cs="宋体"/>
          <w:b w:val="0"/>
          <w:bCs/>
          <w:color w:val="auto"/>
          <w:szCs w:val="24"/>
        </w:rPr>
      </w:pPr>
    </w:p>
    <w:p w14:paraId="7560BC7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Obstructive Jaundice due to a Periportal Tuberculous Mass Complicated by </w:t>
      </w:r>
    </w:p>
    <w:p w14:paraId="70D6951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Anti-Tuberculous Drug-Induced Liver Injury: A Case Report From a Low-Resource </w:t>
      </w:r>
    </w:p>
    <w:p w14:paraId="1364695D">
      <w:pPr>
        <w:rPr>
          <w:rFonts w:hint="eastAsia" w:ascii="宋体" w:hAnsi="宋体" w:eastAsia="宋体" w:cs="宋体"/>
          <w:b w:val="0"/>
          <w:bCs/>
          <w:color w:val="auto"/>
          <w:szCs w:val="24"/>
        </w:rPr>
      </w:pPr>
      <w:r>
        <w:rPr>
          <w:rFonts w:hint="eastAsia" w:ascii="宋体" w:hAnsi="宋体" w:eastAsia="宋体" w:cs="宋体"/>
          <w:b w:val="0"/>
          <w:bCs/>
          <w:color w:val="auto"/>
          <w:szCs w:val="24"/>
        </w:rPr>
        <w:t>Setting.</w:t>
      </w:r>
    </w:p>
    <w:p w14:paraId="0DA9A436">
      <w:pPr>
        <w:rPr>
          <w:rFonts w:hint="eastAsia" w:ascii="宋体" w:hAnsi="宋体" w:eastAsia="宋体" w:cs="宋体"/>
          <w:b w:val="0"/>
          <w:bCs/>
          <w:color w:val="auto"/>
          <w:szCs w:val="24"/>
        </w:rPr>
      </w:pPr>
    </w:p>
    <w:p w14:paraId="5002C19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Lema GD(1), Chanie Y(2), Yanore MT(2), Mengistu SB(3), Kotisso AB(2), Zena D(4), </w:t>
      </w:r>
    </w:p>
    <w:p w14:paraId="59A49252">
      <w:pPr>
        <w:rPr>
          <w:rFonts w:hint="eastAsia" w:ascii="宋体" w:hAnsi="宋体" w:eastAsia="宋体" w:cs="宋体"/>
          <w:b w:val="0"/>
          <w:bCs/>
          <w:color w:val="auto"/>
          <w:szCs w:val="24"/>
        </w:rPr>
      </w:pPr>
      <w:r>
        <w:rPr>
          <w:rFonts w:hint="eastAsia" w:ascii="宋体" w:hAnsi="宋体" w:eastAsia="宋体" w:cs="宋体"/>
          <w:b w:val="0"/>
          <w:bCs/>
          <w:color w:val="auto"/>
          <w:szCs w:val="24"/>
        </w:rPr>
        <w:t>Gebreeyesus ST(5), Gared TM(2), Chekol NS(6), Muhammed EU(7).</w:t>
      </w:r>
    </w:p>
    <w:p w14:paraId="0AA41E55">
      <w:pPr>
        <w:rPr>
          <w:rFonts w:hint="eastAsia" w:ascii="宋体" w:hAnsi="宋体" w:eastAsia="宋体" w:cs="宋体"/>
          <w:b w:val="0"/>
          <w:bCs/>
          <w:color w:val="auto"/>
          <w:szCs w:val="24"/>
        </w:rPr>
      </w:pPr>
    </w:p>
    <w:p w14:paraId="0538B97B">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7BBF746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Internal Medicine Debre Berhan University Debre Berhan </w:t>
      </w:r>
    </w:p>
    <w:p w14:paraId="637AD2D3">
      <w:pPr>
        <w:rPr>
          <w:rFonts w:hint="eastAsia" w:ascii="宋体" w:hAnsi="宋体" w:eastAsia="宋体" w:cs="宋体"/>
          <w:b w:val="0"/>
          <w:bCs/>
          <w:color w:val="auto"/>
          <w:szCs w:val="24"/>
        </w:rPr>
      </w:pPr>
      <w:r>
        <w:rPr>
          <w:rFonts w:hint="eastAsia" w:ascii="宋体" w:hAnsi="宋体" w:eastAsia="宋体" w:cs="宋体"/>
          <w:b w:val="0"/>
          <w:bCs/>
          <w:color w:val="auto"/>
          <w:szCs w:val="24"/>
        </w:rPr>
        <w:t>Ethiopia.</w:t>
      </w:r>
    </w:p>
    <w:p w14:paraId="4EB50E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(2)Department of Internal Medicine St. Paul's Hospital Millennium Medical </w:t>
      </w:r>
    </w:p>
    <w:p w14:paraId="410DAD07">
      <w:pPr>
        <w:rPr>
          <w:rFonts w:hint="eastAsia" w:ascii="宋体" w:hAnsi="宋体" w:eastAsia="宋体" w:cs="宋体"/>
          <w:b w:val="0"/>
          <w:bCs/>
          <w:color w:val="auto"/>
          <w:szCs w:val="24"/>
        </w:rPr>
      </w:pPr>
      <w:r>
        <w:rPr>
          <w:rFonts w:hint="eastAsia" w:ascii="宋体" w:hAnsi="宋体" w:eastAsia="宋体" w:cs="宋体"/>
          <w:b w:val="0"/>
          <w:bCs/>
          <w:color w:val="auto"/>
          <w:szCs w:val="24"/>
        </w:rPr>
        <w:t>College Addis Ababa Ethiopia.</w:t>
      </w:r>
    </w:p>
    <w:p w14:paraId="0F42B7B0">
      <w:pPr>
        <w:rPr>
          <w:rFonts w:hint="eastAsia" w:ascii="宋体" w:hAnsi="宋体" w:eastAsia="宋体" w:cs="宋体"/>
          <w:b w:val="0"/>
          <w:bCs/>
          <w:color w:val="auto"/>
          <w:szCs w:val="24"/>
        </w:rPr>
      </w:pPr>
      <w:r>
        <w:rPr>
          <w:rFonts w:hint="eastAsia" w:ascii="宋体" w:hAnsi="宋体" w:eastAsia="宋体" w:cs="宋体"/>
          <w:b w:val="0"/>
          <w:bCs/>
          <w:color w:val="auto"/>
          <w:szCs w:val="24"/>
        </w:rPr>
        <w:t>(3)Department of Internal Medicine University of Gondar Gondar Ethiopia.</w:t>
      </w:r>
    </w:p>
    <w:p w14:paraId="651CD41F">
      <w:pPr>
        <w:rPr>
          <w:rFonts w:hint="eastAsia" w:ascii="宋体" w:hAnsi="宋体" w:eastAsia="宋体" w:cs="宋体"/>
          <w:b w:val="0"/>
          <w:bCs/>
          <w:color w:val="auto"/>
          <w:szCs w:val="24"/>
        </w:rPr>
      </w:pPr>
      <w:r>
        <w:rPr>
          <w:rFonts w:hint="eastAsia" w:ascii="宋体" w:hAnsi="宋体" w:eastAsia="宋体" w:cs="宋体"/>
          <w:b w:val="0"/>
          <w:bCs/>
          <w:color w:val="auto"/>
          <w:szCs w:val="24"/>
        </w:rPr>
        <w:t>(4)Department of Internal Medicine Arsi University Asella Ethiopia.</w:t>
      </w:r>
    </w:p>
    <w:p w14:paraId="7F081C67">
      <w:pPr>
        <w:rPr>
          <w:rFonts w:hint="eastAsia" w:ascii="宋体" w:hAnsi="宋体" w:eastAsia="宋体" w:cs="宋体"/>
          <w:b w:val="0"/>
          <w:bCs/>
          <w:color w:val="auto"/>
          <w:szCs w:val="24"/>
        </w:rPr>
      </w:pPr>
      <w:r>
        <w:rPr>
          <w:rFonts w:hint="eastAsia" w:ascii="宋体" w:hAnsi="宋体" w:eastAsia="宋体" w:cs="宋体"/>
          <w:b w:val="0"/>
          <w:bCs/>
          <w:color w:val="auto"/>
          <w:szCs w:val="24"/>
        </w:rPr>
        <w:t>(5)Department of Internal Medicine Aksum University Aksum Ethiopia.</w:t>
      </w:r>
    </w:p>
    <w:p w14:paraId="48E5474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(6)Department of Radiology St. Paul's Hospital Millennium Medical College Addis </w:t>
      </w:r>
    </w:p>
    <w:p w14:paraId="4D4F83DA">
      <w:pPr>
        <w:rPr>
          <w:rFonts w:hint="eastAsia" w:ascii="宋体" w:hAnsi="宋体" w:eastAsia="宋体" w:cs="宋体"/>
          <w:b w:val="0"/>
          <w:bCs/>
          <w:color w:val="auto"/>
          <w:szCs w:val="24"/>
        </w:rPr>
      </w:pPr>
      <w:r>
        <w:rPr>
          <w:rFonts w:hint="eastAsia" w:ascii="宋体" w:hAnsi="宋体" w:eastAsia="宋体" w:cs="宋体"/>
          <w:b w:val="0"/>
          <w:bCs/>
          <w:color w:val="auto"/>
          <w:szCs w:val="24"/>
        </w:rPr>
        <w:t>Ababa Ethiopia.</w:t>
      </w:r>
    </w:p>
    <w:p w14:paraId="2FFAFE9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(7)Department of Internal Medicine Adama Hospital Medical College Adama </w:t>
      </w:r>
    </w:p>
    <w:p w14:paraId="72D57EA6">
      <w:pPr>
        <w:rPr>
          <w:rFonts w:hint="eastAsia" w:ascii="宋体" w:hAnsi="宋体" w:eastAsia="宋体" w:cs="宋体"/>
          <w:b w:val="0"/>
          <w:bCs/>
          <w:color w:val="auto"/>
          <w:szCs w:val="24"/>
        </w:rPr>
      </w:pPr>
      <w:r>
        <w:rPr>
          <w:rFonts w:hint="eastAsia" w:ascii="宋体" w:hAnsi="宋体" w:eastAsia="宋体" w:cs="宋体"/>
          <w:b w:val="0"/>
          <w:bCs/>
          <w:color w:val="auto"/>
          <w:szCs w:val="24"/>
        </w:rPr>
        <w:t>Ethiopia.</w:t>
      </w:r>
    </w:p>
    <w:p w14:paraId="7D62CA4C">
      <w:pPr>
        <w:rPr>
          <w:rFonts w:hint="eastAsia" w:ascii="宋体" w:hAnsi="宋体" w:eastAsia="宋体" w:cs="宋体"/>
          <w:b w:val="0"/>
          <w:bCs/>
          <w:color w:val="auto"/>
          <w:szCs w:val="24"/>
        </w:rPr>
      </w:pPr>
    </w:p>
    <w:p w14:paraId="377B512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Periportal tuberculous lymphadenitis with obstructive jaundice is rare and may </w:t>
      </w:r>
    </w:p>
    <w:p w14:paraId="2408425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mimic malignancy. We report a case of obstructive jaundice caused by a </w:t>
      </w:r>
    </w:p>
    <w:p w14:paraId="186B70B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periportal tuberculous mass confirmed by fine-needle aspiration and GeneXpert. </w:t>
      </w:r>
    </w:p>
    <w:p w14:paraId="1B223E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Treatment was complicated by anti-tuberculous drug-induced liver injury. </w:t>
      </w:r>
    </w:p>
    <w:p w14:paraId="4EFCC826">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Tuberculosis should be considered in the differential diagnosis in endemic </w:t>
      </w:r>
    </w:p>
    <w:p w14:paraId="1C8E0E6B">
      <w:pPr>
        <w:rPr>
          <w:rFonts w:hint="eastAsia" w:ascii="宋体" w:hAnsi="宋体" w:eastAsia="宋体" w:cs="宋体"/>
          <w:b w:val="0"/>
          <w:bCs/>
          <w:color w:val="auto"/>
          <w:szCs w:val="24"/>
        </w:rPr>
      </w:pPr>
      <w:r>
        <w:rPr>
          <w:rFonts w:hint="eastAsia" w:ascii="宋体" w:hAnsi="宋体" w:eastAsia="宋体" w:cs="宋体"/>
          <w:b w:val="0"/>
          <w:bCs/>
          <w:color w:val="auto"/>
          <w:szCs w:val="24"/>
        </w:rPr>
        <w:t>settings.</w:t>
      </w:r>
    </w:p>
    <w:p w14:paraId="0782E69D">
      <w:pPr>
        <w:rPr>
          <w:rFonts w:hint="eastAsia" w:ascii="宋体" w:hAnsi="宋体" w:eastAsia="宋体" w:cs="宋体"/>
          <w:b w:val="0"/>
          <w:bCs/>
          <w:color w:val="auto"/>
          <w:szCs w:val="24"/>
        </w:rPr>
      </w:pPr>
    </w:p>
    <w:p w14:paraId="68594906">
      <w:pPr>
        <w:rPr>
          <w:rFonts w:hint="eastAsia" w:ascii="宋体" w:hAnsi="宋体" w:eastAsia="宋体" w:cs="宋体"/>
          <w:b w:val="0"/>
          <w:bCs/>
          <w:color w:val="auto"/>
          <w:szCs w:val="24"/>
        </w:rPr>
      </w:pPr>
      <w:r>
        <w:rPr>
          <w:rFonts w:hint="eastAsia" w:ascii="宋体" w:hAnsi="宋体" w:eastAsia="宋体" w:cs="宋体"/>
          <w:b w:val="0"/>
          <w:bCs/>
          <w:color w:val="auto"/>
          <w:szCs w:val="24"/>
        </w:rPr>
        <w:t>© 2026 The Author(s). Clinical Case Reports published by John Wiley &amp; Sons Ltd.</w:t>
      </w:r>
    </w:p>
    <w:p w14:paraId="227B7C78">
      <w:pPr>
        <w:rPr>
          <w:rFonts w:hint="eastAsia" w:ascii="宋体" w:hAnsi="宋体" w:eastAsia="宋体" w:cs="宋体"/>
          <w:b w:val="0"/>
          <w:bCs/>
          <w:color w:val="auto"/>
          <w:szCs w:val="24"/>
        </w:rPr>
      </w:pPr>
    </w:p>
    <w:p w14:paraId="7BA7119F">
      <w:pPr>
        <w:rPr>
          <w:rFonts w:hint="eastAsia" w:ascii="宋体" w:hAnsi="宋体" w:eastAsia="宋体" w:cs="宋体"/>
          <w:b w:val="0"/>
          <w:bCs/>
          <w:color w:val="auto"/>
          <w:szCs w:val="24"/>
        </w:rPr>
      </w:pPr>
      <w:r>
        <w:rPr>
          <w:rFonts w:hint="eastAsia" w:ascii="宋体" w:hAnsi="宋体" w:eastAsia="宋体" w:cs="宋体"/>
          <w:b w:val="0"/>
          <w:bCs/>
          <w:color w:val="auto"/>
          <w:szCs w:val="24"/>
        </w:rPr>
        <w:t>DOI: 10.1002/ccr3.73443</w:t>
      </w:r>
    </w:p>
    <w:p w14:paraId="6F08C8CC">
      <w:pPr>
        <w:rPr>
          <w:rFonts w:hint="eastAsia" w:ascii="宋体" w:hAnsi="宋体" w:eastAsia="宋体" w:cs="宋体"/>
          <w:b w:val="0"/>
          <w:bCs/>
          <w:color w:val="auto"/>
          <w:szCs w:val="24"/>
        </w:rPr>
      </w:pPr>
      <w:r>
        <w:rPr>
          <w:rFonts w:hint="eastAsia" w:ascii="宋体" w:hAnsi="宋体" w:eastAsia="宋体" w:cs="宋体"/>
          <w:b w:val="0"/>
          <w:bCs/>
          <w:color w:val="auto"/>
          <w:szCs w:val="24"/>
        </w:rPr>
        <w:t>PMCID: PMC13547573</w:t>
      </w:r>
    </w:p>
    <w:p w14:paraId="19CD9A31">
      <w:pPr>
        <w:rPr>
          <w:rFonts w:hint="eastAsia" w:ascii="宋体" w:hAnsi="宋体" w:eastAsia="宋体" w:cs="宋体"/>
          <w:b w:val="0"/>
          <w:bCs/>
          <w:color w:val="auto"/>
          <w:szCs w:val="24"/>
        </w:rPr>
      </w:pPr>
      <w:r>
        <w:rPr>
          <w:rFonts w:hint="eastAsia" w:ascii="宋体" w:hAnsi="宋体" w:eastAsia="宋体" w:cs="宋体"/>
          <w:b w:val="0"/>
          <w:bCs/>
          <w:color w:val="auto"/>
          <w:szCs w:val="24"/>
        </w:rPr>
        <w:t>PMID: 42707556</w:t>
      </w:r>
    </w:p>
    <w:p w14:paraId="09116437">
      <w:pPr>
        <w:rPr>
          <w:rFonts w:hint="eastAsia" w:ascii="宋体" w:hAnsi="宋体" w:eastAsia="宋体" w:cs="宋体"/>
          <w:b w:val="0"/>
          <w:bCs/>
          <w:color w:val="auto"/>
          <w:szCs w:val="24"/>
        </w:rPr>
      </w:pPr>
    </w:p>
    <w:p w14:paraId="2E4089AD">
      <w:pPr>
        <w:rPr>
          <w:rFonts w:hint="eastAsia" w:ascii="宋体" w:hAnsi="宋体" w:eastAsia="宋体" w:cs="宋体"/>
          <w:b/>
          <w:bCs w:val="0"/>
          <w:color w:val="FF0000"/>
          <w:szCs w:val="24"/>
        </w:rPr>
      </w:pPr>
      <w:r>
        <w:rPr>
          <w:rFonts w:hint="eastAsia" w:ascii="宋体" w:hAnsi="宋体" w:eastAsia="宋体" w:cs="宋体"/>
          <w:b/>
          <w:bCs w:val="0"/>
          <w:color w:val="FF0000"/>
          <w:szCs w:val="24"/>
          <w:lang w:val="en-US" w:eastAsia="zh-CN"/>
        </w:rPr>
        <w:t>83</w:t>
      </w:r>
      <w:r>
        <w:rPr>
          <w:rFonts w:hint="eastAsia" w:ascii="宋体" w:hAnsi="宋体" w:eastAsia="宋体" w:cs="宋体"/>
          <w:b/>
          <w:bCs w:val="0"/>
          <w:color w:val="FF0000"/>
          <w:szCs w:val="24"/>
        </w:rPr>
        <w:t>. Rev Recent Clin Trials. 2026 Aug 28. doi: 10.2174/0115748871480507260818100159. Online ahead of print.</w:t>
      </w:r>
    </w:p>
    <w:p w14:paraId="146C2A30">
      <w:pPr>
        <w:rPr>
          <w:rFonts w:hint="eastAsia" w:ascii="宋体" w:hAnsi="宋体" w:eastAsia="宋体" w:cs="宋体"/>
          <w:b w:val="0"/>
          <w:bCs/>
          <w:color w:val="auto"/>
          <w:szCs w:val="24"/>
        </w:rPr>
      </w:pPr>
    </w:p>
    <w:p w14:paraId="4DC7AF4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 Scoping Review on Fast Diagnosis of Tuberculosis: Counting Clinical Trials and </w:t>
      </w:r>
    </w:p>
    <w:p w14:paraId="251E26DB">
      <w:pPr>
        <w:rPr>
          <w:rFonts w:hint="eastAsia" w:ascii="宋体" w:hAnsi="宋体" w:eastAsia="宋体" w:cs="宋体"/>
          <w:b w:val="0"/>
          <w:bCs/>
          <w:color w:val="auto"/>
          <w:szCs w:val="24"/>
        </w:rPr>
      </w:pPr>
      <w:r>
        <w:rPr>
          <w:rFonts w:hint="eastAsia" w:ascii="宋体" w:hAnsi="宋体" w:eastAsia="宋体" w:cs="宋体"/>
          <w:b w:val="0"/>
          <w:bCs/>
          <w:color w:val="auto"/>
          <w:szCs w:val="24"/>
        </w:rPr>
        <w:t>Patent Highlights.</w:t>
      </w:r>
    </w:p>
    <w:p w14:paraId="0BEA1FD3">
      <w:pPr>
        <w:rPr>
          <w:rFonts w:hint="eastAsia" w:ascii="宋体" w:hAnsi="宋体" w:eastAsia="宋体" w:cs="宋体"/>
          <w:b w:val="0"/>
          <w:bCs/>
          <w:color w:val="auto"/>
          <w:szCs w:val="24"/>
        </w:rPr>
      </w:pPr>
    </w:p>
    <w:p w14:paraId="28803F86">
      <w:pPr>
        <w:rPr>
          <w:rFonts w:hint="eastAsia" w:ascii="宋体" w:hAnsi="宋体" w:eastAsia="宋体" w:cs="宋体"/>
          <w:b w:val="0"/>
          <w:bCs/>
          <w:color w:val="auto"/>
          <w:szCs w:val="24"/>
        </w:rPr>
      </w:pPr>
      <w:r>
        <w:rPr>
          <w:rFonts w:hint="eastAsia" w:ascii="宋体" w:hAnsi="宋体" w:eastAsia="宋体" w:cs="宋体"/>
          <w:b w:val="0"/>
          <w:bCs/>
          <w:color w:val="auto"/>
          <w:szCs w:val="24"/>
        </w:rPr>
        <w:t>Parveen S(1), Shahjad(1), Nandi S(1).</w:t>
      </w:r>
    </w:p>
    <w:p w14:paraId="29748B5D">
      <w:pPr>
        <w:rPr>
          <w:rFonts w:hint="eastAsia" w:ascii="宋体" w:hAnsi="宋体" w:eastAsia="宋体" w:cs="宋体"/>
          <w:b w:val="0"/>
          <w:bCs/>
          <w:color w:val="auto"/>
          <w:szCs w:val="24"/>
        </w:rPr>
      </w:pPr>
    </w:p>
    <w:p w14:paraId="26766B91">
      <w:pPr>
        <w:rPr>
          <w:rFonts w:hint="eastAsia" w:ascii="宋体" w:hAnsi="宋体" w:eastAsia="宋体" w:cs="宋体"/>
          <w:b w:val="0"/>
          <w:bCs/>
          <w:color w:val="auto"/>
          <w:szCs w:val="24"/>
        </w:rPr>
      </w:pPr>
      <w:r>
        <w:rPr>
          <w:rFonts w:hint="eastAsia" w:ascii="宋体" w:hAnsi="宋体" w:eastAsia="宋体" w:cs="宋体"/>
          <w:b w:val="0"/>
          <w:bCs/>
          <w:color w:val="auto"/>
          <w:szCs w:val="24"/>
        </w:rPr>
        <w:t>Author information:</w:t>
      </w:r>
    </w:p>
    <w:p w14:paraId="08D34A9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(1)Department of Pharmaceutical Chemistry, Global Institute of Pharmaceutical </w:t>
      </w:r>
    </w:p>
    <w:p w14:paraId="1A3D568E">
      <w:pPr>
        <w:rPr>
          <w:rFonts w:hint="eastAsia" w:ascii="宋体" w:hAnsi="宋体" w:eastAsia="宋体" w:cs="宋体"/>
          <w:b w:val="0"/>
          <w:bCs/>
          <w:color w:val="auto"/>
          <w:szCs w:val="24"/>
        </w:rPr>
      </w:pPr>
      <w:r>
        <w:rPr>
          <w:rFonts w:hint="eastAsia" w:ascii="宋体" w:hAnsi="宋体" w:eastAsia="宋体" w:cs="宋体"/>
          <w:b w:val="0"/>
          <w:bCs/>
          <w:color w:val="auto"/>
          <w:szCs w:val="24"/>
        </w:rPr>
        <w:t>Education and Research, Kashipur, 244713, India.</w:t>
      </w:r>
    </w:p>
    <w:p w14:paraId="752D3AAD">
      <w:pPr>
        <w:rPr>
          <w:rFonts w:hint="eastAsia" w:ascii="宋体" w:hAnsi="宋体" w:eastAsia="宋体" w:cs="宋体"/>
          <w:b w:val="0"/>
          <w:bCs/>
          <w:color w:val="auto"/>
          <w:szCs w:val="24"/>
        </w:rPr>
      </w:pPr>
    </w:p>
    <w:p w14:paraId="2FA5D597">
      <w:pPr>
        <w:rPr>
          <w:rFonts w:hint="eastAsia" w:ascii="宋体" w:hAnsi="宋体" w:eastAsia="宋体" w:cs="宋体"/>
          <w:b w:val="0"/>
          <w:bCs/>
          <w:color w:val="auto"/>
          <w:szCs w:val="24"/>
        </w:rPr>
      </w:pPr>
      <w:r>
        <w:rPr>
          <w:rFonts w:hint="eastAsia" w:ascii="宋体" w:hAnsi="宋体" w:eastAsia="宋体" w:cs="宋体"/>
          <w:b/>
          <w:bCs w:val="0"/>
          <w:color w:val="auto"/>
          <w:szCs w:val="24"/>
        </w:rPr>
        <w:t>INTRODUCTION: T</w:t>
      </w:r>
      <w:r>
        <w:rPr>
          <w:rFonts w:hint="eastAsia" w:ascii="宋体" w:hAnsi="宋体" w:eastAsia="宋体" w:cs="宋体"/>
          <w:b w:val="0"/>
          <w:bCs/>
          <w:color w:val="auto"/>
          <w:szCs w:val="24"/>
        </w:rPr>
        <w:t xml:space="preserve">uberculosis (TB), induced by Mycobacterium tuberculosis (Mtb), </w:t>
      </w:r>
    </w:p>
    <w:p w14:paraId="7E5709D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constitutes a significant global public health issue, particularly for </w:t>
      </w:r>
    </w:p>
    <w:p w14:paraId="08851A0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immunocompromised individuals who have HIV or cancer and are susceptible to </w:t>
      </w:r>
    </w:p>
    <w:p w14:paraId="3888A19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latent tuberculosis. The Directly Observed Treatment Short (DOTS) course </w:t>
      </w:r>
    </w:p>
    <w:p w14:paraId="21EE0375">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comprises isoniazid, rifampin, pyrazinamide, and ethambutol, which are </w:t>
      </w:r>
    </w:p>
    <w:p w14:paraId="47304150">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administered to treat tuberculosis. Intentional or unintentional missed doses or </w:t>
      </w:r>
    </w:p>
    <w:p w14:paraId="1A3D304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inferior formulations have resulted in MDR-TB. Prompt and correct diagnosis is </w:t>
      </w:r>
    </w:p>
    <w:p w14:paraId="39C3C75B">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urgent to initiate treatment. The present study attempts to explore patient </w:t>
      </w:r>
    </w:p>
    <w:p w14:paraId="4DF3045C">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demographics, prompt TB diagnosis, and anti-tubercular medications under </w:t>
      </w:r>
    </w:p>
    <w:p w14:paraId="0F6289BC">
      <w:pPr>
        <w:rPr>
          <w:rFonts w:hint="eastAsia" w:ascii="宋体" w:hAnsi="宋体" w:eastAsia="宋体" w:cs="宋体"/>
          <w:b w:val="0"/>
          <w:bCs/>
          <w:color w:val="auto"/>
          <w:szCs w:val="24"/>
        </w:rPr>
      </w:pPr>
      <w:r>
        <w:rPr>
          <w:rFonts w:hint="eastAsia" w:ascii="宋体" w:hAnsi="宋体" w:eastAsia="宋体" w:cs="宋体"/>
          <w:b w:val="0"/>
          <w:bCs/>
          <w:color w:val="auto"/>
          <w:szCs w:val="24"/>
        </w:rPr>
        <w:t>surveillance.</w:t>
      </w:r>
    </w:p>
    <w:p w14:paraId="3BC91068">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METHODS: </w:t>
      </w:r>
      <w:r>
        <w:rPr>
          <w:rFonts w:hint="eastAsia" w:ascii="宋体" w:hAnsi="宋体" w:eastAsia="宋体" w:cs="宋体"/>
          <w:b w:val="0"/>
          <w:bCs/>
          <w:color w:val="auto"/>
          <w:szCs w:val="24"/>
        </w:rPr>
        <w:t xml:space="preserve">A comprehensive literature search was performed to identify relevant </w:t>
      </w:r>
    </w:p>
    <w:p w14:paraId="2216E94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studies published between 2018 and 2025, using electronic databases including </w:t>
      </w:r>
    </w:p>
    <w:p w14:paraId="3A86A22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PubMed, Scopus, Web of Science, ScienceDirect, and Google Scholar. Search terms </w:t>
      </w:r>
    </w:p>
    <w:p w14:paraId="2840C1E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were applied using combinations of controlled vocabulary and free-text keywords, </w:t>
      </w:r>
    </w:p>
    <w:p w14:paraId="4443EE2D">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including Mycobacterium tuberculosis, MDR and XDR-TB, antitubercular drugs, </w:t>
      </w:r>
    </w:p>
    <w:p w14:paraId="482AC81E">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clinical trials, and patents on fast detection of tuberculosis and easy </w:t>
      </w:r>
    </w:p>
    <w:p w14:paraId="16E13CF8">
      <w:pPr>
        <w:rPr>
          <w:rFonts w:hint="eastAsia" w:ascii="宋体" w:hAnsi="宋体" w:eastAsia="宋体" w:cs="宋体"/>
          <w:b w:val="0"/>
          <w:bCs/>
          <w:color w:val="auto"/>
          <w:szCs w:val="24"/>
        </w:rPr>
      </w:pPr>
      <w:r>
        <w:rPr>
          <w:rFonts w:hint="eastAsia" w:ascii="宋体" w:hAnsi="宋体" w:eastAsia="宋体" w:cs="宋体"/>
          <w:b w:val="0"/>
          <w:bCs/>
          <w:color w:val="auto"/>
          <w:szCs w:val="24"/>
        </w:rPr>
        <w:t>diagnosis of Mtb. Studies not focused on the said area were excluded.</w:t>
      </w:r>
    </w:p>
    <w:p w14:paraId="388FD136">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RESULTS: </w:t>
      </w:r>
      <w:r>
        <w:rPr>
          <w:rFonts w:hint="eastAsia" w:ascii="宋体" w:hAnsi="宋体" w:eastAsia="宋体" w:cs="宋体"/>
          <w:b w:val="0"/>
          <w:bCs/>
          <w:color w:val="auto"/>
          <w:szCs w:val="24"/>
        </w:rPr>
        <w:t xml:space="preserve">Traditional diagnostic methods, while relatively affordable, were found </w:t>
      </w:r>
    </w:p>
    <w:p w14:paraId="618B4CC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to be timeconsuming and limited in sensitivity, particularly in HIV-positive TB </w:t>
      </w:r>
    </w:p>
    <w:p w14:paraId="04999BA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patients to whom conventional immune-based tests may yield false-negative </w:t>
      </w:r>
    </w:p>
    <w:p w14:paraId="5908217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results. The present study reviewed novel diagnostic technologies, including </w:t>
      </w:r>
    </w:p>
    <w:p w14:paraId="37931D4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advanced molecular techniques such as RT-qPCR and RNA sequencing, which offered </w:t>
      </w:r>
    </w:p>
    <w:p w14:paraId="094D7CF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rapid, highly specific identification of drug-resistant strains. Point-of-care </w:t>
      </w:r>
    </w:p>
    <w:p w14:paraId="78885CD7">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platforms and immunological assays showed strong potential for deployment in </w:t>
      </w:r>
    </w:p>
    <w:p w14:paraId="15A94DC1">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resource-limited settings, addressing critical gaps in diagnostic access. Gene </w:t>
      </w:r>
    </w:p>
    <w:p w14:paraId="17B57D5A">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expression profiling further enabled distinguishing active TB from latent </w:t>
      </w:r>
    </w:p>
    <w:p w14:paraId="289A13E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infection and predicting treatment response, providing a foundation for more </w:t>
      </w:r>
    </w:p>
    <w:p w14:paraId="02C6A97C">
      <w:pPr>
        <w:rPr>
          <w:rFonts w:hint="eastAsia" w:ascii="宋体" w:hAnsi="宋体" w:eastAsia="宋体" w:cs="宋体"/>
          <w:b w:val="0"/>
          <w:bCs/>
          <w:color w:val="auto"/>
          <w:szCs w:val="24"/>
        </w:rPr>
      </w:pPr>
      <w:r>
        <w:rPr>
          <w:rFonts w:hint="eastAsia" w:ascii="宋体" w:hAnsi="宋体" w:eastAsia="宋体" w:cs="宋体"/>
          <w:b w:val="0"/>
          <w:bCs/>
          <w:color w:val="auto"/>
          <w:szCs w:val="24"/>
        </w:rPr>
        <w:t>personalized therapeutic strategies.</w:t>
      </w:r>
    </w:p>
    <w:p w14:paraId="20C5B185">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DISCUSSION: </w:t>
      </w:r>
      <w:r>
        <w:rPr>
          <w:rFonts w:hint="eastAsia" w:ascii="宋体" w:hAnsi="宋体" w:eastAsia="宋体" w:cs="宋体"/>
          <w:b w:val="0"/>
          <w:bCs/>
          <w:color w:val="auto"/>
          <w:szCs w:val="24"/>
        </w:rPr>
        <w:t xml:space="preserve">Rapid diagnosis of the specific disease can initiate appropriate </w:t>
      </w:r>
    </w:p>
    <w:p w14:paraId="609FCF5A">
      <w:pPr>
        <w:rPr>
          <w:rFonts w:hint="eastAsia" w:ascii="宋体" w:hAnsi="宋体" w:eastAsia="宋体" w:cs="宋体"/>
          <w:b w:val="0"/>
          <w:bCs/>
          <w:color w:val="auto"/>
          <w:szCs w:val="24"/>
        </w:rPr>
      </w:pPr>
      <w:r>
        <w:rPr>
          <w:rFonts w:hint="eastAsia" w:ascii="宋体" w:hAnsi="宋体" w:eastAsia="宋体" w:cs="宋体"/>
          <w:b w:val="0"/>
          <w:bCs/>
          <w:color w:val="auto"/>
          <w:szCs w:val="24"/>
        </w:rPr>
        <w:t>treatment, which can save the patient's life.</w:t>
      </w:r>
    </w:p>
    <w:p w14:paraId="30C6D037">
      <w:pPr>
        <w:rPr>
          <w:rFonts w:hint="eastAsia" w:ascii="宋体" w:hAnsi="宋体" w:eastAsia="宋体" w:cs="宋体"/>
          <w:b w:val="0"/>
          <w:bCs/>
          <w:color w:val="auto"/>
          <w:szCs w:val="24"/>
        </w:rPr>
      </w:pPr>
      <w:r>
        <w:rPr>
          <w:rFonts w:hint="eastAsia" w:ascii="宋体" w:hAnsi="宋体" w:eastAsia="宋体" w:cs="宋体"/>
          <w:b/>
          <w:bCs w:val="0"/>
          <w:color w:val="auto"/>
          <w:szCs w:val="24"/>
        </w:rPr>
        <w:t xml:space="preserve">CONCLUSION: </w:t>
      </w:r>
      <w:r>
        <w:rPr>
          <w:rFonts w:hint="eastAsia" w:ascii="宋体" w:hAnsi="宋体" w:eastAsia="宋体" w:cs="宋体"/>
          <w:b w:val="0"/>
          <w:bCs/>
          <w:color w:val="auto"/>
          <w:szCs w:val="24"/>
        </w:rPr>
        <w:t xml:space="preserve">Timely and accurate diagnosis of TB, particularly drug-resistant </w:t>
      </w:r>
    </w:p>
    <w:p w14:paraId="1AFA4A58">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forms, is essential for guiding appropriate treatment and preventing the further </w:t>
      </w:r>
    </w:p>
    <w:p w14:paraId="0B592B32">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spread of MDR-TB and XDR-TB. Early TB detection helps make the right choice of </w:t>
      </w:r>
    </w:p>
    <w:p w14:paraId="05C9BEC3">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specific current antitubercular chemotherapeutics, as strongly recommended in </w:t>
      </w:r>
    </w:p>
    <w:p w14:paraId="3EC2C114">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the present scoping review for the global effort to eradicate drug-resistant </w:t>
      </w:r>
    </w:p>
    <w:p w14:paraId="148495E1">
      <w:pPr>
        <w:rPr>
          <w:rFonts w:hint="eastAsia" w:ascii="宋体" w:hAnsi="宋体" w:eastAsia="宋体" w:cs="宋体"/>
          <w:b w:val="0"/>
          <w:bCs/>
          <w:color w:val="auto"/>
          <w:szCs w:val="24"/>
        </w:rPr>
      </w:pPr>
      <w:r>
        <w:rPr>
          <w:rFonts w:hint="eastAsia" w:ascii="宋体" w:hAnsi="宋体" w:eastAsia="宋体" w:cs="宋体"/>
          <w:b w:val="0"/>
          <w:bCs/>
          <w:color w:val="auto"/>
          <w:szCs w:val="24"/>
        </w:rPr>
        <w:t>tuberculosis.</w:t>
      </w:r>
    </w:p>
    <w:p w14:paraId="01969DEF">
      <w:pPr>
        <w:rPr>
          <w:rFonts w:hint="eastAsia" w:ascii="宋体" w:hAnsi="宋体" w:eastAsia="宋体" w:cs="宋体"/>
          <w:b w:val="0"/>
          <w:bCs/>
          <w:color w:val="auto"/>
          <w:szCs w:val="24"/>
        </w:rPr>
      </w:pPr>
    </w:p>
    <w:p w14:paraId="4938D35F">
      <w:pPr>
        <w:rPr>
          <w:rFonts w:hint="eastAsia" w:ascii="宋体" w:hAnsi="宋体" w:eastAsia="宋体" w:cs="宋体"/>
          <w:b w:val="0"/>
          <w:bCs/>
          <w:color w:val="auto"/>
          <w:szCs w:val="24"/>
        </w:rPr>
      </w:pPr>
      <w:r>
        <w:rPr>
          <w:rFonts w:hint="eastAsia" w:ascii="宋体" w:hAnsi="宋体" w:eastAsia="宋体" w:cs="宋体"/>
          <w:b w:val="0"/>
          <w:bCs/>
          <w:color w:val="auto"/>
          <w:szCs w:val="24"/>
        </w:rPr>
        <w:t xml:space="preserve">Copyright© Bentham Science Publishers; For any queries, please email at </w:t>
      </w:r>
    </w:p>
    <w:p w14:paraId="01453834">
      <w:pPr>
        <w:rPr>
          <w:rFonts w:hint="eastAsia" w:ascii="宋体" w:hAnsi="宋体" w:eastAsia="宋体" w:cs="宋体"/>
          <w:b w:val="0"/>
          <w:bCs/>
          <w:color w:val="auto"/>
          <w:szCs w:val="24"/>
        </w:rPr>
      </w:pPr>
      <w:r>
        <w:rPr>
          <w:rFonts w:hint="eastAsia" w:ascii="宋体" w:hAnsi="宋体" w:eastAsia="宋体" w:cs="宋体"/>
          <w:b w:val="0"/>
          <w:bCs/>
          <w:color w:val="auto"/>
          <w:szCs w:val="24"/>
        </w:rPr>
        <w:t>epub@benthamscience.net.</w:t>
      </w:r>
    </w:p>
    <w:p w14:paraId="3536DD90">
      <w:pPr>
        <w:rPr>
          <w:rFonts w:hint="eastAsia" w:ascii="宋体" w:hAnsi="宋体" w:eastAsia="宋体" w:cs="宋体"/>
          <w:b w:val="0"/>
          <w:bCs/>
          <w:color w:val="auto"/>
          <w:szCs w:val="24"/>
        </w:rPr>
      </w:pPr>
    </w:p>
    <w:p w14:paraId="084A37D2">
      <w:pPr>
        <w:rPr>
          <w:rFonts w:hint="eastAsia" w:ascii="宋体" w:hAnsi="宋体" w:eastAsia="宋体" w:cs="宋体"/>
          <w:b w:val="0"/>
          <w:bCs/>
          <w:color w:val="auto"/>
          <w:szCs w:val="24"/>
        </w:rPr>
      </w:pPr>
      <w:r>
        <w:rPr>
          <w:rFonts w:hint="eastAsia" w:ascii="宋体" w:hAnsi="宋体" w:eastAsia="宋体" w:cs="宋体"/>
          <w:b w:val="0"/>
          <w:bCs/>
          <w:color w:val="auto"/>
          <w:szCs w:val="24"/>
        </w:rPr>
        <w:t>DOI: 10.2174/0115748871480507260818100159</w:t>
      </w:r>
    </w:p>
    <w:p w14:paraId="46961A7D">
      <w:pPr>
        <w:rPr>
          <w:rFonts w:hint="eastAsia" w:ascii="宋体" w:hAnsi="宋体" w:eastAsia="宋体" w:cs="宋体"/>
          <w:b w:val="0"/>
          <w:bCs/>
          <w:color w:val="auto"/>
          <w:szCs w:val="24"/>
        </w:rPr>
      </w:pPr>
      <w:r>
        <w:rPr>
          <w:rFonts w:hint="eastAsia" w:ascii="宋体" w:hAnsi="宋体" w:eastAsia="宋体" w:cs="宋体"/>
          <w:b w:val="0"/>
          <w:bCs/>
          <w:color w:val="auto"/>
          <w:szCs w:val="24"/>
        </w:rPr>
        <w:t>PMID: 42706966</w:t>
      </w:r>
    </w:p>
    <w:p w14:paraId="76D27A2F">
      <w:pPr>
        <w:rPr>
          <w:rFonts w:hint="eastAsia" w:ascii="宋体" w:hAnsi="宋体" w:eastAsia="宋体" w:cs="宋体"/>
          <w:b w:val="0"/>
          <w:bCs/>
          <w:color w:val="auto"/>
          <w:szCs w:val="24"/>
        </w:rPr>
      </w:pPr>
    </w:p>
    <w:sectPr>
      <w:pgSz w:w="11906" w:h="16838"/>
      <w:pgMar w:top="1440" w:right="1753" w:bottom="1440" w:left="175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388"/>
    <w:rsid w:val="00000EB4"/>
    <w:rsid w:val="00001BCE"/>
    <w:rsid w:val="00004FA0"/>
    <w:rsid w:val="00005480"/>
    <w:rsid w:val="0000548B"/>
    <w:rsid w:val="00005BFA"/>
    <w:rsid w:val="00006312"/>
    <w:rsid w:val="00006445"/>
    <w:rsid w:val="00006AD1"/>
    <w:rsid w:val="00007FE2"/>
    <w:rsid w:val="00010E83"/>
    <w:rsid w:val="0001109E"/>
    <w:rsid w:val="00011EE4"/>
    <w:rsid w:val="00014ACD"/>
    <w:rsid w:val="00014B97"/>
    <w:rsid w:val="00014C5C"/>
    <w:rsid w:val="000151BC"/>
    <w:rsid w:val="000163F8"/>
    <w:rsid w:val="0001793D"/>
    <w:rsid w:val="00017A03"/>
    <w:rsid w:val="00017EFF"/>
    <w:rsid w:val="00020101"/>
    <w:rsid w:val="00020316"/>
    <w:rsid w:val="0002051D"/>
    <w:rsid w:val="00021027"/>
    <w:rsid w:val="00021F93"/>
    <w:rsid w:val="00025A11"/>
    <w:rsid w:val="00026111"/>
    <w:rsid w:val="00026718"/>
    <w:rsid w:val="00030012"/>
    <w:rsid w:val="000309FE"/>
    <w:rsid w:val="000313FC"/>
    <w:rsid w:val="00032CAA"/>
    <w:rsid w:val="00032F94"/>
    <w:rsid w:val="000340CF"/>
    <w:rsid w:val="0003428A"/>
    <w:rsid w:val="00035E04"/>
    <w:rsid w:val="00036F5C"/>
    <w:rsid w:val="000370E0"/>
    <w:rsid w:val="000379B3"/>
    <w:rsid w:val="00037A3B"/>
    <w:rsid w:val="00040872"/>
    <w:rsid w:val="00042020"/>
    <w:rsid w:val="00042414"/>
    <w:rsid w:val="00042556"/>
    <w:rsid w:val="00042899"/>
    <w:rsid w:val="00044A66"/>
    <w:rsid w:val="00044B78"/>
    <w:rsid w:val="00044C28"/>
    <w:rsid w:val="00045FBC"/>
    <w:rsid w:val="000461EE"/>
    <w:rsid w:val="0004682E"/>
    <w:rsid w:val="00047272"/>
    <w:rsid w:val="000474E6"/>
    <w:rsid w:val="00047D13"/>
    <w:rsid w:val="000505E8"/>
    <w:rsid w:val="00050E61"/>
    <w:rsid w:val="00051DD5"/>
    <w:rsid w:val="000527D8"/>
    <w:rsid w:val="00052E5C"/>
    <w:rsid w:val="000531C2"/>
    <w:rsid w:val="0005401D"/>
    <w:rsid w:val="0005489E"/>
    <w:rsid w:val="00054996"/>
    <w:rsid w:val="000549F5"/>
    <w:rsid w:val="000552EE"/>
    <w:rsid w:val="000567C6"/>
    <w:rsid w:val="00056ACF"/>
    <w:rsid w:val="0006072D"/>
    <w:rsid w:val="00060930"/>
    <w:rsid w:val="00061C4E"/>
    <w:rsid w:val="00061F05"/>
    <w:rsid w:val="00062062"/>
    <w:rsid w:val="0006216E"/>
    <w:rsid w:val="0006285F"/>
    <w:rsid w:val="00063F03"/>
    <w:rsid w:val="00064D3B"/>
    <w:rsid w:val="000661FE"/>
    <w:rsid w:val="00067B6F"/>
    <w:rsid w:val="00067C37"/>
    <w:rsid w:val="00070238"/>
    <w:rsid w:val="00070407"/>
    <w:rsid w:val="0007049C"/>
    <w:rsid w:val="00071826"/>
    <w:rsid w:val="00072366"/>
    <w:rsid w:val="000724C3"/>
    <w:rsid w:val="00074388"/>
    <w:rsid w:val="00076272"/>
    <w:rsid w:val="00077EC3"/>
    <w:rsid w:val="000802F3"/>
    <w:rsid w:val="0008127A"/>
    <w:rsid w:val="000814BF"/>
    <w:rsid w:val="00082113"/>
    <w:rsid w:val="000823C5"/>
    <w:rsid w:val="00083685"/>
    <w:rsid w:val="00084FA1"/>
    <w:rsid w:val="00085FFF"/>
    <w:rsid w:val="0008630A"/>
    <w:rsid w:val="00086502"/>
    <w:rsid w:val="00087251"/>
    <w:rsid w:val="00090B3F"/>
    <w:rsid w:val="00090B53"/>
    <w:rsid w:val="0009167A"/>
    <w:rsid w:val="00091781"/>
    <w:rsid w:val="00091D4F"/>
    <w:rsid w:val="0009258E"/>
    <w:rsid w:val="00092CA5"/>
    <w:rsid w:val="00092F7F"/>
    <w:rsid w:val="00093EB4"/>
    <w:rsid w:val="000943C3"/>
    <w:rsid w:val="0009444D"/>
    <w:rsid w:val="00094774"/>
    <w:rsid w:val="00094D1C"/>
    <w:rsid w:val="0009523F"/>
    <w:rsid w:val="000961CE"/>
    <w:rsid w:val="000966AA"/>
    <w:rsid w:val="000A087D"/>
    <w:rsid w:val="000A0ACA"/>
    <w:rsid w:val="000A0F96"/>
    <w:rsid w:val="000A124E"/>
    <w:rsid w:val="000A127A"/>
    <w:rsid w:val="000A1434"/>
    <w:rsid w:val="000A1D4B"/>
    <w:rsid w:val="000A2127"/>
    <w:rsid w:val="000A2D53"/>
    <w:rsid w:val="000A2F2E"/>
    <w:rsid w:val="000A37C7"/>
    <w:rsid w:val="000A3943"/>
    <w:rsid w:val="000A3E0E"/>
    <w:rsid w:val="000A47E7"/>
    <w:rsid w:val="000A496C"/>
    <w:rsid w:val="000A4A7D"/>
    <w:rsid w:val="000A51E6"/>
    <w:rsid w:val="000A5D84"/>
    <w:rsid w:val="000A6101"/>
    <w:rsid w:val="000A72A6"/>
    <w:rsid w:val="000B00E0"/>
    <w:rsid w:val="000B0CA1"/>
    <w:rsid w:val="000B0CAE"/>
    <w:rsid w:val="000B1016"/>
    <w:rsid w:val="000B115F"/>
    <w:rsid w:val="000B13CA"/>
    <w:rsid w:val="000B16AA"/>
    <w:rsid w:val="000B18A0"/>
    <w:rsid w:val="000B2704"/>
    <w:rsid w:val="000B2997"/>
    <w:rsid w:val="000B2D0A"/>
    <w:rsid w:val="000B39CD"/>
    <w:rsid w:val="000B579D"/>
    <w:rsid w:val="000B58BE"/>
    <w:rsid w:val="000B5A38"/>
    <w:rsid w:val="000B5C58"/>
    <w:rsid w:val="000B6618"/>
    <w:rsid w:val="000B6906"/>
    <w:rsid w:val="000B6914"/>
    <w:rsid w:val="000B6D3C"/>
    <w:rsid w:val="000B7B81"/>
    <w:rsid w:val="000B7B97"/>
    <w:rsid w:val="000C04D5"/>
    <w:rsid w:val="000C1093"/>
    <w:rsid w:val="000C3590"/>
    <w:rsid w:val="000C3A90"/>
    <w:rsid w:val="000C488A"/>
    <w:rsid w:val="000C5482"/>
    <w:rsid w:val="000C614D"/>
    <w:rsid w:val="000C683A"/>
    <w:rsid w:val="000C71E1"/>
    <w:rsid w:val="000D02D3"/>
    <w:rsid w:val="000D205B"/>
    <w:rsid w:val="000D2241"/>
    <w:rsid w:val="000D2A9B"/>
    <w:rsid w:val="000D2B94"/>
    <w:rsid w:val="000D2F64"/>
    <w:rsid w:val="000D3403"/>
    <w:rsid w:val="000D5656"/>
    <w:rsid w:val="000D6450"/>
    <w:rsid w:val="000D7BF2"/>
    <w:rsid w:val="000E052F"/>
    <w:rsid w:val="000E2388"/>
    <w:rsid w:val="000E2E0D"/>
    <w:rsid w:val="000E4DF7"/>
    <w:rsid w:val="000E615C"/>
    <w:rsid w:val="000E6A33"/>
    <w:rsid w:val="000E6C23"/>
    <w:rsid w:val="000E713B"/>
    <w:rsid w:val="000F0847"/>
    <w:rsid w:val="000F0A49"/>
    <w:rsid w:val="000F0D00"/>
    <w:rsid w:val="000F1E63"/>
    <w:rsid w:val="000F1FFB"/>
    <w:rsid w:val="000F24D7"/>
    <w:rsid w:val="000F3795"/>
    <w:rsid w:val="000F39E9"/>
    <w:rsid w:val="000F3B6A"/>
    <w:rsid w:val="000F41CE"/>
    <w:rsid w:val="000F5BE2"/>
    <w:rsid w:val="000F6938"/>
    <w:rsid w:val="000F6B20"/>
    <w:rsid w:val="000F7FE8"/>
    <w:rsid w:val="001009A0"/>
    <w:rsid w:val="00100A49"/>
    <w:rsid w:val="00101FDC"/>
    <w:rsid w:val="0010360B"/>
    <w:rsid w:val="00103B38"/>
    <w:rsid w:val="001045B5"/>
    <w:rsid w:val="00104C1E"/>
    <w:rsid w:val="00104CC5"/>
    <w:rsid w:val="00106495"/>
    <w:rsid w:val="001100AE"/>
    <w:rsid w:val="001111F4"/>
    <w:rsid w:val="00112102"/>
    <w:rsid w:val="001128DA"/>
    <w:rsid w:val="00113B07"/>
    <w:rsid w:val="001146C5"/>
    <w:rsid w:val="00115AA0"/>
    <w:rsid w:val="001160B6"/>
    <w:rsid w:val="00117A55"/>
    <w:rsid w:val="00117E9C"/>
    <w:rsid w:val="00120200"/>
    <w:rsid w:val="00120C7E"/>
    <w:rsid w:val="00122BB5"/>
    <w:rsid w:val="00123084"/>
    <w:rsid w:val="0012313C"/>
    <w:rsid w:val="001232FE"/>
    <w:rsid w:val="001239BF"/>
    <w:rsid w:val="00123B2B"/>
    <w:rsid w:val="00123D14"/>
    <w:rsid w:val="00124054"/>
    <w:rsid w:val="00124203"/>
    <w:rsid w:val="00124FA0"/>
    <w:rsid w:val="001250F8"/>
    <w:rsid w:val="001258E8"/>
    <w:rsid w:val="00130332"/>
    <w:rsid w:val="00130522"/>
    <w:rsid w:val="00131064"/>
    <w:rsid w:val="00131D02"/>
    <w:rsid w:val="00131F89"/>
    <w:rsid w:val="00132F05"/>
    <w:rsid w:val="0013385F"/>
    <w:rsid w:val="00133BD7"/>
    <w:rsid w:val="00133F6C"/>
    <w:rsid w:val="0013533E"/>
    <w:rsid w:val="00135AEE"/>
    <w:rsid w:val="00135C60"/>
    <w:rsid w:val="00135D11"/>
    <w:rsid w:val="00137D90"/>
    <w:rsid w:val="001400DC"/>
    <w:rsid w:val="00141D76"/>
    <w:rsid w:val="00142DC2"/>
    <w:rsid w:val="00143C23"/>
    <w:rsid w:val="00143FFB"/>
    <w:rsid w:val="001442A6"/>
    <w:rsid w:val="0014482B"/>
    <w:rsid w:val="00144C21"/>
    <w:rsid w:val="00145536"/>
    <w:rsid w:val="00145858"/>
    <w:rsid w:val="001460E6"/>
    <w:rsid w:val="001462BE"/>
    <w:rsid w:val="0014644D"/>
    <w:rsid w:val="00147542"/>
    <w:rsid w:val="00147E95"/>
    <w:rsid w:val="0015022B"/>
    <w:rsid w:val="00151492"/>
    <w:rsid w:val="0015230D"/>
    <w:rsid w:val="00152842"/>
    <w:rsid w:val="00152DAF"/>
    <w:rsid w:val="00152FFB"/>
    <w:rsid w:val="0015436D"/>
    <w:rsid w:val="0015447B"/>
    <w:rsid w:val="00154EEE"/>
    <w:rsid w:val="001555BE"/>
    <w:rsid w:val="00155DAB"/>
    <w:rsid w:val="0016036F"/>
    <w:rsid w:val="00160D5D"/>
    <w:rsid w:val="00161C58"/>
    <w:rsid w:val="00162024"/>
    <w:rsid w:val="00162396"/>
    <w:rsid w:val="00162E0B"/>
    <w:rsid w:val="001631D1"/>
    <w:rsid w:val="00163933"/>
    <w:rsid w:val="001640F5"/>
    <w:rsid w:val="00165111"/>
    <w:rsid w:val="00166D15"/>
    <w:rsid w:val="00166F6B"/>
    <w:rsid w:val="0016722E"/>
    <w:rsid w:val="001678E4"/>
    <w:rsid w:val="00170981"/>
    <w:rsid w:val="00170E44"/>
    <w:rsid w:val="0017293C"/>
    <w:rsid w:val="001730B3"/>
    <w:rsid w:val="00174CD2"/>
    <w:rsid w:val="00176DAB"/>
    <w:rsid w:val="00176EA2"/>
    <w:rsid w:val="00176EA9"/>
    <w:rsid w:val="001770AB"/>
    <w:rsid w:val="00177782"/>
    <w:rsid w:val="00177890"/>
    <w:rsid w:val="00180BC2"/>
    <w:rsid w:val="00182C81"/>
    <w:rsid w:val="001835CE"/>
    <w:rsid w:val="001840C6"/>
    <w:rsid w:val="00184BE2"/>
    <w:rsid w:val="00185015"/>
    <w:rsid w:val="00185DA7"/>
    <w:rsid w:val="001861C1"/>
    <w:rsid w:val="0018793A"/>
    <w:rsid w:val="00187D7F"/>
    <w:rsid w:val="00187F13"/>
    <w:rsid w:val="00190F37"/>
    <w:rsid w:val="0019686E"/>
    <w:rsid w:val="001A062A"/>
    <w:rsid w:val="001A19AA"/>
    <w:rsid w:val="001A19C3"/>
    <w:rsid w:val="001A24D1"/>
    <w:rsid w:val="001A287C"/>
    <w:rsid w:val="001A2B93"/>
    <w:rsid w:val="001A4CD3"/>
    <w:rsid w:val="001A5A10"/>
    <w:rsid w:val="001A61FD"/>
    <w:rsid w:val="001A7D2B"/>
    <w:rsid w:val="001A7F64"/>
    <w:rsid w:val="001B0C50"/>
    <w:rsid w:val="001B1917"/>
    <w:rsid w:val="001B2378"/>
    <w:rsid w:val="001B2393"/>
    <w:rsid w:val="001B2CC5"/>
    <w:rsid w:val="001B2E1D"/>
    <w:rsid w:val="001B3B23"/>
    <w:rsid w:val="001B407D"/>
    <w:rsid w:val="001B48FB"/>
    <w:rsid w:val="001B6473"/>
    <w:rsid w:val="001B6AA0"/>
    <w:rsid w:val="001C143E"/>
    <w:rsid w:val="001C2157"/>
    <w:rsid w:val="001C2709"/>
    <w:rsid w:val="001C3A11"/>
    <w:rsid w:val="001C4AAF"/>
    <w:rsid w:val="001C5349"/>
    <w:rsid w:val="001C55D4"/>
    <w:rsid w:val="001C6150"/>
    <w:rsid w:val="001C71B1"/>
    <w:rsid w:val="001D094C"/>
    <w:rsid w:val="001D12AE"/>
    <w:rsid w:val="001D135A"/>
    <w:rsid w:val="001D193B"/>
    <w:rsid w:val="001D1977"/>
    <w:rsid w:val="001D1E65"/>
    <w:rsid w:val="001D20AE"/>
    <w:rsid w:val="001D243D"/>
    <w:rsid w:val="001D35E3"/>
    <w:rsid w:val="001D3C91"/>
    <w:rsid w:val="001D49D4"/>
    <w:rsid w:val="001D4AFF"/>
    <w:rsid w:val="001D5338"/>
    <w:rsid w:val="001D6792"/>
    <w:rsid w:val="001D680A"/>
    <w:rsid w:val="001D6B99"/>
    <w:rsid w:val="001D6E95"/>
    <w:rsid w:val="001D7211"/>
    <w:rsid w:val="001E002A"/>
    <w:rsid w:val="001E0F47"/>
    <w:rsid w:val="001E184B"/>
    <w:rsid w:val="001E2408"/>
    <w:rsid w:val="001E3564"/>
    <w:rsid w:val="001E4549"/>
    <w:rsid w:val="001E4901"/>
    <w:rsid w:val="001E4B76"/>
    <w:rsid w:val="001E6B7F"/>
    <w:rsid w:val="001E6C66"/>
    <w:rsid w:val="001E7DBB"/>
    <w:rsid w:val="001E7F12"/>
    <w:rsid w:val="001F0B99"/>
    <w:rsid w:val="001F0D20"/>
    <w:rsid w:val="001F13B5"/>
    <w:rsid w:val="001F1AB3"/>
    <w:rsid w:val="001F1DDA"/>
    <w:rsid w:val="001F223F"/>
    <w:rsid w:val="001F3009"/>
    <w:rsid w:val="001F468E"/>
    <w:rsid w:val="001F47BE"/>
    <w:rsid w:val="001F7758"/>
    <w:rsid w:val="001F7BC3"/>
    <w:rsid w:val="002014D3"/>
    <w:rsid w:val="002017C2"/>
    <w:rsid w:val="00201C77"/>
    <w:rsid w:val="00202B36"/>
    <w:rsid w:val="00203139"/>
    <w:rsid w:val="0020332A"/>
    <w:rsid w:val="00203479"/>
    <w:rsid w:val="002035B2"/>
    <w:rsid w:val="00203A11"/>
    <w:rsid w:val="00204451"/>
    <w:rsid w:val="0020501F"/>
    <w:rsid w:val="0020526D"/>
    <w:rsid w:val="00206168"/>
    <w:rsid w:val="00207270"/>
    <w:rsid w:val="00210B36"/>
    <w:rsid w:val="00211D14"/>
    <w:rsid w:val="00212490"/>
    <w:rsid w:val="0021250D"/>
    <w:rsid w:val="00212E84"/>
    <w:rsid w:val="002140A1"/>
    <w:rsid w:val="00214B74"/>
    <w:rsid w:val="00214C10"/>
    <w:rsid w:val="0021558B"/>
    <w:rsid w:val="00215646"/>
    <w:rsid w:val="00217583"/>
    <w:rsid w:val="00217D7F"/>
    <w:rsid w:val="00217EAC"/>
    <w:rsid w:val="00220375"/>
    <w:rsid w:val="00220876"/>
    <w:rsid w:val="002208AD"/>
    <w:rsid w:val="00222583"/>
    <w:rsid w:val="00222BD1"/>
    <w:rsid w:val="00223A24"/>
    <w:rsid w:val="002245BB"/>
    <w:rsid w:val="00224620"/>
    <w:rsid w:val="002246DD"/>
    <w:rsid w:val="002253AA"/>
    <w:rsid w:val="00225946"/>
    <w:rsid w:val="002259F8"/>
    <w:rsid w:val="00225AA2"/>
    <w:rsid w:val="00225FCA"/>
    <w:rsid w:val="00227A3A"/>
    <w:rsid w:val="00227B06"/>
    <w:rsid w:val="00230527"/>
    <w:rsid w:val="002307EA"/>
    <w:rsid w:val="002310DD"/>
    <w:rsid w:val="002327BB"/>
    <w:rsid w:val="00232D13"/>
    <w:rsid w:val="002341B8"/>
    <w:rsid w:val="00234622"/>
    <w:rsid w:val="002354A4"/>
    <w:rsid w:val="00235C0D"/>
    <w:rsid w:val="0023625F"/>
    <w:rsid w:val="002374E2"/>
    <w:rsid w:val="00237947"/>
    <w:rsid w:val="00237F69"/>
    <w:rsid w:val="0024041B"/>
    <w:rsid w:val="0024169A"/>
    <w:rsid w:val="00241991"/>
    <w:rsid w:val="00241AAF"/>
    <w:rsid w:val="00241CCB"/>
    <w:rsid w:val="00241EF5"/>
    <w:rsid w:val="00243AAC"/>
    <w:rsid w:val="00243CAB"/>
    <w:rsid w:val="00245848"/>
    <w:rsid w:val="00247A30"/>
    <w:rsid w:val="00247DD5"/>
    <w:rsid w:val="00251D15"/>
    <w:rsid w:val="00252055"/>
    <w:rsid w:val="0025206B"/>
    <w:rsid w:val="002521B7"/>
    <w:rsid w:val="002531F0"/>
    <w:rsid w:val="0025385D"/>
    <w:rsid w:val="00254746"/>
    <w:rsid w:val="002549C3"/>
    <w:rsid w:val="002553EB"/>
    <w:rsid w:val="002560F7"/>
    <w:rsid w:val="00261FA0"/>
    <w:rsid w:val="002625F3"/>
    <w:rsid w:val="002627B3"/>
    <w:rsid w:val="0026297A"/>
    <w:rsid w:val="002644D4"/>
    <w:rsid w:val="00264B9F"/>
    <w:rsid w:val="00264CEA"/>
    <w:rsid w:val="00264E19"/>
    <w:rsid w:val="00265139"/>
    <w:rsid w:val="00266E21"/>
    <w:rsid w:val="00267E57"/>
    <w:rsid w:val="00270108"/>
    <w:rsid w:val="00270744"/>
    <w:rsid w:val="00270A23"/>
    <w:rsid w:val="002722A7"/>
    <w:rsid w:val="002728C5"/>
    <w:rsid w:val="00273A9C"/>
    <w:rsid w:val="0027416D"/>
    <w:rsid w:val="00274293"/>
    <w:rsid w:val="00275956"/>
    <w:rsid w:val="00275EC1"/>
    <w:rsid w:val="00277AFE"/>
    <w:rsid w:val="00277F10"/>
    <w:rsid w:val="0028042B"/>
    <w:rsid w:val="00280E39"/>
    <w:rsid w:val="00280F31"/>
    <w:rsid w:val="00281CB1"/>
    <w:rsid w:val="0028209D"/>
    <w:rsid w:val="0028230D"/>
    <w:rsid w:val="00282B0E"/>
    <w:rsid w:val="00282F1F"/>
    <w:rsid w:val="0028314F"/>
    <w:rsid w:val="0028424E"/>
    <w:rsid w:val="002848FA"/>
    <w:rsid w:val="00285197"/>
    <w:rsid w:val="00285319"/>
    <w:rsid w:val="00285E4E"/>
    <w:rsid w:val="0028600C"/>
    <w:rsid w:val="00286550"/>
    <w:rsid w:val="00286887"/>
    <w:rsid w:val="002868D6"/>
    <w:rsid w:val="00286A29"/>
    <w:rsid w:val="002874B2"/>
    <w:rsid w:val="002874EE"/>
    <w:rsid w:val="00287640"/>
    <w:rsid w:val="00290B6B"/>
    <w:rsid w:val="00290E55"/>
    <w:rsid w:val="00290E94"/>
    <w:rsid w:val="0029259F"/>
    <w:rsid w:val="00292A20"/>
    <w:rsid w:val="00292BA6"/>
    <w:rsid w:val="00294663"/>
    <w:rsid w:val="00295075"/>
    <w:rsid w:val="00295697"/>
    <w:rsid w:val="00295B81"/>
    <w:rsid w:val="00295B85"/>
    <w:rsid w:val="0029689E"/>
    <w:rsid w:val="00296D7C"/>
    <w:rsid w:val="00296E3B"/>
    <w:rsid w:val="00297519"/>
    <w:rsid w:val="00297B5A"/>
    <w:rsid w:val="00297DED"/>
    <w:rsid w:val="002A042C"/>
    <w:rsid w:val="002A07FE"/>
    <w:rsid w:val="002A0E2E"/>
    <w:rsid w:val="002A0F6A"/>
    <w:rsid w:val="002A1472"/>
    <w:rsid w:val="002A1A26"/>
    <w:rsid w:val="002A1AAB"/>
    <w:rsid w:val="002A1B06"/>
    <w:rsid w:val="002A3C42"/>
    <w:rsid w:val="002A41A5"/>
    <w:rsid w:val="002A547E"/>
    <w:rsid w:val="002A5D78"/>
    <w:rsid w:val="002A65AC"/>
    <w:rsid w:val="002A75CF"/>
    <w:rsid w:val="002A7D07"/>
    <w:rsid w:val="002B16D1"/>
    <w:rsid w:val="002B18EF"/>
    <w:rsid w:val="002B1A87"/>
    <w:rsid w:val="002B3BDD"/>
    <w:rsid w:val="002B3D2D"/>
    <w:rsid w:val="002B4B9B"/>
    <w:rsid w:val="002B5B8F"/>
    <w:rsid w:val="002B6556"/>
    <w:rsid w:val="002B7F0A"/>
    <w:rsid w:val="002C0EEC"/>
    <w:rsid w:val="002C2226"/>
    <w:rsid w:val="002C3527"/>
    <w:rsid w:val="002C589E"/>
    <w:rsid w:val="002C6147"/>
    <w:rsid w:val="002C656A"/>
    <w:rsid w:val="002C6883"/>
    <w:rsid w:val="002C6919"/>
    <w:rsid w:val="002C6A30"/>
    <w:rsid w:val="002C729F"/>
    <w:rsid w:val="002D063A"/>
    <w:rsid w:val="002D1294"/>
    <w:rsid w:val="002D1B15"/>
    <w:rsid w:val="002D259B"/>
    <w:rsid w:val="002D2D2F"/>
    <w:rsid w:val="002D31AF"/>
    <w:rsid w:val="002D38DC"/>
    <w:rsid w:val="002D3BE5"/>
    <w:rsid w:val="002D3C81"/>
    <w:rsid w:val="002D465E"/>
    <w:rsid w:val="002D4F47"/>
    <w:rsid w:val="002D538B"/>
    <w:rsid w:val="002D5586"/>
    <w:rsid w:val="002D5B3D"/>
    <w:rsid w:val="002D724F"/>
    <w:rsid w:val="002D7ADC"/>
    <w:rsid w:val="002E0C52"/>
    <w:rsid w:val="002E131C"/>
    <w:rsid w:val="002E1548"/>
    <w:rsid w:val="002E1CF6"/>
    <w:rsid w:val="002E1DE8"/>
    <w:rsid w:val="002E27A4"/>
    <w:rsid w:val="002E28FD"/>
    <w:rsid w:val="002E3CE7"/>
    <w:rsid w:val="002E40C2"/>
    <w:rsid w:val="002E75F4"/>
    <w:rsid w:val="002E7B15"/>
    <w:rsid w:val="002E7C80"/>
    <w:rsid w:val="002F014F"/>
    <w:rsid w:val="002F1E20"/>
    <w:rsid w:val="002F2207"/>
    <w:rsid w:val="002F3F3D"/>
    <w:rsid w:val="002F476D"/>
    <w:rsid w:val="002F53B0"/>
    <w:rsid w:val="002F6002"/>
    <w:rsid w:val="002F7D45"/>
    <w:rsid w:val="00300B54"/>
    <w:rsid w:val="00300C4C"/>
    <w:rsid w:val="00300CA5"/>
    <w:rsid w:val="00300DAB"/>
    <w:rsid w:val="00301687"/>
    <w:rsid w:val="003029A2"/>
    <w:rsid w:val="00302A36"/>
    <w:rsid w:val="003030D7"/>
    <w:rsid w:val="00303164"/>
    <w:rsid w:val="003040D8"/>
    <w:rsid w:val="0030565A"/>
    <w:rsid w:val="0030587F"/>
    <w:rsid w:val="00305F0C"/>
    <w:rsid w:val="003064FE"/>
    <w:rsid w:val="003074D8"/>
    <w:rsid w:val="003077B3"/>
    <w:rsid w:val="00307B01"/>
    <w:rsid w:val="00307B4A"/>
    <w:rsid w:val="00311A67"/>
    <w:rsid w:val="00311FA9"/>
    <w:rsid w:val="003126AE"/>
    <w:rsid w:val="00312C1D"/>
    <w:rsid w:val="00312E3F"/>
    <w:rsid w:val="0031350B"/>
    <w:rsid w:val="00313587"/>
    <w:rsid w:val="003142FD"/>
    <w:rsid w:val="003146B0"/>
    <w:rsid w:val="003146D6"/>
    <w:rsid w:val="00314966"/>
    <w:rsid w:val="00314BE0"/>
    <w:rsid w:val="00314F1F"/>
    <w:rsid w:val="0031631B"/>
    <w:rsid w:val="00316533"/>
    <w:rsid w:val="00317ED1"/>
    <w:rsid w:val="003209BB"/>
    <w:rsid w:val="003215E0"/>
    <w:rsid w:val="003220BD"/>
    <w:rsid w:val="003226F0"/>
    <w:rsid w:val="0032285D"/>
    <w:rsid w:val="00322D2F"/>
    <w:rsid w:val="0032331B"/>
    <w:rsid w:val="00323932"/>
    <w:rsid w:val="00325675"/>
    <w:rsid w:val="00325F86"/>
    <w:rsid w:val="003269F0"/>
    <w:rsid w:val="003278EB"/>
    <w:rsid w:val="00327C93"/>
    <w:rsid w:val="00330401"/>
    <w:rsid w:val="00330A46"/>
    <w:rsid w:val="0033263C"/>
    <w:rsid w:val="00332F79"/>
    <w:rsid w:val="00333688"/>
    <w:rsid w:val="00333A35"/>
    <w:rsid w:val="00334B36"/>
    <w:rsid w:val="003356DC"/>
    <w:rsid w:val="00335CCC"/>
    <w:rsid w:val="00335F35"/>
    <w:rsid w:val="003363F3"/>
    <w:rsid w:val="00336859"/>
    <w:rsid w:val="00336944"/>
    <w:rsid w:val="003372AB"/>
    <w:rsid w:val="00337545"/>
    <w:rsid w:val="0033783D"/>
    <w:rsid w:val="003406AB"/>
    <w:rsid w:val="00341F54"/>
    <w:rsid w:val="00342039"/>
    <w:rsid w:val="00342091"/>
    <w:rsid w:val="00342913"/>
    <w:rsid w:val="0034466B"/>
    <w:rsid w:val="00344804"/>
    <w:rsid w:val="00346EFA"/>
    <w:rsid w:val="00350F89"/>
    <w:rsid w:val="003529D4"/>
    <w:rsid w:val="003535CE"/>
    <w:rsid w:val="003541CB"/>
    <w:rsid w:val="0036034D"/>
    <w:rsid w:val="00360C14"/>
    <w:rsid w:val="0036168A"/>
    <w:rsid w:val="00362B9A"/>
    <w:rsid w:val="00362EE3"/>
    <w:rsid w:val="003645BC"/>
    <w:rsid w:val="003648C3"/>
    <w:rsid w:val="00364A17"/>
    <w:rsid w:val="00364EE5"/>
    <w:rsid w:val="00365E7B"/>
    <w:rsid w:val="0036630B"/>
    <w:rsid w:val="0036772D"/>
    <w:rsid w:val="00370021"/>
    <w:rsid w:val="00370067"/>
    <w:rsid w:val="00370FE4"/>
    <w:rsid w:val="003712DE"/>
    <w:rsid w:val="003718DB"/>
    <w:rsid w:val="00372093"/>
    <w:rsid w:val="003736DE"/>
    <w:rsid w:val="003738F1"/>
    <w:rsid w:val="00375393"/>
    <w:rsid w:val="003759FA"/>
    <w:rsid w:val="00375EDD"/>
    <w:rsid w:val="00376FA2"/>
    <w:rsid w:val="00377122"/>
    <w:rsid w:val="003777B5"/>
    <w:rsid w:val="0038000A"/>
    <w:rsid w:val="0038007F"/>
    <w:rsid w:val="00380B8A"/>
    <w:rsid w:val="00380E38"/>
    <w:rsid w:val="00380E48"/>
    <w:rsid w:val="0038188B"/>
    <w:rsid w:val="00381BDE"/>
    <w:rsid w:val="00381CCA"/>
    <w:rsid w:val="00383DE7"/>
    <w:rsid w:val="00384F9F"/>
    <w:rsid w:val="0038579F"/>
    <w:rsid w:val="00385874"/>
    <w:rsid w:val="0038597F"/>
    <w:rsid w:val="003909A2"/>
    <w:rsid w:val="00391EB5"/>
    <w:rsid w:val="00392265"/>
    <w:rsid w:val="00392AC6"/>
    <w:rsid w:val="00393A15"/>
    <w:rsid w:val="00393DEA"/>
    <w:rsid w:val="003946E6"/>
    <w:rsid w:val="00394EE4"/>
    <w:rsid w:val="00396814"/>
    <w:rsid w:val="00396D0C"/>
    <w:rsid w:val="00397151"/>
    <w:rsid w:val="00397B01"/>
    <w:rsid w:val="00397FD1"/>
    <w:rsid w:val="003A0553"/>
    <w:rsid w:val="003A0926"/>
    <w:rsid w:val="003A1FAA"/>
    <w:rsid w:val="003A1FFA"/>
    <w:rsid w:val="003A444E"/>
    <w:rsid w:val="003A58E9"/>
    <w:rsid w:val="003A78A7"/>
    <w:rsid w:val="003A79FB"/>
    <w:rsid w:val="003B0585"/>
    <w:rsid w:val="003B066E"/>
    <w:rsid w:val="003B0F3B"/>
    <w:rsid w:val="003B14F6"/>
    <w:rsid w:val="003B1A72"/>
    <w:rsid w:val="003B2353"/>
    <w:rsid w:val="003B2FBC"/>
    <w:rsid w:val="003B3FE2"/>
    <w:rsid w:val="003B42D8"/>
    <w:rsid w:val="003B4B60"/>
    <w:rsid w:val="003B5AED"/>
    <w:rsid w:val="003B7E64"/>
    <w:rsid w:val="003B7EE8"/>
    <w:rsid w:val="003C18CE"/>
    <w:rsid w:val="003C237E"/>
    <w:rsid w:val="003C323A"/>
    <w:rsid w:val="003C3D28"/>
    <w:rsid w:val="003C455F"/>
    <w:rsid w:val="003C4CED"/>
    <w:rsid w:val="003C5A64"/>
    <w:rsid w:val="003C750E"/>
    <w:rsid w:val="003C7907"/>
    <w:rsid w:val="003C7F17"/>
    <w:rsid w:val="003D03AE"/>
    <w:rsid w:val="003D0460"/>
    <w:rsid w:val="003D04A0"/>
    <w:rsid w:val="003D070F"/>
    <w:rsid w:val="003D09D8"/>
    <w:rsid w:val="003D1089"/>
    <w:rsid w:val="003D1633"/>
    <w:rsid w:val="003D1D73"/>
    <w:rsid w:val="003D357E"/>
    <w:rsid w:val="003D46F1"/>
    <w:rsid w:val="003D5569"/>
    <w:rsid w:val="003D6513"/>
    <w:rsid w:val="003E00FA"/>
    <w:rsid w:val="003E083A"/>
    <w:rsid w:val="003E1C2A"/>
    <w:rsid w:val="003E3CDD"/>
    <w:rsid w:val="003E4726"/>
    <w:rsid w:val="003E4DBD"/>
    <w:rsid w:val="003E6317"/>
    <w:rsid w:val="003E71B7"/>
    <w:rsid w:val="003E7B60"/>
    <w:rsid w:val="003E7ED3"/>
    <w:rsid w:val="003E7F6D"/>
    <w:rsid w:val="003F0272"/>
    <w:rsid w:val="003F031F"/>
    <w:rsid w:val="003F08C1"/>
    <w:rsid w:val="003F0AD7"/>
    <w:rsid w:val="003F2BA8"/>
    <w:rsid w:val="003F4118"/>
    <w:rsid w:val="003F4499"/>
    <w:rsid w:val="003F5554"/>
    <w:rsid w:val="003F57D2"/>
    <w:rsid w:val="00401169"/>
    <w:rsid w:val="00401365"/>
    <w:rsid w:val="00401A85"/>
    <w:rsid w:val="00403465"/>
    <w:rsid w:val="00406903"/>
    <w:rsid w:val="0040767C"/>
    <w:rsid w:val="00407CFA"/>
    <w:rsid w:val="004101F1"/>
    <w:rsid w:val="00410F68"/>
    <w:rsid w:val="0041101A"/>
    <w:rsid w:val="00411B7C"/>
    <w:rsid w:val="004151E5"/>
    <w:rsid w:val="00415641"/>
    <w:rsid w:val="00415C72"/>
    <w:rsid w:val="00417747"/>
    <w:rsid w:val="00417B69"/>
    <w:rsid w:val="00417BBC"/>
    <w:rsid w:val="004209F6"/>
    <w:rsid w:val="00420CA6"/>
    <w:rsid w:val="00421470"/>
    <w:rsid w:val="00421A67"/>
    <w:rsid w:val="004226A8"/>
    <w:rsid w:val="00422E27"/>
    <w:rsid w:val="00423A83"/>
    <w:rsid w:val="004241F2"/>
    <w:rsid w:val="00427072"/>
    <w:rsid w:val="00427D12"/>
    <w:rsid w:val="00430C9D"/>
    <w:rsid w:val="00431303"/>
    <w:rsid w:val="00431605"/>
    <w:rsid w:val="004317E7"/>
    <w:rsid w:val="00431BD7"/>
    <w:rsid w:val="0043259D"/>
    <w:rsid w:val="004326CB"/>
    <w:rsid w:val="0043364E"/>
    <w:rsid w:val="004337CA"/>
    <w:rsid w:val="004339F5"/>
    <w:rsid w:val="00434DB0"/>
    <w:rsid w:val="0043521F"/>
    <w:rsid w:val="004369E9"/>
    <w:rsid w:val="00437FB0"/>
    <w:rsid w:val="00440A9B"/>
    <w:rsid w:val="00441CB7"/>
    <w:rsid w:val="00442959"/>
    <w:rsid w:val="00442B95"/>
    <w:rsid w:val="00443E05"/>
    <w:rsid w:val="004440BA"/>
    <w:rsid w:val="004450FB"/>
    <w:rsid w:val="00445797"/>
    <w:rsid w:val="00445F7F"/>
    <w:rsid w:val="0044721A"/>
    <w:rsid w:val="00447302"/>
    <w:rsid w:val="0044758E"/>
    <w:rsid w:val="004476CA"/>
    <w:rsid w:val="00447F3E"/>
    <w:rsid w:val="004504D9"/>
    <w:rsid w:val="00451AAB"/>
    <w:rsid w:val="0045391C"/>
    <w:rsid w:val="00453DFE"/>
    <w:rsid w:val="00454592"/>
    <w:rsid w:val="00455971"/>
    <w:rsid w:val="00456CD2"/>
    <w:rsid w:val="00457209"/>
    <w:rsid w:val="00457EE1"/>
    <w:rsid w:val="004600C7"/>
    <w:rsid w:val="0046037D"/>
    <w:rsid w:val="004607EA"/>
    <w:rsid w:val="004610B6"/>
    <w:rsid w:val="004638B4"/>
    <w:rsid w:val="00463D21"/>
    <w:rsid w:val="00463E85"/>
    <w:rsid w:val="00465181"/>
    <w:rsid w:val="004656EA"/>
    <w:rsid w:val="00465FAF"/>
    <w:rsid w:val="00466B16"/>
    <w:rsid w:val="00466CA2"/>
    <w:rsid w:val="00467E83"/>
    <w:rsid w:val="00470778"/>
    <w:rsid w:val="00470B22"/>
    <w:rsid w:val="004716E4"/>
    <w:rsid w:val="0047269D"/>
    <w:rsid w:val="00472728"/>
    <w:rsid w:val="00472B29"/>
    <w:rsid w:val="00472DC5"/>
    <w:rsid w:val="00473003"/>
    <w:rsid w:val="00473333"/>
    <w:rsid w:val="0047337D"/>
    <w:rsid w:val="00473D73"/>
    <w:rsid w:val="004743FF"/>
    <w:rsid w:val="00474913"/>
    <w:rsid w:val="00474C3C"/>
    <w:rsid w:val="00475D28"/>
    <w:rsid w:val="004762C9"/>
    <w:rsid w:val="00476368"/>
    <w:rsid w:val="004776FB"/>
    <w:rsid w:val="004779D6"/>
    <w:rsid w:val="00480FE5"/>
    <w:rsid w:val="00481EE3"/>
    <w:rsid w:val="004822D6"/>
    <w:rsid w:val="0048348C"/>
    <w:rsid w:val="0048387A"/>
    <w:rsid w:val="00483D06"/>
    <w:rsid w:val="004841C3"/>
    <w:rsid w:val="004843C9"/>
    <w:rsid w:val="0048441B"/>
    <w:rsid w:val="00486346"/>
    <w:rsid w:val="004876BB"/>
    <w:rsid w:val="00487B5D"/>
    <w:rsid w:val="00487D04"/>
    <w:rsid w:val="004901C9"/>
    <w:rsid w:val="00490B2D"/>
    <w:rsid w:val="00491411"/>
    <w:rsid w:val="00491706"/>
    <w:rsid w:val="00493AC3"/>
    <w:rsid w:val="00493E36"/>
    <w:rsid w:val="00495E53"/>
    <w:rsid w:val="00496279"/>
    <w:rsid w:val="004962D2"/>
    <w:rsid w:val="00496518"/>
    <w:rsid w:val="00496A6E"/>
    <w:rsid w:val="004977DA"/>
    <w:rsid w:val="004A016E"/>
    <w:rsid w:val="004A09AB"/>
    <w:rsid w:val="004A1372"/>
    <w:rsid w:val="004A170F"/>
    <w:rsid w:val="004A2A82"/>
    <w:rsid w:val="004A4DB0"/>
    <w:rsid w:val="004A519B"/>
    <w:rsid w:val="004A53E7"/>
    <w:rsid w:val="004A5A3E"/>
    <w:rsid w:val="004A7F7B"/>
    <w:rsid w:val="004A7FBC"/>
    <w:rsid w:val="004B18EA"/>
    <w:rsid w:val="004B1D4D"/>
    <w:rsid w:val="004B350E"/>
    <w:rsid w:val="004B37DE"/>
    <w:rsid w:val="004B4871"/>
    <w:rsid w:val="004B5059"/>
    <w:rsid w:val="004B5B91"/>
    <w:rsid w:val="004B5DF7"/>
    <w:rsid w:val="004B5EFA"/>
    <w:rsid w:val="004B6026"/>
    <w:rsid w:val="004B6861"/>
    <w:rsid w:val="004B7990"/>
    <w:rsid w:val="004B7CF2"/>
    <w:rsid w:val="004C0279"/>
    <w:rsid w:val="004C036D"/>
    <w:rsid w:val="004C0B6E"/>
    <w:rsid w:val="004C1340"/>
    <w:rsid w:val="004C1FE4"/>
    <w:rsid w:val="004C2F84"/>
    <w:rsid w:val="004C3887"/>
    <w:rsid w:val="004C38BD"/>
    <w:rsid w:val="004C3D5D"/>
    <w:rsid w:val="004C3EBD"/>
    <w:rsid w:val="004C44E8"/>
    <w:rsid w:val="004C498E"/>
    <w:rsid w:val="004C4F6F"/>
    <w:rsid w:val="004C5885"/>
    <w:rsid w:val="004C6DDA"/>
    <w:rsid w:val="004C6F15"/>
    <w:rsid w:val="004D13E4"/>
    <w:rsid w:val="004D1EFB"/>
    <w:rsid w:val="004D3490"/>
    <w:rsid w:val="004D499C"/>
    <w:rsid w:val="004D55EA"/>
    <w:rsid w:val="004D716B"/>
    <w:rsid w:val="004D759F"/>
    <w:rsid w:val="004D7C05"/>
    <w:rsid w:val="004E006F"/>
    <w:rsid w:val="004E06C3"/>
    <w:rsid w:val="004E0F3C"/>
    <w:rsid w:val="004E1549"/>
    <w:rsid w:val="004E16E6"/>
    <w:rsid w:val="004E38B3"/>
    <w:rsid w:val="004E39F3"/>
    <w:rsid w:val="004E3AA1"/>
    <w:rsid w:val="004E3BEC"/>
    <w:rsid w:val="004E58E5"/>
    <w:rsid w:val="004E6304"/>
    <w:rsid w:val="004E64F0"/>
    <w:rsid w:val="004E6833"/>
    <w:rsid w:val="004E6FA6"/>
    <w:rsid w:val="004E723F"/>
    <w:rsid w:val="004E7A20"/>
    <w:rsid w:val="004F0CA6"/>
    <w:rsid w:val="004F1C58"/>
    <w:rsid w:val="004F1E5E"/>
    <w:rsid w:val="004F2478"/>
    <w:rsid w:val="004F2E12"/>
    <w:rsid w:val="004F3262"/>
    <w:rsid w:val="004F332B"/>
    <w:rsid w:val="004F3330"/>
    <w:rsid w:val="004F36A2"/>
    <w:rsid w:val="004F3E69"/>
    <w:rsid w:val="004F40F4"/>
    <w:rsid w:val="004F41D3"/>
    <w:rsid w:val="004F4C4D"/>
    <w:rsid w:val="004F4EBC"/>
    <w:rsid w:val="004F57F1"/>
    <w:rsid w:val="004F5A8B"/>
    <w:rsid w:val="004F5D28"/>
    <w:rsid w:val="004F6376"/>
    <w:rsid w:val="004F7CB6"/>
    <w:rsid w:val="004F7F18"/>
    <w:rsid w:val="00500140"/>
    <w:rsid w:val="00500BE7"/>
    <w:rsid w:val="00500F3F"/>
    <w:rsid w:val="00501280"/>
    <w:rsid w:val="00501308"/>
    <w:rsid w:val="00502292"/>
    <w:rsid w:val="00502897"/>
    <w:rsid w:val="00503AE4"/>
    <w:rsid w:val="00503D99"/>
    <w:rsid w:val="005045BA"/>
    <w:rsid w:val="00505213"/>
    <w:rsid w:val="0050552F"/>
    <w:rsid w:val="00505661"/>
    <w:rsid w:val="00505AA2"/>
    <w:rsid w:val="005062F4"/>
    <w:rsid w:val="00510435"/>
    <w:rsid w:val="00510FA6"/>
    <w:rsid w:val="005119D2"/>
    <w:rsid w:val="00512AB0"/>
    <w:rsid w:val="005131D8"/>
    <w:rsid w:val="00514976"/>
    <w:rsid w:val="00516177"/>
    <w:rsid w:val="00520E52"/>
    <w:rsid w:val="00520FC7"/>
    <w:rsid w:val="005227BB"/>
    <w:rsid w:val="0052307E"/>
    <w:rsid w:val="00523642"/>
    <w:rsid w:val="00524110"/>
    <w:rsid w:val="005256F9"/>
    <w:rsid w:val="00526B7C"/>
    <w:rsid w:val="00527B5D"/>
    <w:rsid w:val="00527D60"/>
    <w:rsid w:val="00531720"/>
    <w:rsid w:val="0053254B"/>
    <w:rsid w:val="00532DDD"/>
    <w:rsid w:val="0053308B"/>
    <w:rsid w:val="005343D5"/>
    <w:rsid w:val="00534F88"/>
    <w:rsid w:val="00536087"/>
    <w:rsid w:val="00537779"/>
    <w:rsid w:val="00542E4A"/>
    <w:rsid w:val="00543083"/>
    <w:rsid w:val="005434E7"/>
    <w:rsid w:val="005440A1"/>
    <w:rsid w:val="00544FD6"/>
    <w:rsid w:val="0054651E"/>
    <w:rsid w:val="005500BE"/>
    <w:rsid w:val="005500FD"/>
    <w:rsid w:val="00550355"/>
    <w:rsid w:val="0055091D"/>
    <w:rsid w:val="0055158B"/>
    <w:rsid w:val="0055176C"/>
    <w:rsid w:val="00552259"/>
    <w:rsid w:val="00552BCF"/>
    <w:rsid w:val="005533A6"/>
    <w:rsid w:val="00553431"/>
    <w:rsid w:val="00555475"/>
    <w:rsid w:val="005559FD"/>
    <w:rsid w:val="00555CF2"/>
    <w:rsid w:val="00556014"/>
    <w:rsid w:val="005568CE"/>
    <w:rsid w:val="0055724C"/>
    <w:rsid w:val="00560012"/>
    <w:rsid w:val="005604C8"/>
    <w:rsid w:val="005605CF"/>
    <w:rsid w:val="00560A49"/>
    <w:rsid w:val="00560F93"/>
    <w:rsid w:val="00561556"/>
    <w:rsid w:val="00561FD6"/>
    <w:rsid w:val="00562A0C"/>
    <w:rsid w:val="0056623A"/>
    <w:rsid w:val="00566C79"/>
    <w:rsid w:val="0056769E"/>
    <w:rsid w:val="005719A9"/>
    <w:rsid w:val="00571A07"/>
    <w:rsid w:val="0057219F"/>
    <w:rsid w:val="00573AF6"/>
    <w:rsid w:val="00573EFB"/>
    <w:rsid w:val="00574E7D"/>
    <w:rsid w:val="00575028"/>
    <w:rsid w:val="005767DF"/>
    <w:rsid w:val="00577E7F"/>
    <w:rsid w:val="00580397"/>
    <w:rsid w:val="00580E33"/>
    <w:rsid w:val="00580FA1"/>
    <w:rsid w:val="00580FB2"/>
    <w:rsid w:val="00581EB5"/>
    <w:rsid w:val="00582355"/>
    <w:rsid w:val="00582D45"/>
    <w:rsid w:val="005836A3"/>
    <w:rsid w:val="00583FC8"/>
    <w:rsid w:val="00584AA2"/>
    <w:rsid w:val="00584BFE"/>
    <w:rsid w:val="00584C0C"/>
    <w:rsid w:val="005859CD"/>
    <w:rsid w:val="00585CCD"/>
    <w:rsid w:val="005862F9"/>
    <w:rsid w:val="005867AE"/>
    <w:rsid w:val="00586A6E"/>
    <w:rsid w:val="00587EE0"/>
    <w:rsid w:val="00590CBE"/>
    <w:rsid w:val="00591070"/>
    <w:rsid w:val="00591ADA"/>
    <w:rsid w:val="00594704"/>
    <w:rsid w:val="00594978"/>
    <w:rsid w:val="00594EFF"/>
    <w:rsid w:val="0059543C"/>
    <w:rsid w:val="00596664"/>
    <w:rsid w:val="00597FD4"/>
    <w:rsid w:val="005A1713"/>
    <w:rsid w:val="005A1A36"/>
    <w:rsid w:val="005A1B0A"/>
    <w:rsid w:val="005A1D3F"/>
    <w:rsid w:val="005A1FAA"/>
    <w:rsid w:val="005A30EB"/>
    <w:rsid w:val="005A365F"/>
    <w:rsid w:val="005A3ADD"/>
    <w:rsid w:val="005A5BB5"/>
    <w:rsid w:val="005A5DD5"/>
    <w:rsid w:val="005A6500"/>
    <w:rsid w:val="005A6820"/>
    <w:rsid w:val="005A7CE5"/>
    <w:rsid w:val="005B0A3B"/>
    <w:rsid w:val="005B14FD"/>
    <w:rsid w:val="005B1604"/>
    <w:rsid w:val="005B21CB"/>
    <w:rsid w:val="005B26BF"/>
    <w:rsid w:val="005B2B9A"/>
    <w:rsid w:val="005B336A"/>
    <w:rsid w:val="005B33E8"/>
    <w:rsid w:val="005B3BC9"/>
    <w:rsid w:val="005B3D4D"/>
    <w:rsid w:val="005B685E"/>
    <w:rsid w:val="005B6963"/>
    <w:rsid w:val="005B7F51"/>
    <w:rsid w:val="005C0117"/>
    <w:rsid w:val="005C04D7"/>
    <w:rsid w:val="005C6417"/>
    <w:rsid w:val="005C7568"/>
    <w:rsid w:val="005D2499"/>
    <w:rsid w:val="005D46EA"/>
    <w:rsid w:val="005D4FAA"/>
    <w:rsid w:val="005D566E"/>
    <w:rsid w:val="005E0302"/>
    <w:rsid w:val="005E0886"/>
    <w:rsid w:val="005E243B"/>
    <w:rsid w:val="005E3253"/>
    <w:rsid w:val="005E368E"/>
    <w:rsid w:val="005E3881"/>
    <w:rsid w:val="005E3A20"/>
    <w:rsid w:val="005E4EAB"/>
    <w:rsid w:val="005E5788"/>
    <w:rsid w:val="005E5E8B"/>
    <w:rsid w:val="005E73DF"/>
    <w:rsid w:val="005E7678"/>
    <w:rsid w:val="005E77ED"/>
    <w:rsid w:val="005F36F0"/>
    <w:rsid w:val="005F4DFE"/>
    <w:rsid w:val="005F665A"/>
    <w:rsid w:val="005F66C8"/>
    <w:rsid w:val="005F6B69"/>
    <w:rsid w:val="005F6E87"/>
    <w:rsid w:val="005F7CD3"/>
    <w:rsid w:val="005F7CDC"/>
    <w:rsid w:val="00601843"/>
    <w:rsid w:val="0060267D"/>
    <w:rsid w:val="00603941"/>
    <w:rsid w:val="00603A4A"/>
    <w:rsid w:val="00604600"/>
    <w:rsid w:val="00605731"/>
    <w:rsid w:val="00605D18"/>
    <w:rsid w:val="006065CD"/>
    <w:rsid w:val="0060733E"/>
    <w:rsid w:val="0060746E"/>
    <w:rsid w:val="00607800"/>
    <w:rsid w:val="00607A7E"/>
    <w:rsid w:val="0061122C"/>
    <w:rsid w:val="0061137F"/>
    <w:rsid w:val="0061279E"/>
    <w:rsid w:val="00612904"/>
    <w:rsid w:val="00612C03"/>
    <w:rsid w:val="00614034"/>
    <w:rsid w:val="00614057"/>
    <w:rsid w:val="0061443A"/>
    <w:rsid w:val="006146AA"/>
    <w:rsid w:val="00614D50"/>
    <w:rsid w:val="00615240"/>
    <w:rsid w:val="00617459"/>
    <w:rsid w:val="00620628"/>
    <w:rsid w:val="00620942"/>
    <w:rsid w:val="006214DA"/>
    <w:rsid w:val="006221C0"/>
    <w:rsid w:val="00622294"/>
    <w:rsid w:val="0062411A"/>
    <w:rsid w:val="006246C9"/>
    <w:rsid w:val="0062475A"/>
    <w:rsid w:val="006259BB"/>
    <w:rsid w:val="00626322"/>
    <w:rsid w:val="006268F3"/>
    <w:rsid w:val="00626ABB"/>
    <w:rsid w:val="006276AC"/>
    <w:rsid w:val="006304DE"/>
    <w:rsid w:val="00630676"/>
    <w:rsid w:val="006308E8"/>
    <w:rsid w:val="00630A8A"/>
    <w:rsid w:val="00630FE5"/>
    <w:rsid w:val="0063276D"/>
    <w:rsid w:val="00632EAA"/>
    <w:rsid w:val="00634070"/>
    <w:rsid w:val="00634756"/>
    <w:rsid w:val="0063675E"/>
    <w:rsid w:val="00636DBE"/>
    <w:rsid w:val="00637ABC"/>
    <w:rsid w:val="00640BE3"/>
    <w:rsid w:val="006423D9"/>
    <w:rsid w:val="00642548"/>
    <w:rsid w:val="00642FD9"/>
    <w:rsid w:val="00643A42"/>
    <w:rsid w:val="00644819"/>
    <w:rsid w:val="00644A7E"/>
    <w:rsid w:val="006457E1"/>
    <w:rsid w:val="0064584B"/>
    <w:rsid w:val="00645C55"/>
    <w:rsid w:val="00645D15"/>
    <w:rsid w:val="00645DBD"/>
    <w:rsid w:val="00647B03"/>
    <w:rsid w:val="006501EE"/>
    <w:rsid w:val="0065022E"/>
    <w:rsid w:val="00650944"/>
    <w:rsid w:val="0065216A"/>
    <w:rsid w:val="00652A4F"/>
    <w:rsid w:val="00653E9B"/>
    <w:rsid w:val="0065478C"/>
    <w:rsid w:val="00655260"/>
    <w:rsid w:val="006553A2"/>
    <w:rsid w:val="00656486"/>
    <w:rsid w:val="00660339"/>
    <w:rsid w:val="00660A4C"/>
    <w:rsid w:val="00662C6F"/>
    <w:rsid w:val="00663451"/>
    <w:rsid w:val="0066396D"/>
    <w:rsid w:val="00665757"/>
    <w:rsid w:val="00666F8E"/>
    <w:rsid w:val="00670279"/>
    <w:rsid w:val="006707A1"/>
    <w:rsid w:val="00671ADF"/>
    <w:rsid w:val="00671C09"/>
    <w:rsid w:val="006725C1"/>
    <w:rsid w:val="006728FE"/>
    <w:rsid w:val="00672F9F"/>
    <w:rsid w:val="00673D83"/>
    <w:rsid w:val="00674865"/>
    <w:rsid w:val="006751A5"/>
    <w:rsid w:val="00675412"/>
    <w:rsid w:val="006765E9"/>
    <w:rsid w:val="00676B7D"/>
    <w:rsid w:val="00676C52"/>
    <w:rsid w:val="00676CDC"/>
    <w:rsid w:val="0067732F"/>
    <w:rsid w:val="00677367"/>
    <w:rsid w:val="00680351"/>
    <w:rsid w:val="006805D5"/>
    <w:rsid w:val="00681486"/>
    <w:rsid w:val="00681783"/>
    <w:rsid w:val="00682B47"/>
    <w:rsid w:val="00682B87"/>
    <w:rsid w:val="00682DA4"/>
    <w:rsid w:val="00683E1A"/>
    <w:rsid w:val="006853BD"/>
    <w:rsid w:val="00685B2F"/>
    <w:rsid w:val="0068688D"/>
    <w:rsid w:val="00686E49"/>
    <w:rsid w:val="00687C5A"/>
    <w:rsid w:val="00690174"/>
    <w:rsid w:val="00690588"/>
    <w:rsid w:val="0069110E"/>
    <w:rsid w:val="00692029"/>
    <w:rsid w:val="00693354"/>
    <w:rsid w:val="0069353B"/>
    <w:rsid w:val="006936D5"/>
    <w:rsid w:val="00693AAB"/>
    <w:rsid w:val="00693B45"/>
    <w:rsid w:val="00694CCE"/>
    <w:rsid w:val="0069536D"/>
    <w:rsid w:val="00695883"/>
    <w:rsid w:val="00695C08"/>
    <w:rsid w:val="0069605C"/>
    <w:rsid w:val="00696B95"/>
    <w:rsid w:val="00697748"/>
    <w:rsid w:val="00697925"/>
    <w:rsid w:val="00697F17"/>
    <w:rsid w:val="006A26ED"/>
    <w:rsid w:val="006A288A"/>
    <w:rsid w:val="006A2991"/>
    <w:rsid w:val="006A389B"/>
    <w:rsid w:val="006A39F1"/>
    <w:rsid w:val="006A45A7"/>
    <w:rsid w:val="006A476A"/>
    <w:rsid w:val="006A49D8"/>
    <w:rsid w:val="006A5421"/>
    <w:rsid w:val="006A559E"/>
    <w:rsid w:val="006A64A1"/>
    <w:rsid w:val="006A6BA0"/>
    <w:rsid w:val="006B0B94"/>
    <w:rsid w:val="006B0BB7"/>
    <w:rsid w:val="006B19D3"/>
    <w:rsid w:val="006B1A82"/>
    <w:rsid w:val="006B1BD4"/>
    <w:rsid w:val="006B203F"/>
    <w:rsid w:val="006B257F"/>
    <w:rsid w:val="006B313B"/>
    <w:rsid w:val="006B49EC"/>
    <w:rsid w:val="006B4E7B"/>
    <w:rsid w:val="006B5D1B"/>
    <w:rsid w:val="006B5FD8"/>
    <w:rsid w:val="006B61E7"/>
    <w:rsid w:val="006B76F2"/>
    <w:rsid w:val="006B77EE"/>
    <w:rsid w:val="006B7918"/>
    <w:rsid w:val="006C09CB"/>
    <w:rsid w:val="006C139C"/>
    <w:rsid w:val="006C1614"/>
    <w:rsid w:val="006C3F55"/>
    <w:rsid w:val="006C4E9E"/>
    <w:rsid w:val="006C598B"/>
    <w:rsid w:val="006C613E"/>
    <w:rsid w:val="006C64AA"/>
    <w:rsid w:val="006C6659"/>
    <w:rsid w:val="006C751A"/>
    <w:rsid w:val="006C7BDE"/>
    <w:rsid w:val="006D0305"/>
    <w:rsid w:val="006D0AEC"/>
    <w:rsid w:val="006D188E"/>
    <w:rsid w:val="006D2ACD"/>
    <w:rsid w:val="006D2B74"/>
    <w:rsid w:val="006D5356"/>
    <w:rsid w:val="006D58CE"/>
    <w:rsid w:val="006D68F1"/>
    <w:rsid w:val="006D7065"/>
    <w:rsid w:val="006E2E53"/>
    <w:rsid w:val="006E31D9"/>
    <w:rsid w:val="006E57D3"/>
    <w:rsid w:val="006E5B89"/>
    <w:rsid w:val="006E5CEC"/>
    <w:rsid w:val="006E64E2"/>
    <w:rsid w:val="006E7A68"/>
    <w:rsid w:val="006E7D6C"/>
    <w:rsid w:val="006F086B"/>
    <w:rsid w:val="006F103D"/>
    <w:rsid w:val="006F161D"/>
    <w:rsid w:val="006F1B13"/>
    <w:rsid w:val="006F31B9"/>
    <w:rsid w:val="006F4F52"/>
    <w:rsid w:val="006F5310"/>
    <w:rsid w:val="006F5843"/>
    <w:rsid w:val="006F6C83"/>
    <w:rsid w:val="006F783B"/>
    <w:rsid w:val="006F7BE3"/>
    <w:rsid w:val="0070113E"/>
    <w:rsid w:val="0070150F"/>
    <w:rsid w:val="00701DDD"/>
    <w:rsid w:val="007026D3"/>
    <w:rsid w:val="0070283B"/>
    <w:rsid w:val="00702DF3"/>
    <w:rsid w:val="00703052"/>
    <w:rsid w:val="00703ABB"/>
    <w:rsid w:val="00704642"/>
    <w:rsid w:val="007049B7"/>
    <w:rsid w:val="0070562F"/>
    <w:rsid w:val="007060AB"/>
    <w:rsid w:val="007066F4"/>
    <w:rsid w:val="00706749"/>
    <w:rsid w:val="007068C8"/>
    <w:rsid w:val="0070719A"/>
    <w:rsid w:val="007076B3"/>
    <w:rsid w:val="00707F3F"/>
    <w:rsid w:val="00710372"/>
    <w:rsid w:val="00710B2F"/>
    <w:rsid w:val="00710F02"/>
    <w:rsid w:val="007116B2"/>
    <w:rsid w:val="00711992"/>
    <w:rsid w:val="0071273C"/>
    <w:rsid w:val="00715717"/>
    <w:rsid w:val="00716A2C"/>
    <w:rsid w:val="00717026"/>
    <w:rsid w:val="00717C7B"/>
    <w:rsid w:val="00717DAD"/>
    <w:rsid w:val="007205E8"/>
    <w:rsid w:val="00720E51"/>
    <w:rsid w:val="007214B7"/>
    <w:rsid w:val="00723162"/>
    <w:rsid w:val="007233A8"/>
    <w:rsid w:val="00724FE4"/>
    <w:rsid w:val="00725D1A"/>
    <w:rsid w:val="00730E88"/>
    <w:rsid w:val="007323CD"/>
    <w:rsid w:val="00733B24"/>
    <w:rsid w:val="007340EE"/>
    <w:rsid w:val="00734C38"/>
    <w:rsid w:val="00734C7D"/>
    <w:rsid w:val="007365F0"/>
    <w:rsid w:val="00736A6E"/>
    <w:rsid w:val="00737D18"/>
    <w:rsid w:val="007424C3"/>
    <w:rsid w:val="00742CA2"/>
    <w:rsid w:val="00742DE8"/>
    <w:rsid w:val="00742E73"/>
    <w:rsid w:val="00743D96"/>
    <w:rsid w:val="007444E6"/>
    <w:rsid w:val="007469DD"/>
    <w:rsid w:val="00746F03"/>
    <w:rsid w:val="00751FB3"/>
    <w:rsid w:val="0075261C"/>
    <w:rsid w:val="007528F3"/>
    <w:rsid w:val="00753018"/>
    <w:rsid w:val="00753E76"/>
    <w:rsid w:val="007544EA"/>
    <w:rsid w:val="007548A8"/>
    <w:rsid w:val="00754B0A"/>
    <w:rsid w:val="00754BE8"/>
    <w:rsid w:val="00754D34"/>
    <w:rsid w:val="00755002"/>
    <w:rsid w:val="0075573A"/>
    <w:rsid w:val="007574C4"/>
    <w:rsid w:val="00757660"/>
    <w:rsid w:val="00757754"/>
    <w:rsid w:val="007607D7"/>
    <w:rsid w:val="007608DE"/>
    <w:rsid w:val="0076121E"/>
    <w:rsid w:val="00761F10"/>
    <w:rsid w:val="00762457"/>
    <w:rsid w:val="00763AE2"/>
    <w:rsid w:val="007643D9"/>
    <w:rsid w:val="00765C23"/>
    <w:rsid w:val="007662FC"/>
    <w:rsid w:val="00766326"/>
    <w:rsid w:val="00766511"/>
    <w:rsid w:val="00766CC0"/>
    <w:rsid w:val="00770327"/>
    <w:rsid w:val="0077161C"/>
    <w:rsid w:val="007720E1"/>
    <w:rsid w:val="00772677"/>
    <w:rsid w:val="00772D3E"/>
    <w:rsid w:val="007733D0"/>
    <w:rsid w:val="0077356F"/>
    <w:rsid w:val="007744E8"/>
    <w:rsid w:val="00775069"/>
    <w:rsid w:val="007754DF"/>
    <w:rsid w:val="00775979"/>
    <w:rsid w:val="007764BA"/>
    <w:rsid w:val="00776E2F"/>
    <w:rsid w:val="00780696"/>
    <w:rsid w:val="007807A9"/>
    <w:rsid w:val="007809AF"/>
    <w:rsid w:val="00780D4D"/>
    <w:rsid w:val="00781158"/>
    <w:rsid w:val="00781446"/>
    <w:rsid w:val="007828F3"/>
    <w:rsid w:val="00783809"/>
    <w:rsid w:val="00783DE6"/>
    <w:rsid w:val="0079006D"/>
    <w:rsid w:val="0079022D"/>
    <w:rsid w:val="00790CEB"/>
    <w:rsid w:val="0079106D"/>
    <w:rsid w:val="00791612"/>
    <w:rsid w:val="00791C24"/>
    <w:rsid w:val="0079256D"/>
    <w:rsid w:val="00793177"/>
    <w:rsid w:val="0079326E"/>
    <w:rsid w:val="007935A5"/>
    <w:rsid w:val="00794408"/>
    <w:rsid w:val="00794CBE"/>
    <w:rsid w:val="00795A0C"/>
    <w:rsid w:val="00797428"/>
    <w:rsid w:val="00797622"/>
    <w:rsid w:val="007977FD"/>
    <w:rsid w:val="007979C7"/>
    <w:rsid w:val="00797D46"/>
    <w:rsid w:val="00797ECF"/>
    <w:rsid w:val="007A2179"/>
    <w:rsid w:val="007A25FA"/>
    <w:rsid w:val="007A2B0B"/>
    <w:rsid w:val="007A2B84"/>
    <w:rsid w:val="007A37F7"/>
    <w:rsid w:val="007A550B"/>
    <w:rsid w:val="007A55CC"/>
    <w:rsid w:val="007A5E95"/>
    <w:rsid w:val="007A60F5"/>
    <w:rsid w:val="007A793E"/>
    <w:rsid w:val="007A7EE8"/>
    <w:rsid w:val="007A7EF6"/>
    <w:rsid w:val="007B04D6"/>
    <w:rsid w:val="007B15E1"/>
    <w:rsid w:val="007B1E0D"/>
    <w:rsid w:val="007B3263"/>
    <w:rsid w:val="007B4141"/>
    <w:rsid w:val="007B41B2"/>
    <w:rsid w:val="007B56EE"/>
    <w:rsid w:val="007B5C3C"/>
    <w:rsid w:val="007B727B"/>
    <w:rsid w:val="007B744D"/>
    <w:rsid w:val="007B7954"/>
    <w:rsid w:val="007B7B8F"/>
    <w:rsid w:val="007B7D3C"/>
    <w:rsid w:val="007C0473"/>
    <w:rsid w:val="007C0D92"/>
    <w:rsid w:val="007C1BAB"/>
    <w:rsid w:val="007C25F3"/>
    <w:rsid w:val="007C37C5"/>
    <w:rsid w:val="007C43F6"/>
    <w:rsid w:val="007C620E"/>
    <w:rsid w:val="007C6E4E"/>
    <w:rsid w:val="007D02E4"/>
    <w:rsid w:val="007D0FDE"/>
    <w:rsid w:val="007D157B"/>
    <w:rsid w:val="007D1E0C"/>
    <w:rsid w:val="007D1FD9"/>
    <w:rsid w:val="007D24D1"/>
    <w:rsid w:val="007D27C1"/>
    <w:rsid w:val="007D294D"/>
    <w:rsid w:val="007D4746"/>
    <w:rsid w:val="007D52D0"/>
    <w:rsid w:val="007D5F61"/>
    <w:rsid w:val="007D6625"/>
    <w:rsid w:val="007D7D7A"/>
    <w:rsid w:val="007E008D"/>
    <w:rsid w:val="007E0128"/>
    <w:rsid w:val="007E07AB"/>
    <w:rsid w:val="007E1406"/>
    <w:rsid w:val="007E19E6"/>
    <w:rsid w:val="007E24B1"/>
    <w:rsid w:val="007E2CD0"/>
    <w:rsid w:val="007E4034"/>
    <w:rsid w:val="007E414C"/>
    <w:rsid w:val="007E523C"/>
    <w:rsid w:val="007E5D77"/>
    <w:rsid w:val="007E5E42"/>
    <w:rsid w:val="007E6CF6"/>
    <w:rsid w:val="007E7882"/>
    <w:rsid w:val="007E7943"/>
    <w:rsid w:val="007F078C"/>
    <w:rsid w:val="007F0FD1"/>
    <w:rsid w:val="007F23FE"/>
    <w:rsid w:val="007F30CD"/>
    <w:rsid w:val="007F31B8"/>
    <w:rsid w:val="007F3608"/>
    <w:rsid w:val="007F4289"/>
    <w:rsid w:val="007F4FB1"/>
    <w:rsid w:val="007F5105"/>
    <w:rsid w:val="007F5115"/>
    <w:rsid w:val="007F5EAD"/>
    <w:rsid w:val="007F6CCD"/>
    <w:rsid w:val="007F6DE0"/>
    <w:rsid w:val="007F7674"/>
    <w:rsid w:val="007F7D36"/>
    <w:rsid w:val="00800693"/>
    <w:rsid w:val="008007BB"/>
    <w:rsid w:val="00800B51"/>
    <w:rsid w:val="00802366"/>
    <w:rsid w:val="00803359"/>
    <w:rsid w:val="00803587"/>
    <w:rsid w:val="00803A8E"/>
    <w:rsid w:val="008043AF"/>
    <w:rsid w:val="0080521F"/>
    <w:rsid w:val="00805810"/>
    <w:rsid w:val="00805C01"/>
    <w:rsid w:val="00806006"/>
    <w:rsid w:val="00806070"/>
    <w:rsid w:val="0080662B"/>
    <w:rsid w:val="00806C33"/>
    <w:rsid w:val="00807368"/>
    <w:rsid w:val="008118FC"/>
    <w:rsid w:val="00811998"/>
    <w:rsid w:val="00811BD3"/>
    <w:rsid w:val="00814B48"/>
    <w:rsid w:val="00815001"/>
    <w:rsid w:val="00815481"/>
    <w:rsid w:val="00815B6D"/>
    <w:rsid w:val="008160EB"/>
    <w:rsid w:val="00820C60"/>
    <w:rsid w:val="00820EBC"/>
    <w:rsid w:val="0082117A"/>
    <w:rsid w:val="00821B48"/>
    <w:rsid w:val="00822D80"/>
    <w:rsid w:val="00822F6F"/>
    <w:rsid w:val="00823448"/>
    <w:rsid w:val="008236E7"/>
    <w:rsid w:val="0082609A"/>
    <w:rsid w:val="0082744B"/>
    <w:rsid w:val="00827D32"/>
    <w:rsid w:val="00830734"/>
    <w:rsid w:val="00831B03"/>
    <w:rsid w:val="00831E6A"/>
    <w:rsid w:val="00831F4D"/>
    <w:rsid w:val="00833000"/>
    <w:rsid w:val="008338CD"/>
    <w:rsid w:val="0083487D"/>
    <w:rsid w:val="00834B4C"/>
    <w:rsid w:val="00834E29"/>
    <w:rsid w:val="008350DF"/>
    <w:rsid w:val="00835B02"/>
    <w:rsid w:val="00835C2A"/>
    <w:rsid w:val="00835EC1"/>
    <w:rsid w:val="00836122"/>
    <w:rsid w:val="00837BA5"/>
    <w:rsid w:val="00841641"/>
    <w:rsid w:val="008422BB"/>
    <w:rsid w:val="008422E8"/>
    <w:rsid w:val="008433D2"/>
    <w:rsid w:val="00845A6F"/>
    <w:rsid w:val="008476FE"/>
    <w:rsid w:val="008500E9"/>
    <w:rsid w:val="00850279"/>
    <w:rsid w:val="00850D35"/>
    <w:rsid w:val="0085244A"/>
    <w:rsid w:val="00852797"/>
    <w:rsid w:val="00852D8F"/>
    <w:rsid w:val="00853C57"/>
    <w:rsid w:val="00853DA9"/>
    <w:rsid w:val="00854EE3"/>
    <w:rsid w:val="00855D78"/>
    <w:rsid w:val="0085793B"/>
    <w:rsid w:val="00857E4A"/>
    <w:rsid w:val="008603D1"/>
    <w:rsid w:val="008606BD"/>
    <w:rsid w:val="008625D6"/>
    <w:rsid w:val="00862F82"/>
    <w:rsid w:val="008635F0"/>
    <w:rsid w:val="00863EA7"/>
    <w:rsid w:val="00864409"/>
    <w:rsid w:val="0086443E"/>
    <w:rsid w:val="00864A9D"/>
    <w:rsid w:val="008650C0"/>
    <w:rsid w:val="0086514D"/>
    <w:rsid w:val="008656DC"/>
    <w:rsid w:val="008661C0"/>
    <w:rsid w:val="00866DF1"/>
    <w:rsid w:val="00867075"/>
    <w:rsid w:val="008677D7"/>
    <w:rsid w:val="0087027E"/>
    <w:rsid w:val="00871515"/>
    <w:rsid w:val="008731AA"/>
    <w:rsid w:val="00874AD5"/>
    <w:rsid w:val="00874EAB"/>
    <w:rsid w:val="008753FE"/>
    <w:rsid w:val="0087647C"/>
    <w:rsid w:val="0088077B"/>
    <w:rsid w:val="008819FF"/>
    <w:rsid w:val="00881A4C"/>
    <w:rsid w:val="00881F4A"/>
    <w:rsid w:val="008820C4"/>
    <w:rsid w:val="008824AD"/>
    <w:rsid w:val="0088339E"/>
    <w:rsid w:val="0088377D"/>
    <w:rsid w:val="00883B72"/>
    <w:rsid w:val="0088426D"/>
    <w:rsid w:val="008854E9"/>
    <w:rsid w:val="00886133"/>
    <w:rsid w:val="0088715C"/>
    <w:rsid w:val="00887E62"/>
    <w:rsid w:val="00891168"/>
    <w:rsid w:val="0089250D"/>
    <w:rsid w:val="008939D0"/>
    <w:rsid w:val="008945C5"/>
    <w:rsid w:val="008949EB"/>
    <w:rsid w:val="00894CEE"/>
    <w:rsid w:val="00894E16"/>
    <w:rsid w:val="00897163"/>
    <w:rsid w:val="0089724A"/>
    <w:rsid w:val="008972A9"/>
    <w:rsid w:val="008974EA"/>
    <w:rsid w:val="008A0307"/>
    <w:rsid w:val="008A0374"/>
    <w:rsid w:val="008A0A6F"/>
    <w:rsid w:val="008A0E2E"/>
    <w:rsid w:val="008A0EF3"/>
    <w:rsid w:val="008A2EEA"/>
    <w:rsid w:val="008A3CBA"/>
    <w:rsid w:val="008A4603"/>
    <w:rsid w:val="008A4BC3"/>
    <w:rsid w:val="008A6C40"/>
    <w:rsid w:val="008A6D5C"/>
    <w:rsid w:val="008A6EFF"/>
    <w:rsid w:val="008A7DF8"/>
    <w:rsid w:val="008B0559"/>
    <w:rsid w:val="008B0825"/>
    <w:rsid w:val="008B0A3D"/>
    <w:rsid w:val="008B10DC"/>
    <w:rsid w:val="008B111B"/>
    <w:rsid w:val="008B145D"/>
    <w:rsid w:val="008B21F5"/>
    <w:rsid w:val="008B245B"/>
    <w:rsid w:val="008B27DF"/>
    <w:rsid w:val="008B404A"/>
    <w:rsid w:val="008B4C58"/>
    <w:rsid w:val="008B5313"/>
    <w:rsid w:val="008B591F"/>
    <w:rsid w:val="008B6FD0"/>
    <w:rsid w:val="008B710E"/>
    <w:rsid w:val="008B7446"/>
    <w:rsid w:val="008C1109"/>
    <w:rsid w:val="008C33D9"/>
    <w:rsid w:val="008C3604"/>
    <w:rsid w:val="008C3946"/>
    <w:rsid w:val="008C43C2"/>
    <w:rsid w:val="008C45C4"/>
    <w:rsid w:val="008C69A4"/>
    <w:rsid w:val="008D0F6F"/>
    <w:rsid w:val="008D1209"/>
    <w:rsid w:val="008D304D"/>
    <w:rsid w:val="008D4799"/>
    <w:rsid w:val="008D4B0B"/>
    <w:rsid w:val="008D4E19"/>
    <w:rsid w:val="008D588A"/>
    <w:rsid w:val="008D5990"/>
    <w:rsid w:val="008D692A"/>
    <w:rsid w:val="008D6A61"/>
    <w:rsid w:val="008D6C3E"/>
    <w:rsid w:val="008D711D"/>
    <w:rsid w:val="008D7717"/>
    <w:rsid w:val="008E02F1"/>
    <w:rsid w:val="008E0923"/>
    <w:rsid w:val="008E0AEA"/>
    <w:rsid w:val="008E1EAD"/>
    <w:rsid w:val="008E2933"/>
    <w:rsid w:val="008E2D35"/>
    <w:rsid w:val="008E30B5"/>
    <w:rsid w:val="008E3FF3"/>
    <w:rsid w:val="008E4993"/>
    <w:rsid w:val="008E4E32"/>
    <w:rsid w:val="008E4F59"/>
    <w:rsid w:val="008E59A2"/>
    <w:rsid w:val="008E59EC"/>
    <w:rsid w:val="008E5AC3"/>
    <w:rsid w:val="008E6960"/>
    <w:rsid w:val="008E6AA2"/>
    <w:rsid w:val="008E7A60"/>
    <w:rsid w:val="008F1013"/>
    <w:rsid w:val="008F1EDA"/>
    <w:rsid w:val="008F34AB"/>
    <w:rsid w:val="008F3E68"/>
    <w:rsid w:val="008F4C3B"/>
    <w:rsid w:val="008F5F69"/>
    <w:rsid w:val="008F61CD"/>
    <w:rsid w:val="008F6825"/>
    <w:rsid w:val="00900A58"/>
    <w:rsid w:val="00901601"/>
    <w:rsid w:val="0090275B"/>
    <w:rsid w:val="00903B1F"/>
    <w:rsid w:val="00903B87"/>
    <w:rsid w:val="009045A9"/>
    <w:rsid w:val="0090475A"/>
    <w:rsid w:val="00904B14"/>
    <w:rsid w:val="00904BF3"/>
    <w:rsid w:val="00904C74"/>
    <w:rsid w:val="00906BDA"/>
    <w:rsid w:val="009074D0"/>
    <w:rsid w:val="009102FA"/>
    <w:rsid w:val="00910D2C"/>
    <w:rsid w:val="0091119B"/>
    <w:rsid w:val="00911397"/>
    <w:rsid w:val="00911DD0"/>
    <w:rsid w:val="00912783"/>
    <w:rsid w:val="00913DA3"/>
    <w:rsid w:val="00913F6F"/>
    <w:rsid w:val="00914820"/>
    <w:rsid w:val="00914873"/>
    <w:rsid w:val="00914988"/>
    <w:rsid w:val="00914EB6"/>
    <w:rsid w:val="00915498"/>
    <w:rsid w:val="00916AB9"/>
    <w:rsid w:val="00920C78"/>
    <w:rsid w:val="00920EA3"/>
    <w:rsid w:val="00921249"/>
    <w:rsid w:val="009217A7"/>
    <w:rsid w:val="00921E73"/>
    <w:rsid w:val="00922D30"/>
    <w:rsid w:val="0092570D"/>
    <w:rsid w:val="00926193"/>
    <w:rsid w:val="009269E0"/>
    <w:rsid w:val="00927B9B"/>
    <w:rsid w:val="009306A2"/>
    <w:rsid w:val="00931A4B"/>
    <w:rsid w:val="00931D67"/>
    <w:rsid w:val="00932038"/>
    <w:rsid w:val="00932533"/>
    <w:rsid w:val="00933066"/>
    <w:rsid w:val="00933449"/>
    <w:rsid w:val="009340BE"/>
    <w:rsid w:val="00934D31"/>
    <w:rsid w:val="009367B5"/>
    <w:rsid w:val="00936BF7"/>
    <w:rsid w:val="00937309"/>
    <w:rsid w:val="0093745D"/>
    <w:rsid w:val="00941C5A"/>
    <w:rsid w:val="009420EF"/>
    <w:rsid w:val="00943896"/>
    <w:rsid w:val="009448A7"/>
    <w:rsid w:val="00944CAB"/>
    <w:rsid w:val="009454A0"/>
    <w:rsid w:val="00945C34"/>
    <w:rsid w:val="00945C75"/>
    <w:rsid w:val="00945DE2"/>
    <w:rsid w:val="009466A0"/>
    <w:rsid w:val="00946A9A"/>
    <w:rsid w:val="00950965"/>
    <w:rsid w:val="00951433"/>
    <w:rsid w:val="00952765"/>
    <w:rsid w:val="009529F5"/>
    <w:rsid w:val="009554C0"/>
    <w:rsid w:val="009567A0"/>
    <w:rsid w:val="00956934"/>
    <w:rsid w:val="00960241"/>
    <w:rsid w:val="009608AF"/>
    <w:rsid w:val="0096380E"/>
    <w:rsid w:val="00964EEA"/>
    <w:rsid w:val="009651B1"/>
    <w:rsid w:val="00965924"/>
    <w:rsid w:val="009661C7"/>
    <w:rsid w:val="00966305"/>
    <w:rsid w:val="0096658C"/>
    <w:rsid w:val="00967268"/>
    <w:rsid w:val="0096743A"/>
    <w:rsid w:val="0097205F"/>
    <w:rsid w:val="0097259C"/>
    <w:rsid w:val="00972808"/>
    <w:rsid w:val="009731CC"/>
    <w:rsid w:val="009747B8"/>
    <w:rsid w:val="00975CDF"/>
    <w:rsid w:val="009767A2"/>
    <w:rsid w:val="00980293"/>
    <w:rsid w:val="00980E7B"/>
    <w:rsid w:val="00981742"/>
    <w:rsid w:val="0098177B"/>
    <w:rsid w:val="00981F2B"/>
    <w:rsid w:val="009826A9"/>
    <w:rsid w:val="00982ADE"/>
    <w:rsid w:val="00982EA9"/>
    <w:rsid w:val="009830F6"/>
    <w:rsid w:val="00983CC1"/>
    <w:rsid w:val="00984DA0"/>
    <w:rsid w:val="00985066"/>
    <w:rsid w:val="00985140"/>
    <w:rsid w:val="00986E28"/>
    <w:rsid w:val="00990011"/>
    <w:rsid w:val="009904EA"/>
    <w:rsid w:val="00990986"/>
    <w:rsid w:val="00990ED2"/>
    <w:rsid w:val="0099150C"/>
    <w:rsid w:val="00991BBB"/>
    <w:rsid w:val="00992762"/>
    <w:rsid w:val="00992A12"/>
    <w:rsid w:val="009931FA"/>
    <w:rsid w:val="00993245"/>
    <w:rsid w:val="00994B69"/>
    <w:rsid w:val="009951ED"/>
    <w:rsid w:val="0099622A"/>
    <w:rsid w:val="00997AA0"/>
    <w:rsid w:val="00997B73"/>
    <w:rsid w:val="00997F98"/>
    <w:rsid w:val="009A0355"/>
    <w:rsid w:val="009A03B9"/>
    <w:rsid w:val="009A074D"/>
    <w:rsid w:val="009A0F2F"/>
    <w:rsid w:val="009A1543"/>
    <w:rsid w:val="009A1C12"/>
    <w:rsid w:val="009A1D02"/>
    <w:rsid w:val="009A2706"/>
    <w:rsid w:val="009A294C"/>
    <w:rsid w:val="009A2F21"/>
    <w:rsid w:val="009A3C16"/>
    <w:rsid w:val="009A4281"/>
    <w:rsid w:val="009A5290"/>
    <w:rsid w:val="009A5307"/>
    <w:rsid w:val="009A67B7"/>
    <w:rsid w:val="009A6C73"/>
    <w:rsid w:val="009A6CC5"/>
    <w:rsid w:val="009B12AF"/>
    <w:rsid w:val="009B1CFE"/>
    <w:rsid w:val="009B3564"/>
    <w:rsid w:val="009B44AA"/>
    <w:rsid w:val="009B5C64"/>
    <w:rsid w:val="009B5EC4"/>
    <w:rsid w:val="009B607D"/>
    <w:rsid w:val="009B668C"/>
    <w:rsid w:val="009B704E"/>
    <w:rsid w:val="009B78C8"/>
    <w:rsid w:val="009B799A"/>
    <w:rsid w:val="009C1ED8"/>
    <w:rsid w:val="009C233A"/>
    <w:rsid w:val="009C332B"/>
    <w:rsid w:val="009C3EA5"/>
    <w:rsid w:val="009C4139"/>
    <w:rsid w:val="009C5848"/>
    <w:rsid w:val="009C60A0"/>
    <w:rsid w:val="009C6464"/>
    <w:rsid w:val="009C64AA"/>
    <w:rsid w:val="009D0D40"/>
    <w:rsid w:val="009D1CC7"/>
    <w:rsid w:val="009D2000"/>
    <w:rsid w:val="009D2706"/>
    <w:rsid w:val="009D2BE4"/>
    <w:rsid w:val="009D4882"/>
    <w:rsid w:val="009D4FFE"/>
    <w:rsid w:val="009D5328"/>
    <w:rsid w:val="009D621D"/>
    <w:rsid w:val="009D6BAE"/>
    <w:rsid w:val="009D7709"/>
    <w:rsid w:val="009D7B49"/>
    <w:rsid w:val="009E0115"/>
    <w:rsid w:val="009E0C72"/>
    <w:rsid w:val="009E158B"/>
    <w:rsid w:val="009E256A"/>
    <w:rsid w:val="009E2BD7"/>
    <w:rsid w:val="009E3D7C"/>
    <w:rsid w:val="009E49CA"/>
    <w:rsid w:val="009E5751"/>
    <w:rsid w:val="009E5C3D"/>
    <w:rsid w:val="009E7243"/>
    <w:rsid w:val="009F06F0"/>
    <w:rsid w:val="009F308D"/>
    <w:rsid w:val="009F3199"/>
    <w:rsid w:val="009F321D"/>
    <w:rsid w:val="009F3EEB"/>
    <w:rsid w:val="009F4509"/>
    <w:rsid w:val="009F5E81"/>
    <w:rsid w:val="009F7D83"/>
    <w:rsid w:val="009F7DB3"/>
    <w:rsid w:val="009F7F73"/>
    <w:rsid w:val="00A016E0"/>
    <w:rsid w:val="00A023CB"/>
    <w:rsid w:val="00A024F6"/>
    <w:rsid w:val="00A02747"/>
    <w:rsid w:val="00A02D55"/>
    <w:rsid w:val="00A04BCE"/>
    <w:rsid w:val="00A04E7B"/>
    <w:rsid w:val="00A05BF7"/>
    <w:rsid w:val="00A0652E"/>
    <w:rsid w:val="00A06926"/>
    <w:rsid w:val="00A06EC0"/>
    <w:rsid w:val="00A07E09"/>
    <w:rsid w:val="00A1062C"/>
    <w:rsid w:val="00A108FB"/>
    <w:rsid w:val="00A10B60"/>
    <w:rsid w:val="00A10EBB"/>
    <w:rsid w:val="00A11BC0"/>
    <w:rsid w:val="00A121D5"/>
    <w:rsid w:val="00A12F8E"/>
    <w:rsid w:val="00A13CBA"/>
    <w:rsid w:val="00A1464A"/>
    <w:rsid w:val="00A14EE7"/>
    <w:rsid w:val="00A178E6"/>
    <w:rsid w:val="00A17A02"/>
    <w:rsid w:val="00A17E48"/>
    <w:rsid w:val="00A21225"/>
    <w:rsid w:val="00A215B4"/>
    <w:rsid w:val="00A22A37"/>
    <w:rsid w:val="00A24749"/>
    <w:rsid w:val="00A252D0"/>
    <w:rsid w:val="00A26E24"/>
    <w:rsid w:val="00A27029"/>
    <w:rsid w:val="00A27BE2"/>
    <w:rsid w:val="00A3030F"/>
    <w:rsid w:val="00A3059C"/>
    <w:rsid w:val="00A3074A"/>
    <w:rsid w:val="00A33990"/>
    <w:rsid w:val="00A340E2"/>
    <w:rsid w:val="00A34699"/>
    <w:rsid w:val="00A355CE"/>
    <w:rsid w:val="00A35C8F"/>
    <w:rsid w:val="00A36D16"/>
    <w:rsid w:val="00A36E5D"/>
    <w:rsid w:val="00A3727B"/>
    <w:rsid w:val="00A40AFC"/>
    <w:rsid w:val="00A40E02"/>
    <w:rsid w:val="00A411CA"/>
    <w:rsid w:val="00A42319"/>
    <w:rsid w:val="00A44438"/>
    <w:rsid w:val="00A458CE"/>
    <w:rsid w:val="00A46682"/>
    <w:rsid w:val="00A46C82"/>
    <w:rsid w:val="00A473F3"/>
    <w:rsid w:val="00A47695"/>
    <w:rsid w:val="00A516F2"/>
    <w:rsid w:val="00A52EAC"/>
    <w:rsid w:val="00A52F65"/>
    <w:rsid w:val="00A53814"/>
    <w:rsid w:val="00A540FF"/>
    <w:rsid w:val="00A54743"/>
    <w:rsid w:val="00A5499F"/>
    <w:rsid w:val="00A55058"/>
    <w:rsid w:val="00A56393"/>
    <w:rsid w:val="00A56DF5"/>
    <w:rsid w:val="00A56E1B"/>
    <w:rsid w:val="00A57738"/>
    <w:rsid w:val="00A600A6"/>
    <w:rsid w:val="00A60545"/>
    <w:rsid w:val="00A6154E"/>
    <w:rsid w:val="00A61596"/>
    <w:rsid w:val="00A61BD3"/>
    <w:rsid w:val="00A63AEE"/>
    <w:rsid w:val="00A64040"/>
    <w:rsid w:val="00A651C1"/>
    <w:rsid w:val="00A6572A"/>
    <w:rsid w:val="00A66605"/>
    <w:rsid w:val="00A711CC"/>
    <w:rsid w:val="00A71D73"/>
    <w:rsid w:val="00A724EF"/>
    <w:rsid w:val="00A72CB4"/>
    <w:rsid w:val="00A73F02"/>
    <w:rsid w:val="00A76435"/>
    <w:rsid w:val="00A76B91"/>
    <w:rsid w:val="00A7720F"/>
    <w:rsid w:val="00A77C33"/>
    <w:rsid w:val="00A77F87"/>
    <w:rsid w:val="00A81E65"/>
    <w:rsid w:val="00A824E2"/>
    <w:rsid w:val="00A82F7F"/>
    <w:rsid w:val="00A838E4"/>
    <w:rsid w:val="00A84237"/>
    <w:rsid w:val="00A842DE"/>
    <w:rsid w:val="00A84645"/>
    <w:rsid w:val="00A846F2"/>
    <w:rsid w:val="00A85C51"/>
    <w:rsid w:val="00A86086"/>
    <w:rsid w:val="00A864AD"/>
    <w:rsid w:val="00A86B5A"/>
    <w:rsid w:val="00A87A00"/>
    <w:rsid w:val="00A87DF3"/>
    <w:rsid w:val="00A87DF6"/>
    <w:rsid w:val="00A9076F"/>
    <w:rsid w:val="00A90D32"/>
    <w:rsid w:val="00A9173C"/>
    <w:rsid w:val="00A95A09"/>
    <w:rsid w:val="00A95C73"/>
    <w:rsid w:val="00A971FF"/>
    <w:rsid w:val="00A976E5"/>
    <w:rsid w:val="00AA16B7"/>
    <w:rsid w:val="00AA19F5"/>
    <w:rsid w:val="00AA1EBA"/>
    <w:rsid w:val="00AA26BA"/>
    <w:rsid w:val="00AA295B"/>
    <w:rsid w:val="00AA2D25"/>
    <w:rsid w:val="00AA3683"/>
    <w:rsid w:val="00AA387D"/>
    <w:rsid w:val="00AA3B21"/>
    <w:rsid w:val="00AA4DC6"/>
    <w:rsid w:val="00AA504B"/>
    <w:rsid w:val="00AA74A1"/>
    <w:rsid w:val="00AA784A"/>
    <w:rsid w:val="00AB0413"/>
    <w:rsid w:val="00AB066E"/>
    <w:rsid w:val="00AB31FF"/>
    <w:rsid w:val="00AB3CE7"/>
    <w:rsid w:val="00AB476A"/>
    <w:rsid w:val="00AB49CD"/>
    <w:rsid w:val="00AB5115"/>
    <w:rsid w:val="00AB543F"/>
    <w:rsid w:val="00AB5DAD"/>
    <w:rsid w:val="00AB6187"/>
    <w:rsid w:val="00AC0BFD"/>
    <w:rsid w:val="00AC2DB5"/>
    <w:rsid w:val="00AC3036"/>
    <w:rsid w:val="00AC31CE"/>
    <w:rsid w:val="00AC54F3"/>
    <w:rsid w:val="00AC6E0E"/>
    <w:rsid w:val="00AC7253"/>
    <w:rsid w:val="00AC7426"/>
    <w:rsid w:val="00AD009B"/>
    <w:rsid w:val="00AD08CD"/>
    <w:rsid w:val="00AD17E4"/>
    <w:rsid w:val="00AD265B"/>
    <w:rsid w:val="00AD3032"/>
    <w:rsid w:val="00AD34A3"/>
    <w:rsid w:val="00AD3556"/>
    <w:rsid w:val="00AD56C9"/>
    <w:rsid w:val="00AD618D"/>
    <w:rsid w:val="00AD7402"/>
    <w:rsid w:val="00AD76A3"/>
    <w:rsid w:val="00AE1551"/>
    <w:rsid w:val="00AE210A"/>
    <w:rsid w:val="00AE24F1"/>
    <w:rsid w:val="00AE3580"/>
    <w:rsid w:val="00AE4FBF"/>
    <w:rsid w:val="00AE513C"/>
    <w:rsid w:val="00AE5CFA"/>
    <w:rsid w:val="00AE684E"/>
    <w:rsid w:val="00AE6879"/>
    <w:rsid w:val="00AE739F"/>
    <w:rsid w:val="00AE788C"/>
    <w:rsid w:val="00AE78A3"/>
    <w:rsid w:val="00AF00FB"/>
    <w:rsid w:val="00AF43FE"/>
    <w:rsid w:val="00AF4D0C"/>
    <w:rsid w:val="00AF4DCB"/>
    <w:rsid w:val="00AF4FA4"/>
    <w:rsid w:val="00AF5026"/>
    <w:rsid w:val="00AF51BD"/>
    <w:rsid w:val="00AF5E3D"/>
    <w:rsid w:val="00AF6ADE"/>
    <w:rsid w:val="00B0374D"/>
    <w:rsid w:val="00B04D09"/>
    <w:rsid w:val="00B064D0"/>
    <w:rsid w:val="00B10F46"/>
    <w:rsid w:val="00B117B8"/>
    <w:rsid w:val="00B12C7C"/>
    <w:rsid w:val="00B1486D"/>
    <w:rsid w:val="00B1564E"/>
    <w:rsid w:val="00B16446"/>
    <w:rsid w:val="00B1676B"/>
    <w:rsid w:val="00B171CD"/>
    <w:rsid w:val="00B17853"/>
    <w:rsid w:val="00B17957"/>
    <w:rsid w:val="00B17EA6"/>
    <w:rsid w:val="00B20A41"/>
    <w:rsid w:val="00B20BB7"/>
    <w:rsid w:val="00B210D3"/>
    <w:rsid w:val="00B210F3"/>
    <w:rsid w:val="00B21E9C"/>
    <w:rsid w:val="00B2401D"/>
    <w:rsid w:val="00B2558C"/>
    <w:rsid w:val="00B2722E"/>
    <w:rsid w:val="00B27664"/>
    <w:rsid w:val="00B27CEE"/>
    <w:rsid w:val="00B30066"/>
    <w:rsid w:val="00B31D1C"/>
    <w:rsid w:val="00B326A6"/>
    <w:rsid w:val="00B32BF8"/>
    <w:rsid w:val="00B33E0E"/>
    <w:rsid w:val="00B347D3"/>
    <w:rsid w:val="00B368F3"/>
    <w:rsid w:val="00B36BEA"/>
    <w:rsid w:val="00B371BB"/>
    <w:rsid w:val="00B3723A"/>
    <w:rsid w:val="00B37258"/>
    <w:rsid w:val="00B379EF"/>
    <w:rsid w:val="00B41ACB"/>
    <w:rsid w:val="00B41E37"/>
    <w:rsid w:val="00B43AB8"/>
    <w:rsid w:val="00B44D78"/>
    <w:rsid w:val="00B46C10"/>
    <w:rsid w:val="00B470E5"/>
    <w:rsid w:val="00B47420"/>
    <w:rsid w:val="00B50570"/>
    <w:rsid w:val="00B50E30"/>
    <w:rsid w:val="00B520AB"/>
    <w:rsid w:val="00B52A70"/>
    <w:rsid w:val="00B53093"/>
    <w:rsid w:val="00B54013"/>
    <w:rsid w:val="00B546AD"/>
    <w:rsid w:val="00B54865"/>
    <w:rsid w:val="00B549B8"/>
    <w:rsid w:val="00B562D8"/>
    <w:rsid w:val="00B56780"/>
    <w:rsid w:val="00B572EB"/>
    <w:rsid w:val="00B578F2"/>
    <w:rsid w:val="00B60346"/>
    <w:rsid w:val="00B60561"/>
    <w:rsid w:val="00B6060A"/>
    <w:rsid w:val="00B607A6"/>
    <w:rsid w:val="00B61BB1"/>
    <w:rsid w:val="00B61DE9"/>
    <w:rsid w:val="00B62160"/>
    <w:rsid w:val="00B62266"/>
    <w:rsid w:val="00B63ED9"/>
    <w:rsid w:val="00B642DA"/>
    <w:rsid w:val="00B65502"/>
    <w:rsid w:val="00B65509"/>
    <w:rsid w:val="00B655A1"/>
    <w:rsid w:val="00B66873"/>
    <w:rsid w:val="00B66A05"/>
    <w:rsid w:val="00B66E42"/>
    <w:rsid w:val="00B67A5D"/>
    <w:rsid w:val="00B7072B"/>
    <w:rsid w:val="00B70FFF"/>
    <w:rsid w:val="00B716B9"/>
    <w:rsid w:val="00B71B14"/>
    <w:rsid w:val="00B731B1"/>
    <w:rsid w:val="00B73D47"/>
    <w:rsid w:val="00B7421F"/>
    <w:rsid w:val="00B74715"/>
    <w:rsid w:val="00B7487F"/>
    <w:rsid w:val="00B75397"/>
    <w:rsid w:val="00B75F08"/>
    <w:rsid w:val="00B760F0"/>
    <w:rsid w:val="00B761C0"/>
    <w:rsid w:val="00B76244"/>
    <w:rsid w:val="00B76675"/>
    <w:rsid w:val="00B770A8"/>
    <w:rsid w:val="00B77D93"/>
    <w:rsid w:val="00B80B5F"/>
    <w:rsid w:val="00B80F2C"/>
    <w:rsid w:val="00B82040"/>
    <w:rsid w:val="00B8238C"/>
    <w:rsid w:val="00B8284A"/>
    <w:rsid w:val="00B831D2"/>
    <w:rsid w:val="00B83E60"/>
    <w:rsid w:val="00B85018"/>
    <w:rsid w:val="00B856F0"/>
    <w:rsid w:val="00B87E00"/>
    <w:rsid w:val="00B90297"/>
    <w:rsid w:val="00B915C4"/>
    <w:rsid w:val="00B92A6A"/>
    <w:rsid w:val="00B94396"/>
    <w:rsid w:val="00B9448E"/>
    <w:rsid w:val="00B949BD"/>
    <w:rsid w:val="00B953E6"/>
    <w:rsid w:val="00B957AE"/>
    <w:rsid w:val="00B95C13"/>
    <w:rsid w:val="00B95C1C"/>
    <w:rsid w:val="00B96125"/>
    <w:rsid w:val="00B961D0"/>
    <w:rsid w:val="00B9644F"/>
    <w:rsid w:val="00B96910"/>
    <w:rsid w:val="00B97019"/>
    <w:rsid w:val="00B977CE"/>
    <w:rsid w:val="00B97A31"/>
    <w:rsid w:val="00B97E6C"/>
    <w:rsid w:val="00BA019C"/>
    <w:rsid w:val="00BA080B"/>
    <w:rsid w:val="00BA1394"/>
    <w:rsid w:val="00BA20C9"/>
    <w:rsid w:val="00BA3E77"/>
    <w:rsid w:val="00BA46A7"/>
    <w:rsid w:val="00BA522B"/>
    <w:rsid w:val="00BB08CC"/>
    <w:rsid w:val="00BB0A16"/>
    <w:rsid w:val="00BB0C41"/>
    <w:rsid w:val="00BB0C66"/>
    <w:rsid w:val="00BB1591"/>
    <w:rsid w:val="00BB2A95"/>
    <w:rsid w:val="00BB2CA6"/>
    <w:rsid w:val="00BB30A9"/>
    <w:rsid w:val="00BB32E5"/>
    <w:rsid w:val="00BB4A0F"/>
    <w:rsid w:val="00BB5026"/>
    <w:rsid w:val="00BB50A0"/>
    <w:rsid w:val="00BB516D"/>
    <w:rsid w:val="00BB5D9B"/>
    <w:rsid w:val="00BB60E8"/>
    <w:rsid w:val="00BB6E0A"/>
    <w:rsid w:val="00BB7978"/>
    <w:rsid w:val="00BB7EDB"/>
    <w:rsid w:val="00BC0DC1"/>
    <w:rsid w:val="00BC134F"/>
    <w:rsid w:val="00BC31FB"/>
    <w:rsid w:val="00BC34EE"/>
    <w:rsid w:val="00BC36F0"/>
    <w:rsid w:val="00BC3A62"/>
    <w:rsid w:val="00BC3A85"/>
    <w:rsid w:val="00BC45FB"/>
    <w:rsid w:val="00BC4F58"/>
    <w:rsid w:val="00BC7ACC"/>
    <w:rsid w:val="00BD3463"/>
    <w:rsid w:val="00BD3F01"/>
    <w:rsid w:val="00BD429D"/>
    <w:rsid w:val="00BD45DD"/>
    <w:rsid w:val="00BD5622"/>
    <w:rsid w:val="00BD642B"/>
    <w:rsid w:val="00BD6AEC"/>
    <w:rsid w:val="00BD7126"/>
    <w:rsid w:val="00BD7150"/>
    <w:rsid w:val="00BD7D72"/>
    <w:rsid w:val="00BE0AC1"/>
    <w:rsid w:val="00BE1634"/>
    <w:rsid w:val="00BE1C83"/>
    <w:rsid w:val="00BE3ABC"/>
    <w:rsid w:val="00BE49FE"/>
    <w:rsid w:val="00BE5F97"/>
    <w:rsid w:val="00BE65AE"/>
    <w:rsid w:val="00BF0436"/>
    <w:rsid w:val="00BF0F65"/>
    <w:rsid w:val="00BF24AD"/>
    <w:rsid w:val="00BF3B06"/>
    <w:rsid w:val="00BF473D"/>
    <w:rsid w:val="00BF5666"/>
    <w:rsid w:val="00C000A6"/>
    <w:rsid w:val="00C00B03"/>
    <w:rsid w:val="00C00C66"/>
    <w:rsid w:val="00C01C74"/>
    <w:rsid w:val="00C01EB0"/>
    <w:rsid w:val="00C030F8"/>
    <w:rsid w:val="00C042F7"/>
    <w:rsid w:val="00C0433E"/>
    <w:rsid w:val="00C0483B"/>
    <w:rsid w:val="00C04E82"/>
    <w:rsid w:val="00C05726"/>
    <w:rsid w:val="00C05A2E"/>
    <w:rsid w:val="00C06054"/>
    <w:rsid w:val="00C060B8"/>
    <w:rsid w:val="00C06379"/>
    <w:rsid w:val="00C06E6E"/>
    <w:rsid w:val="00C07447"/>
    <w:rsid w:val="00C075CC"/>
    <w:rsid w:val="00C101A8"/>
    <w:rsid w:val="00C1052E"/>
    <w:rsid w:val="00C13BD0"/>
    <w:rsid w:val="00C146FC"/>
    <w:rsid w:val="00C154D2"/>
    <w:rsid w:val="00C156CC"/>
    <w:rsid w:val="00C15794"/>
    <w:rsid w:val="00C15D66"/>
    <w:rsid w:val="00C16190"/>
    <w:rsid w:val="00C17090"/>
    <w:rsid w:val="00C177EA"/>
    <w:rsid w:val="00C17EE2"/>
    <w:rsid w:val="00C20C27"/>
    <w:rsid w:val="00C21452"/>
    <w:rsid w:val="00C23903"/>
    <w:rsid w:val="00C23B36"/>
    <w:rsid w:val="00C24343"/>
    <w:rsid w:val="00C26A49"/>
    <w:rsid w:val="00C26C4E"/>
    <w:rsid w:val="00C27401"/>
    <w:rsid w:val="00C27B81"/>
    <w:rsid w:val="00C306BB"/>
    <w:rsid w:val="00C327E9"/>
    <w:rsid w:val="00C3335C"/>
    <w:rsid w:val="00C36027"/>
    <w:rsid w:val="00C361D3"/>
    <w:rsid w:val="00C36469"/>
    <w:rsid w:val="00C37D02"/>
    <w:rsid w:val="00C4035B"/>
    <w:rsid w:val="00C440ED"/>
    <w:rsid w:val="00C45A59"/>
    <w:rsid w:val="00C45B4D"/>
    <w:rsid w:val="00C46105"/>
    <w:rsid w:val="00C46D19"/>
    <w:rsid w:val="00C4705D"/>
    <w:rsid w:val="00C4776D"/>
    <w:rsid w:val="00C51939"/>
    <w:rsid w:val="00C51E21"/>
    <w:rsid w:val="00C52DE6"/>
    <w:rsid w:val="00C537F3"/>
    <w:rsid w:val="00C54589"/>
    <w:rsid w:val="00C56A6E"/>
    <w:rsid w:val="00C5718C"/>
    <w:rsid w:val="00C57679"/>
    <w:rsid w:val="00C578BB"/>
    <w:rsid w:val="00C57D46"/>
    <w:rsid w:val="00C611FC"/>
    <w:rsid w:val="00C61469"/>
    <w:rsid w:val="00C625B1"/>
    <w:rsid w:val="00C63B14"/>
    <w:rsid w:val="00C64542"/>
    <w:rsid w:val="00C64D26"/>
    <w:rsid w:val="00C6545E"/>
    <w:rsid w:val="00C65A42"/>
    <w:rsid w:val="00C669EA"/>
    <w:rsid w:val="00C66D77"/>
    <w:rsid w:val="00C67DB5"/>
    <w:rsid w:val="00C67F85"/>
    <w:rsid w:val="00C70BCA"/>
    <w:rsid w:val="00C71EF8"/>
    <w:rsid w:val="00C72882"/>
    <w:rsid w:val="00C72F34"/>
    <w:rsid w:val="00C7364A"/>
    <w:rsid w:val="00C73A67"/>
    <w:rsid w:val="00C750B9"/>
    <w:rsid w:val="00C75A54"/>
    <w:rsid w:val="00C7608B"/>
    <w:rsid w:val="00C770F3"/>
    <w:rsid w:val="00C8294F"/>
    <w:rsid w:val="00C82CC5"/>
    <w:rsid w:val="00C832A5"/>
    <w:rsid w:val="00C8336F"/>
    <w:rsid w:val="00C84705"/>
    <w:rsid w:val="00C8622B"/>
    <w:rsid w:val="00C864D0"/>
    <w:rsid w:val="00C8783C"/>
    <w:rsid w:val="00C90171"/>
    <w:rsid w:val="00C90604"/>
    <w:rsid w:val="00C9067A"/>
    <w:rsid w:val="00C90D7E"/>
    <w:rsid w:val="00C90EDF"/>
    <w:rsid w:val="00C90F2D"/>
    <w:rsid w:val="00C911AC"/>
    <w:rsid w:val="00C91714"/>
    <w:rsid w:val="00C91ED3"/>
    <w:rsid w:val="00C92E8A"/>
    <w:rsid w:val="00C93C81"/>
    <w:rsid w:val="00C96E61"/>
    <w:rsid w:val="00CA0032"/>
    <w:rsid w:val="00CA0AAA"/>
    <w:rsid w:val="00CA1261"/>
    <w:rsid w:val="00CA1455"/>
    <w:rsid w:val="00CA1E8E"/>
    <w:rsid w:val="00CA304A"/>
    <w:rsid w:val="00CA3472"/>
    <w:rsid w:val="00CA5DEA"/>
    <w:rsid w:val="00CA609F"/>
    <w:rsid w:val="00CA6E68"/>
    <w:rsid w:val="00CA74DB"/>
    <w:rsid w:val="00CA7646"/>
    <w:rsid w:val="00CB1055"/>
    <w:rsid w:val="00CB10E9"/>
    <w:rsid w:val="00CB1950"/>
    <w:rsid w:val="00CB2145"/>
    <w:rsid w:val="00CB2254"/>
    <w:rsid w:val="00CB27C8"/>
    <w:rsid w:val="00CB2BD7"/>
    <w:rsid w:val="00CB3CC8"/>
    <w:rsid w:val="00CB412E"/>
    <w:rsid w:val="00CB4C03"/>
    <w:rsid w:val="00CB5011"/>
    <w:rsid w:val="00CB5083"/>
    <w:rsid w:val="00CB5ABA"/>
    <w:rsid w:val="00CB6104"/>
    <w:rsid w:val="00CB7DC2"/>
    <w:rsid w:val="00CB7EE9"/>
    <w:rsid w:val="00CC0071"/>
    <w:rsid w:val="00CC06D0"/>
    <w:rsid w:val="00CC0BFC"/>
    <w:rsid w:val="00CC0DD3"/>
    <w:rsid w:val="00CC1188"/>
    <w:rsid w:val="00CC16D5"/>
    <w:rsid w:val="00CC1786"/>
    <w:rsid w:val="00CC180C"/>
    <w:rsid w:val="00CC2970"/>
    <w:rsid w:val="00CC3512"/>
    <w:rsid w:val="00CC427C"/>
    <w:rsid w:val="00CC7151"/>
    <w:rsid w:val="00CC767C"/>
    <w:rsid w:val="00CC784C"/>
    <w:rsid w:val="00CD01D0"/>
    <w:rsid w:val="00CD050B"/>
    <w:rsid w:val="00CD1231"/>
    <w:rsid w:val="00CD1822"/>
    <w:rsid w:val="00CD2634"/>
    <w:rsid w:val="00CD2A1B"/>
    <w:rsid w:val="00CD3B19"/>
    <w:rsid w:val="00CD3EDA"/>
    <w:rsid w:val="00CD777D"/>
    <w:rsid w:val="00CE30FC"/>
    <w:rsid w:val="00CE48EB"/>
    <w:rsid w:val="00CE51A6"/>
    <w:rsid w:val="00CE5548"/>
    <w:rsid w:val="00CE573C"/>
    <w:rsid w:val="00CE5EA4"/>
    <w:rsid w:val="00CE669C"/>
    <w:rsid w:val="00CE68F8"/>
    <w:rsid w:val="00CE7A69"/>
    <w:rsid w:val="00CF2131"/>
    <w:rsid w:val="00CF2A23"/>
    <w:rsid w:val="00CF3562"/>
    <w:rsid w:val="00CF3974"/>
    <w:rsid w:val="00CF45FC"/>
    <w:rsid w:val="00CF51FC"/>
    <w:rsid w:val="00CF5656"/>
    <w:rsid w:val="00CF6123"/>
    <w:rsid w:val="00CF6536"/>
    <w:rsid w:val="00CF70B6"/>
    <w:rsid w:val="00D00003"/>
    <w:rsid w:val="00D001B5"/>
    <w:rsid w:val="00D003F0"/>
    <w:rsid w:val="00D018DF"/>
    <w:rsid w:val="00D01D45"/>
    <w:rsid w:val="00D01EBC"/>
    <w:rsid w:val="00D0304C"/>
    <w:rsid w:val="00D04F67"/>
    <w:rsid w:val="00D0541D"/>
    <w:rsid w:val="00D06202"/>
    <w:rsid w:val="00D077AA"/>
    <w:rsid w:val="00D07888"/>
    <w:rsid w:val="00D10809"/>
    <w:rsid w:val="00D1081F"/>
    <w:rsid w:val="00D10BDC"/>
    <w:rsid w:val="00D1172F"/>
    <w:rsid w:val="00D11B40"/>
    <w:rsid w:val="00D16180"/>
    <w:rsid w:val="00D1675A"/>
    <w:rsid w:val="00D203EB"/>
    <w:rsid w:val="00D20C37"/>
    <w:rsid w:val="00D211D3"/>
    <w:rsid w:val="00D21D5A"/>
    <w:rsid w:val="00D21E63"/>
    <w:rsid w:val="00D2277D"/>
    <w:rsid w:val="00D227F2"/>
    <w:rsid w:val="00D2687D"/>
    <w:rsid w:val="00D27441"/>
    <w:rsid w:val="00D3057D"/>
    <w:rsid w:val="00D30834"/>
    <w:rsid w:val="00D308A5"/>
    <w:rsid w:val="00D30B51"/>
    <w:rsid w:val="00D312C4"/>
    <w:rsid w:val="00D3229F"/>
    <w:rsid w:val="00D33D7E"/>
    <w:rsid w:val="00D347A8"/>
    <w:rsid w:val="00D347F4"/>
    <w:rsid w:val="00D34ABC"/>
    <w:rsid w:val="00D35D30"/>
    <w:rsid w:val="00D36307"/>
    <w:rsid w:val="00D37040"/>
    <w:rsid w:val="00D37309"/>
    <w:rsid w:val="00D37811"/>
    <w:rsid w:val="00D4038F"/>
    <w:rsid w:val="00D415D5"/>
    <w:rsid w:val="00D424E4"/>
    <w:rsid w:val="00D42F1C"/>
    <w:rsid w:val="00D431D3"/>
    <w:rsid w:val="00D433FF"/>
    <w:rsid w:val="00D44332"/>
    <w:rsid w:val="00D45A06"/>
    <w:rsid w:val="00D462EB"/>
    <w:rsid w:val="00D4723A"/>
    <w:rsid w:val="00D50666"/>
    <w:rsid w:val="00D5089E"/>
    <w:rsid w:val="00D511BD"/>
    <w:rsid w:val="00D5399F"/>
    <w:rsid w:val="00D53BF4"/>
    <w:rsid w:val="00D53C49"/>
    <w:rsid w:val="00D54031"/>
    <w:rsid w:val="00D54F40"/>
    <w:rsid w:val="00D55908"/>
    <w:rsid w:val="00D566AF"/>
    <w:rsid w:val="00D57012"/>
    <w:rsid w:val="00D60776"/>
    <w:rsid w:val="00D61030"/>
    <w:rsid w:val="00D614E7"/>
    <w:rsid w:val="00D61CBD"/>
    <w:rsid w:val="00D61D0E"/>
    <w:rsid w:val="00D62B10"/>
    <w:rsid w:val="00D6337A"/>
    <w:rsid w:val="00D64AB6"/>
    <w:rsid w:val="00D64D7F"/>
    <w:rsid w:val="00D65C03"/>
    <w:rsid w:val="00D65E7A"/>
    <w:rsid w:val="00D66259"/>
    <w:rsid w:val="00D70C7C"/>
    <w:rsid w:val="00D716E1"/>
    <w:rsid w:val="00D71BD1"/>
    <w:rsid w:val="00D7400D"/>
    <w:rsid w:val="00D752DA"/>
    <w:rsid w:val="00D76E8E"/>
    <w:rsid w:val="00D77B47"/>
    <w:rsid w:val="00D80A86"/>
    <w:rsid w:val="00D80FAF"/>
    <w:rsid w:val="00D81560"/>
    <w:rsid w:val="00D83EA7"/>
    <w:rsid w:val="00D8471C"/>
    <w:rsid w:val="00D85522"/>
    <w:rsid w:val="00D855CF"/>
    <w:rsid w:val="00D90697"/>
    <w:rsid w:val="00D90EA3"/>
    <w:rsid w:val="00D91282"/>
    <w:rsid w:val="00D92A24"/>
    <w:rsid w:val="00D9347C"/>
    <w:rsid w:val="00D93667"/>
    <w:rsid w:val="00D94B69"/>
    <w:rsid w:val="00D95379"/>
    <w:rsid w:val="00D95494"/>
    <w:rsid w:val="00D95923"/>
    <w:rsid w:val="00D96047"/>
    <w:rsid w:val="00DA030C"/>
    <w:rsid w:val="00DA12C8"/>
    <w:rsid w:val="00DA1EFA"/>
    <w:rsid w:val="00DA1F04"/>
    <w:rsid w:val="00DA2565"/>
    <w:rsid w:val="00DA3207"/>
    <w:rsid w:val="00DA3753"/>
    <w:rsid w:val="00DA5AC6"/>
    <w:rsid w:val="00DA65F0"/>
    <w:rsid w:val="00DA74FF"/>
    <w:rsid w:val="00DA7D20"/>
    <w:rsid w:val="00DB0043"/>
    <w:rsid w:val="00DB0EF2"/>
    <w:rsid w:val="00DB1B5B"/>
    <w:rsid w:val="00DB1F80"/>
    <w:rsid w:val="00DB2DB9"/>
    <w:rsid w:val="00DB2F7B"/>
    <w:rsid w:val="00DB3FB3"/>
    <w:rsid w:val="00DB436D"/>
    <w:rsid w:val="00DB4CF5"/>
    <w:rsid w:val="00DB531B"/>
    <w:rsid w:val="00DB54C5"/>
    <w:rsid w:val="00DB5886"/>
    <w:rsid w:val="00DB6187"/>
    <w:rsid w:val="00DB62DE"/>
    <w:rsid w:val="00DB645F"/>
    <w:rsid w:val="00DB7C20"/>
    <w:rsid w:val="00DC076F"/>
    <w:rsid w:val="00DC15C6"/>
    <w:rsid w:val="00DC2289"/>
    <w:rsid w:val="00DC22E6"/>
    <w:rsid w:val="00DC3464"/>
    <w:rsid w:val="00DC37FB"/>
    <w:rsid w:val="00DC569C"/>
    <w:rsid w:val="00DC5A40"/>
    <w:rsid w:val="00DC70CC"/>
    <w:rsid w:val="00DC7404"/>
    <w:rsid w:val="00DC7690"/>
    <w:rsid w:val="00DC78B9"/>
    <w:rsid w:val="00DD02A2"/>
    <w:rsid w:val="00DD07F4"/>
    <w:rsid w:val="00DD08B3"/>
    <w:rsid w:val="00DD0D6B"/>
    <w:rsid w:val="00DD0E5B"/>
    <w:rsid w:val="00DD1088"/>
    <w:rsid w:val="00DD2431"/>
    <w:rsid w:val="00DD2503"/>
    <w:rsid w:val="00DD418D"/>
    <w:rsid w:val="00DD4343"/>
    <w:rsid w:val="00DD4A6A"/>
    <w:rsid w:val="00DD4B6C"/>
    <w:rsid w:val="00DD5C50"/>
    <w:rsid w:val="00DD5DFF"/>
    <w:rsid w:val="00DD6A3C"/>
    <w:rsid w:val="00DD6A93"/>
    <w:rsid w:val="00DD72CF"/>
    <w:rsid w:val="00DD7625"/>
    <w:rsid w:val="00DE0FA5"/>
    <w:rsid w:val="00DE106B"/>
    <w:rsid w:val="00DE2DEF"/>
    <w:rsid w:val="00DE3045"/>
    <w:rsid w:val="00DE327E"/>
    <w:rsid w:val="00DE4BA5"/>
    <w:rsid w:val="00DE70D5"/>
    <w:rsid w:val="00DE728A"/>
    <w:rsid w:val="00DE73FD"/>
    <w:rsid w:val="00DE7437"/>
    <w:rsid w:val="00DF2D6C"/>
    <w:rsid w:val="00DF31BA"/>
    <w:rsid w:val="00DF3469"/>
    <w:rsid w:val="00DF34EC"/>
    <w:rsid w:val="00DF3F0C"/>
    <w:rsid w:val="00DF4F8C"/>
    <w:rsid w:val="00DF5283"/>
    <w:rsid w:val="00DF5D64"/>
    <w:rsid w:val="00DF7238"/>
    <w:rsid w:val="00DF7C56"/>
    <w:rsid w:val="00E00039"/>
    <w:rsid w:val="00E001A6"/>
    <w:rsid w:val="00E0117D"/>
    <w:rsid w:val="00E01215"/>
    <w:rsid w:val="00E02EE5"/>
    <w:rsid w:val="00E038C4"/>
    <w:rsid w:val="00E03B84"/>
    <w:rsid w:val="00E04516"/>
    <w:rsid w:val="00E06013"/>
    <w:rsid w:val="00E067FC"/>
    <w:rsid w:val="00E06ECD"/>
    <w:rsid w:val="00E0752F"/>
    <w:rsid w:val="00E07960"/>
    <w:rsid w:val="00E07C37"/>
    <w:rsid w:val="00E10C55"/>
    <w:rsid w:val="00E10E87"/>
    <w:rsid w:val="00E110BC"/>
    <w:rsid w:val="00E11172"/>
    <w:rsid w:val="00E1140D"/>
    <w:rsid w:val="00E11C82"/>
    <w:rsid w:val="00E141AC"/>
    <w:rsid w:val="00E142E7"/>
    <w:rsid w:val="00E14ECC"/>
    <w:rsid w:val="00E1534B"/>
    <w:rsid w:val="00E158E2"/>
    <w:rsid w:val="00E15A33"/>
    <w:rsid w:val="00E1632D"/>
    <w:rsid w:val="00E16407"/>
    <w:rsid w:val="00E20104"/>
    <w:rsid w:val="00E24416"/>
    <w:rsid w:val="00E25684"/>
    <w:rsid w:val="00E2709D"/>
    <w:rsid w:val="00E27736"/>
    <w:rsid w:val="00E27E7C"/>
    <w:rsid w:val="00E300F2"/>
    <w:rsid w:val="00E301F3"/>
    <w:rsid w:val="00E303CC"/>
    <w:rsid w:val="00E3048A"/>
    <w:rsid w:val="00E3167B"/>
    <w:rsid w:val="00E323EE"/>
    <w:rsid w:val="00E32B7A"/>
    <w:rsid w:val="00E32DAB"/>
    <w:rsid w:val="00E33EC6"/>
    <w:rsid w:val="00E35A02"/>
    <w:rsid w:val="00E36282"/>
    <w:rsid w:val="00E3696E"/>
    <w:rsid w:val="00E36C85"/>
    <w:rsid w:val="00E37B7B"/>
    <w:rsid w:val="00E40848"/>
    <w:rsid w:val="00E40C54"/>
    <w:rsid w:val="00E4232F"/>
    <w:rsid w:val="00E428BE"/>
    <w:rsid w:val="00E44627"/>
    <w:rsid w:val="00E44900"/>
    <w:rsid w:val="00E4506F"/>
    <w:rsid w:val="00E4519C"/>
    <w:rsid w:val="00E455DD"/>
    <w:rsid w:val="00E45DBA"/>
    <w:rsid w:val="00E46C51"/>
    <w:rsid w:val="00E473FD"/>
    <w:rsid w:val="00E47DF0"/>
    <w:rsid w:val="00E50028"/>
    <w:rsid w:val="00E51D95"/>
    <w:rsid w:val="00E51EAD"/>
    <w:rsid w:val="00E52127"/>
    <w:rsid w:val="00E53E66"/>
    <w:rsid w:val="00E56117"/>
    <w:rsid w:val="00E573F0"/>
    <w:rsid w:val="00E6031F"/>
    <w:rsid w:val="00E60DE1"/>
    <w:rsid w:val="00E61F74"/>
    <w:rsid w:val="00E622A9"/>
    <w:rsid w:val="00E62AFF"/>
    <w:rsid w:val="00E62B6A"/>
    <w:rsid w:val="00E62E6A"/>
    <w:rsid w:val="00E630A8"/>
    <w:rsid w:val="00E631A4"/>
    <w:rsid w:val="00E635F4"/>
    <w:rsid w:val="00E63CD6"/>
    <w:rsid w:val="00E63E9C"/>
    <w:rsid w:val="00E6449D"/>
    <w:rsid w:val="00E64CB2"/>
    <w:rsid w:val="00E656FF"/>
    <w:rsid w:val="00E66156"/>
    <w:rsid w:val="00E66D21"/>
    <w:rsid w:val="00E6747A"/>
    <w:rsid w:val="00E67986"/>
    <w:rsid w:val="00E67C4E"/>
    <w:rsid w:val="00E7027B"/>
    <w:rsid w:val="00E707CD"/>
    <w:rsid w:val="00E71BA9"/>
    <w:rsid w:val="00E71F99"/>
    <w:rsid w:val="00E72A7E"/>
    <w:rsid w:val="00E741A9"/>
    <w:rsid w:val="00E75D23"/>
    <w:rsid w:val="00E76BD1"/>
    <w:rsid w:val="00E77118"/>
    <w:rsid w:val="00E807A6"/>
    <w:rsid w:val="00E82C05"/>
    <w:rsid w:val="00E832B2"/>
    <w:rsid w:val="00E83F64"/>
    <w:rsid w:val="00E848DB"/>
    <w:rsid w:val="00E84D43"/>
    <w:rsid w:val="00E858B6"/>
    <w:rsid w:val="00E85BC2"/>
    <w:rsid w:val="00E860D6"/>
    <w:rsid w:val="00E86C0C"/>
    <w:rsid w:val="00E86F19"/>
    <w:rsid w:val="00E86FEC"/>
    <w:rsid w:val="00E90799"/>
    <w:rsid w:val="00E94025"/>
    <w:rsid w:val="00E943F3"/>
    <w:rsid w:val="00E95888"/>
    <w:rsid w:val="00E95A29"/>
    <w:rsid w:val="00E963CE"/>
    <w:rsid w:val="00E96988"/>
    <w:rsid w:val="00E974F6"/>
    <w:rsid w:val="00EA0374"/>
    <w:rsid w:val="00EA128F"/>
    <w:rsid w:val="00EA1EBA"/>
    <w:rsid w:val="00EA26FE"/>
    <w:rsid w:val="00EA2C67"/>
    <w:rsid w:val="00EA3680"/>
    <w:rsid w:val="00EA39C7"/>
    <w:rsid w:val="00EA3FB0"/>
    <w:rsid w:val="00EA4232"/>
    <w:rsid w:val="00EA56CE"/>
    <w:rsid w:val="00EA60D0"/>
    <w:rsid w:val="00EA679A"/>
    <w:rsid w:val="00EA77C3"/>
    <w:rsid w:val="00EA7B5C"/>
    <w:rsid w:val="00EB003D"/>
    <w:rsid w:val="00EB151B"/>
    <w:rsid w:val="00EB1B90"/>
    <w:rsid w:val="00EB35C1"/>
    <w:rsid w:val="00EB3A97"/>
    <w:rsid w:val="00EB3E3E"/>
    <w:rsid w:val="00EB404F"/>
    <w:rsid w:val="00EB4194"/>
    <w:rsid w:val="00EB41A8"/>
    <w:rsid w:val="00EB4B38"/>
    <w:rsid w:val="00EB66B8"/>
    <w:rsid w:val="00EB6C91"/>
    <w:rsid w:val="00EB769F"/>
    <w:rsid w:val="00EB7868"/>
    <w:rsid w:val="00EB790D"/>
    <w:rsid w:val="00EC0778"/>
    <w:rsid w:val="00EC1B74"/>
    <w:rsid w:val="00EC1FE1"/>
    <w:rsid w:val="00EC2353"/>
    <w:rsid w:val="00EC345A"/>
    <w:rsid w:val="00EC3AE0"/>
    <w:rsid w:val="00EC40CD"/>
    <w:rsid w:val="00EC456A"/>
    <w:rsid w:val="00EC46E9"/>
    <w:rsid w:val="00EC5136"/>
    <w:rsid w:val="00EC65BB"/>
    <w:rsid w:val="00EC6FF6"/>
    <w:rsid w:val="00EC7289"/>
    <w:rsid w:val="00EC753C"/>
    <w:rsid w:val="00EC78A0"/>
    <w:rsid w:val="00EC7AE7"/>
    <w:rsid w:val="00ED03E1"/>
    <w:rsid w:val="00ED24AC"/>
    <w:rsid w:val="00ED2CE0"/>
    <w:rsid w:val="00ED355F"/>
    <w:rsid w:val="00ED4BAE"/>
    <w:rsid w:val="00ED62E3"/>
    <w:rsid w:val="00ED645C"/>
    <w:rsid w:val="00ED6E2D"/>
    <w:rsid w:val="00ED7094"/>
    <w:rsid w:val="00ED74C8"/>
    <w:rsid w:val="00ED78BA"/>
    <w:rsid w:val="00ED78EC"/>
    <w:rsid w:val="00ED7FE9"/>
    <w:rsid w:val="00EE13BD"/>
    <w:rsid w:val="00EE1EE6"/>
    <w:rsid w:val="00EE1EEA"/>
    <w:rsid w:val="00EE1EF7"/>
    <w:rsid w:val="00EE23DF"/>
    <w:rsid w:val="00EE4CDF"/>
    <w:rsid w:val="00EE51C1"/>
    <w:rsid w:val="00EE6934"/>
    <w:rsid w:val="00EE79C2"/>
    <w:rsid w:val="00EF009C"/>
    <w:rsid w:val="00EF0151"/>
    <w:rsid w:val="00EF03D6"/>
    <w:rsid w:val="00EF0463"/>
    <w:rsid w:val="00EF0693"/>
    <w:rsid w:val="00EF0AF3"/>
    <w:rsid w:val="00EF0D50"/>
    <w:rsid w:val="00EF257A"/>
    <w:rsid w:val="00EF38AE"/>
    <w:rsid w:val="00EF52F8"/>
    <w:rsid w:val="00EF55F3"/>
    <w:rsid w:val="00EF5DEA"/>
    <w:rsid w:val="00EF677A"/>
    <w:rsid w:val="00EF6DA1"/>
    <w:rsid w:val="00EF759A"/>
    <w:rsid w:val="00F00D72"/>
    <w:rsid w:val="00F00F7A"/>
    <w:rsid w:val="00F0209D"/>
    <w:rsid w:val="00F023E0"/>
    <w:rsid w:val="00F02558"/>
    <w:rsid w:val="00F03B5C"/>
    <w:rsid w:val="00F03CD4"/>
    <w:rsid w:val="00F04075"/>
    <w:rsid w:val="00F05606"/>
    <w:rsid w:val="00F0750F"/>
    <w:rsid w:val="00F075B7"/>
    <w:rsid w:val="00F07901"/>
    <w:rsid w:val="00F07999"/>
    <w:rsid w:val="00F1007A"/>
    <w:rsid w:val="00F109F5"/>
    <w:rsid w:val="00F113C9"/>
    <w:rsid w:val="00F11858"/>
    <w:rsid w:val="00F132FA"/>
    <w:rsid w:val="00F143B3"/>
    <w:rsid w:val="00F14E25"/>
    <w:rsid w:val="00F15F5B"/>
    <w:rsid w:val="00F1642A"/>
    <w:rsid w:val="00F2064F"/>
    <w:rsid w:val="00F21A01"/>
    <w:rsid w:val="00F22A44"/>
    <w:rsid w:val="00F2396A"/>
    <w:rsid w:val="00F240E9"/>
    <w:rsid w:val="00F250D7"/>
    <w:rsid w:val="00F25545"/>
    <w:rsid w:val="00F2568F"/>
    <w:rsid w:val="00F263B2"/>
    <w:rsid w:val="00F26968"/>
    <w:rsid w:val="00F269BC"/>
    <w:rsid w:val="00F27D8C"/>
    <w:rsid w:val="00F30743"/>
    <w:rsid w:val="00F30938"/>
    <w:rsid w:val="00F31D36"/>
    <w:rsid w:val="00F326EF"/>
    <w:rsid w:val="00F330F9"/>
    <w:rsid w:val="00F33676"/>
    <w:rsid w:val="00F33F67"/>
    <w:rsid w:val="00F3457C"/>
    <w:rsid w:val="00F367D7"/>
    <w:rsid w:val="00F40B08"/>
    <w:rsid w:val="00F40E2B"/>
    <w:rsid w:val="00F411B9"/>
    <w:rsid w:val="00F41C8E"/>
    <w:rsid w:val="00F425A7"/>
    <w:rsid w:val="00F42C18"/>
    <w:rsid w:val="00F431C8"/>
    <w:rsid w:val="00F434B8"/>
    <w:rsid w:val="00F4440E"/>
    <w:rsid w:val="00F44C73"/>
    <w:rsid w:val="00F44F6E"/>
    <w:rsid w:val="00F45171"/>
    <w:rsid w:val="00F45FA4"/>
    <w:rsid w:val="00F460BB"/>
    <w:rsid w:val="00F4612A"/>
    <w:rsid w:val="00F471EA"/>
    <w:rsid w:val="00F5013F"/>
    <w:rsid w:val="00F50419"/>
    <w:rsid w:val="00F5071C"/>
    <w:rsid w:val="00F50FEB"/>
    <w:rsid w:val="00F518EF"/>
    <w:rsid w:val="00F540D5"/>
    <w:rsid w:val="00F54611"/>
    <w:rsid w:val="00F548DF"/>
    <w:rsid w:val="00F55010"/>
    <w:rsid w:val="00F55135"/>
    <w:rsid w:val="00F5633C"/>
    <w:rsid w:val="00F57A07"/>
    <w:rsid w:val="00F623F0"/>
    <w:rsid w:val="00F627B5"/>
    <w:rsid w:val="00F629DF"/>
    <w:rsid w:val="00F63069"/>
    <w:rsid w:val="00F65BC8"/>
    <w:rsid w:val="00F65F24"/>
    <w:rsid w:val="00F66DE5"/>
    <w:rsid w:val="00F67315"/>
    <w:rsid w:val="00F67C54"/>
    <w:rsid w:val="00F71007"/>
    <w:rsid w:val="00F7114A"/>
    <w:rsid w:val="00F727EA"/>
    <w:rsid w:val="00F74382"/>
    <w:rsid w:val="00F762EA"/>
    <w:rsid w:val="00F76FF6"/>
    <w:rsid w:val="00F7742A"/>
    <w:rsid w:val="00F77447"/>
    <w:rsid w:val="00F813B2"/>
    <w:rsid w:val="00F81B8A"/>
    <w:rsid w:val="00F826A1"/>
    <w:rsid w:val="00F82764"/>
    <w:rsid w:val="00F83C33"/>
    <w:rsid w:val="00F8429B"/>
    <w:rsid w:val="00F84BF2"/>
    <w:rsid w:val="00F86255"/>
    <w:rsid w:val="00F87B55"/>
    <w:rsid w:val="00F87EB9"/>
    <w:rsid w:val="00F87FA5"/>
    <w:rsid w:val="00F90687"/>
    <w:rsid w:val="00F91584"/>
    <w:rsid w:val="00F92BE3"/>
    <w:rsid w:val="00F92ED6"/>
    <w:rsid w:val="00F9345E"/>
    <w:rsid w:val="00F93D29"/>
    <w:rsid w:val="00F93ED3"/>
    <w:rsid w:val="00F94583"/>
    <w:rsid w:val="00F959E9"/>
    <w:rsid w:val="00F9657C"/>
    <w:rsid w:val="00F96649"/>
    <w:rsid w:val="00F9700A"/>
    <w:rsid w:val="00F979E0"/>
    <w:rsid w:val="00FA0033"/>
    <w:rsid w:val="00FA0D6F"/>
    <w:rsid w:val="00FA1B26"/>
    <w:rsid w:val="00FA1FF3"/>
    <w:rsid w:val="00FA2A53"/>
    <w:rsid w:val="00FA2E7B"/>
    <w:rsid w:val="00FA385E"/>
    <w:rsid w:val="00FA3FF2"/>
    <w:rsid w:val="00FA4280"/>
    <w:rsid w:val="00FA4500"/>
    <w:rsid w:val="00FA56D1"/>
    <w:rsid w:val="00FA56FC"/>
    <w:rsid w:val="00FA6926"/>
    <w:rsid w:val="00FA726F"/>
    <w:rsid w:val="00FA79BC"/>
    <w:rsid w:val="00FA7B50"/>
    <w:rsid w:val="00FA7ECA"/>
    <w:rsid w:val="00FB0292"/>
    <w:rsid w:val="00FB03A4"/>
    <w:rsid w:val="00FB1266"/>
    <w:rsid w:val="00FB144C"/>
    <w:rsid w:val="00FB1815"/>
    <w:rsid w:val="00FB274A"/>
    <w:rsid w:val="00FB2F37"/>
    <w:rsid w:val="00FB31AF"/>
    <w:rsid w:val="00FB342A"/>
    <w:rsid w:val="00FB3787"/>
    <w:rsid w:val="00FB399A"/>
    <w:rsid w:val="00FB52F7"/>
    <w:rsid w:val="00FB56B8"/>
    <w:rsid w:val="00FB5D98"/>
    <w:rsid w:val="00FB5F9C"/>
    <w:rsid w:val="00FB68EC"/>
    <w:rsid w:val="00FC2950"/>
    <w:rsid w:val="00FC3ABE"/>
    <w:rsid w:val="00FC3DAC"/>
    <w:rsid w:val="00FC49C3"/>
    <w:rsid w:val="00FC5B9F"/>
    <w:rsid w:val="00FC5C23"/>
    <w:rsid w:val="00FC6765"/>
    <w:rsid w:val="00FC6ABB"/>
    <w:rsid w:val="00FC7B29"/>
    <w:rsid w:val="00FD1F22"/>
    <w:rsid w:val="00FD26F4"/>
    <w:rsid w:val="00FD2832"/>
    <w:rsid w:val="00FD4AFE"/>
    <w:rsid w:val="00FD5AB1"/>
    <w:rsid w:val="00FD67F1"/>
    <w:rsid w:val="00FD6A9C"/>
    <w:rsid w:val="00FD6AFE"/>
    <w:rsid w:val="00FD6F5B"/>
    <w:rsid w:val="00FD6FBD"/>
    <w:rsid w:val="00FD76DC"/>
    <w:rsid w:val="00FE0E79"/>
    <w:rsid w:val="00FE10C5"/>
    <w:rsid w:val="00FE2140"/>
    <w:rsid w:val="00FE26FF"/>
    <w:rsid w:val="00FE279D"/>
    <w:rsid w:val="00FE3479"/>
    <w:rsid w:val="00FE348B"/>
    <w:rsid w:val="00FE34C8"/>
    <w:rsid w:val="00FE4023"/>
    <w:rsid w:val="00FE42AA"/>
    <w:rsid w:val="00FE4F89"/>
    <w:rsid w:val="00FE50F2"/>
    <w:rsid w:val="00FE67E1"/>
    <w:rsid w:val="00FE79D5"/>
    <w:rsid w:val="00FF023F"/>
    <w:rsid w:val="00FF0330"/>
    <w:rsid w:val="00FF132B"/>
    <w:rsid w:val="00FF1B7D"/>
    <w:rsid w:val="00FF26D4"/>
    <w:rsid w:val="00FF56F5"/>
    <w:rsid w:val="00FF776E"/>
    <w:rsid w:val="031B77F7"/>
    <w:rsid w:val="070659F4"/>
    <w:rsid w:val="07866B35"/>
    <w:rsid w:val="0FD04DF1"/>
    <w:rsid w:val="10B71B0D"/>
    <w:rsid w:val="11FA0AE2"/>
    <w:rsid w:val="12D23E8B"/>
    <w:rsid w:val="17726540"/>
    <w:rsid w:val="18910E95"/>
    <w:rsid w:val="19EE3D48"/>
    <w:rsid w:val="1AF35E37"/>
    <w:rsid w:val="1C2344FA"/>
    <w:rsid w:val="243E54E9"/>
    <w:rsid w:val="27BC6008"/>
    <w:rsid w:val="28B5472C"/>
    <w:rsid w:val="2AE15FA6"/>
    <w:rsid w:val="2F8F5CD7"/>
    <w:rsid w:val="3057628A"/>
    <w:rsid w:val="36DA134D"/>
    <w:rsid w:val="3F516B05"/>
    <w:rsid w:val="3F8413D6"/>
    <w:rsid w:val="40A435AC"/>
    <w:rsid w:val="48084421"/>
    <w:rsid w:val="4B022465"/>
    <w:rsid w:val="4DFC0584"/>
    <w:rsid w:val="4E4F4B57"/>
    <w:rsid w:val="4ECC43FA"/>
    <w:rsid w:val="56580C82"/>
    <w:rsid w:val="57415259"/>
    <w:rsid w:val="576553EC"/>
    <w:rsid w:val="5B200C29"/>
    <w:rsid w:val="5C9D2FB9"/>
    <w:rsid w:val="5D9562FF"/>
    <w:rsid w:val="6650370B"/>
    <w:rsid w:val="6A325601"/>
    <w:rsid w:val="6D2B3161"/>
    <w:rsid w:val="736308DE"/>
    <w:rsid w:val="74035919"/>
    <w:rsid w:val="74CE06B6"/>
    <w:rsid w:val="75E3466A"/>
    <w:rsid w:val="78650950"/>
    <w:rsid w:val="79F71EE9"/>
    <w:rsid w:val="7A7902CD"/>
    <w:rsid w:val="7BF92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unhideWhenUsed/>
    <w:qFormat/>
    <w:uiPriority w:val="99"/>
    <w:rPr>
      <w:rFonts w:ascii="宋体" w:hAnsi="Courier New" w:eastAsia="宋体" w:cs="Courier New"/>
      <w:szCs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纯文本 Char"/>
    <w:basedOn w:val="6"/>
    <w:link w:val="2"/>
    <w:qFormat/>
    <w:uiPriority w:val="99"/>
    <w:rPr>
      <w:rFonts w:ascii="宋体" w:hAnsi="Courier New" w:eastAsia="宋体" w:cs="Courier New"/>
      <w:szCs w:val="21"/>
    </w:r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7197-6AE1-4BD7-87E7-A2F1A040243F}">
  <ds:schemaRefs/>
</ds:datastoreItem>
</file>

<file path=docProps/app.xml><?xml version="1.0" encoding="utf-8"?>
<Properties xmlns="http://schemas.openxmlformats.org/officeDocument/2006/extended-properties" xmlns:vt="http://schemas.openxmlformats.org/officeDocument/2006/docPropsVTypes">
  <Template>Normal.dotm</Template>
  <Pages>94</Pages>
  <Words>10720</Words>
  <Characters>71969</Characters>
  <Lines>1</Lines>
  <Paragraphs>1</Paragraphs>
  <TotalTime>2184</TotalTime>
  <ScaleCrop>false</ScaleCrop>
  <LinksUpToDate>false</LinksUpToDate>
  <CharactersWithSpaces>82218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2025-10-11T03:52:00Z</dcterms:created>
  <dc:creator>bnds</dc:creator>
  <cp:lastModifiedBy>朱晓丽</cp:lastModifiedBy>
  <dcterms:modified xsi:type="dcterms:W3CDTF">2026-09-15T01:16:17Z</dcterms:modified>
  <cp:revision>398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eyJoZGlkIjoiMzYwOTRkYTgyYmFkYWY1OGIzMTE1N2NiY2ZlNjY2NzMiLCJ1c2VySWQiOiI1NDAxMTY4MjQifQ==</vt:lpwstr>
  </property>
  <property fmtid="{D5CDD505-2E9C-101B-9397-08002B2CF9AE}" pid="3" name="KSOProductBuildVer">
    <vt:lpwstr>2052-12.1.0.28043</vt:lpwstr>
  </property>
  <property fmtid="{D5CDD505-2E9C-101B-9397-08002B2CF9AE}" pid="4" name="ICV">
    <vt:lpwstr>82B916CFBC064D65A86BB70ACDA89DE5_12</vt:lpwstr>
  </property>
</Properties>
</file>