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13816">
      <w:pPr>
        <w:spacing w:line="360" w:lineRule="auto"/>
        <w:jc w:val="center"/>
        <w:rPr>
          <w:rFonts w:ascii="宋体" w:hAnsi="宋体" w:eastAsia="宋体" w:cs="宋体"/>
          <w:b/>
          <w:sz w:val="28"/>
          <w:szCs w:val="28"/>
        </w:rPr>
      </w:pPr>
      <w:r>
        <w:rPr>
          <w:rFonts w:hint="eastAsia" w:ascii="宋体" w:hAnsi="宋体" w:eastAsia="宋体" w:cs="宋体"/>
          <w:b/>
          <w:sz w:val="28"/>
          <w:szCs w:val="28"/>
        </w:rPr>
        <w:t>202</w:t>
      </w:r>
      <w:r>
        <w:rPr>
          <w:rFonts w:ascii="宋体" w:hAnsi="宋体" w:eastAsia="宋体" w:cs="宋体"/>
          <w:b/>
          <w:sz w:val="28"/>
          <w:szCs w:val="28"/>
        </w:rPr>
        <w:t>6</w:t>
      </w:r>
      <w:r>
        <w:rPr>
          <w:rFonts w:hint="eastAsia" w:ascii="宋体" w:hAnsi="宋体" w:eastAsia="宋体" w:cs="宋体"/>
          <w:b/>
          <w:sz w:val="28"/>
          <w:szCs w:val="28"/>
        </w:rPr>
        <w:t>年第</w:t>
      </w:r>
      <w:r>
        <w:rPr>
          <w:rFonts w:ascii="宋体" w:hAnsi="宋体" w:eastAsia="宋体" w:cs="宋体"/>
          <w:b/>
          <w:sz w:val="28"/>
          <w:szCs w:val="28"/>
        </w:rPr>
        <w:t>3</w:t>
      </w:r>
      <w:r>
        <w:rPr>
          <w:rFonts w:hint="eastAsia" w:ascii="宋体" w:hAnsi="宋体" w:eastAsia="宋体" w:cs="宋体"/>
          <w:b/>
          <w:sz w:val="28"/>
          <w:szCs w:val="28"/>
          <w:lang w:val="en-US" w:eastAsia="zh-CN"/>
        </w:rPr>
        <w:t>6</w:t>
      </w:r>
      <w:r>
        <w:rPr>
          <w:rFonts w:hint="eastAsia" w:ascii="宋体" w:hAnsi="宋体" w:eastAsia="宋体" w:cs="宋体"/>
          <w:b/>
          <w:sz w:val="28"/>
          <w:szCs w:val="28"/>
        </w:rPr>
        <w:t>周</w:t>
      </w:r>
    </w:p>
    <w:p w14:paraId="33BD876F">
      <w:pPr>
        <w:spacing w:line="360" w:lineRule="auto"/>
        <w:jc w:val="center"/>
        <w:rPr>
          <w:rFonts w:ascii="宋体" w:hAnsi="宋体" w:eastAsia="宋体" w:cs="宋体"/>
          <w:b/>
          <w:sz w:val="28"/>
          <w:szCs w:val="28"/>
        </w:rPr>
      </w:pPr>
      <w:r>
        <w:rPr>
          <w:rFonts w:hint="eastAsia" w:ascii="宋体" w:hAnsi="宋体" w:eastAsia="宋体" w:cs="宋体"/>
          <w:b/>
          <w:sz w:val="28"/>
          <w:szCs w:val="28"/>
        </w:rPr>
        <w:t>中国大陆学者发表的结核病英文文章摘要</w:t>
      </w:r>
    </w:p>
    <w:p w14:paraId="3B010A26">
      <w:pPr>
        <w:spacing w:line="360" w:lineRule="auto"/>
        <w:jc w:val="center"/>
        <w:rPr>
          <w:rFonts w:ascii="宋体" w:hAnsi="宋体" w:eastAsia="宋体" w:cs="宋体"/>
          <w:b/>
          <w:sz w:val="28"/>
          <w:szCs w:val="28"/>
        </w:rPr>
      </w:pPr>
      <w:r>
        <w:rPr>
          <w:rFonts w:hint="eastAsia" w:ascii="宋体" w:hAnsi="宋体" w:eastAsia="宋体" w:cs="宋体"/>
          <w:b/>
          <w:sz w:val="28"/>
          <w:szCs w:val="28"/>
        </w:rPr>
        <w:t>（</w:t>
      </w:r>
      <w:r>
        <w:rPr>
          <w:rFonts w:hint="eastAsia" w:ascii="宋体" w:hAnsi="宋体" w:eastAsia="宋体" w:cs="宋体"/>
          <w:b/>
          <w:sz w:val="28"/>
          <w:szCs w:val="28"/>
          <w:lang w:val="en-US" w:eastAsia="zh-CN"/>
        </w:rPr>
        <w:t>26</w:t>
      </w:r>
      <w:r>
        <w:rPr>
          <w:rFonts w:hint="eastAsia" w:ascii="宋体" w:hAnsi="宋体" w:eastAsia="宋体" w:cs="宋体"/>
          <w:b/>
          <w:sz w:val="28"/>
          <w:szCs w:val="28"/>
        </w:rPr>
        <w:t>篇）</w:t>
      </w:r>
      <w:bookmarkStart w:id="0" w:name="_GoBack"/>
      <w:bookmarkEnd w:id="0"/>
    </w:p>
    <w:p w14:paraId="21046732">
      <w:pPr>
        <w:jc w:val="left"/>
        <w:rPr>
          <w:rFonts w:ascii="宋体" w:hAnsi="宋体" w:eastAsia="宋体" w:cs="宋体"/>
          <w:szCs w:val="24"/>
        </w:rPr>
      </w:pPr>
    </w:p>
    <w:p w14:paraId="7C13C355">
      <w:pPr>
        <w:jc w:val="left"/>
        <w:rPr>
          <w:rFonts w:hint="eastAsia" w:ascii="宋体" w:hAnsi="宋体" w:eastAsia="宋体" w:cs="宋体"/>
          <w:b/>
          <w:color w:val="FF0000"/>
          <w:szCs w:val="24"/>
          <w:lang w:eastAsia="zh-CN"/>
        </w:rPr>
      </w:pPr>
      <w:r>
        <w:rPr>
          <w:rFonts w:hint="eastAsia" w:ascii="宋体" w:hAnsi="宋体" w:eastAsia="宋体" w:cs="宋体"/>
          <w:b/>
          <w:color w:val="FF0000"/>
          <w:szCs w:val="24"/>
        </w:rPr>
        <w:t>PubMed  Publication date: 202</w:t>
      </w:r>
      <w:r>
        <w:rPr>
          <w:rFonts w:ascii="宋体" w:hAnsi="宋体" w:eastAsia="宋体" w:cs="宋体"/>
          <w:b/>
          <w:color w:val="FF0000"/>
          <w:szCs w:val="24"/>
        </w:rPr>
        <w:t>6</w:t>
      </w:r>
      <w:r>
        <w:rPr>
          <w:rFonts w:hint="eastAsia" w:ascii="宋体" w:hAnsi="宋体" w:eastAsia="宋体" w:cs="宋体"/>
          <w:b/>
          <w:color w:val="FF0000"/>
          <w:szCs w:val="24"/>
        </w:rPr>
        <w:t>/</w:t>
      </w:r>
      <w:r>
        <w:rPr>
          <w:rFonts w:ascii="宋体" w:hAnsi="宋体" w:eastAsia="宋体" w:cs="宋体"/>
          <w:b/>
          <w:color w:val="FF0000"/>
          <w:szCs w:val="24"/>
        </w:rPr>
        <w:t>8</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31</w:t>
      </w:r>
      <w:r>
        <w:rPr>
          <w:rFonts w:hint="eastAsia" w:ascii="宋体" w:hAnsi="宋体" w:eastAsia="宋体" w:cs="宋体"/>
          <w:b/>
          <w:color w:val="FF0000"/>
          <w:szCs w:val="24"/>
        </w:rPr>
        <w:t>---202</w:t>
      </w:r>
      <w:r>
        <w:rPr>
          <w:rFonts w:ascii="宋体" w:hAnsi="宋体" w:eastAsia="宋体" w:cs="宋体"/>
          <w:b/>
          <w:color w:val="FF0000"/>
          <w:szCs w:val="24"/>
        </w:rPr>
        <w:t>6</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9</w:t>
      </w:r>
      <w:r>
        <w:rPr>
          <w:rFonts w:hint="eastAsia" w:ascii="宋体" w:hAnsi="宋体" w:eastAsia="宋体" w:cs="宋体"/>
          <w:b/>
          <w:color w:val="FF0000"/>
          <w:szCs w:val="24"/>
        </w:rPr>
        <w:t>/</w:t>
      </w:r>
      <w:r>
        <w:rPr>
          <w:rFonts w:hint="eastAsia" w:ascii="宋体" w:hAnsi="宋体" w:eastAsia="宋体" w:cs="宋体"/>
          <w:b/>
          <w:color w:val="FF0000"/>
          <w:szCs w:val="24"/>
          <w:lang w:val="en-US" w:eastAsia="zh-CN"/>
        </w:rPr>
        <w:t>6</w:t>
      </w:r>
    </w:p>
    <w:p w14:paraId="50A50AAA">
      <w:pPr>
        <w:jc w:val="left"/>
        <w:rPr>
          <w:rFonts w:ascii="宋体" w:hAnsi="宋体" w:eastAsia="宋体" w:cs="宋体"/>
          <w:b/>
          <w:color w:val="FF0000"/>
          <w:szCs w:val="21"/>
        </w:rPr>
      </w:pPr>
      <w:r>
        <w:rPr>
          <w:rFonts w:hint="eastAsia" w:ascii="宋体" w:hAnsi="宋体" w:eastAsia="宋体" w:cs="宋体"/>
          <w:b/>
          <w:color w:val="FF0000"/>
          <w:szCs w:val="21"/>
        </w:rPr>
        <w:t>(tuberculosis[Title/Abstract]) AND (English[Language]) AND</w:t>
      </w:r>
      <w:r>
        <w:rPr>
          <w:rFonts w:ascii="宋体" w:hAnsi="宋体" w:eastAsia="宋体" w:cs="宋体"/>
          <w:b/>
          <w:color w:val="FF0000"/>
          <w:szCs w:val="21"/>
        </w:rPr>
        <w:t xml:space="preserve"> </w:t>
      </w:r>
      <w:r>
        <w:rPr>
          <w:rFonts w:hint="eastAsia" w:ascii="宋体" w:hAnsi="宋体" w:eastAsia="宋体" w:cs="宋体"/>
          <w:b/>
          <w:color w:val="FF0000"/>
          <w:szCs w:val="21"/>
        </w:rPr>
        <w:t>(China[Affiliation])</w:t>
      </w:r>
    </w:p>
    <w:p w14:paraId="551812EB">
      <w:pPr>
        <w:jc w:val="left"/>
        <w:rPr>
          <w:rFonts w:ascii="宋体" w:hAnsi="宋体" w:eastAsia="宋体" w:cs="宋体"/>
          <w:b/>
          <w:color w:val="FF0000"/>
          <w:szCs w:val="21"/>
        </w:rPr>
      </w:pPr>
    </w:p>
    <w:p w14:paraId="4DBFDBAE">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w:t>
      </w:r>
      <w:r>
        <w:rPr>
          <w:rFonts w:hint="eastAsia" w:ascii="宋体" w:hAnsi="宋体" w:eastAsia="宋体" w:cs="宋体"/>
          <w:b/>
          <w:bCs/>
          <w:color w:val="FF0000"/>
          <w:szCs w:val="24"/>
        </w:rPr>
        <w:t xml:space="preserve">. J Infect. 2026 Sep 5:106840. doi: 10.1016/j.jinf.2026.106840. Online ahead of </w:t>
      </w:r>
    </w:p>
    <w:p w14:paraId="48ED0715">
      <w:pPr>
        <w:rPr>
          <w:rFonts w:hint="eastAsia" w:ascii="宋体" w:hAnsi="宋体" w:eastAsia="宋体" w:cs="宋体"/>
          <w:b/>
          <w:bCs/>
          <w:color w:val="FF0000"/>
          <w:szCs w:val="24"/>
        </w:rPr>
      </w:pPr>
      <w:r>
        <w:rPr>
          <w:rFonts w:hint="eastAsia" w:ascii="宋体" w:hAnsi="宋体" w:eastAsia="宋体" w:cs="宋体"/>
          <w:b/>
          <w:bCs/>
          <w:color w:val="FF0000"/>
          <w:szCs w:val="24"/>
        </w:rPr>
        <w:t>print.</w:t>
      </w:r>
    </w:p>
    <w:p w14:paraId="6D6F2402">
      <w:pPr>
        <w:rPr>
          <w:rFonts w:hint="eastAsia" w:ascii="宋体" w:hAnsi="宋体" w:eastAsia="宋体" w:cs="宋体"/>
          <w:color w:val="000000" w:themeColor="text1"/>
          <w:szCs w:val="24"/>
          <w14:textFill>
            <w14:solidFill>
              <w14:schemeClr w14:val="tx1"/>
            </w14:solidFill>
          </w14:textFill>
        </w:rPr>
      </w:pPr>
    </w:p>
    <w:p w14:paraId="3583BD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Risk Stratification for Tuberculosis Reactivation in Patients Receiving </w:t>
      </w:r>
    </w:p>
    <w:p w14:paraId="17E84C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Biological and Non-biological Immunomodulators: A Review of Current Literature.</w:t>
      </w:r>
    </w:p>
    <w:p w14:paraId="0F3CD100">
      <w:pPr>
        <w:rPr>
          <w:rFonts w:hint="eastAsia" w:ascii="宋体" w:hAnsi="宋体" w:eastAsia="宋体" w:cs="宋体"/>
          <w:color w:val="000000" w:themeColor="text1"/>
          <w:szCs w:val="24"/>
          <w14:textFill>
            <w14:solidFill>
              <w14:schemeClr w14:val="tx1"/>
            </w14:solidFill>
          </w14:textFill>
        </w:rPr>
      </w:pPr>
    </w:p>
    <w:p w14:paraId="1720DC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Ruan Q(1), Yang Q(2), Chu C(2), Zhou F(2), Yang Y(2), Liu Q(2), Zhou J(2), Qin </w:t>
      </w:r>
    </w:p>
    <w:p w14:paraId="2115D6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Z(2), Qian M(2), Xu H(2), Zhang Z(2), Xin J(3), Ying J(4), Zhang W(5).</w:t>
      </w:r>
    </w:p>
    <w:p w14:paraId="6C149512">
      <w:pPr>
        <w:rPr>
          <w:rFonts w:hint="eastAsia" w:ascii="宋体" w:hAnsi="宋体" w:eastAsia="宋体" w:cs="宋体"/>
          <w:color w:val="000000" w:themeColor="text1"/>
          <w:szCs w:val="24"/>
          <w14:textFill>
            <w14:solidFill>
              <w14:schemeClr w14:val="tx1"/>
            </w14:solidFill>
          </w14:textFill>
        </w:rPr>
      </w:pPr>
    </w:p>
    <w:p w14:paraId="74D404EA">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Qiaoling Ruan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Qingluan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Ci Chu,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Feiran Zhou,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Yixuan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Qianqian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Jingyu Zhou,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Zhijie Qin,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Mengqing Qian,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Haoxin Xu,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Zenghui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Jibin Xin,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Jun Ying,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Wenhong Zhang</w:t>
      </w:r>
      <w:r>
        <w:rPr>
          <w:rFonts w:hint="eastAsia" w:ascii="宋体" w:hAnsi="宋体" w:eastAsia="宋体" w:cs="宋体"/>
          <w:b/>
          <w:bCs/>
          <w:color w:val="0070C0"/>
          <w:szCs w:val="24"/>
          <w:lang w:val="en-US" w:eastAsia="zh-CN"/>
        </w:rPr>
        <w:t>*</w:t>
      </w:r>
    </w:p>
    <w:p w14:paraId="6AE9FE20">
      <w:pPr>
        <w:rPr>
          <w:rFonts w:hint="eastAsia" w:ascii="宋体" w:hAnsi="宋体" w:eastAsia="宋体" w:cs="宋体"/>
          <w:b/>
          <w:bCs/>
          <w:color w:val="0070C0"/>
          <w:szCs w:val="24"/>
          <w:lang w:eastAsia="zh-CN"/>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Corresponding author: Wenhong Zhang</w:t>
      </w:r>
      <w:r>
        <w:rPr>
          <w:rFonts w:hint="eastAsia" w:ascii="宋体" w:hAnsi="宋体" w:eastAsia="宋体" w:cs="宋体"/>
          <w:b/>
          <w:bCs/>
          <w:color w:val="0070C0"/>
          <w:szCs w:val="24"/>
          <w:lang w:eastAsia="zh-CN"/>
        </w:rPr>
        <w:t>，</w:t>
      </w:r>
      <w:r>
        <w:rPr>
          <w:rFonts w:hint="eastAsia" w:ascii="宋体" w:hAnsi="宋体" w:eastAsia="宋体" w:cs="宋体"/>
          <w:b/>
          <w:bCs/>
          <w:color w:val="0070C0"/>
          <w:szCs w:val="24"/>
        </w:rPr>
        <w:t xml:space="preserve"> Email: zhangwenhong@fudan.edu.cn </w:t>
      </w:r>
      <w:r>
        <w:rPr>
          <w:rFonts w:hint="eastAsia" w:ascii="宋体" w:hAnsi="宋体" w:eastAsia="宋体" w:cs="宋体"/>
          <w:b/>
          <w:bCs/>
          <w:color w:val="0070C0"/>
          <w:szCs w:val="24"/>
          <w:lang w:eastAsia="zh-CN"/>
        </w:rPr>
        <w:t>；</w:t>
      </w:r>
      <w:r>
        <w:rPr>
          <w:rFonts w:hint="eastAsia" w:ascii="宋体" w:hAnsi="宋体" w:eastAsia="宋体" w:cs="宋体"/>
          <w:b/>
          <w:bCs/>
          <w:color w:val="0070C0"/>
          <w:szCs w:val="24"/>
        </w:rPr>
        <w:t xml:space="preserve"> Qiaoling Ruan</w:t>
      </w:r>
      <w:r>
        <w:rPr>
          <w:rFonts w:hint="eastAsia" w:ascii="宋体" w:hAnsi="宋体" w:eastAsia="宋体" w:cs="宋体"/>
          <w:b/>
          <w:bCs/>
          <w:color w:val="0070C0"/>
          <w:szCs w:val="24"/>
          <w:lang w:eastAsia="zh-CN"/>
        </w:rPr>
        <w:t>，</w:t>
      </w:r>
      <w:r>
        <w:rPr>
          <w:rFonts w:hint="eastAsia" w:ascii="宋体" w:hAnsi="宋体" w:eastAsia="宋体" w:cs="宋体"/>
          <w:b/>
          <w:bCs/>
          <w:color w:val="0070C0"/>
          <w:szCs w:val="24"/>
        </w:rPr>
        <w:t>Email: qlruan07@fudan.edu.cn</w:t>
      </w:r>
    </w:p>
    <w:p w14:paraId="67EC71C6">
      <w:pPr>
        <w:rPr>
          <w:rFonts w:hint="eastAsia" w:ascii="宋体" w:hAnsi="宋体" w:eastAsia="宋体" w:cs="宋体"/>
          <w:color w:val="000000" w:themeColor="text1"/>
          <w:szCs w:val="24"/>
          <w14:textFill>
            <w14:solidFill>
              <w14:schemeClr w14:val="tx1"/>
            </w14:solidFill>
          </w14:textFill>
        </w:rPr>
      </w:pPr>
    </w:p>
    <w:p w14:paraId="3A7846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1B8D85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Infectious Diseases, Shanghai Key Laboratory of Infectious </w:t>
      </w:r>
    </w:p>
    <w:p w14:paraId="3CBBA2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Diseases and Biosafety Emergency Response, National Medical Center for </w:t>
      </w:r>
    </w:p>
    <w:p w14:paraId="1E3ACC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Infectious Diseases, Huashan Hospital, Shanghai Medical College, Fudan </w:t>
      </w:r>
    </w:p>
    <w:p w14:paraId="47848D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University, China; Shanghai Sci-Tech Inno Center for Infectious &amp; Immunity, </w:t>
      </w:r>
    </w:p>
    <w:p w14:paraId="5514F6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Shanghai, China. Electronic address: qlruan07@fudan.edu.cn.</w:t>
      </w:r>
    </w:p>
    <w:p w14:paraId="1419DD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Infectious Diseases, Shanghai Key Laboratory of Infectious </w:t>
      </w:r>
    </w:p>
    <w:p w14:paraId="6DF7C6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Diseases and Biosafety Emergency Response, National Medical Center for </w:t>
      </w:r>
    </w:p>
    <w:p w14:paraId="26FC1D8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Infectious Diseases, Huashan Hospital, Shanghai Medical College, Fudan </w:t>
      </w:r>
    </w:p>
    <w:p w14:paraId="167578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China.</w:t>
      </w:r>
    </w:p>
    <w:p w14:paraId="217321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(3)Fudan University Library, Shanghai 200433, China; Big Health Informatics </w:t>
      </w:r>
    </w:p>
    <w:p w14:paraId="288B65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Research Center, Fudan University, Shanghai 200032, China.</w:t>
      </w:r>
    </w:p>
    <w:p w14:paraId="78743E5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(4)Fudan University Library, Shanghai 200433, China; Big Health Informatics </w:t>
      </w:r>
    </w:p>
    <w:p w14:paraId="21E743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Fudan University, Shanghai 200032, China; Evidence-based </w:t>
      </w:r>
    </w:p>
    <w:p w14:paraId="1EBEFD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Medicine Center, Fudan University, Shanghai 200032, China.</w:t>
      </w:r>
    </w:p>
    <w:p w14:paraId="054D72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(5)Department of Infectious Diseases, Shanghai Key Laboratory of Infectious </w:t>
      </w:r>
    </w:p>
    <w:p w14:paraId="6D6ACB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Diseases and Biosafety Emergency Response, National Medical Center for </w:t>
      </w:r>
    </w:p>
    <w:p w14:paraId="4B9046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Infectious Diseases, Huashan Hospital, Shanghai Medical College, Fudan </w:t>
      </w:r>
    </w:p>
    <w:p w14:paraId="4C6B35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University, China; Shanghai Sci-Tech Inno Center for Infectious &amp; Immunity, </w:t>
      </w:r>
    </w:p>
    <w:p w14:paraId="1D056A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Shanghai, China. Electronic address: zhangwenhong@fudan.edu.cn.</w:t>
      </w:r>
    </w:p>
    <w:p w14:paraId="4B6FD4C3">
      <w:pPr>
        <w:rPr>
          <w:rFonts w:hint="eastAsia" w:ascii="宋体" w:hAnsi="宋体" w:eastAsia="宋体" w:cs="宋体"/>
          <w:color w:val="000000" w:themeColor="text1"/>
          <w:szCs w:val="24"/>
          <w14:textFill>
            <w14:solidFill>
              <w14:schemeClr w14:val="tx1"/>
            </w14:solidFill>
          </w14:textFill>
        </w:rPr>
      </w:pPr>
    </w:p>
    <w:p w14:paraId="0244B7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(TB) is a critical global health concern, with about one-quarter of </w:t>
      </w:r>
    </w:p>
    <w:p w14:paraId="6CFF3D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world's population having an immune response against Mycobacterium </w:t>
      </w:r>
    </w:p>
    <w:p w14:paraId="602F08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(MTB). These individuals are at risk of developing TB disease when </w:t>
      </w:r>
    </w:p>
    <w:p w14:paraId="49CC9E7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their immune function is reduced. Given the increasing use of immunosuppressive </w:t>
      </w:r>
    </w:p>
    <w:p w14:paraId="1BBA9E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agents, including biological and non-biological immunomodulators, the risk of </w:t>
      </w:r>
    </w:p>
    <w:p w14:paraId="4648C9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latent TB reactivation has significantly increased, highlighting the importance </w:t>
      </w:r>
    </w:p>
    <w:p w14:paraId="53CA49E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screening and preventive treatment. The aim of this review is to summarize </w:t>
      </w:r>
    </w:p>
    <w:p w14:paraId="1D0BBE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current evidence on TBI reactivation mechanisms and risks associated with </w:t>
      </w:r>
    </w:p>
    <w:p w14:paraId="493577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immunosuppressive agents, and to collate prescribing information from the Food </w:t>
      </w:r>
    </w:p>
    <w:p w14:paraId="017D71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Drug Administration and the European Medicines Agency on TB screening. It </w:t>
      </w:r>
    </w:p>
    <w:p w14:paraId="3FD755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covers nine major classes of immunosuppressants, including B- and T-cell </w:t>
      </w:r>
    </w:p>
    <w:p w14:paraId="0AFE78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depleting agents, interleukin antagonists, other cytokine antagonists, integrin </w:t>
      </w:r>
    </w:p>
    <w:p w14:paraId="3313F5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antagonists, immune checkpoint inhibitors, kinase inhibitors, proteasome </w:t>
      </w:r>
    </w:p>
    <w:p w14:paraId="28B03AE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inhibitors, calcineurin inhibitors, glucocorticoids, and BCL-2 inhibitors.</w:t>
      </w:r>
    </w:p>
    <w:p w14:paraId="1A4A47ED">
      <w:pPr>
        <w:rPr>
          <w:rFonts w:hint="eastAsia" w:ascii="宋体" w:hAnsi="宋体" w:eastAsia="宋体" w:cs="宋体"/>
          <w:color w:val="000000" w:themeColor="text1"/>
          <w:szCs w:val="24"/>
          <w14:textFill>
            <w14:solidFill>
              <w14:schemeClr w14:val="tx1"/>
            </w14:solidFill>
          </w14:textFill>
        </w:rPr>
      </w:pPr>
    </w:p>
    <w:p w14:paraId="6C98FD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Published by Elsevier Ltd.</w:t>
      </w:r>
    </w:p>
    <w:p w14:paraId="0928F24F">
      <w:pPr>
        <w:rPr>
          <w:rFonts w:hint="eastAsia" w:ascii="宋体" w:hAnsi="宋体" w:eastAsia="宋体" w:cs="宋体"/>
          <w:color w:val="000000" w:themeColor="text1"/>
          <w:szCs w:val="24"/>
          <w14:textFill>
            <w14:solidFill>
              <w14:schemeClr w14:val="tx1"/>
            </w14:solidFill>
          </w14:textFill>
        </w:rPr>
      </w:pPr>
    </w:p>
    <w:p w14:paraId="010428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10.1016/j.jinf.2026.106840</w:t>
      </w:r>
    </w:p>
    <w:p w14:paraId="08D172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42700823</w:t>
      </w:r>
    </w:p>
    <w:p w14:paraId="75EFA83C">
      <w:pPr>
        <w:rPr>
          <w:rFonts w:hint="eastAsia" w:ascii="宋体" w:hAnsi="宋体" w:eastAsia="宋体" w:cs="宋体"/>
          <w:color w:val="000000" w:themeColor="text1"/>
          <w:szCs w:val="24"/>
          <w14:textFill>
            <w14:solidFill>
              <w14:schemeClr w14:val="tx1"/>
            </w14:solidFill>
          </w14:textFill>
        </w:rPr>
      </w:pPr>
    </w:p>
    <w:p w14:paraId="4C94157E">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w:t>
      </w:r>
      <w:r>
        <w:rPr>
          <w:rFonts w:hint="eastAsia" w:ascii="宋体" w:hAnsi="宋体" w:eastAsia="宋体" w:cs="宋体"/>
          <w:b/>
          <w:bCs/>
          <w:color w:val="FF0000"/>
          <w:szCs w:val="24"/>
        </w:rPr>
        <w:t>. Infect Drug Resist. 2026 Aug 31;19:620236. doi: 10.2147/IDR.S620236. eCollection 2026.</w:t>
      </w:r>
    </w:p>
    <w:p w14:paraId="1C1D31AB">
      <w:pPr>
        <w:rPr>
          <w:rFonts w:hint="eastAsia" w:ascii="宋体" w:hAnsi="宋体" w:eastAsia="宋体" w:cs="宋体"/>
          <w:color w:val="000000" w:themeColor="text1"/>
          <w:szCs w:val="24"/>
          <w14:textFill>
            <w14:solidFill>
              <w14:schemeClr w14:val="tx1"/>
            </w14:solidFill>
          </w14:textFill>
        </w:rPr>
      </w:pPr>
    </w:p>
    <w:p w14:paraId="7C1E9C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and Therapeutic Impact of Metagenomic Next-Generation Sequencing in </w:t>
      </w:r>
    </w:p>
    <w:p w14:paraId="55EA30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Tuberculous Osteoarticular Infections with Negative or Confounding Conventional </w:t>
      </w:r>
    </w:p>
    <w:p w14:paraId="24F02F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Cultures.</w:t>
      </w:r>
    </w:p>
    <w:p w14:paraId="4B813B66">
      <w:pPr>
        <w:rPr>
          <w:rFonts w:hint="eastAsia" w:ascii="宋体" w:hAnsi="宋体" w:eastAsia="宋体" w:cs="宋体"/>
          <w:color w:val="000000" w:themeColor="text1"/>
          <w:szCs w:val="24"/>
          <w14:textFill>
            <w14:solidFill>
              <w14:schemeClr w14:val="tx1"/>
            </w14:solidFill>
          </w14:textFill>
        </w:rPr>
      </w:pPr>
    </w:p>
    <w:p w14:paraId="39AE9CB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Xue Z(#)(1)(2)(3)(4), Li H(#)(1)(2)(3)(4), Wang X(#)(1)(2)(3)(4), Cai </w:t>
      </w:r>
    </w:p>
    <w:p w14:paraId="6A1E3CF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Y(1)(2)(3)(4), Huang Z(1)(2)(3)(4), Li W(1)(2)(3)(4), Su Y(5), Wu Z(1)(2)(3), </w:t>
      </w:r>
    </w:p>
    <w:p w14:paraId="5C95F9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Fang X(1)(2)(3)(4), Zhang W(1)(2)(3)(4).</w:t>
      </w:r>
    </w:p>
    <w:p w14:paraId="6CFCC23F">
      <w:pPr>
        <w:rPr>
          <w:rFonts w:hint="eastAsia" w:ascii="宋体" w:hAnsi="宋体" w:eastAsia="宋体" w:cs="宋体"/>
          <w:color w:val="000000" w:themeColor="text1"/>
          <w:szCs w:val="24"/>
          <w14:textFill>
            <w14:solidFill>
              <w14:schemeClr w14:val="tx1"/>
            </w14:solidFill>
          </w14:textFill>
        </w:rPr>
      </w:pPr>
    </w:p>
    <w:p w14:paraId="59A36997">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Zhirui Xue,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Hongyan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Xianming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Yuanqing Cai,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Zida Huang,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Wenbo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Yang Su,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Zhaoyang Wu,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Xinyu Fang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Wenming Zhang</w:t>
      </w:r>
      <w:r>
        <w:rPr>
          <w:rFonts w:hint="eastAsia" w:ascii="宋体" w:hAnsi="宋体" w:eastAsia="宋体" w:cs="宋体"/>
          <w:b/>
          <w:bCs/>
          <w:color w:val="0070C0"/>
          <w:szCs w:val="24"/>
          <w:lang w:val="en-US" w:eastAsia="zh-CN"/>
        </w:rPr>
        <w:t>*</w:t>
      </w:r>
    </w:p>
    <w:p w14:paraId="69B049C5">
      <w:pPr>
        <w:jc w:val="left"/>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Correspondence: Wenming Zhang, Email</w:t>
      </w:r>
      <w:r>
        <w:rPr>
          <w:rFonts w:hint="default" w:ascii="宋体" w:hAnsi="宋体" w:eastAsia="宋体" w:cs="宋体"/>
          <w:b/>
          <w:bCs/>
          <w:color w:val="0070C0"/>
          <w:szCs w:val="24"/>
        </w:rPr>
        <w:t> zhangwm0591@fjmu.edu.cn </w:t>
      </w:r>
      <w:r>
        <w:rPr>
          <w:rFonts w:hint="eastAsia" w:ascii="宋体" w:hAnsi="宋体" w:eastAsia="宋体" w:cs="宋体"/>
          <w:b/>
          <w:bCs/>
          <w:color w:val="0070C0"/>
          <w:szCs w:val="24"/>
          <w:lang w:val="en-US" w:eastAsia="zh-CN"/>
        </w:rPr>
        <w:t xml:space="preserve">; </w:t>
      </w:r>
      <w:r>
        <w:rPr>
          <w:rFonts w:hint="default" w:ascii="宋体" w:hAnsi="宋体" w:eastAsia="宋体" w:cs="宋体"/>
          <w:b/>
          <w:bCs/>
          <w:color w:val="0070C0"/>
          <w:szCs w:val="24"/>
        </w:rPr>
        <w:t>Xinyu Fang, Email fangxinyu0417@fjmu.edu.cn</w:t>
      </w:r>
    </w:p>
    <w:p w14:paraId="4C289090">
      <w:pPr>
        <w:rPr>
          <w:rFonts w:hint="eastAsia" w:ascii="宋体" w:hAnsi="宋体" w:eastAsia="宋体" w:cs="宋体"/>
          <w:color w:val="000000" w:themeColor="text1"/>
          <w:szCs w:val="24"/>
          <w14:textFill>
            <w14:solidFill>
              <w14:schemeClr w14:val="tx1"/>
            </w14:solidFill>
          </w14:textFill>
        </w:rPr>
      </w:pPr>
    </w:p>
    <w:p w14:paraId="07B5D9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3DAEE3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Orthopaedic Surgery, the First Affiliated Hospital of Fujian </w:t>
      </w:r>
    </w:p>
    <w:p w14:paraId="609A258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University, Fuzhou, People's Republic of China.</w:t>
      </w:r>
    </w:p>
    <w:p w14:paraId="2386F3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Orthopaedic Surgery, National Regional Medical Center, Binhai </w:t>
      </w:r>
    </w:p>
    <w:p w14:paraId="4AD559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Campus of the First Affiliated Hospital, Fujian Medical University, Fuzhou, </w:t>
      </w:r>
    </w:p>
    <w:p w14:paraId="30AC43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People's Republic of China.</w:t>
      </w:r>
    </w:p>
    <w:p w14:paraId="1C6F3A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(3)Fujian Provincial Institute of Orthopedics, the First Affiliated Hospital of </w:t>
      </w:r>
    </w:p>
    <w:p w14:paraId="5F7C6D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Fujian Medical University, Fuzhou, People's Republic of China.</w:t>
      </w:r>
    </w:p>
    <w:p w14:paraId="506BF1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(4)Fujian Orthopedic Bone and Joint Disease and Sports Rehabilitation Clinical </w:t>
      </w:r>
    </w:p>
    <w:p w14:paraId="0C1EC0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Medical Research Center, the First Affiliated Hospital of Fujian Medical </w:t>
      </w:r>
    </w:p>
    <w:p w14:paraId="76D7ED4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Fuzhou, People's Republic of China.</w:t>
      </w:r>
    </w:p>
    <w:p w14:paraId="38D1AB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(5)Department of Orthopedics, Linyi People's Hospital, Linyi, People's Republic </w:t>
      </w:r>
    </w:p>
    <w:p w14:paraId="61836D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China.</w:t>
      </w:r>
    </w:p>
    <w:p w14:paraId="7F0D798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468C4F93">
      <w:pPr>
        <w:rPr>
          <w:rFonts w:hint="eastAsia" w:ascii="宋体" w:hAnsi="宋体" w:eastAsia="宋体" w:cs="宋体"/>
          <w:color w:val="000000" w:themeColor="text1"/>
          <w:szCs w:val="24"/>
          <w14:textFill>
            <w14:solidFill>
              <w14:schemeClr w14:val="tx1"/>
            </w14:solidFill>
          </w14:textFill>
        </w:rPr>
      </w:pPr>
    </w:p>
    <w:p w14:paraId="45E6FB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PURPOSE: </w:t>
      </w:r>
      <w:r>
        <w:rPr>
          <w:rFonts w:hint="eastAsia" w:ascii="宋体" w:hAnsi="宋体" w:eastAsia="宋体" w:cs="宋体"/>
          <w:color w:val="000000" w:themeColor="text1"/>
          <w:szCs w:val="24"/>
          <w14:textFill>
            <w14:solidFill>
              <w14:schemeClr w14:val="tx1"/>
            </w14:solidFill>
          </w14:textFill>
        </w:rPr>
        <w:t xml:space="preserve">Diagnosing tuberculous osteoarticular infections (TB-OAI) remains </w:t>
      </w:r>
    </w:p>
    <w:p w14:paraId="56F33D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challenging due to frequent false-negative or confounding conventional culture </w:t>
      </w:r>
    </w:p>
    <w:p w14:paraId="587634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results. This study evaluated the diagnostic and therapeutic utility of </w:t>
      </w:r>
    </w:p>
    <w:p w14:paraId="7B6D9F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metagenomic next-generation sequencing (mNGS) for occult TB-OAI in patients </w:t>
      </w:r>
    </w:p>
    <w:p w14:paraId="4D56E1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presenting with negative or misleading culture outcomes.</w:t>
      </w:r>
    </w:p>
    <w:p w14:paraId="578265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PATIENTS AND METHODS:</w:t>
      </w:r>
      <w:r>
        <w:rPr>
          <w:rFonts w:hint="eastAsia" w:ascii="宋体" w:hAnsi="宋体" w:eastAsia="宋体" w:cs="宋体"/>
          <w:color w:val="000000" w:themeColor="text1"/>
          <w:szCs w:val="24"/>
          <w14:textFill>
            <w14:solidFill>
              <w14:schemeClr w14:val="tx1"/>
            </w14:solidFill>
          </w14:textFill>
        </w:rPr>
        <w:t xml:space="preserve"> We retrospectively analyzed 13 patients with confirmed </w:t>
      </w:r>
    </w:p>
    <w:p w14:paraId="4E46BC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TB-OAI, encompassing periprosthetic, fracture-related, and native joint </w:t>
      </w:r>
    </w:p>
    <w:p w14:paraId="636A4E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infections. Patients were stratified by conventional culture results into </w:t>
      </w:r>
    </w:p>
    <w:p w14:paraId="5EF8BC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strictly culture-negative (n=8) and culture-confounded (n=5; yielding </w:t>
      </w:r>
    </w:p>
    <w:p w14:paraId="7314FD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non-mycobacterial organisms) groups. A composite reference standard of mNGS </w:t>
      </w:r>
    </w:p>
    <w:p w14:paraId="692B60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positivity combined with histopathological or clinical validation established </w:t>
      </w:r>
    </w:p>
    <w:p w14:paraId="3AF8DD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definitive diagnosis. We assessed diagnostic yield, therapeutic </w:t>
      </w:r>
    </w:p>
    <w:p w14:paraId="077464A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modifications, and clinical outcomes.</w:t>
      </w:r>
    </w:p>
    <w:p w14:paraId="25ACEA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Conventional culture failed to identify Mycobacterium tuberculosis in </w:t>
      </w:r>
    </w:p>
    <w:p w14:paraId="0760B1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all 13 cases (0% sensitivity) and yielded misleading non-mycobacterial flora in </w:t>
      </w:r>
    </w:p>
    <w:p w14:paraId="1E32248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 cases (38.5%). Conversely, mNGS successfully identified the pathogen in 100% </w:t>
      </w:r>
    </w:p>
    <w:p w14:paraId="3C37C9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(13/13) of patients, corroborated by histopathology in all cases. Consequently, </w:t>
      </w:r>
    </w:p>
    <w:p w14:paraId="46675D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mNGS results changed clinical management from empirical antibiotics to targeted </w:t>
      </w:r>
    </w:p>
    <w:p w14:paraId="4458A8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anti-tuberculosis therapy in all cases (100%). Postoperative erythrocyte </w:t>
      </w:r>
    </w:p>
    <w:p w14:paraId="027B94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sedimentation rate (ESR) and C-reactive protein (CRP) levels decreased </w:t>
      </w:r>
    </w:p>
    <w:p w14:paraId="3DACA3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significantly (P &lt; 0.05). Over a mean follow-up of 17.5 ± 3.0 months, 12 </w:t>
      </w:r>
    </w:p>
    <w:p w14:paraId="0A51F8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achieved durable infection eradication. One patient experienced early </w:t>
      </w:r>
    </w:p>
    <w:p w14:paraId="43F08F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recurrence requiring a two-stage revision, ultimately achieving successful </w:t>
      </w:r>
    </w:p>
    <w:p w14:paraId="65ABA2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infection control.</w:t>
      </w:r>
    </w:p>
    <w:p w14:paraId="487D60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mNGS serves as a promising diagnostic rescue tool for occult TB-OAI </w:t>
      </w:r>
    </w:p>
    <w:p w14:paraId="446715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when conventional cultures are negative or misleading. While limited by sample </w:t>
      </w:r>
    </w:p>
    <w:p w14:paraId="63A8DE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size, these preliminary findings suggest mNGS effectively guides the transition </w:t>
      </w:r>
    </w:p>
    <w:p w14:paraId="0D054B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empirical to targeted anti-tuberculosis therapy and limits diagnostic </w:t>
      </w:r>
    </w:p>
    <w:p w14:paraId="1CCFB5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delays.</w:t>
      </w:r>
    </w:p>
    <w:p w14:paraId="41329EAF">
      <w:pPr>
        <w:rPr>
          <w:rFonts w:hint="eastAsia" w:ascii="宋体" w:hAnsi="宋体" w:eastAsia="宋体" w:cs="宋体"/>
          <w:color w:val="000000" w:themeColor="text1"/>
          <w:szCs w:val="24"/>
          <w14:textFill>
            <w14:solidFill>
              <w14:schemeClr w14:val="tx1"/>
            </w14:solidFill>
          </w14:textFill>
        </w:rPr>
      </w:pPr>
    </w:p>
    <w:p w14:paraId="772EBD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Xue et al.</w:t>
      </w:r>
    </w:p>
    <w:p w14:paraId="3DA45408">
      <w:pPr>
        <w:rPr>
          <w:rFonts w:hint="eastAsia" w:ascii="宋体" w:hAnsi="宋体" w:eastAsia="宋体" w:cs="宋体"/>
          <w:color w:val="000000" w:themeColor="text1"/>
          <w:szCs w:val="24"/>
          <w14:textFill>
            <w14:solidFill>
              <w14:schemeClr w14:val="tx1"/>
            </w14:solidFill>
          </w14:textFill>
        </w:rPr>
      </w:pPr>
    </w:p>
    <w:p w14:paraId="41F57C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10.2147/IDR.S620236</w:t>
      </w:r>
    </w:p>
    <w:p w14:paraId="132788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PMC13544122</w:t>
      </w:r>
    </w:p>
    <w:p w14:paraId="43665A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42699249</w:t>
      </w:r>
    </w:p>
    <w:p w14:paraId="224EC664">
      <w:pPr>
        <w:rPr>
          <w:rFonts w:hint="eastAsia" w:ascii="宋体" w:hAnsi="宋体" w:eastAsia="宋体" w:cs="宋体"/>
          <w:color w:val="000000" w:themeColor="text1"/>
          <w:szCs w:val="24"/>
          <w14:textFill>
            <w14:solidFill>
              <w14:schemeClr w14:val="tx1"/>
            </w14:solidFill>
          </w14:textFill>
        </w:rPr>
      </w:pPr>
    </w:p>
    <w:p w14:paraId="5D83D2C0">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3</w:t>
      </w:r>
      <w:r>
        <w:rPr>
          <w:rFonts w:hint="eastAsia" w:ascii="宋体" w:hAnsi="宋体" w:eastAsia="宋体" w:cs="宋体"/>
          <w:b/>
          <w:bCs/>
          <w:color w:val="FF0000"/>
          <w:szCs w:val="24"/>
        </w:rPr>
        <w:t>. Infect Dis Poverty. 2026 Sep 4;15(1):98. doi: 10.1186/s40249-026-01495-w.</w:t>
      </w:r>
    </w:p>
    <w:p w14:paraId="57F59C59">
      <w:pPr>
        <w:rPr>
          <w:rFonts w:hint="eastAsia" w:ascii="宋体" w:hAnsi="宋体" w:eastAsia="宋体" w:cs="宋体"/>
          <w:color w:val="000000" w:themeColor="text1"/>
          <w:szCs w:val="24"/>
          <w14:textFill>
            <w14:solidFill>
              <w14:schemeClr w14:val="tx1"/>
            </w14:solidFill>
          </w14:textFill>
        </w:rPr>
      </w:pPr>
    </w:p>
    <w:p w14:paraId="4B17DE8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HIV-tuberculosis co-infection in Liangshan, a resource-limited region of </w:t>
      </w:r>
    </w:p>
    <w:p w14:paraId="77967F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Southwest China: trends and implications in the context of integrated </w:t>
      </w:r>
    </w:p>
    <w:p w14:paraId="552267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prevention, 2019-2024.</w:t>
      </w:r>
    </w:p>
    <w:p w14:paraId="01501855">
      <w:pPr>
        <w:rPr>
          <w:rFonts w:hint="eastAsia" w:ascii="宋体" w:hAnsi="宋体" w:eastAsia="宋体" w:cs="宋体"/>
          <w:color w:val="000000" w:themeColor="text1"/>
          <w:szCs w:val="24"/>
          <w14:textFill>
            <w14:solidFill>
              <w14:schemeClr w14:val="tx1"/>
            </w14:solidFill>
          </w14:textFill>
        </w:rPr>
      </w:pPr>
    </w:p>
    <w:p w14:paraId="233E9A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Bai X(#)(1), Wang J(#)(2), Yu G(2), Shi J(1), Fan S(1), Wang R(2), Wang Y(2), </w:t>
      </w:r>
    </w:p>
    <w:p w14:paraId="2FD6687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Feng X(2), Pei R(3), Liao R(4).</w:t>
      </w:r>
    </w:p>
    <w:p w14:paraId="70DF0485">
      <w:pPr>
        <w:rPr>
          <w:rFonts w:hint="eastAsia" w:ascii="宋体" w:hAnsi="宋体" w:eastAsia="宋体" w:cs="宋体"/>
          <w:color w:val="000000" w:themeColor="text1"/>
          <w:szCs w:val="24"/>
          <w14:textFill>
            <w14:solidFill>
              <w14:schemeClr w14:val="tx1"/>
            </w14:solidFill>
          </w14:textFill>
        </w:rPr>
      </w:pPr>
    </w:p>
    <w:p w14:paraId="597EED57">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Xuefei Bai,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Ju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Gang Yu,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Jinhong Shi,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Sisi Fan,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Ruobing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Yubing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Xiaoying Feng,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Rong Pei</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Rujun Liao</w:t>
      </w:r>
      <w:r>
        <w:rPr>
          <w:rFonts w:hint="eastAsia" w:ascii="宋体" w:hAnsi="宋体" w:eastAsia="宋体" w:cs="宋体"/>
          <w:b/>
          <w:bCs/>
          <w:color w:val="0070C0"/>
          <w:szCs w:val="24"/>
          <w:lang w:val="en-US" w:eastAsia="zh-CN"/>
        </w:rPr>
        <w:t>*</w:t>
      </w:r>
    </w:p>
    <w:p w14:paraId="14666ADA">
      <w:pPr>
        <w:rPr>
          <w:rFonts w:hint="eastAsia" w:ascii="宋体" w:hAnsi="宋体" w:eastAsia="宋体" w:cs="宋体"/>
          <w:b/>
          <w:bCs/>
          <w:color w:val="0070C0"/>
          <w:szCs w:val="24"/>
        </w:rPr>
      </w:pPr>
      <w:r>
        <w:rPr>
          <w:rFonts w:hint="eastAsia" w:ascii="宋体" w:hAnsi="宋体" w:eastAsia="宋体" w:cs="宋体"/>
          <w:b/>
          <w:bCs/>
          <w:color w:val="0070C0"/>
          <w:szCs w:val="24"/>
        </w:rPr>
        <w:t>*Correspondence: Rong Pei</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rongfry@163.com </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Rujun Liao</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22233260@qq.com</w:t>
      </w:r>
    </w:p>
    <w:p w14:paraId="2AEA7DA4">
      <w:pPr>
        <w:rPr>
          <w:rFonts w:hint="eastAsia" w:ascii="宋体" w:hAnsi="宋体" w:eastAsia="宋体" w:cs="宋体"/>
          <w:color w:val="000000" w:themeColor="text1"/>
          <w:szCs w:val="24"/>
          <w14:textFill>
            <w14:solidFill>
              <w14:schemeClr w14:val="tx1"/>
            </w14:solidFill>
          </w14:textFill>
        </w:rPr>
      </w:pPr>
    </w:p>
    <w:p w14:paraId="581AB0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3B53C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(1)Sichuan Center for Disease Control and Prevention, Chengdu, 610041, Sichuan, </w:t>
      </w:r>
    </w:p>
    <w:p w14:paraId="6D7BCF5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24B449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(2)Liangshan Center for Disease Control and Prevention, Liangshan Yi Autonomous </w:t>
      </w:r>
    </w:p>
    <w:p w14:paraId="4F27AF9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Prefecture, Xichang, 615000, Sichuan, China.</w:t>
      </w:r>
    </w:p>
    <w:p w14:paraId="5CC3DAF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(3)School of Public Health, Chengdu University of Traditional Chinese Medicine, </w:t>
      </w:r>
    </w:p>
    <w:p w14:paraId="2DD1DF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Chengdu, 611137, Sichuan, China. rongfry@163.com.</w:t>
      </w:r>
    </w:p>
    <w:p w14:paraId="08B86C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(4)Sichuan Center for Disease Control and Prevention, Chengdu, 610041, Sichuan, </w:t>
      </w:r>
    </w:p>
    <w:p w14:paraId="51ABC7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 22233260@qq.com.</w:t>
      </w:r>
    </w:p>
    <w:p w14:paraId="115307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73839126">
      <w:pPr>
        <w:rPr>
          <w:rFonts w:hint="eastAsia" w:ascii="宋体" w:hAnsi="宋体" w:eastAsia="宋体" w:cs="宋体"/>
          <w:color w:val="000000" w:themeColor="text1"/>
          <w:szCs w:val="24"/>
          <w14:textFill>
            <w14:solidFill>
              <w14:schemeClr w14:val="tx1"/>
            </w14:solidFill>
          </w14:textFill>
        </w:rPr>
      </w:pPr>
    </w:p>
    <w:p w14:paraId="06D914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BACKGROUND:</w:t>
      </w:r>
      <w:r>
        <w:rPr>
          <w:rFonts w:hint="eastAsia" w:ascii="宋体" w:hAnsi="宋体" w:eastAsia="宋体" w:cs="宋体"/>
          <w:color w:val="000000" w:themeColor="text1"/>
          <w:szCs w:val="24"/>
          <w14:textFill>
            <w14:solidFill>
              <w14:schemeClr w14:val="tx1"/>
            </w14:solidFill>
          </w14:textFill>
        </w:rPr>
        <w:t xml:space="preserve"> Tuberculosis (TB) and HIV co-infection remains a major public health </w:t>
      </w:r>
    </w:p>
    <w:p w14:paraId="56BA0A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challenge in resource-limited settings. Liangshan Yi Autonomous Prefecture in </w:t>
      </w:r>
    </w:p>
    <w:p w14:paraId="2A0DDC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Southwest China bears a dual high burden of HIV and TB. This study aimed to </w:t>
      </w:r>
    </w:p>
    <w:p w14:paraId="7B7345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analyze the epidemiological trends of HIV-TB co-infection in Liangshan from 2019 </w:t>
      </w:r>
    </w:p>
    <w:p w14:paraId="465766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to 2024 and to inform integrated prevention strategies.</w:t>
      </w:r>
    </w:p>
    <w:p w14:paraId="384331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A retrospective analysis was conducted on 3367 HIV-TB co-infected cases </w:t>
      </w:r>
    </w:p>
    <w:p w14:paraId="72C130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extracted from the National HIV/AIDS and TB surveillance systems. Records were </w:t>
      </w:r>
    </w:p>
    <w:p w14:paraId="555F4E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linked via unique identifiers. Descriptive statistics and chi-square tests for </w:t>
      </w:r>
    </w:p>
    <w:p w14:paraId="663070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trend assessed incidence trends, demographics, transmission routes, treatment </w:t>
      </w:r>
    </w:p>
    <w:p w14:paraId="1783F9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outcomes, and drug resistance.</w:t>
      </w:r>
    </w:p>
    <w:p w14:paraId="3133F93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From 2019 to 2024, HIV-TB incidence declined from 12.26 to 8.76 per </w:t>
      </w:r>
    </w:p>
    <w:p w14:paraId="708C14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100,000 (χ2trend = 40.459, P &lt; 0.001), driven by high-burden counties and </w:t>
      </w:r>
    </w:p>
    <w:p w14:paraId="08045B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populations under 45 years (all P &lt; 0.001). Patients were predominantly young </w:t>
      </w:r>
    </w:p>
    <w:p w14:paraId="4EBC6A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males (61.10%) and farmers (92.37%). The main HIV transmission routes were </w:t>
      </w:r>
    </w:p>
    <w:p w14:paraId="45E5F4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heterosexual contact (48.29%) and injection drug use (41.31%), with marked sex </w:t>
      </w:r>
    </w:p>
    <w:p w14:paraId="7AB5B6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age disparities: injection drug use predominated in males (50.92%) and those </w:t>
      </w:r>
    </w:p>
    <w:p w14:paraId="4410E51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aged 30 - &lt; 45 years (50.32%), while heterosexual transmission prevailed in </w:t>
      </w:r>
    </w:p>
    <w:p w14:paraId="3CA692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females (77.07%) and older adults (≥ 60 years, 87.62%). Treatment success rate </w:t>
      </w:r>
    </w:p>
    <w:p w14:paraId="0A290C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81.76%, significantly lower in the elderly (69.52%, P &lt; 0.05). Any drug </w:t>
      </w:r>
    </w:p>
    <w:p w14:paraId="16CB8B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resistance (3.30%) increased from 1.54% to 3.10% (χ2trend = 8.481, P </w:t>
      </w:r>
    </w:p>
    <w:p w14:paraId="7DBF42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trend = 0.004).</w:t>
      </w:r>
    </w:p>
    <w:p w14:paraId="055BE9F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During the implementation of integrated strategies, HIV-TB incidence </w:t>
      </w:r>
    </w:p>
    <w:p w14:paraId="22B999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showed a declining trend, particularly in high-burden areas and younger </w:t>
      </w:r>
    </w:p>
    <w:p w14:paraId="47F014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populations. Persistent challenges-stagnant incidence and poor outcomes in the </w:t>
      </w:r>
    </w:p>
    <w:p w14:paraId="7444B6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elderly, high loss to follow-up (10.87%), rising drug resistance-require </w:t>
      </w:r>
    </w:p>
    <w:p w14:paraId="7FAF8A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targeted interventions: leveraging the Yi "clan" (Jiazhi) system, strengthening </w:t>
      </w:r>
    </w:p>
    <w:p w14:paraId="13CC68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active screening and nutritional support for older adults, optimizing drug </w:t>
      </w:r>
    </w:p>
    <w:p w14:paraId="22BB6E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resistance surveillance, and integrating digital health tools.</w:t>
      </w:r>
    </w:p>
    <w:p w14:paraId="6D472BB7">
      <w:pPr>
        <w:rPr>
          <w:rFonts w:hint="eastAsia" w:ascii="宋体" w:hAnsi="宋体" w:eastAsia="宋体" w:cs="宋体"/>
          <w:color w:val="000000" w:themeColor="text1"/>
          <w:szCs w:val="24"/>
          <w14:textFill>
            <w14:solidFill>
              <w14:schemeClr w14:val="tx1"/>
            </w14:solidFill>
          </w14:textFill>
        </w:rPr>
      </w:pPr>
    </w:p>
    <w:p w14:paraId="27015F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The Author(s).</w:t>
      </w:r>
    </w:p>
    <w:p w14:paraId="7B14345F">
      <w:pPr>
        <w:rPr>
          <w:rFonts w:hint="eastAsia" w:ascii="宋体" w:hAnsi="宋体" w:eastAsia="宋体" w:cs="宋体"/>
          <w:color w:val="000000" w:themeColor="text1"/>
          <w:szCs w:val="24"/>
          <w14:textFill>
            <w14:solidFill>
              <w14:schemeClr w14:val="tx1"/>
            </w14:solidFill>
          </w14:textFill>
        </w:rPr>
      </w:pPr>
    </w:p>
    <w:p w14:paraId="3084EF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10.1186/s40249-026-01495-w</w:t>
      </w:r>
    </w:p>
    <w:p w14:paraId="7B1FE4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PMC13543528</w:t>
      </w:r>
    </w:p>
    <w:p w14:paraId="25F692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42698105 [Indexed for MEDLINE]</w:t>
      </w:r>
    </w:p>
    <w:p w14:paraId="5B100789">
      <w:pPr>
        <w:rPr>
          <w:rFonts w:hint="eastAsia" w:ascii="宋体" w:hAnsi="宋体" w:eastAsia="宋体" w:cs="宋体"/>
          <w:color w:val="000000" w:themeColor="text1"/>
          <w:szCs w:val="24"/>
          <w14:textFill>
            <w14:solidFill>
              <w14:schemeClr w14:val="tx1"/>
            </w14:solidFill>
          </w14:textFill>
        </w:rPr>
      </w:pPr>
    </w:p>
    <w:p w14:paraId="703CDD95">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4</w:t>
      </w:r>
      <w:r>
        <w:rPr>
          <w:rFonts w:hint="eastAsia" w:ascii="宋体" w:hAnsi="宋体" w:eastAsia="宋体" w:cs="宋体"/>
          <w:b/>
          <w:bCs/>
          <w:color w:val="FF0000"/>
          <w:szCs w:val="24"/>
        </w:rPr>
        <w:t xml:space="preserve">. J Glob Antimicrob Resist. 2026 Sep 4:S2213-7165(26)00166-9. doi: </w:t>
      </w:r>
    </w:p>
    <w:p w14:paraId="2DCAF68E">
      <w:pPr>
        <w:rPr>
          <w:rFonts w:hint="eastAsia" w:ascii="宋体" w:hAnsi="宋体" w:eastAsia="宋体" w:cs="宋体"/>
          <w:b/>
          <w:bCs/>
          <w:color w:val="FF0000"/>
          <w:szCs w:val="24"/>
        </w:rPr>
      </w:pPr>
      <w:r>
        <w:rPr>
          <w:rFonts w:hint="eastAsia" w:ascii="宋体" w:hAnsi="宋体" w:eastAsia="宋体" w:cs="宋体"/>
          <w:b/>
          <w:bCs/>
          <w:color w:val="FF0000"/>
          <w:szCs w:val="24"/>
        </w:rPr>
        <w:t>10.1016/j.jgar.2026.08.029. Online ahead of print.</w:t>
      </w:r>
    </w:p>
    <w:p w14:paraId="5556688A">
      <w:pPr>
        <w:rPr>
          <w:rFonts w:hint="eastAsia" w:ascii="宋体" w:hAnsi="宋体" w:eastAsia="宋体" w:cs="宋体"/>
          <w:color w:val="000000" w:themeColor="text1"/>
          <w:szCs w:val="24"/>
          <w14:textFill>
            <w14:solidFill>
              <w14:schemeClr w14:val="tx1"/>
            </w14:solidFill>
          </w14:textFill>
        </w:rPr>
      </w:pPr>
    </w:p>
    <w:p w14:paraId="35D17F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Nutritional-Inflammatory Composite Score to Support Nursing Risk </w:t>
      </w:r>
    </w:p>
    <w:p w14:paraId="46FFE2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Stratification in Suspected Multidrug-Resistant Tuberculosis Patients: </w:t>
      </w:r>
    </w:p>
    <w:p w14:paraId="21BF3D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Implications for Identifying Nontuberculous Mycobacterial Pulmonary Disease.</w:t>
      </w:r>
    </w:p>
    <w:p w14:paraId="4575506E">
      <w:pPr>
        <w:rPr>
          <w:rFonts w:hint="eastAsia" w:ascii="宋体" w:hAnsi="宋体" w:eastAsia="宋体" w:cs="宋体"/>
          <w:color w:val="000000" w:themeColor="text1"/>
          <w:szCs w:val="24"/>
          <w14:textFill>
            <w14:solidFill>
              <w14:schemeClr w14:val="tx1"/>
            </w14:solidFill>
          </w14:textFill>
        </w:rPr>
      </w:pPr>
    </w:p>
    <w:p w14:paraId="1F23D8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Chang M(1), Wenjuan Z(2), Yang X(3), Zhao Y(4).</w:t>
      </w:r>
    </w:p>
    <w:p w14:paraId="69FF39BD">
      <w:pPr>
        <w:rPr>
          <w:rFonts w:hint="eastAsia" w:ascii="宋体" w:hAnsi="宋体" w:eastAsia="宋体" w:cs="宋体"/>
          <w:color w:val="000000" w:themeColor="text1"/>
          <w:szCs w:val="24"/>
          <w14:textFill>
            <w14:solidFill>
              <w14:schemeClr w14:val="tx1"/>
            </w14:solidFill>
          </w14:textFill>
        </w:rPr>
      </w:pPr>
    </w:p>
    <w:p w14:paraId="2F75F018">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Ming Chang,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Zhou Wenjuan,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Xingzhen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Yuanyuan Zhao</w:t>
      </w:r>
      <w:r>
        <w:rPr>
          <w:rFonts w:hint="eastAsia" w:ascii="宋体" w:hAnsi="宋体" w:eastAsia="宋体" w:cs="宋体"/>
          <w:b/>
          <w:bCs/>
          <w:color w:val="0070C0"/>
          <w:szCs w:val="24"/>
          <w:lang w:val="en-US" w:eastAsia="zh-CN"/>
        </w:rPr>
        <w:t>*</w:t>
      </w:r>
    </w:p>
    <w:p w14:paraId="393BD4DE">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Corresponding author: Yuanyuan Zhao, channomogra@gmail.com</w:t>
      </w:r>
    </w:p>
    <w:p w14:paraId="193899E3">
      <w:pPr>
        <w:rPr>
          <w:rFonts w:hint="eastAsia" w:ascii="宋体" w:hAnsi="宋体" w:eastAsia="宋体" w:cs="宋体"/>
          <w:color w:val="000000" w:themeColor="text1"/>
          <w:szCs w:val="24"/>
          <w14:textFill>
            <w14:solidFill>
              <w14:schemeClr w14:val="tx1"/>
            </w14:solidFill>
          </w14:textFill>
        </w:rPr>
      </w:pPr>
    </w:p>
    <w:p w14:paraId="531735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254D3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Respiratory Medicine, Tai'an Cancer Hospital, No. 390 Lingshan </w:t>
      </w:r>
    </w:p>
    <w:p w14:paraId="1DBBC0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Street, Tai'an City, Shandong Province, 271000, P.R. China; Department of </w:t>
      </w:r>
    </w:p>
    <w:p w14:paraId="57F204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Critical Care Medicine, Laizhou Hospital of Traditional Chinese Medicine, No. </w:t>
      </w:r>
    </w:p>
    <w:p w14:paraId="244D281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832 Wenhua East Street, Laizhou City, 261400, P.R. China.</w:t>
      </w:r>
    </w:p>
    <w:p w14:paraId="21ED0E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Critical Care Medicine, Laizhou Hospital of Traditional Chinese </w:t>
      </w:r>
    </w:p>
    <w:p w14:paraId="192B3E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Medicine, No. 832 Wenhua East Street, Laizhou City, 261400, P.R. China.</w:t>
      </w:r>
    </w:p>
    <w:p w14:paraId="5E9D39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Respiratory Medicine, Tai'an Cancer Hospital, No. 390 Lingshan </w:t>
      </w:r>
    </w:p>
    <w:p w14:paraId="3BD569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Street, Tai'an City, Shandong Province, 271000, P.R. China.</w:t>
      </w:r>
    </w:p>
    <w:p w14:paraId="556469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(4)Support Department, The 960th Hospital of the Joint Logistic Support Force of </w:t>
      </w:r>
    </w:p>
    <w:p w14:paraId="036A04A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Chinese People's Liberation Army, No. 25 Shifan Road, Tianqiao District, </w:t>
      </w:r>
    </w:p>
    <w:p w14:paraId="2767D2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Jinan, Shandong Province, 250031, P.R. China. Electronic address: </w:t>
      </w:r>
    </w:p>
    <w:p w14:paraId="1CC577C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channomogra@gmail.com.</w:t>
      </w:r>
    </w:p>
    <w:p w14:paraId="7A8BC8ED">
      <w:pPr>
        <w:rPr>
          <w:rFonts w:hint="eastAsia" w:ascii="宋体" w:hAnsi="宋体" w:eastAsia="宋体" w:cs="宋体"/>
          <w:color w:val="000000" w:themeColor="text1"/>
          <w:szCs w:val="24"/>
          <w14:textFill>
            <w14:solidFill>
              <w14:schemeClr w14:val="tx1"/>
            </w14:solidFill>
          </w14:textFill>
        </w:rPr>
      </w:pPr>
    </w:p>
    <w:p w14:paraId="3A870E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Nontuberculous mycobacterial pulmonary disease (NTM-PD) and </w:t>
      </w:r>
    </w:p>
    <w:p w14:paraId="0AFC4D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multidrug-resistant pulmonary tuberculosis (MDR-PTB) share overlapping clinical </w:t>
      </w:r>
    </w:p>
    <w:p w14:paraId="05738A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radiological features, leading to frequent misdiagnosis and inappropriate </w:t>
      </w:r>
    </w:p>
    <w:p w14:paraId="1FC875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treatment. Simple, low-cost risk stratification tools are needed, particularly </w:t>
      </w:r>
    </w:p>
    <w:p w14:paraId="7E1ED3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 nursing staff in resource-limited settings. This study developed and </w:t>
      </w:r>
    </w:p>
    <w:p w14:paraId="4D1B0A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evaluated a Nutritional-Inflammatory Composite Score (NICS) for differentiating </w:t>
      </w:r>
    </w:p>
    <w:p w14:paraId="6B5611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NTM-PD from MDR-PTB.</w:t>
      </w:r>
    </w:p>
    <w:p w14:paraId="4C2523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We retrospectively enrolled 500 patients with suspected MDR-PTB who </w:t>
      </w:r>
    </w:p>
    <w:p w14:paraId="00436A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underwent confirmatory microbiological testing. Final diagnoses were MDR-PTB </w:t>
      </w:r>
    </w:p>
    <w:p w14:paraId="5ED8E8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(n=338, 67.6%) and NTM-PD (n=162, 32.4%). Three logistic regression models were </w:t>
      </w:r>
    </w:p>
    <w:p w14:paraId="27EDAF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compared: clinical (age, BMI, smoking, diabetes, COPD, bronchiectasis), </w:t>
      </w:r>
    </w:p>
    <w:p w14:paraId="50118A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laboratory (CRP, albumin, ferritin, lymphocytes), and NICS-based (age, BMI, </w:t>
      </w:r>
    </w:p>
    <w:p w14:paraId="544DDB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diabetes, COPD, bronchiectasis, and NICS). Model discrimination was assessed by </w:t>
      </w:r>
    </w:p>
    <w:p w14:paraId="4EBBBE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area under the ROC curve (AUC).</w:t>
      </w:r>
    </w:p>
    <w:p w14:paraId="5F65C3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NICS was the strongest independent predictor of NTMPD (OR=1.14 per unit </w:t>
      </w:r>
    </w:p>
    <w:p w14:paraId="46A09E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increase, 95% CI: 1.08-1.20, p&lt;0.001). The NICS-based model achieved the highest </w:t>
      </w:r>
    </w:p>
    <w:p w14:paraId="632007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AUC (0.66, 95% CI: 0.61-0.71), compared with the clinical model (AUC=0.57, 95% </w:t>
      </w:r>
    </w:p>
    <w:p w14:paraId="3E1F2E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CI: 0.52-0.62) and the laboratory model (AUC=0.60, 95% CI: 0.54-0.65). Using the </w:t>
      </w:r>
    </w:p>
    <w:p w14:paraId="6B1839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Youden derived optimal cutoff, sensitivity was 35.19%, specificity 73.96%, PPV </w:t>
      </w:r>
    </w:p>
    <w:p w14:paraId="6488F3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39.31%, and NPV 70.42% (overall correct classification 61.40%).</w:t>
      </w:r>
    </w:p>
    <w:p w14:paraId="52D5B4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w:t>
      </w:r>
      <w:r>
        <w:rPr>
          <w:rFonts w:hint="eastAsia" w:ascii="宋体" w:hAnsi="宋体" w:eastAsia="宋体" w:cs="宋体"/>
          <w:color w:val="000000" w:themeColor="text1"/>
          <w:szCs w:val="24"/>
          <w14:textFill>
            <w14:solidFill>
              <w14:schemeClr w14:val="tx1"/>
            </w14:solidFill>
          </w14:textFill>
        </w:rPr>
        <w:t xml:space="preserve"> NICS improves NTMPD versus MDRPTB discrimination modestly but </w:t>
      </w:r>
    </w:p>
    <w:p w14:paraId="7F2D7B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significantly (ΔAUC = 0.09 vs. clinical model). The nomogram represents a </w:t>
      </w:r>
    </w:p>
    <w:p w14:paraId="52364A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preliminary research instrument for risk estimation; however, the low </w:t>
      </w:r>
    </w:p>
    <w:p w14:paraId="18D130A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at the optimal threshold precludes its use as a diagnostic tool, </w:t>
      </w:r>
    </w:p>
    <w:p w14:paraId="420CBDC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limiting its role to hypothesis generation pending prospective validation. </w:t>
      </w:r>
    </w:p>
    <w:p w14:paraId="67D65D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Prospective usability testing and external validation remain necessary.</w:t>
      </w:r>
    </w:p>
    <w:p w14:paraId="2F806428">
      <w:pPr>
        <w:rPr>
          <w:rFonts w:hint="eastAsia" w:ascii="宋体" w:hAnsi="宋体" w:eastAsia="宋体" w:cs="宋体"/>
          <w:color w:val="000000" w:themeColor="text1"/>
          <w:szCs w:val="24"/>
          <w14:textFill>
            <w14:solidFill>
              <w14:schemeClr w14:val="tx1"/>
            </w14:solidFill>
          </w14:textFill>
        </w:rPr>
      </w:pPr>
    </w:p>
    <w:p w14:paraId="23BBCA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Published by Elsevier Ltd.</w:t>
      </w:r>
    </w:p>
    <w:p w14:paraId="4E56AC6A">
      <w:pPr>
        <w:rPr>
          <w:rFonts w:hint="eastAsia" w:ascii="宋体" w:hAnsi="宋体" w:eastAsia="宋体" w:cs="宋体"/>
          <w:color w:val="000000" w:themeColor="text1"/>
          <w:szCs w:val="24"/>
          <w14:textFill>
            <w14:solidFill>
              <w14:schemeClr w14:val="tx1"/>
            </w14:solidFill>
          </w14:textFill>
        </w:rPr>
      </w:pPr>
    </w:p>
    <w:p w14:paraId="1E4D59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10.1016/j.jgar.2026.08.029</w:t>
      </w:r>
    </w:p>
    <w:p w14:paraId="6D520C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42697437</w:t>
      </w:r>
    </w:p>
    <w:p w14:paraId="4CF7E06B">
      <w:pPr>
        <w:rPr>
          <w:rFonts w:hint="eastAsia" w:ascii="宋体" w:hAnsi="宋体" w:eastAsia="宋体" w:cs="宋体"/>
          <w:color w:val="000000" w:themeColor="text1"/>
          <w:szCs w:val="24"/>
          <w14:textFill>
            <w14:solidFill>
              <w14:schemeClr w14:val="tx1"/>
            </w14:solidFill>
          </w14:textFill>
        </w:rPr>
      </w:pPr>
    </w:p>
    <w:p w14:paraId="6CFEB427">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5</w:t>
      </w:r>
      <w:r>
        <w:rPr>
          <w:rFonts w:hint="eastAsia" w:ascii="宋体" w:hAnsi="宋体" w:eastAsia="宋体" w:cs="宋体"/>
          <w:b/>
          <w:bCs/>
          <w:color w:val="FF0000"/>
          <w:szCs w:val="24"/>
        </w:rPr>
        <w:t>. BMJ Open. 2026 Sep 2;16(9):e124499. doi: 10.1136/bmjopen-2026-124499.</w:t>
      </w:r>
    </w:p>
    <w:p w14:paraId="683C3152">
      <w:pPr>
        <w:rPr>
          <w:rFonts w:hint="eastAsia" w:ascii="宋体" w:hAnsi="宋体" w:eastAsia="宋体" w:cs="宋体"/>
          <w:color w:val="000000" w:themeColor="text1"/>
          <w:szCs w:val="24"/>
          <w14:textFill>
            <w14:solidFill>
              <w14:schemeClr w14:val="tx1"/>
            </w14:solidFill>
          </w14:textFill>
        </w:rPr>
      </w:pPr>
    </w:p>
    <w:p w14:paraId="3BB642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performance of third-generation sequencing for tuberculous </w:t>
      </w:r>
    </w:p>
    <w:p w14:paraId="031ECBA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pericarditis: a systematic review and meta-analysis protocol.</w:t>
      </w:r>
    </w:p>
    <w:p w14:paraId="1A6AA85C">
      <w:pPr>
        <w:rPr>
          <w:rFonts w:hint="eastAsia" w:ascii="宋体" w:hAnsi="宋体" w:eastAsia="宋体" w:cs="宋体"/>
          <w:color w:val="000000" w:themeColor="text1"/>
          <w:szCs w:val="24"/>
          <w14:textFill>
            <w14:solidFill>
              <w14:schemeClr w14:val="tx1"/>
            </w14:solidFill>
          </w14:textFill>
        </w:rPr>
      </w:pPr>
    </w:p>
    <w:p w14:paraId="1D7999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Yu G(#)(1), Ling Y(#)(2), Du K(2), Shen Y(3).</w:t>
      </w:r>
    </w:p>
    <w:p w14:paraId="7687F828">
      <w:pPr>
        <w:rPr>
          <w:rFonts w:hint="eastAsia" w:ascii="宋体" w:hAnsi="宋体" w:eastAsia="宋体" w:cs="宋体"/>
          <w:color w:val="000000" w:themeColor="text1"/>
          <w:szCs w:val="24"/>
          <w14:textFill>
            <w14:solidFill>
              <w14:schemeClr w14:val="tx1"/>
            </w14:solidFill>
          </w14:textFill>
        </w:rPr>
      </w:pPr>
    </w:p>
    <w:p w14:paraId="605BF41C">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Guocan Yu,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Yuyang Ling,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Keying Du,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Yanqin Shen</w:t>
      </w:r>
      <w:r>
        <w:rPr>
          <w:rFonts w:hint="eastAsia" w:ascii="宋体" w:hAnsi="宋体" w:eastAsia="宋体" w:cs="宋体"/>
          <w:b/>
          <w:bCs/>
          <w:color w:val="0070C0"/>
          <w:szCs w:val="24"/>
          <w:lang w:val="en-US" w:eastAsia="zh-CN"/>
        </w:rPr>
        <w:t>*</w:t>
      </w:r>
    </w:p>
    <w:p w14:paraId="4EF373BB">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Correspondence to</w:t>
      </w:r>
      <w:r>
        <w:rPr>
          <w:rFonts w:hint="default" w:ascii="宋体" w:hAnsi="宋体" w:eastAsia="宋体" w:cs="宋体"/>
          <w:b/>
          <w:bCs/>
          <w:color w:val="0070C0"/>
          <w:szCs w:val="24"/>
        </w:rPr>
        <w:t> Yanqin Shen; </w:t>
      </w:r>
      <w:r>
        <w:rPr>
          <w:rFonts w:hint="default" w:ascii="宋体" w:hAnsi="宋体" w:eastAsia="宋体" w:cs="宋体"/>
          <w:b/>
          <w:bCs/>
          <w:color w:val="0070C0"/>
          <w:szCs w:val="24"/>
        </w:rPr>
        <w:fldChar w:fldCharType="begin"/>
      </w:r>
      <w:r>
        <w:rPr>
          <w:rFonts w:hint="default" w:ascii="宋体" w:hAnsi="宋体" w:eastAsia="宋体" w:cs="宋体"/>
          <w:b/>
          <w:bCs/>
          <w:color w:val="0070C0"/>
          <w:szCs w:val="24"/>
        </w:rPr>
        <w:instrText xml:space="preserve"> HYPERLINK "mailto:yanqinshen@yeah.net" </w:instrText>
      </w:r>
      <w:r>
        <w:rPr>
          <w:rFonts w:hint="default" w:ascii="宋体" w:hAnsi="宋体" w:eastAsia="宋体" w:cs="宋体"/>
          <w:b/>
          <w:bCs/>
          <w:color w:val="0070C0"/>
          <w:szCs w:val="24"/>
        </w:rPr>
        <w:fldChar w:fldCharType="separate"/>
      </w:r>
      <w:r>
        <w:rPr>
          <w:rFonts w:hint="default" w:ascii="宋体" w:hAnsi="宋体" w:eastAsia="宋体" w:cs="宋体"/>
          <w:b/>
          <w:bCs/>
          <w:color w:val="0070C0"/>
          <w:szCs w:val="24"/>
        </w:rPr>
        <w:t>yanqinshen@yeah.net</w:t>
      </w:r>
      <w:r>
        <w:rPr>
          <w:rFonts w:hint="default" w:ascii="宋体" w:hAnsi="宋体" w:eastAsia="宋体" w:cs="宋体"/>
          <w:b/>
          <w:bCs/>
          <w:color w:val="0070C0"/>
          <w:szCs w:val="24"/>
        </w:rPr>
        <w:fldChar w:fldCharType="end"/>
      </w:r>
    </w:p>
    <w:p w14:paraId="1982DD6F">
      <w:pPr>
        <w:rPr>
          <w:rFonts w:hint="eastAsia" w:ascii="宋体" w:hAnsi="宋体" w:eastAsia="宋体" w:cs="宋体"/>
          <w:color w:val="000000" w:themeColor="text1"/>
          <w:szCs w:val="24"/>
          <w14:textFill>
            <w14:solidFill>
              <w14:schemeClr w14:val="tx1"/>
            </w14:solidFill>
          </w14:textFill>
        </w:rPr>
      </w:pPr>
    </w:p>
    <w:p w14:paraId="3E5504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222FC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(1)Thoracic Surgery, Hangzhou Red Cross Hospital, Hangzhou, China.</w:t>
      </w:r>
    </w:p>
    <w:p w14:paraId="5B977A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(2)The Second School of Clinical Medicine, Zhejiang Chinese Medical University, </w:t>
      </w:r>
    </w:p>
    <w:p w14:paraId="7CD813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Hangzhou, China.</w:t>
      </w:r>
    </w:p>
    <w:p w14:paraId="6EA251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Nursing, Hangzhou Red Cross Hospital, Hangzhou, China </w:t>
      </w:r>
    </w:p>
    <w:p w14:paraId="66F70E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yanqinshen@yeah.net.</w:t>
      </w:r>
    </w:p>
    <w:p w14:paraId="499DE4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52BBCAD6">
      <w:pPr>
        <w:rPr>
          <w:rFonts w:hint="eastAsia" w:ascii="宋体" w:hAnsi="宋体" w:eastAsia="宋体" w:cs="宋体"/>
          <w:color w:val="000000" w:themeColor="text1"/>
          <w:szCs w:val="24"/>
          <w14:textFill>
            <w14:solidFill>
              <w14:schemeClr w14:val="tx1"/>
            </w14:solidFill>
          </w14:textFill>
        </w:rPr>
      </w:pPr>
    </w:p>
    <w:p w14:paraId="260C614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INTRODUCTION: </w:t>
      </w:r>
      <w:r>
        <w:rPr>
          <w:rFonts w:hint="eastAsia" w:ascii="宋体" w:hAnsi="宋体" w:eastAsia="宋体" w:cs="宋体"/>
          <w:color w:val="000000" w:themeColor="text1"/>
          <w:szCs w:val="24"/>
          <w14:textFill>
            <w14:solidFill>
              <w14:schemeClr w14:val="tx1"/>
            </w14:solidFill>
          </w14:textFill>
        </w:rPr>
        <w:t xml:space="preserve">Tuberculous pericarditis is a severe, high-mortality manifestation </w:t>
      </w:r>
    </w:p>
    <w:p w14:paraId="1705F7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extrapulmonary tuberculosis. Its diagnosis is hindered by the invasive nature </w:t>
      </w:r>
    </w:p>
    <w:p w14:paraId="09ED884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specimen collection and the limited sensitivity of conventional </w:t>
      </w:r>
    </w:p>
    <w:p w14:paraId="64FEC9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microbiological tests. Third-generation sequencing (TGS) offers a promising, </w:t>
      </w:r>
    </w:p>
    <w:p w14:paraId="2292C25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rapid and comprehensive molecular approach for detecting Mycobacterium </w:t>
      </w:r>
    </w:p>
    <w:p w14:paraId="532954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but its specific diagnostic accuracy for tuberculous pericarditis </w:t>
      </w:r>
    </w:p>
    <w:p w14:paraId="5B6D91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has not been systematically evaluated. This planned systematic review and </w:t>
      </w:r>
    </w:p>
    <w:p w14:paraId="36433A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meta-analysis aims to precisely determine the diagnostic performance of TGS for </w:t>
      </w:r>
    </w:p>
    <w:p w14:paraId="21F112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this condition.</w:t>
      </w:r>
    </w:p>
    <w:p w14:paraId="0ADA7E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 AND ANALYSIS:</w:t>
      </w:r>
      <w:r>
        <w:rPr>
          <w:rFonts w:hint="eastAsia" w:ascii="宋体" w:hAnsi="宋体" w:eastAsia="宋体" w:cs="宋体"/>
          <w:color w:val="000000" w:themeColor="text1"/>
          <w:szCs w:val="24"/>
          <w14:textFill>
            <w14:solidFill>
              <w14:schemeClr w14:val="tx1"/>
            </w14:solidFill>
          </w14:textFill>
        </w:rPr>
        <w:t xml:space="preserve"> A protocol has been prospectively registered with </w:t>
      </w:r>
    </w:p>
    <w:p w14:paraId="12A17F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PROSPERO. We will comprehensively search multiple databases (PubMed, Embase, Web </w:t>
      </w:r>
    </w:p>
    <w:p w14:paraId="783ADB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Science, SCOPUS, Cochrane Library) from inception to July 2027. We will </w:t>
      </w:r>
    </w:p>
    <w:p w14:paraId="28EC47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include diagnostic accuracy studies that evaluate TGS against a composite </w:t>
      </w:r>
    </w:p>
    <w:p w14:paraId="4CA259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reference standard for tuberculous pericarditis. Where available, we will also </w:t>
      </w:r>
    </w:p>
    <w:p w14:paraId="573F45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separately analyse studies that use a definitive reference standard. Two </w:t>
      </w:r>
    </w:p>
    <w:p w14:paraId="0E9D71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independent reviewers will screen records, extract data and assess </w:t>
      </w:r>
    </w:p>
    <w:p w14:paraId="1D18F4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methodological quality using the QUADAS-2 tool. A bivariate random-effects model </w:t>
      </w:r>
    </w:p>
    <w:p w14:paraId="48C301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will be used to pool sensitivity and specificity, with results summarised using </w:t>
      </w:r>
    </w:p>
    <w:p w14:paraId="11F03D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hierarchical summary receiver operating characteristic curves. Heterogeneity </w:t>
      </w:r>
    </w:p>
    <w:p w14:paraId="139F55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will be explored via subgroup analysis and meta-regression. The certainty of </w:t>
      </w:r>
    </w:p>
    <w:p w14:paraId="745A67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evidence will be graded using the Grading of Recommendations Assessment, </w:t>
      </w:r>
    </w:p>
    <w:p w14:paraId="044D64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Development and Evaluation (GRADE) framework.</w:t>
      </w:r>
    </w:p>
    <w:p w14:paraId="2CF89B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ETHICS AND DISSEMINATION:</w:t>
      </w:r>
      <w:r>
        <w:rPr>
          <w:rFonts w:hint="eastAsia" w:ascii="宋体" w:hAnsi="宋体" w:eastAsia="宋体" w:cs="宋体"/>
          <w:color w:val="000000" w:themeColor="text1"/>
          <w:szCs w:val="24"/>
          <w14:textFill>
            <w14:solidFill>
              <w14:schemeClr w14:val="tx1"/>
            </w14:solidFill>
          </w14:textFill>
        </w:rPr>
        <w:t xml:space="preserve"> Given that this investigation exclusively draws on </w:t>
      </w:r>
    </w:p>
    <w:p w14:paraId="6103FD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open-source, non-identifiable data, formal institutional ethics clearance is not </w:t>
      </w:r>
    </w:p>
    <w:p w14:paraId="098E91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required. On finalisation, the findings of this systematic review will be </w:t>
      </w:r>
    </w:p>
    <w:p w14:paraId="493C24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disseminated via a suitable peer-reviewed journal. In parallel, every research </w:t>
      </w:r>
    </w:p>
    <w:p w14:paraId="6E3741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phase-spanning protocol design to the final report-will rigorously comply with </w:t>
      </w:r>
    </w:p>
    <w:p w14:paraId="49AC9D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established methodological standards for systematic reviews and </w:t>
      </w:r>
    </w:p>
    <w:p w14:paraId="534F08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meta-analyses of diagnostic test accuracy.</w:t>
      </w:r>
    </w:p>
    <w:p w14:paraId="6EE6B8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TRIAL REGISTRATION NUMBER: CRD420261429012.</w:t>
      </w:r>
    </w:p>
    <w:p w14:paraId="76CDF858">
      <w:pPr>
        <w:rPr>
          <w:rFonts w:hint="eastAsia" w:ascii="宋体" w:hAnsi="宋体" w:eastAsia="宋体" w:cs="宋体"/>
          <w:color w:val="000000" w:themeColor="text1"/>
          <w:szCs w:val="24"/>
          <w14:textFill>
            <w14:solidFill>
              <w14:schemeClr w14:val="tx1"/>
            </w14:solidFill>
          </w14:textFill>
        </w:rPr>
      </w:pPr>
    </w:p>
    <w:p w14:paraId="7059E1F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Author(s) (or their employer(s)) 2026. Re-use permitted under CC BY-NC. No </w:t>
      </w:r>
    </w:p>
    <w:p w14:paraId="35C593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commercial re-use. See rights and permissions. Published by BMJ Group.</w:t>
      </w:r>
    </w:p>
    <w:p w14:paraId="6BDD7925">
      <w:pPr>
        <w:rPr>
          <w:rFonts w:hint="eastAsia" w:ascii="宋体" w:hAnsi="宋体" w:eastAsia="宋体" w:cs="宋体"/>
          <w:color w:val="000000" w:themeColor="text1"/>
          <w:szCs w:val="24"/>
          <w14:textFill>
            <w14:solidFill>
              <w14:schemeClr w14:val="tx1"/>
            </w14:solidFill>
          </w14:textFill>
        </w:rPr>
      </w:pPr>
    </w:p>
    <w:p w14:paraId="6C838C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10.1136/bmjopen-2026-124499</w:t>
      </w:r>
    </w:p>
    <w:p w14:paraId="000E50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42692502 [Indexed for MEDLINE]</w:t>
      </w:r>
    </w:p>
    <w:p w14:paraId="513655DC">
      <w:pPr>
        <w:rPr>
          <w:rFonts w:hint="eastAsia" w:ascii="宋体" w:hAnsi="宋体" w:eastAsia="宋体" w:cs="宋体"/>
          <w:color w:val="000000" w:themeColor="text1"/>
          <w:szCs w:val="24"/>
          <w14:textFill>
            <w14:solidFill>
              <w14:schemeClr w14:val="tx1"/>
            </w14:solidFill>
          </w14:textFill>
        </w:rPr>
      </w:pPr>
    </w:p>
    <w:p w14:paraId="0ED43EAF">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6</w:t>
      </w:r>
      <w:r>
        <w:rPr>
          <w:rFonts w:hint="eastAsia" w:ascii="宋体" w:hAnsi="宋体" w:eastAsia="宋体" w:cs="宋体"/>
          <w:b/>
          <w:bCs/>
          <w:color w:val="FF0000"/>
          <w:szCs w:val="24"/>
        </w:rPr>
        <w:t xml:space="preserve">. Environ Pollut. 2026 Sep 3:129105. doi: 10.1016/j.envpol.2026.129105. Online </w:t>
      </w:r>
    </w:p>
    <w:p w14:paraId="7F57DBA5">
      <w:pPr>
        <w:rPr>
          <w:rFonts w:hint="eastAsia" w:ascii="宋体" w:hAnsi="宋体" w:eastAsia="宋体" w:cs="宋体"/>
          <w:b/>
          <w:bCs/>
          <w:color w:val="FF0000"/>
          <w:szCs w:val="24"/>
        </w:rPr>
      </w:pPr>
      <w:r>
        <w:rPr>
          <w:rFonts w:hint="eastAsia" w:ascii="宋体" w:hAnsi="宋体" w:eastAsia="宋体" w:cs="宋体"/>
          <w:b/>
          <w:bCs/>
          <w:color w:val="FF0000"/>
          <w:szCs w:val="24"/>
        </w:rPr>
        <w:t>ahead of print.</w:t>
      </w:r>
    </w:p>
    <w:p w14:paraId="7B337CEC">
      <w:pPr>
        <w:rPr>
          <w:rFonts w:hint="eastAsia" w:ascii="宋体" w:hAnsi="宋体" w:eastAsia="宋体" w:cs="宋体"/>
          <w:color w:val="000000" w:themeColor="text1"/>
          <w:szCs w:val="24"/>
          <w14:textFill>
            <w14:solidFill>
              <w14:schemeClr w14:val="tx1"/>
            </w14:solidFill>
          </w14:textFill>
        </w:rPr>
      </w:pPr>
    </w:p>
    <w:p w14:paraId="6AD327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Global Freshwater Resistomes Reveal Environmental Signatures Associated with the </w:t>
      </w:r>
    </w:p>
    <w:p w14:paraId="5C57FA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Burden of Drug-resistant Tuberculosis.</w:t>
      </w:r>
    </w:p>
    <w:p w14:paraId="0CC191DA">
      <w:pPr>
        <w:rPr>
          <w:rFonts w:hint="eastAsia" w:ascii="宋体" w:hAnsi="宋体" w:eastAsia="宋体" w:cs="宋体"/>
          <w:color w:val="000000" w:themeColor="text1"/>
          <w:szCs w:val="24"/>
          <w14:textFill>
            <w14:solidFill>
              <w14:schemeClr w14:val="tx1"/>
            </w14:solidFill>
          </w14:textFill>
        </w:rPr>
      </w:pPr>
    </w:p>
    <w:p w14:paraId="5D2280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 T(1), Lv J(1), Tu Y(1), Cheng L(1), Xiao H(1), Sun Y(1), Li JX(2), Lv M(1), </w:t>
      </w:r>
    </w:p>
    <w:p w14:paraId="72AF4A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Yang J(1), Wang G(1), Tang Z(1), Liu Y(1), Song H(2), Zhao S(1), Shao PL(3), </w:t>
      </w:r>
    </w:p>
    <w:p w14:paraId="457FA2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Zhang B(4).</w:t>
      </w:r>
    </w:p>
    <w:p w14:paraId="10BB0B4B">
      <w:pPr>
        <w:rPr>
          <w:rFonts w:hint="eastAsia" w:ascii="宋体" w:hAnsi="宋体" w:eastAsia="宋体" w:cs="宋体"/>
          <w:color w:val="000000" w:themeColor="text1"/>
          <w:szCs w:val="24"/>
          <w14:textFill>
            <w14:solidFill>
              <w14:schemeClr w14:val="tx1"/>
            </w14:solidFill>
          </w14:textFill>
        </w:rPr>
      </w:pPr>
    </w:p>
    <w:p w14:paraId="77E6BD1C">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Tong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Jiahui Lv,</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Yunye Tu,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 Cheng,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Hongjun Xiao,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Yanping Sun,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Jia-Xin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Mingkun Lv,</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Jingkai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Guanghui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Zexi Tang,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Yajie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Hancheng Song,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Shaokang Zhao,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Pan-Lin Shao</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Bo Zhang</w:t>
      </w:r>
      <w:r>
        <w:rPr>
          <w:rFonts w:hint="eastAsia" w:ascii="宋体" w:hAnsi="宋体" w:eastAsia="宋体" w:cs="宋体"/>
          <w:b/>
          <w:bCs/>
          <w:color w:val="0070C0"/>
          <w:szCs w:val="24"/>
          <w:lang w:val="en-US" w:eastAsia="zh-CN"/>
        </w:rPr>
        <w:t>*</w:t>
      </w:r>
    </w:p>
    <w:p w14:paraId="68B77EE1">
      <w:pPr>
        <w:jc w:val="left"/>
        <w:rPr>
          <w:rFonts w:hint="eastAsia" w:ascii="宋体" w:hAnsi="宋体" w:eastAsia="宋体" w:cs="宋体"/>
          <w:b/>
          <w:bCs/>
          <w:color w:val="0070C0"/>
          <w:szCs w:val="24"/>
        </w:rPr>
      </w:pPr>
      <w:r>
        <w:rPr>
          <w:rFonts w:hint="eastAsia" w:ascii="宋体" w:hAnsi="宋体" w:eastAsia="宋体" w:cs="宋体"/>
          <w:b/>
          <w:bCs/>
          <w:color w:val="0070C0"/>
          <w:szCs w:val="24"/>
        </w:rPr>
        <w:t>*Corresponding authors: Bo Zhang, zhangb3@sustech.edu.cn; Pan-Lin Shao, shaopl@gzhmu.edu.cn.</w:t>
      </w:r>
    </w:p>
    <w:p w14:paraId="67DF22C4">
      <w:pPr>
        <w:rPr>
          <w:rFonts w:hint="eastAsia" w:ascii="宋体" w:hAnsi="宋体" w:eastAsia="宋体" w:cs="宋体"/>
          <w:color w:val="000000" w:themeColor="text1"/>
          <w:szCs w:val="24"/>
          <w14:textFill>
            <w14:solidFill>
              <w14:schemeClr w14:val="tx1"/>
            </w14:solidFill>
          </w14:textFill>
        </w:rPr>
      </w:pPr>
    </w:p>
    <w:p w14:paraId="32B64F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6A691C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(1)Guangdong Provincial Key Laboratory of Advanced Biomaterials, Department of </w:t>
      </w:r>
    </w:p>
    <w:p w14:paraId="6755BC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Biomedical Engineering, Southern University of Science and Technology, Shenzhen, </w:t>
      </w:r>
    </w:p>
    <w:p w14:paraId="490F41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518055, China.</w:t>
      </w:r>
    </w:p>
    <w:p w14:paraId="14D8FE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(2)Guangdong Provincial Key Laboratory of Advanced Biomaterials, Department of </w:t>
      </w:r>
    </w:p>
    <w:p w14:paraId="419B82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Biomedical Engineering, Southern University of Science and Technology, Shenzhen, </w:t>
      </w:r>
    </w:p>
    <w:p w14:paraId="04A80A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518055, China; Guangzhou Municipal and Guangdong Provincial Key Laboratory of </w:t>
      </w:r>
    </w:p>
    <w:p w14:paraId="3FBB27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Molecular Target &amp; Clinical Pharmacology, The NMPA and State Key Laboratory of </w:t>
      </w:r>
    </w:p>
    <w:p w14:paraId="711E7E2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Respiratory Disease, School of Pharmaceutical Sciences, Guangzhou Medical </w:t>
      </w:r>
    </w:p>
    <w:p w14:paraId="0F5BB9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Guangzhou 511436, China.</w:t>
      </w:r>
    </w:p>
    <w:p w14:paraId="42BFBEE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(3)Guangzhou Municipal and Guangdong Provincial Key Laboratory of Molecular </w:t>
      </w:r>
    </w:p>
    <w:p w14:paraId="432286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Target &amp; Clinical Pharmacology, The NMPA and State Key Laboratory of Respiratory </w:t>
      </w:r>
    </w:p>
    <w:p w14:paraId="3FDCA92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Disease, School of Pharmaceutical Sciences, Guangzhou Medical University, </w:t>
      </w:r>
    </w:p>
    <w:p w14:paraId="3D2168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Guangzhou 511436, China. Electronic address: shaopl@gzhmu.edu.cn.</w:t>
      </w:r>
    </w:p>
    <w:p w14:paraId="6932C62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(4)Guangdong Provincial Key Laboratory of Advanced Biomaterials, Department of </w:t>
      </w:r>
    </w:p>
    <w:p w14:paraId="471B43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Biomedical Engineering, Southern University of Science and Technology, Shenzhen, </w:t>
      </w:r>
    </w:p>
    <w:p w14:paraId="3D17AA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518055, China. Electronic address: zhangb3@sustech.edu.cn.</w:t>
      </w:r>
    </w:p>
    <w:p w14:paraId="26003C33">
      <w:pPr>
        <w:rPr>
          <w:rFonts w:hint="eastAsia" w:ascii="宋体" w:hAnsi="宋体" w:eastAsia="宋体" w:cs="宋体"/>
          <w:color w:val="000000" w:themeColor="text1"/>
          <w:szCs w:val="24"/>
          <w14:textFill>
            <w14:solidFill>
              <w14:schemeClr w14:val="tx1"/>
            </w14:solidFill>
          </w14:textFill>
        </w:rPr>
      </w:pPr>
    </w:p>
    <w:p w14:paraId="7EFFE8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Antimicrobial resistance (AMR) is a growing global health threat, yet the extent </w:t>
      </w:r>
    </w:p>
    <w:p w14:paraId="18DD0B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to which environmental resistomes reflect human disease burden remains unclear. </w:t>
      </w:r>
    </w:p>
    <w:p w14:paraId="24F355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 this study, we provide the first attempt to bridge freshwater resistomes with </w:t>
      </w:r>
    </w:p>
    <w:p w14:paraId="7439AA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human disease burden using machine learning models, with a focus on identifying </w:t>
      </w:r>
    </w:p>
    <w:p w14:paraId="5E5C3B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environmental signatures associated with drug-resistant tuberculosis (DR-TB) </w:t>
      </w:r>
    </w:p>
    <w:p w14:paraId="68AC15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burden. By analyzing 1280 freshwater metagenomes from 45 countries, we </w:t>
      </w:r>
    </w:p>
    <w:p w14:paraId="35B39B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characterized the compositional distribution of the resistomes and further </w:t>
      </w:r>
    </w:p>
    <w:p w14:paraId="747111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developed an integrated environmental AMR Risk Score. Integrating the AMR Risk </w:t>
      </w:r>
    </w:p>
    <w:p w14:paraId="254E11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Score with socio-economic variables provided complementary information </w:t>
      </w:r>
    </w:p>
    <w:p w14:paraId="5B2F81F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associated with variation in multidrug-resistant tuberculosis burden beyond </w:t>
      </w:r>
    </w:p>
    <w:p w14:paraId="374C3C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socio-economic factors alone. In complementary income-stratified analyses, </w:t>
      </w:r>
    </w:p>
    <w:p w14:paraId="7D67909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feature selection identified recurrent environmental signatures associated with </w:t>
      </w:r>
    </w:p>
    <w:p w14:paraId="05E6A2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different drug-resistant tuberculosis subgroups. These findings indicate that </w:t>
      </w:r>
    </w:p>
    <w:p w14:paraId="1B2977E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freshwater resistome characteristics contain geographically structured </w:t>
      </w:r>
    </w:p>
    <w:p w14:paraId="6021FF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information associated with DR-TB burden within the sampled datasets and support </w:t>
      </w:r>
    </w:p>
    <w:p w14:paraId="06B7327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potential value of freshwater metagenomic surveillance for characterizing </w:t>
      </w:r>
    </w:p>
    <w:p w14:paraId="26E18A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environmental AMR patterns.</w:t>
      </w:r>
    </w:p>
    <w:p w14:paraId="117DBF08">
      <w:pPr>
        <w:rPr>
          <w:rFonts w:hint="eastAsia" w:ascii="宋体" w:hAnsi="宋体" w:eastAsia="宋体" w:cs="宋体"/>
          <w:color w:val="000000" w:themeColor="text1"/>
          <w:szCs w:val="24"/>
          <w14:textFill>
            <w14:solidFill>
              <w14:schemeClr w14:val="tx1"/>
            </w14:solidFill>
          </w14:textFill>
        </w:rPr>
      </w:pPr>
    </w:p>
    <w:p w14:paraId="637B1E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Published by Elsevier Ltd.</w:t>
      </w:r>
    </w:p>
    <w:p w14:paraId="5386D917">
      <w:pPr>
        <w:rPr>
          <w:rFonts w:hint="eastAsia" w:ascii="宋体" w:hAnsi="宋体" w:eastAsia="宋体" w:cs="宋体"/>
          <w:color w:val="000000" w:themeColor="text1"/>
          <w:szCs w:val="24"/>
          <w14:textFill>
            <w14:solidFill>
              <w14:schemeClr w14:val="tx1"/>
            </w14:solidFill>
          </w14:textFill>
        </w:rPr>
      </w:pPr>
    </w:p>
    <w:p w14:paraId="33B0FD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10.1016/j.envpol.2026.129105</w:t>
      </w:r>
    </w:p>
    <w:p w14:paraId="358EF5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42692396</w:t>
      </w:r>
    </w:p>
    <w:p w14:paraId="34FF8294">
      <w:pPr>
        <w:rPr>
          <w:rFonts w:hint="eastAsia" w:ascii="宋体" w:hAnsi="宋体" w:eastAsia="宋体" w:cs="宋体"/>
          <w:color w:val="000000" w:themeColor="text1"/>
          <w:szCs w:val="24"/>
          <w14:textFill>
            <w14:solidFill>
              <w14:schemeClr w14:val="tx1"/>
            </w14:solidFill>
          </w14:textFill>
        </w:rPr>
      </w:pPr>
    </w:p>
    <w:p w14:paraId="53A6F415">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7</w:t>
      </w:r>
      <w:r>
        <w:rPr>
          <w:rFonts w:hint="eastAsia" w:ascii="宋体" w:hAnsi="宋体" w:eastAsia="宋体" w:cs="宋体"/>
          <w:b/>
          <w:bCs/>
          <w:color w:val="FF0000"/>
          <w:szCs w:val="24"/>
        </w:rPr>
        <w:t xml:space="preserve">. Int J Antimicrob Agents. 2026 Sep 3:107999. doi: </w:t>
      </w:r>
    </w:p>
    <w:p w14:paraId="231CC4C3">
      <w:pPr>
        <w:rPr>
          <w:rFonts w:hint="eastAsia" w:ascii="宋体" w:hAnsi="宋体" w:eastAsia="宋体" w:cs="宋体"/>
          <w:b/>
          <w:bCs/>
          <w:color w:val="FF0000"/>
          <w:szCs w:val="24"/>
        </w:rPr>
      </w:pPr>
      <w:r>
        <w:rPr>
          <w:rFonts w:hint="eastAsia" w:ascii="宋体" w:hAnsi="宋体" w:eastAsia="宋体" w:cs="宋体"/>
          <w:b/>
          <w:bCs/>
          <w:color w:val="FF0000"/>
          <w:szCs w:val="24"/>
        </w:rPr>
        <w:t>10.1016/j.ijantimicag.2026.107999. Online ahead of print.</w:t>
      </w:r>
    </w:p>
    <w:p w14:paraId="1083F78B">
      <w:pPr>
        <w:rPr>
          <w:rFonts w:hint="eastAsia" w:ascii="宋体" w:hAnsi="宋体" w:eastAsia="宋体" w:cs="宋体"/>
          <w:color w:val="000000" w:themeColor="text1"/>
          <w:szCs w:val="24"/>
          <w14:textFill>
            <w14:solidFill>
              <w14:schemeClr w14:val="tx1"/>
            </w14:solidFill>
          </w14:textFill>
        </w:rPr>
      </w:pPr>
    </w:p>
    <w:p w14:paraId="707835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 reply to the Letter to Editor regarding "Discrepancy between WGS-based </w:t>
      </w:r>
    </w:p>
    <w:p w14:paraId="3780B2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genotypic and phenotypic drug susceptibility testing of first and second-line </w:t>
      </w:r>
    </w:p>
    <w:p w14:paraId="3AB75F9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drugs for Mycobacterium tuberculosis: limited impact of unknown resistance </w:t>
      </w:r>
    </w:p>
    <w:p w14:paraId="3F720E6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mechanisms".</w:t>
      </w:r>
    </w:p>
    <w:p w14:paraId="05B3C4F7">
      <w:pPr>
        <w:rPr>
          <w:rFonts w:hint="eastAsia" w:ascii="宋体" w:hAnsi="宋体" w:eastAsia="宋体" w:cs="宋体"/>
          <w:color w:val="000000" w:themeColor="text1"/>
          <w:szCs w:val="24"/>
          <w14:textFill>
            <w14:solidFill>
              <w14:schemeClr w14:val="tx1"/>
            </w14:solidFill>
          </w14:textFill>
        </w:rPr>
      </w:pPr>
    </w:p>
    <w:p w14:paraId="5E4B9B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Xu P(1), Gao Q(2).</w:t>
      </w:r>
    </w:p>
    <w:p w14:paraId="7171BFAB">
      <w:pPr>
        <w:rPr>
          <w:rFonts w:hint="eastAsia" w:ascii="宋体" w:hAnsi="宋体" w:eastAsia="宋体" w:cs="宋体"/>
          <w:color w:val="000000" w:themeColor="text1"/>
          <w:szCs w:val="24"/>
          <w14:textFill>
            <w14:solidFill>
              <w14:schemeClr w14:val="tx1"/>
            </w14:solidFill>
          </w14:textFill>
        </w:rPr>
      </w:pPr>
    </w:p>
    <w:p w14:paraId="43EC1825">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Peng Xu,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Qian Gao</w:t>
      </w:r>
      <w:r>
        <w:rPr>
          <w:rFonts w:hint="eastAsia" w:ascii="宋体" w:hAnsi="宋体" w:eastAsia="宋体" w:cs="宋体"/>
          <w:b/>
          <w:bCs/>
          <w:color w:val="0070C0"/>
          <w:szCs w:val="24"/>
          <w:lang w:val="en-US" w:eastAsia="zh-CN"/>
        </w:rPr>
        <w:t>*</w:t>
      </w:r>
    </w:p>
    <w:p w14:paraId="2DEA709A">
      <w:pPr>
        <w:rPr>
          <w:rFonts w:hint="eastAsia" w:ascii="宋体" w:hAnsi="宋体" w:eastAsia="宋体" w:cs="宋体"/>
          <w:b/>
          <w:bCs/>
          <w:color w:val="0070C0"/>
          <w:szCs w:val="24"/>
          <w:lang w:eastAsia="zh-CN"/>
        </w:rPr>
      </w:pPr>
      <w:r>
        <w:rPr>
          <w:rFonts w:hint="eastAsia" w:ascii="宋体" w:hAnsi="宋体" w:eastAsia="宋体" w:cs="宋体"/>
          <w:b/>
          <w:bCs/>
          <w:color w:val="0070C0"/>
          <w:szCs w:val="24"/>
        </w:rPr>
        <w:t xml:space="preserve">*Corresponding author. Mailing address: E-mail addresses: qiangao@fudan.edu.cn </w:t>
      </w:r>
      <w:r>
        <w:rPr>
          <w:rFonts w:hint="eastAsia" w:ascii="宋体" w:hAnsi="宋体" w:eastAsia="宋体" w:cs="宋体"/>
          <w:b/>
          <w:bCs/>
          <w:color w:val="0070C0"/>
          <w:szCs w:val="24"/>
          <w:lang w:eastAsia="zh-CN"/>
        </w:rPr>
        <w:t>（</w:t>
      </w:r>
      <w:r>
        <w:rPr>
          <w:rFonts w:hint="eastAsia" w:ascii="宋体" w:hAnsi="宋体" w:eastAsia="宋体" w:cs="宋体"/>
          <w:b/>
          <w:bCs/>
          <w:color w:val="0070C0"/>
          <w:szCs w:val="24"/>
        </w:rPr>
        <w:t>Qian Gao</w:t>
      </w:r>
      <w:r>
        <w:rPr>
          <w:rFonts w:hint="eastAsia" w:ascii="宋体" w:hAnsi="宋体" w:eastAsia="宋体" w:cs="宋体"/>
          <w:b/>
          <w:bCs/>
          <w:color w:val="0070C0"/>
          <w:szCs w:val="24"/>
          <w:lang w:eastAsia="zh-CN"/>
        </w:rPr>
        <w:t>）</w:t>
      </w:r>
    </w:p>
    <w:p w14:paraId="3F16FEF7">
      <w:pPr>
        <w:rPr>
          <w:rFonts w:hint="eastAsia" w:ascii="宋体" w:hAnsi="宋体" w:eastAsia="宋体" w:cs="宋体"/>
          <w:color w:val="000000" w:themeColor="text1"/>
          <w:szCs w:val="24"/>
          <w14:textFill>
            <w14:solidFill>
              <w14:schemeClr w14:val="tx1"/>
            </w14:solidFill>
          </w14:textFill>
        </w:rPr>
      </w:pPr>
    </w:p>
    <w:p w14:paraId="35B8A3B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A963BD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(1)National Clinical Research Center for Infectious Diseases, Shenzhen Clinical </w:t>
      </w:r>
    </w:p>
    <w:p w14:paraId="410452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for Tuberculosis, Shenzhen Third People's Hospital, Shenzhen, </w:t>
      </w:r>
    </w:p>
    <w:p w14:paraId="6039C4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4A3CAA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(2)National Clinical Research Center for Infectious Diseases, Shenzhen Clinical </w:t>
      </w:r>
    </w:p>
    <w:p w14:paraId="770370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for Tuberculosis, Shenzhen Third People's Hospital, Shenzhen, </w:t>
      </w:r>
    </w:p>
    <w:p w14:paraId="07D6C1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China; Key Laboratory of Medical Molecular Virology (MOE/NHC/CAMS), School of </w:t>
      </w:r>
    </w:p>
    <w:p w14:paraId="0907CE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Basic Medical Science, Shanghai Medical College, Shanghai Institute of </w:t>
      </w:r>
    </w:p>
    <w:p w14:paraId="0BE8A88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Infectious Disease and Biosecurity, Fudan University, Shanghai, China. </w:t>
      </w:r>
    </w:p>
    <w:p w14:paraId="2DBE3C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Electronic address: qiangao@fudan.edu.cn.</w:t>
      </w:r>
    </w:p>
    <w:p w14:paraId="7E795F62">
      <w:pPr>
        <w:rPr>
          <w:rFonts w:hint="eastAsia" w:ascii="宋体" w:hAnsi="宋体" w:eastAsia="宋体" w:cs="宋体"/>
          <w:color w:val="000000" w:themeColor="text1"/>
          <w:szCs w:val="24"/>
          <w14:textFill>
            <w14:solidFill>
              <w14:schemeClr w14:val="tx1"/>
            </w14:solidFill>
          </w14:textFill>
        </w:rPr>
      </w:pPr>
    </w:p>
    <w:p w14:paraId="3E4522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10.1016/j.ijantimicag.2026.107999</w:t>
      </w:r>
    </w:p>
    <w:p w14:paraId="404678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42692173</w:t>
      </w:r>
    </w:p>
    <w:p w14:paraId="7D666D7C">
      <w:pPr>
        <w:rPr>
          <w:rFonts w:hint="eastAsia" w:ascii="宋体" w:hAnsi="宋体" w:eastAsia="宋体" w:cs="宋体"/>
          <w:color w:val="000000" w:themeColor="text1"/>
          <w:szCs w:val="24"/>
          <w14:textFill>
            <w14:solidFill>
              <w14:schemeClr w14:val="tx1"/>
            </w14:solidFill>
          </w14:textFill>
        </w:rPr>
      </w:pPr>
    </w:p>
    <w:p w14:paraId="08525F08">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8</w:t>
      </w:r>
      <w:r>
        <w:rPr>
          <w:rFonts w:hint="eastAsia" w:ascii="宋体" w:hAnsi="宋体" w:eastAsia="宋体" w:cs="宋体"/>
          <w:b/>
          <w:bCs/>
          <w:color w:val="FF0000"/>
          <w:szCs w:val="24"/>
        </w:rPr>
        <w:t xml:space="preserve">. Nat Chem Biol. 2026 Sep 2. doi: 10.1038/s41589-026-02317-8. Online ahead of </w:t>
      </w:r>
    </w:p>
    <w:p w14:paraId="01E66BC2">
      <w:pPr>
        <w:rPr>
          <w:rFonts w:hint="eastAsia" w:ascii="宋体" w:hAnsi="宋体" w:eastAsia="宋体" w:cs="宋体"/>
          <w:b/>
          <w:bCs/>
          <w:color w:val="FF0000"/>
          <w:szCs w:val="24"/>
        </w:rPr>
      </w:pPr>
      <w:r>
        <w:rPr>
          <w:rFonts w:hint="eastAsia" w:ascii="宋体" w:hAnsi="宋体" w:eastAsia="宋体" w:cs="宋体"/>
          <w:b/>
          <w:bCs/>
          <w:color w:val="FF0000"/>
          <w:szCs w:val="24"/>
        </w:rPr>
        <w:t>print.</w:t>
      </w:r>
    </w:p>
    <w:p w14:paraId="07EB5875">
      <w:pPr>
        <w:rPr>
          <w:rFonts w:hint="eastAsia" w:ascii="宋体" w:hAnsi="宋体" w:eastAsia="宋体" w:cs="宋体"/>
          <w:color w:val="000000" w:themeColor="text1"/>
          <w:szCs w:val="24"/>
          <w14:textFill>
            <w14:solidFill>
              <w14:schemeClr w14:val="tx1"/>
            </w14:solidFill>
          </w14:textFill>
        </w:rPr>
      </w:pPr>
    </w:p>
    <w:p w14:paraId="0496D0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Mechanism of the M. tuberculosis DprE1-DprE2 epimerase complex and inhibition by </w:t>
      </w:r>
    </w:p>
    <w:p w14:paraId="13C207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anti-tubercular drugs.</w:t>
      </w:r>
    </w:p>
    <w:p w14:paraId="6CEBAF58">
      <w:pPr>
        <w:rPr>
          <w:rFonts w:hint="eastAsia" w:ascii="宋体" w:hAnsi="宋体" w:eastAsia="宋体" w:cs="宋体"/>
          <w:color w:val="000000" w:themeColor="text1"/>
          <w:szCs w:val="24"/>
          <w14:textFill>
            <w14:solidFill>
              <w14:schemeClr w14:val="tx1"/>
            </w14:solidFill>
          </w14:textFill>
        </w:rPr>
      </w:pPr>
    </w:p>
    <w:p w14:paraId="40298C5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Gao S(#)(1)(2), Wu F(#)(1)(2), Zhang Y(#)(1), Batt SM(3), Wei C(1), Wang Z(1), </w:t>
      </w:r>
    </w:p>
    <w:p w14:paraId="3D57B0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Yang X(1), Abrahams KA(3), Fütterer K(3), Liu X(4), Wang P(4), Besra GS(5), Rao </w:t>
      </w:r>
    </w:p>
    <w:p w14:paraId="5CB495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Z(1)(2)(6), Zhang L(7)(8).</w:t>
      </w:r>
    </w:p>
    <w:p w14:paraId="004D9DE8">
      <w:pPr>
        <w:rPr>
          <w:rFonts w:hint="eastAsia" w:ascii="宋体" w:hAnsi="宋体" w:eastAsia="宋体" w:cs="宋体"/>
          <w:color w:val="000000" w:themeColor="text1"/>
          <w:szCs w:val="24"/>
          <w14:textFill>
            <w14:solidFill>
              <w14:schemeClr w14:val="tx1"/>
            </w14:solidFill>
          </w14:textFill>
        </w:rPr>
      </w:pPr>
    </w:p>
    <w:p w14:paraId="6E37FE06">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Shan Gao,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Fangyu Wu,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Yifan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Sarah M Batt,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Chuancun Wei,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Zeyu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Xiuna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Katherine A Abrahams,</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Klaus Fütterer,</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Xinliang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Ping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Gurdyal S Besra</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Zihe Rao,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Lu Zhang</w:t>
      </w:r>
      <w:r>
        <w:rPr>
          <w:rFonts w:hint="eastAsia" w:ascii="宋体" w:hAnsi="宋体" w:eastAsia="宋体" w:cs="宋体"/>
          <w:b/>
          <w:bCs/>
          <w:color w:val="0070C0"/>
          <w:szCs w:val="24"/>
          <w:lang w:val="en-US" w:eastAsia="zh-CN"/>
        </w:rPr>
        <w:t>*</w:t>
      </w:r>
    </w:p>
    <w:p w14:paraId="0A358A46">
      <w:pPr>
        <w:jc w:val="left"/>
        <w:rPr>
          <w:rFonts w:hint="eastAsia" w:ascii="宋体" w:hAnsi="宋体" w:eastAsia="宋体" w:cs="宋体"/>
          <w:b/>
          <w:bCs/>
          <w:color w:val="0070C0"/>
          <w:szCs w:val="24"/>
        </w:rPr>
      </w:pPr>
      <w:r>
        <w:rPr>
          <w:rFonts w:ascii="宋体" w:hAnsi="宋体" w:eastAsia="宋体" w:cs="宋体"/>
          <w:b/>
          <w:bCs/>
          <w:color w:val="0070C0"/>
          <w:sz w:val="24"/>
          <w:szCs w:val="24"/>
        </w:rPr>
        <w:t> </w:t>
      </w:r>
      <w:r>
        <w:rPr>
          <w:rFonts w:hint="eastAsia" w:ascii="宋体" w:hAnsi="宋体" w:eastAsia="宋体" w:cs="宋体"/>
          <w:b/>
          <w:bCs/>
          <w:color w:val="0070C0"/>
          <w:sz w:val="24"/>
          <w:szCs w:val="24"/>
          <w:lang w:val="en-US" w:eastAsia="zh-CN"/>
        </w:rPr>
        <w:t>*</w:t>
      </w:r>
      <w:r>
        <w:rPr>
          <w:rFonts w:ascii="宋体" w:hAnsi="宋体" w:eastAsia="宋体" w:cs="宋体"/>
          <w:b/>
          <w:bCs/>
          <w:color w:val="0070C0"/>
          <w:sz w:val="24"/>
          <w:szCs w:val="24"/>
        </w:rPr>
        <w:t xml:space="preserve">e-mail: </w:t>
      </w:r>
      <w:r>
        <w:rPr>
          <w:rFonts w:hint="eastAsia" w:ascii="宋体" w:hAnsi="宋体" w:eastAsia="宋体" w:cs="宋体"/>
          <w:b/>
          <w:bCs/>
          <w:color w:val="0070C0"/>
          <w:szCs w:val="24"/>
        </w:rPr>
        <w:t>Gurdyal S Besra</w:t>
      </w:r>
      <w:r>
        <w:rPr>
          <w:rFonts w:hint="eastAsia" w:ascii="宋体" w:hAnsi="宋体" w:eastAsia="宋体" w:cs="宋体"/>
          <w:b/>
          <w:bCs/>
          <w:color w:val="0070C0"/>
          <w:szCs w:val="24"/>
          <w:lang w:val="en-US" w:eastAsia="zh-CN"/>
        </w:rPr>
        <w:t>，</w:t>
      </w:r>
      <w:r>
        <w:rPr>
          <w:rFonts w:ascii="宋体" w:hAnsi="宋体" w:eastAsia="宋体" w:cs="宋体"/>
          <w:b/>
          <w:bCs/>
          <w:color w:val="0070C0"/>
          <w:sz w:val="24"/>
          <w:szCs w:val="24"/>
        </w:rPr>
        <w:t xml:space="preserve">g.besra@bham.ac.uk; </w:t>
      </w:r>
      <w:r>
        <w:rPr>
          <w:rFonts w:hint="eastAsia" w:ascii="宋体" w:hAnsi="宋体" w:eastAsia="宋体" w:cs="宋体"/>
          <w:b/>
          <w:bCs/>
          <w:color w:val="0070C0"/>
          <w:szCs w:val="24"/>
        </w:rPr>
        <w:t>Lu Zhang</w:t>
      </w:r>
      <w:r>
        <w:rPr>
          <w:rFonts w:hint="eastAsia" w:ascii="宋体" w:hAnsi="宋体" w:eastAsia="宋体" w:cs="宋体"/>
          <w:b/>
          <w:bCs/>
          <w:color w:val="0070C0"/>
          <w:szCs w:val="24"/>
          <w:lang w:eastAsia="zh-CN"/>
        </w:rPr>
        <w:t>，</w:t>
      </w:r>
      <w:r>
        <w:rPr>
          <w:rFonts w:ascii="宋体" w:hAnsi="宋体" w:eastAsia="宋体" w:cs="宋体"/>
          <w:b/>
          <w:bCs/>
          <w:color w:val="0070C0"/>
          <w:sz w:val="24"/>
          <w:szCs w:val="24"/>
        </w:rPr>
        <w:t>zhanglu1@shanghaitech.edu.cn</w:t>
      </w:r>
    </w:p>
    <w:p w14:paraId="18064F84">
      <w:pPr>
        <w:rPr>
          <w:rFonts w:hint="eastAsia" w:ascii="宋体" w:hAnsi="宋体" w:eastAsia="宋体" w:cs="宋体"/>
          <w:color w:val="000000" w:themeColor="text1"/>
          <w:szCs w:val="24"/>
          <w14:textFill>
            <w14:solidFill>
              <w14:schemeClr w14:val="tx1"/>
            </w14:solidFill>
          </w14:textFill>
        </w:rPr>
      </w:pPr>
    </w:p>
    <w:p w14:paraId="5C05D8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A0F37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(1)Shanghai Institute for Advanced Immunochemical Studies, School of Life </w:t>
      </w:r>
    </w:p>
    <w:p w14:paraId="241252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Science and Technology, ShanghaiTech University, Shanghai, China.</w:t>
      </w:r>
    </w:p>
    <w:p w14:paraId="3A69AA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(2)State Key Laboratory of Medicinal Chemical Biology, College of Life Sciences, </w:t>
      </w:r>
    </w:p>
    <w:p w14:paraId="18FD71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College of Pharmacy, Nankai University, Tianjin, China.</w:t>
      </w:r>
    </w:p>
    <w:p w14:paraId="69457A5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(3)Institute of Microbiology and Infection, School of Biosciences, University of </w:t>
      </w:r>
    </w:p>
    <w:p w14:paraId="56E102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Birmingham, Birmingham, UK.</w:t>
      </w:r>
    </w:p>
    <w:p w14:paraId="26AF84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(4)School of Pharmaceutical Sciences, Shanghai Jiao Tong University, Shanghai, </w:t>
      </w:r>
    </w:p>
    <w:p w14:paraId="643778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02C119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(5)Institute of Microbiology and Infection, School of Biosciences, University of </w:t>
      </w:r>
    </w:p>
    <w:p w14:paraId="2A3DF2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Birmingham, Birmingham, UK. g.besra@bham.ac.uk.</w:t>
      </w:r>
    </w:p>
    <w:p w14:paraId="7E4AF5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(6)Laboratory of Structural Biology, Tsinghua University, Beijing, China.</w:t>
      </w:r>
    </w:p>
    <w:p w14:paraId="19D0C0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(7)Shanghai Institute for Advanced Immunochemical Studies, School of Life </w:t>
      </w:r>
    </w:p>
    <w:p w14:paraId="5ECCD1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Science and Technology, ShanghaiTech University, Shanghai, China. </w:t>
      </w:r>
    </w:p>
    <w:p w14:paraId="69B2F9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zhanglu1@shanghaitech.edu.cn.</w:t>
      </w:r>
    </w:p>
    <w:p w14:paraId="306903F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(8)Shanghai Clinical Research and Trial Center, Shanghai, China. </w:t>
      </w:r>
    </w:p>
    <w:p w14:paraId="261ACB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zhanglu1@shanghaitech.edu.cn.</w:t>
      </w:r>
    </w:p>
    <w:p w14:paraId="20CD38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17B4BD90">
      <w:pPr>
        <w:rPr>
          <w:rFonts w:hint="eastAsia" w:ascii="宋体" w:hAnsi="宋体" w:eastAsia="宋体" w:cs="宋体"/>
          <w:color w:val="000000" w:themeColor="text1"/>
          <w:szCs w:val="24"/>
          <w14:textFill>
            <w14:solidFill>
              <w14:schemeClr w14:val="tx1"/>
            </w14:solidFill>
          </w14:textFill>
        </w:rPr>
      </w:pPr>
    </w:p>
    <w:p w14:paraId="2A5E14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Pretomanid and delamanid are prodrugs, whose active derivatives have been </w:t>
      </w:r>
    </w:p>
    <w:p w14:paraId="33BFDB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reported to target decaprenylphosphoribose-2'-reductase, DprE2, while </w:t>
      </w:r>
    </w:p>
    <w:p w14:paraId="5D713DD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quabodepistat is a noncovalent inhibitor of decaprenylphosphoribose-2'-oxidase, </w:t>
      </w:r>
    </w:p>
    <w:p w14:paraId="7B99A1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DprE1. Both enzymes are involved in Mycobacterium tuberculosis cell wall </w:t>
      </w:r>
    </w:p>
    <w:p w14:paraId="0DBA0C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synthesis, but the mechanism of the DprE1-DprE2 epimerase complex and its </w:t>
      </w:r>
    </w:p>
    <w:p w14:paraId="5B97DF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inhibition by these compounds remain unclear. We report cryo-EM structures of </w:t>
      </w:r>
    </w:p>
    <w:p w14:paraId="7AE78C3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M. tuberculosis DprE1-DprE2 complex bound with either substrate or </w:t>
      </w:r>
    </w:p>
    <w:p w14:paraId="56CF3E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quabodepistat in DprE1, and with either activated pretomanid or delamanid in </w:t>
      </w:r>
    </w:p>
    <w:p w14:paraId="66D9D0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DprE2, respectively. DprE1-DprE2 assembles as a membrane-associated tetramer of </w:t>
      </w:r>
    </w:p>
    <w:p w14:paraId="605ED9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DprE2 dimer flanked on each side by a DprE1 subunit. Both pretomanid and </w:t>
      </w:r>
    </w:p>
    <w:p w14:paraId="134188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delamanid bind to DprE2 in an NADH-adduct form and within a conserved binding </w:t>
      </w:r>
    </w:p>
    <w:p w14:paraId="5AE09F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pocket that extends from the NADH-binding site to the substrate-binding site. </w:t>
      </w:r>
    </w:p>
    <w:p w14:paraId="6AE851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Quabodepistat binds to DprE1 with a unique mode. Our data reveal the mode of </w:t>
      </w:r>
    </w:p>
    <w:p w14:paraId="2FBBAC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action of these drugs, allowing rational design of new derivatives for improved </w:t>
      </w:r>
    </w:p>
    <w:p w14:paraId="36F50D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tuberculosis treatments.</w:t>
      </w:r>
    </w:p>
    <w:p w14:paraId="67FE4FCD">
      <w:pPr>
        <w:rPr>
          <w:rFonts w:hint="eastAsia" w:ascii="宋体" w:hAnsi="宋体" w:eastAsia="宋体" w:cs="宋体"/>
          <w:color w:val="000000" w:themeColor="text1"/>
          <w:szCs w:val="24"/>
          <w14:textFill>
            <w14:solidFill>
              <w14:schemeClr w14:val="tx1"/>
            </w14:solidFill>
          </w14:textFill>
        </w:rPr>
      </w:pPr>
    </w:p>
    <w:p w14:paraId="691F5C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The Author(s), under exclusive licence to Springer Nature America, Inc.</w:t>
      </w:r>
    </w:p>
    <w:p w14:paraId="4FE8FA7D">
      <w:pPr>
        <w:rPr>
          <w:rFonts w:hint="eastAsia" w:ascii="宋体" w:hAnsi="宋体" w:eastAsia="宋体" w:cs="宋体"/>
          <w:color w:val="000000" w:themeColor="text1"/>
          <w:szCs w:val="24"/>
          <w14:textFill>
            <w14:solidFill>
              <w14:schemeClr w14:val="tx1"/>
            </w14:solidFill>
          </w14:textFill>
        </w:rPr>
      </w:pPr>
    </w:p>
    <w:p w14:paraId="43D35F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10.1038/s41589-026-02317-8</w:t>
      </w:r>
    </w:p>
    <w:p w14:paraId="0A298FD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42687039</w:t>
      </w:r>
    </w:p>
    <w:p w14:paraId="163C91FB">
      <w:pPr>
        <w:rPr>
          <w:rFonts w:hint="eastAsia" w:ascii="宋体" w:hAnsi="宋体" w:eastAsia="宋体" w:cs="宋体"/>
          <w:color w:val="000000" w:themeColor="text1"/>
          <w:szCs w:val="24"/>
          <w14:textFill>
            <w14:solidFill>
              <w14:schemeClr w14:val="tx1"/>
            </w14:solidFill>
          </w14:textFill>
        </w:rPr>
      </w:pPr>
    </w:p>
    <w:p w14:paraId="48696BBF">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9</w:t>
      </w:r>
      <w:r>
        <w:rPr>
          <w:rFonts w:hint="eastAsia" w:ascii="宋体" w:hAnsi="宋体" w:eastAsia="宋体" w:cs="宋体"/>
          <w:b/>
          <w:bCs/>
          <w:color w:val="FF0000"/>
          <w:szCs w:val="24"/>
        </w:rPr>
        <w:t xml:space="preserve">. Microbiol Spectr. 2026 Sep 1:e0363625. doi: 10.1128/spectrum.03636-25. Online </w:t>
      </w:r>
    </w:p>
    <w:p w14:paraId="16B58E55">
      <w:pPr>
        <w:rPr>
          <w:rFonts w:hint="eastAsia" w:ascii="宋体" w:hAnsi="宋体" w:eastAsia="宋体" w:cs="宋体"/>
          <w:b/>
          <w:bCs/>
          <w:color w:val="FF0000"/>
          <w:szCs w:val="24"/>
        </w:rPr>
      </w:pPr>
      <w:r>
        <w:rPr>
          <w:rFonts w:hint="eastAsia" w:ascii="宋体" w:hAnsi="宋体" w:eastAsia="宋体" w:cs="宋体"/>
          <w:b/>
          <w:bCs/>
          <w:color w:val="FF0000"/>
          <w:szCs w:val="24"/>
        </w:rPr>
        <w:t>ahead of print.</w:t>
      </w:r>
    </w:p>
    <w:p w14:paraId="3A9EE150">
      <w:pPr>
        <w:rPr>
          <w:rFonts w:hint="eastAsia" w:ascii="宋体" w:hAnsi="宋体" w:eastAsia="宋体" w:cs="宋体"/>
          <w:color w:val="000000" w:themeColor="text1"/>
          <w:szCs w:val="24"/>
          <w14:textFill>
            <w14:solidFill>
              <w14:schemeClr w14:val="tx1"/>
            </w14:solidFill>
          </w14:textFill>
        </w:rPr>
      </w:pPr>
    </w:p>
    <w:p w14:paraId="7B9D03A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value of lesion-targeted BALF immune biomarkers combined with </w:t>
      </w:r>
    </w:p>
    <w:p w14:paraId="32F749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T-SPOT.TB for smear-negative pulmonary tuberculosis.</w:t>
      </w:r>
    </w:p>
    <w:p w14:paraId="12E1FA99">
      <w:pPr>
        <w:rPr>
          <w:rFonts w:hint="eastAsia" w:ascii="宋体" w:hAnsi="宋体" w:eastAsia="宋体" w:cs="宋体"/>
          <w:color w:val="000000" w:themeColor="text1"/>
          <w:szCs w:val="24"/>
          <w14:textFill>
            <w14:solidFill>
              <w14:schemeClr w14:val="tx1"/>
            </w14:solidFill>
          </w14:textFill>
        </w:rPr>
      </w:pPr>
    </w:p>
    <w:p w14:paraId="6E5645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Ren J(#)(1), Huang Y(#)(1), Bian X(#)(2), Wu D(#)(3), Fan X(3), Ben S(1), Wang </w:t>
      </w:r>
    </w:p>
    <w:p w14:paraId="3E97CD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Y(1), Liu R(1), Xie G(1), Lin L(4), Tang R(4), Zhu H(1), Zhang M(1), Ding F(1).</w:t>
      </w:r>
    </w:p>
    <w:p w14:paraId="3F0C8603">
      <w:pPr>
        <w:rPr>
          <w:rFonts w:hint="eastAsia" w:ascii="宋体" w:hAnsi="宋体" w:eastAsia="宋体" w:cs="宋体"/>
          <w:color w:val="000000" w:themeColor="text1"/>
          <w:szCs w:val="24"/>
          <w14:textFill>
            <w14:solidFill>
              <w14:schemeClr w14:val="tx1"/>
            </w14:solidFill>
          </w14:textFill>
        </w:rPr>
      </w:pPr>
    </w:p>
    <w:p w14:paraId="6BD4A0F4">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Jie Ren,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Yuning Huang,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Xiujuan Bian,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Di Wu,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Xinxin Fan,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Suqin Ben,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Yawen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Runqing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Guogang Xie,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Lihui Lin,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Rong Tang,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Hui Zhu,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Min Zhang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Fengming Ding</w:t>
      </w:r>
      <w:r>
        <w:rPr>
          <w:rFonts w:hint="eastAsia" w:ascii="宋体" w:hAnsi="宋体" w:eastAsia="宋体" w:cs="宋体"/>
          <w:b/>
          <w:bCs/>
          <w:color w:val="0070C0"/>
          <w:szCs w:val="24"/>
          <w:lang w:val="en-US" w:eastAsia="zh-CN"/>
        </w:rPr>
        <w:t>*</w:t>
      </w:r>
    </w:p>
    <w:p w14:paraId="4CA8C99D">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Address correspondence to Fengming Ding, fmding81@163.com, or Min Zhang, maggie_zhangmin@163.com.</w:t>
      </w:r>
    </w:p>
    <w:p w14:paraId="2933EA0F">
      <w:pPr>
        <w:rPr>
          <w:rFonts w:hint="eastAsia" w:ascii="宋体" w:hAnsi="宋体" w:eastAsia="宋体" w:cs="宋体"/>
          <w:color w:val="000000" w:themeColor="text1"/>
          <w:szCs w:val="24"/>
          <w14:textFill>
            <w14:solidFill>
              <w14:schemeClr w14:val="tx1"/>
            </w14:solidFill>
          </w14:textFill>
        </w:rPr>
      </w:pPr>
    </w:p>
    <w:p w14:paraId="4E1B75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E89469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Respiratory and Critical Care Medicine, Shanghai General </w:t>
      </w:r>
    </w:p>
    <w:p w14:paraId="79823D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Hospital, Shanghai Jiao Tong University School of Medicine, Shanghai, China.</w:t>
      </w:r>
    </w:p>
    <w:p w14:paraId="5C74C6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Respiratory Medicine, Affiliated Renhe Hospital of Shanghai </w:t>
      </w:r>
    </w:p>
    <w:p w14:paraId="16B045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(Renhe Hospital, Baoshan District), Shanghai, China.</w:t>
      </w:r>
    </w:p>
    <w:p w14:paraId="042BCE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Tuberculosis, Fujian Medical University Clinical Teaching </w:t>
      </w:r>
    </w:p>
    <w:p w14:paraId="3DB3F51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Hospital, Fuzhou Pulmonary Hospital of Fujian Province, Fuzhou, Fujian Province, </w:t>
      </w:r>
    </w:p>
    <w:p w14:paraId="57E6AB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54A7D0B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Clinical Laboratory, Shanghai General Hospital, Shanghai Jiao </w:t>
      </w:r>
    </w:p>
    <w:p w14:paraId="70AA15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Tong University School of Medicine, Shanghai, China.</w:t>
      </w:r>
    </w:p>
    <w:p w14:paraId="6A6698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011BB440">
      <w:pPr>
        <w:rPr>
          <w:rFonts w:hint="eastAsia" w:ascii="宋体" w:hAnsi="宋体" w:eastAsia="宋体" w:cs="宋体"/>
          <w:color w:val="000000" w:themeColor="text1"/>
          <w:szCs w:val="24"/>
          <w14:textFill>
            <w14:solidFill>
              <w14:schemeClr w14:val="tx1"/>
            </w14:solidFill>
          </w14:textFill>
        </w:rPr>
      </w:pPr>
    </w:p>
    <w:p w14:paraId="47A3B5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Data on immune responses at local infection sites in smear-negative pulmonary </w:t>
      </w:r>
    </w:p>
    <w:p w14:paraId="153EE3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(SNPT) remain limited. This study aimed to characterize </w:t>
      </w:r>
    </w:p>
    <w:p w14:paraId="7AF16B9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lesion-targeted bronchoalveolar lavage fluid (BALF) cytokine and T-cell </w:t>
      </w:r>
    </w:p>
    <w:p w14:paraId="3A0ED7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responses, and assess their diagnostic value for SNPT in clinically suspected </w:t>
      </w:r>
    </w:p>
    <w:p w14:paraId="648A5B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Patients were enrolled in a single-center derivation cohort between </w:t>
      </w:r>
    </w:p>
    <w:p w14:paraId="0F2E72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January 2021 and December 2023. Cytokine and lymphocyte subsets were measured in </w:t>
      </w:r>
    </w:p>
    <w:p w14:paraId="5CCAEC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both peripheral blood and lesion-targeted BALF. Peripheral blood T-SPOT.TB assay </w:t>
      </w:r>
    </w:p>
    <w:p w14:paraId="2871E4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BALF targeted next-generation sequencing (tNGS) for Mycobacterium </w:t>
      </w:r>
    </w:p>
    <w:p w14:paraId="684512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(Mtb) detection were performed. An immunological prediction model </w:t>
      </w:r>
    </w:p>
    <w:p w14:paraId="0D47CB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based on BALF immune biomarkers and peripheral blood T-SPOT.TB results was </w:t>
      </w:r>
    </w:p>
    <w:p w14:paraId="669259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developed in the derivation cohort, and then externally validated in a </w:t>
      </w:r>
    </w:p>
    <w:p w14:paraId="10966C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three-center external validation cohort between June 2024 and May 2025. In the </w:t>
      </w:r>
    </w:p>
    <w:p w14:paraId="6F8C06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derivation cohort, 177 patients were included in the final analysis, including </w:t>
      </w:r>
    </w:p>
    <w:p w14:paraId="505A83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69 SNPT patients and 108 non-SNPT patients. Stepwise logistic regression </w:t>
      </w:r>
    </w:p>
    <w:p w14:paraId="41BEC5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identified the BALF concentrations of IL-1β and IL-6, the BALF CD4/CD8 T-cell </w:t>
      </w:r>
    </w:p>
    <w:p w14:paraId="0526DC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ratio, and the T-SPOT.TB result as independent predictors of SNPT, forming an </w:t>
      </w:r>
    </w:p>
    <w:p w14:paraId="72FB83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immunological prediction model, with an area under the curve (AUC) of 0.856. </w:t>
      </w:r>
    </w:p>
    <w:p w14:paraId="7B6CF9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Compared with T-SPOT.TB alone, the model increased specificity from 66.7% to </w:t>
      </w:r>
    </w:p>
    <w:p w14:paraId="7763A4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85.2% at an optimal predicted probability cut-off of 0.36. In the external </w:t>
      </w:r>
    </w:p>
    <w:p w14:paraId="13A259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validation cohort, another 177 suspected cases were analyzed, including 67 SNPT </w:t>
      </w:r>
    </w:p>
    <w:p w14:paraId="1E57DA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and 110 non-SNPT patients. The model achieved an AUC of 0.801, with a </w:t>
      </w:r>
    </w:p>
    <w:p w14:paraId="797029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of 71.6% and a specificity of 82.7% for SNPT prediction at the </w:t>
      </w:r>
    </w:p>
    <w:p w14:paraId="7B0AEE3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optimal cut-off. Parallel testing combining BALF tNGS and the prediction model </w:t>
      </w:r>
    </w:p>
    <w:p w14:paraId="0F7C4F4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yielded a sensitivity of 94.0% and a specificity of 78.0%, with an OR of 56.4 </w:t>
      </w:r>
    </w:p>
    <w:p w14:paraId="0F12E1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(95% CI, 18.7-170.8), exceeding that of BALF tNGS alone (OR, 18.7; 95% CI, </w:t>
      </w:r>
    </w:p>
    <w:p w14:paraId="57F3BC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8.0-43.8). The measurement of BALF IL-1β and IL-6 concentrations and BALF </w:t>
      </w:r>
    </w:p>
    <w:p w14:paraId="3272E6A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CD4/CD8 T-cell ratio, combined with the T-SPOT.TB result, would facilitate the </w:t>
      </w:r>
    </w:p>
    <w:p w14:paraId="69C5E0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of SNPT and benefit the effective initiation of anti-Mtb </w:t>
      </w:r>
    </w:p>
    <w:p w14:paraId="763959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treatment.</w:t>
      </w:r>
    </w:p>
    <w:p w14:paraId="570906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IMPORTANCE</w:t>
      </w:r>
      <w:r>
        <w:rPr>
          <w:rFonts w:hint="eastAsia" w:ascii="宋体" w:hAnsi="宋体" w:eastAsia="宋体" w:cs="宋体"/>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Smear-negative pulmonary tuberculosis (SNPT) remains a </w:t>
      </w:r>
    </w:p>
    <w:p w14:paraId="78BA21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critical diagnostic challenge. Our study identifies lesion-targeted immune </w:t>
      </w:r>
    </w:p>
    <w:p w14:paraId="6FD000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biomarkers as independent predictors of SNPT and integrates these biomarkers </w:t>
      </w:r>
    </w:p>
    <w:p w14:paraId="611E86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the peripheral interferon-γ release assay to develop an immunological </w:t>
      </w:r>
    </w:p>
    <w:p w14:paraId="0FA0E4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prediction model. This model can improve diagnostic accuracy when used in </w:t>
      </w:r>
    </w:p>
    <w:p w14:paraId="7CCA86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parallel testing with the nucleic acid amplification assay. Our data indicate </w:t>
      </w:r>
    </w:p>
    <w:p w14:paraId="4CDBF6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that the application of local immune biomarkers in the diagnosis of SNPT will </w:t>
      </w:r>
    </w:p>
    <w:p w14:paraId="421538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benefit the effective initiation of anti-tuberculosis treatment and potentially </w:t>
      </w:r>
    </w:p>
    <w:p w14:paraId="5BD058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reduce the spread of the disease.</w:t>
      </w:r>
    </w:p>
    <w:p w14:paraId="4ED2965B">
      <w:pPr>
        <w:rPr>
          <w:rFonts w:hint="eastAsia" w:ascii="宋体" w:hAnsi="宋体" w:eastAsia="宋体" w:cs="宋体"/>
          <w:color w:val="000000" w:themeColor="text1"/>
          <w:szCs w:val="24"/>
          <w14:textFill>
            <w14:solidFill>
              <w14:schemeClr w14:val="tx1"/>
            </w14:solidFill>
          </w14:textFill>
        </w:rPr>
      </w:pPr>
    </w:p>
    <w:p w14:paraId="3CA7B1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10.1128/spectrum.03636-25</w:t>
      </w:r>
    </w:p>
    <w:p w14:paraId="1E0897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42678162</w:t>
      </w:r>
    </w:p>
    <w:p w14:paraId="575B7D47">
      <w:pPr>
        <w:rPr>
          <w:rFonts w:hint="eastAsia" w:ascii="宋体" w:hAnsi="宋体" w:eastAsia="宋体" w:cs="宋体"/>
          <w:color w:val="000000" w:themeColor="text1"/>
          <w:szCs w:val="24"/>
          <w14:textFill>
            <w14:solidFill>
              <w14:schemeClr w14:val="tx1"/>
            </w14:solidFill>
          </w14:textFill>
        </w:rPr>
      </w:pPr>
    </w:p>
    <w:p w14:paraId="5613E731">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0</w:t>
      </w:r>
      <w:r>
        <w:rPr>
          <w:rFonts w:hint="eastAsia" w:ascii="宋体" w:hAnsi="宋体" w:eastAsia="宋体" w:cs="宋体"/>
          <w:b/>
          <w:bCs/>
          <w:color w:val="FF0000"/>
          <w:szCs w:val="24"/>
        </w:rPr>
        <w:t>. J Cell Mol Med. 2026 Sep;30(17):e71345. doi: 10.1111/jcmm.71345.</w:t>
      </w:r>
    </w:p>
    <w:p w14:paraId="5D66D082">
      <w:pPr>
        <w:rPr>
          <w:rFonts w:hint="eastAsia" w:ascii="宋体" w:hAnsi="宋体" w:eastAsia="宋体" w:cs="宋体"/>
          <w:color w:val="000000" w:themeColor="text1"/>
          <w:szCs w:val="24"/>
          <w14:textFill>
            <w14:solidFill>
              <w14:schemeClr w14:val="tx1"/>
            </w14:solidFill>
          </w14:textFill>
        </w:rPr>
      </w:pPr>
    </w:p>
    <w:p w14:paraId="6883E7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Single-Cell Immune Profiling Suggests Non-Classical Monocyte Is Associated </w:t>
      </w:r>
    </w:p>
    <w:p w14:paraId="22DE21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Immunodepression in Tuberculosis Treatment Non-Responders.</w:t>
      </w:r>
    </w:p>
    <w:p w14:paraId="4926B665">
      <w:pPr>
        <w:rPr>
          <w:rFonts w:hint="eastAsia" w:ascii="宋体" w:hAnsi="宋体" w:eastAsia="宋体" w:cs="宋体"/>
          <w:color w:val="000000" w:themeColor="text1"/>
          <w:szCs w:val="24"/>
          <w14:textFill>
            <w14:solidFill>
              <w14:schemeClr w14:val="tx1"/>
            </w14:solidFill>
          </w14:textFill>
        </w:rPr>
      </w:pPr>
    </w:p>
    <w:p w14:paraId="741A8D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Xiong Y(1), Qu Y(1), Wang Y(1), Zhang D(2), Shen H(3), Wang W(3), Gao J(3), Wang </w:t>
      </w:r>
    </w:p>
    <w:p w14:paraId="0665CE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Z(3), Shen Z(1), Che Y(2).</w:t>
      </w:r>
    </w:p>
    <w:p w14:paraId="635451E9">
      <w:pPr>
        <w:rPr>
          <w:rFonts w:hint="eastAsia" w:ascii="宋体" w:hAnsi="宋体" w:eastAsia="宋体" w:cs="宋体"/>
          <w:color w:val="000000" w:themeColor="text1"/>
          <w:szCs w:val="24"/>
          <w14:textFill>
            <w14:solidFill>
              <w14:schemeClr w14:val="tx1"/>
            </w14:solidFill>
          </w14:textFill>
        </w:rPr>
      </w:pPr>
    </w:p>
    <w:p w14:paraId="67A6C06B">
      <w:pPr>
        <w:jc w:val="left"/>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Yiqun Xiong,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Yahong Qu,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Dongliang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Hao Shen,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Weixin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Junshun Gao,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ZhenBo Wang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Zhihong Shen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Yang Che</w:t>
      </w:r>
      <w:r>
        <w:rPr>
          <w:rFonts w:hint="eastAsia" w:ascii="宋体" w:hAnsi="宋体" w:eastAsia="宋体" w:cs="宋体"/>
          <w:b/>
          <w:bCs/>
          <w:color w:val="0070C0"/>
          <w:szCs w:val="24"/>
          <w:lang w:val="en-US" w:eastAsia="zh-CN"/>
        </w:rPr>
        <w:t>*</w:t>
      </w:r>
    </w:p>
    <w:p w14:paraId="7C6F6023">
      <w:pPr>
        <w:jc w:val="left"/>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Correspondence: ZhenBo Wang (wangzhenbo@cwmda.com) | Zhihong Shen (1298153096@qq.com) | Yang Che (13805876046@163.com)</w:t>
      </w:r>
    </w:p>
    <w:p w14:paraId="4D7B4715">
      <w:pPr>
        <w:rPr>
          <w:rFonts w:hint="eastAsia" w:ascii="宋体" w:hAnsi="宋体" w:eastAsia="宋体" w:cs="宋体"/>
          <w:color w:val="000000" w:themeColor="text1"/>
          <w:szCs w:val="24"/>
          <w14:textFill>
            <w14:solidFill>
              <w14:schemeClr w14:val="tx1"/>
            </w14:solidFill>
          </w14:textFill>
        </w:rPr>
      </w:pPr>
    </w:p>
    <w:p w14:paraId="3A1736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100B859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Infectious Diseases, Ningbo Hospital of Integrated Traditional </w:t>
      </w:r>
    </w:p>
    <w:p w14:paraId="70A8BC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Chinese and Western Medicine, Ningbo, Zhejiang, China.</w:t>
      </w:r>
    </w:p>
    <w:p w14:paraId="3B6959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(2)Institute of Tuberculosis Prevention and Control, Ningbo Municipal Center for </w:t>
      </w:r>
    </w:p>
    <w:p w14:paraId="7089DBE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Disease Control and Prevention, Ningbo, Zhejiang, China.</w:t>
      </w:r>
    </w:p>
    <w:p w14:paraId="608CC5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(3)Cosmos Wisdom Biotech Co. Ltd, Hangzhou, China.</w:t>
      </w:r>
    </w:p>
    <w:p w14:paraId="21074B12">
      <w:pPr>
        <w:rPr>
          <w:rFonts w:hint="eastAsia" w:ascii="宋体" w:hAnsi="宋体" w:eastAsia="宋体" w:cs="宋体"/>
          <w:color w:val="000000" w:themeColor="text1"/>
          <w:szCs w:val="24"/>
          <w14:textFill>
            <w14:solidFill>
              <w14:schemeClr w14:val="tx1"/>
            </w14:solidFill>
          </w14:textFill>
        </w:rPr>
      </w:pPr>
    </w:p>
    <w:p w14:paraId="15A9755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Sputum culture conversion (SCC) at 2 months is an early indicator of </w:t>
      </w:r>
    </w:p>
    <w:p w14:paraId="01501A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(TB) treatment response, yet the associated immune alterations </w:t>
      </w:r>
    </w:p>
    <w:p w14:paraId="18D4D48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remain incompletely defined. We performed single-cell RNA sequencing on </w:t>
      </w:r>
    </w:p>
    <w:p w14:paraId="528F43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peripheral blood mononuclear cells from eight TB patients, stratified by 2-month </w:t>
      </w:r>
    </w:p>
    <w:p w14:paraId="7D0B56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SCC status. Non-responders showed a relative enrichment of non-classical </w:t>
      </w:r>
    </w:p>
    <w:p w14:paraId="33201A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monocytes and higher TB progression risk scores. CellChat analysis inferred </w:t>
      </w:r>
    </w:p>
    <w:p w14:paraId="6AFF0B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altered IL16 and TRAIL communication involving these cells. CD4+ Tregs in </w:t>
      </w:r>
    </w:p>
    <w:p w14:paraId="4D5FAF7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non-responders showed higher LGALS9 expression and inferred GALECTIN signalling </w:t>
      </w:r>
    </w:p>
    <w:p w14:paraId="4CD4D7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towards cytotoxic lymphocyte subsets; cell-level LGALS9 co-expression correlated </w:t>
      </w:r>
    </w:p>
    <w:p w14:paraId="6D0728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HAVCR2 and TIGIT in non-responders. Mature NK subclusters showed distinct </w:t>
      </w:r>
    </w:p>
    <w:p w14:paraId="4F303E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enrichment profiles. These results describe an observational, transcriptomic and </w:t>
      </w:r>
    </w:p>
    <w:p w14:paraId="243B96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computationally inferred immune network associated with early treatment </w:t>
      </w:r>
    </w:p>
    <w:p w14:paraId="534D7B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non-response. They generate candidate biomarkers and hypotheses for prospective </w:t>
      </w:r>
    </w:p>
    <w:p w14:paraId="1C452D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protein-level and functional validation.</w:t>
      </w:r>
    </w:p>
    <w:p w14:paraId="2541E34C">
      <w:pPr>
        <w:rPr>
          <w:rFonts w:hint="eastAsia" w:ascii="宋体" w:hAnsi="宋体" w:eastAsia="宋体" w:cs="宋体"/>
          <w:color w:val="000000" w:themeColor="text1"/>
          <w:szCs w:val="24"/>
          <w14:textFill>
            <w14:solidFill>
              <w14:schemeClr w14:val="tx1"/>
            </w14:solidFill>
          </w14:textFill>
        </w:rPr>
      </w:pPr>
    </w:p>
    <w:p w14:paraId="5A5F6E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 2026 The Author(s). Journal of Cellular and Molecular Medicine published by </w:t>
      </w:r>
    </w:p>
    <w:p w14:paraId="52D5CA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Foundation for Cellular and Molecular Medicine and John Wiley &amp; Sons Ltd.</w:t>
      </w:r>
    </w:p>
    <w:p w14:paraId="100C0236">
      <w:pPr>
        <w:rPr>
          <w:rFonts w:hint="eastAsia" w:ascii="宋体" w:hAnsi="宋体" w:eastAsia="宋体" w:cs="宋体"/>
          <w:color w:val="000000" w:themeColor="text1"/>
          <w:szCs w:val="24"/>
          <w14:textFill>
            <w14:solidFill>
              <w14:schemeClr w14:val="tx1"/>
            </w14:solidFill>
          </w14:textFill>
        </w:rPr>
      </w:pPr>
    </w:p>
    <w:p w14:paraId="439EE9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10.1111/jcmm.71345</w:t>
      </w:r>
    </w:p>
    <w:p w14:paraId="110775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PMC13530280</w:t>
      </w:r>
    </w:p>
    <w:p w14:paraId="52F1BAE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42675628 [Indexed for MEDLINE]</w:t>
      </w:r>
    </w:p>
    <w:p w14:paraId="3BEC83CF">
      <w:pPr>
        <w:rPr>
          <w:rFonts w:hint="eastAsia" w:ascii="宋体" w:hAnsi="宋体" w:eastAsia="宋体" w:cs="宋体"/>
          <w:color w:val="000000" w:themeColor="text1"/>
          <w:szCs w:val="24"/>
          <w14:textFill>
            <w14:solidFill>
              <w14:schemeClr w14:val="tx1"/>
            </w14:solidFill>
          </w14:textFill>
        </w:rPr>
      </w:pPr>
    </w:p>
    <w:p w14:paraId="3F6E26C8">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1</w:t>
      </w:r>
      <w:r>
        <w:rPr>
          <w:rFonts w:hint="eastAsia" w:ascii="宋体" w:hAnsi="宋体" w:eastAsia="宋体" w:cs="宋体"/>
          <w:b/>
          <w:bCs/>
          <w:color w:val="FF0000"/>
          <w:szCs w:val="24"/>
        </w:rPr>
        <w:t xml:space="preserve">. Acta Histochem. 2026 Aug 31;128(4):152367. doi: 10.1016/j.acthis.2026.152367. </w:t>
      </w:r>
    </w:p>
    <w:p w14:paraId="027C04A1">
      <w:pPr>
        <w:rPr>
          <w:rFonts w:hint="eastAsia" w:ascii="宋体" w:hAnsi="宋体" w:eastAsia="宋体" w:cs="宋体"/>
          <w:b/>
          <w:bCs/>
          <w:color w:val="FF0000"/>
          <w:szCs w:val="24"/>
        </w:rPr>
      </w:pPr>
      <w:r>
        <w:rPr>
          <w:rFonts w:hint="eastAsia" w:ascii="宋体" w:hAnsi="宋体" w:eastAsia="宋体" w:cs="宋体"/>
          <w:b/>
          <w:bCs/>
          <w:color w:val="FF0000"/>
          <w:szCs w:val="24"/>
        </w:rPr>
        <w:t>Online ahead of print.</w:t>
      </w:r>
    </w:p>
    <w:p w14:paraId="33971C5B">
      <w:pPr>
        <w:rPr>
          <w:rFonts w:hint="eastAsia" w:ascii="宋体" w:hAnsi="宋体" w:eastAsia="宋体" w:cs="宋体"/>
          <w:color w:val="000000" w:themeColor="text1"/>
          <w:szCs w:val="24"/>
          <w14:textFill>
            <w14:solidFill>
              <w14:schemeClr w14:val="tx1"/>
            </w14:solidFill>
          </w14:textFill>
        </w:rPr>
      </w:pPr>
    </w:p>
    <w:p w14:paraId="1F49E7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TRIM32 regulates Mycobacterium tuberculosis-induced pyroptosis and mitochondrial </w:t>
      </w:r>
    </w:p>
    <w:p w14:paraId="3E296E8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dysfunction by regulating TLR4 ubiquitylation.</w:t>
      </w:r>
    </w:p>
    <w:p w14:paraId="00C0EA46">
      <w:pPr>
        <w:rPr>
          <w:rFonts w:hint="eastAsia" w:ascii="宋体" w:hAnsi="宋体" w:eastAsia="宋体" w:cs="宋体"/>
          <w:color w:val="000000" w:themeColor="text1"/>
          <w:szCs w:val="24"/>
          <w14:textFill>
            <w14:solidFill>
              <w14:schemeClr w14:val="tx1"/>
            </w14:solidFill>
          </w14:textFill>
        </w:rPr>
      </w:pPr>
    </w:p>
    <w:p w14:paraId="77A88B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Zhao W(1), Zhang T(2), Hua M(1), Zhu F(3), Zhao X(4).</w:t>
      </w:r>
    </w:p>
    <w:p w14:paraId="5506A40A">
      <w:pPr>
        <w:rPr>
          <w:rFonts w:hint="eastAsia" w:ascii="宋体" w:hAnsi="宋体" w:eastAsia="宋体" w:cs="宋体"/>
          <w:color w:val="000000" w:themeColor="text1"/>
          <w:szCs w:val="24"/>
          <w14:textFill>
            <w14:solidFill>
              <w14:schemeClr w14:val="tx1"/>
            </w14:solidFill>
          </w14:textFill>
        </w:rPr>
      </w:pPr>
    </w:p>
    <w:p w14:paraId="2EBCA054">
      <w:pPr>
        <w:jc w:val="left"/>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Wei Zhao,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Tiantian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Meng Hua,</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Feng Zhu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Xinguo Zhao</w:t>
      </w:r>
      <w:r>
        <w:rPr>
          <w:rFonts w:hint="eastAsia" w:ascii="宋体" w:hAnsi="宋体" w:eastAsia="宋体" w:cs="宋体"/>
          <w:b/>
          <w:bCs/>
          <w:color w:val="0070C0"/>
          <w:szCs w:val="24"/>
          <w:lang w:val="en-US" w:eastAsia="zh-CN"/>
        </w:rPr>
        <w:t>*</w:t>
      </w:r>
    </w:p>
    <w:p w14:paraId="68411FEE">
      <w:pPr>
        <w:jc w:val="left"/>
        <w:rPr>
          <w:rFonts w:hint="eastAsia" w:ascii="宋体" w:hAnsi="宋体" w:eastAsia="宋体" w:cs="宋体"/>
          <w:b/>
          <w:bCs/>
          <w:color w:val="0070C0"/>
          <w:szCs w:val="24"/>
        </w:rPr>
      </w:pPr>
      <w:r>
        <w:rPr>
          <w:rFonts w:hint="eastAsia" w:ascii="宋体" w:hAnsi="宋体" w:eastAsia="宋体" w:cs="宋体"/>
          <w:b/>
          <w:bCs/>
          <w:color w:val="0070C0"/>
          <w:szCs w:val="24"/>
        </w:rPr>
        <w:t>* Correspondence to: E-mail addresses: FengZhu@jshosp.cn (Feng Zhu), xinguo_Zhao66@163.com (Xinguo Zhao).</w:t>
      </w:r>
    </w:p>
    <w:p w14:paraId="735F908F">
      <w:pPr>
        <w:rPr>
          <w:rFonts w:hint="eastAsia" w:ascii="宋体" w:hAnsi="宋体" w:eastAsia="宋体" w:cs="宋体"/>
          <w:color w:val="000000" w:themeColor="text1"/>
          <w:szCs w:val="24"/>
          <w14:textFill>
            <w14:solidFill>
              <w14:schemeClr w14:val="tx1"/>
            </w14:solidFill>
          </w14:textFill>
        </w:rPr>
      </w:pPr>
    </w:p>
    <w:p w14:paraId="7C0F3E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FEECD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Respiratory and Critical Care Medicine, the Fifth People's </w:t>
      </w:r>
    </w:p>
    <w:p w14:paraId="625C29E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Hospital of Wuxi, Affiliated to Jiangnan University, Jiangsu, 214000, China.</w:t>
      </w:r>
    </w:p>
    <w:p w14:paraId="7AC7DA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(2)Tuberculosis Department, Huai'an No.4 People's Hospital, HuaiAn, 223000, </w:t>
      </w:r>
    </w:p>
    <w:p w14:paraId="3E04758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7B3719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Respiratory and Critical Care Medicine, the Fifth People's </w:t>
      </w:r>
    </w:p>
    <w:p w14:paraId="07744B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Hospital of Wuxi, Affiliated to Jiangnan University, Jiangsu, 214000, China. </w:t>
      </w:r>
    </w:p>
    <w:p w14:paraId="65A2E5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Electronic address: FengZhu@jshosp.cn.</w:t>
      </w:r>
    </w:p>
    <w:p w14:paraId="6AD66E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Tuberculosis, the Fifth People's Hospital of Wuxi, Affiliated </w:t>
      </w:r>
    </w:p>
    <w:p w14:paraId="575CBC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to Jiangnan University, Jiangsu, 214000, China. Electronic address: </w:t>
      </w:r>
    </w:p>
    <w:p w14:paraId="64314C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xinguo_Zhao66@163.com.</w:t>
      </w:r>
    </w:p>
    <w:p w14:paraId="0AF7AA19">
      <w:pPr>
        <w:rPr>
          <w:rFonts w:hint="eastAsia" w:ascii="宋体" w:hAnsi="宋体" w:eastAsia="宋体" w:cs="宋体"/>
          <w:color w:val="000000" w:themeColor="text1"/>
          <w:szCs w:val="24"/>
          <w14:textFill>
            <w14:solidFill>
              <w14:schemeClr w14:val="tx1"/>
            </w14:solidFill>
          </w14:textFill>
        </w:rPr>
      </w:pPr>
    </w:p>
    <w:p w14:paraId="5541D0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(TB), caused by Mycobacterium tuberculosis (M.tb), remains a major </w:t>
      </w:r>
    </w:p>
    <w:p w14:paraId="25D4EF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global health threat. The tripartite motif (TRIM) family of E3 ligases plays </w:t>
      </w:r>
    </w:p>
    <w:p w14:paraId="733E77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crucial roles in various cellular processes, yet the involvement of TRIM32 in TB </w:t>
      </w:r>
    </w:p>
    <w:p w14:paraId="570902A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remains poorly understood. This study explores the function of TRIM32 in M.tb </w:t>
      </w:r>
    </w:p>
    <w:p w14:paraId="73E510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infection and its underlying mechanisms. We found that M.tb infection </w:t>
      </w:r>
    </w:p>
    <w:p w14:paraId="29C9A0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significantly reduced TRIM32 expression in mouse macrophages, suggesting a </w:t>
      </w:r>
    </w:p>
    <w:p w14:paraId="2DDBE6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regulatory role in TB progression. TRIM32 inhibited NLRP3 inflammasome </w:t>
      </w:r>
    </w:p>
    <w:p w14:paraId="7D5009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activation and pyroptosis of M.tb-infected macrophages. Furthermore, TRIM32 </w:t>
      </w:r>
    </w:p>
    <w:p w14:paraId="1EF261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overexpression mitigated mitochondrial dysfunction, evidenced by decreased </w:t>
      </w:r>
    </w:p>
    <w:p w14:paraId="0D02BB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reactive oxygen species (ROS) generation, inhibited mitochondrial ROS (mtROS), </w:t>
      </w:r>
    </w:p>
    <w:p w14:paraId="55F33B4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restored mitochondrial membrane potential. Importantly, TRIM32 directly </w:t>
      </w:r>
    </w:p>
    <w:p w14:paraId="697D6D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interacted with TLR4 and promoted its degradation via ubiquitination at the K48 </w:t>
      </w:r>
    </w:p>
    <w:p w14:paraId="45FAD4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site, a critical process for proteasomal degradation. The inhibitory effects of </w:t>
      </w:r>
    </w:p>
    <w:p w14:paraId="0285AF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TRIM32 on pyroptosis and mitochondrial dysfunction were partially reversed by </w:t>
      </w:r>
    </w:p>
    <w:p w14:paraId="649AB1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TLR4 overexpression, confirming TLR4 as a key mediator of TRIM32's actions. Our </w:t>
      </w:r>
    </w:p>
    <w:p w14:paraId="08E56E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findings uncover TRIM32 as a critical regulator of mitochondrial health and </w:t>
      </w:r>
    </w:p>
    <w:p w14:paraId="43676E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pyroptosis in M.tb-infected macrophages through TLR4-mediated ubiquitylation, </w:t>
      </w:r>
    </w:p>
    <w:p w14:paraId="7F2F46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Moreover, silencing of endogenous TRIM32 aggravated NLRP3 inflammasome </w:t>
      </w:r>
    </w:p>
    <w:p w14:paraId="760E165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activation, pyroptosis and mitochondrial injury, and AAV-mediated TRIM32 </w:t>
      </w:r>
    </w:p>
    <w:p w14:paraId="2AD19A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overexpression alleviated lung pathology, lowered bacterial burden and improved </w:t>
      </w:r>
    </w:p>
    <w:p w14:paraId="6B76EB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survival in M.tb-infected mice, with these benefits being partially abrogated by </w:t>
      </w:r>
    </w:p>
    <w:p w14:paraId="4A576E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TLR4 co-overexpression. Our findings identify TRIM32 as a candidate regulatory </w:t>
      </w:r>
    </w:p>
    <w:p w14:paraId="28F6DA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node of macrophage pyroptosis in TB that merits further preclinical evaluation.</w:t>
      </w:r>
    </w:p>
    <w:p w14:paraId="3D66A919">
      <w:pPr>
        <w:rPr>
          <w:rFonts w:hint="eastAsia" w:ascii="宋体" w:hAnsi="宋体" w:eastAsia="宋体" w:cs="宋体"/>
          <w:color w:val="000000" w:themeColor="text1"/>
          <w:szCs w:val="24"/>
          <w14:textFill>
            <w14:solidFill>
              <w14:schemeClr w14:val="tx1"/>
            </w14:solidFill>
          </w14:textFill>
        </w:rPr>
      </w:pPr>
    </w:p>
    <w:p w14:paraId="5419A2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Published by Elsevier GmbH.</w:t>
      </w:r>
    </w:p>
    <w:p w14:paraId="3DCBFE6E">
      <w:pPr>
        <w:rPr>
          <w:rFonts w:hint="eastAsia" w:ascii="宋体" w:hAnsi="宋体" w:eastAsia="宋体" w:cs="宋体"/>
          <w:color w:val="000000" w:themeColor="text1"/>
          <w:szCs w:val="24"/>
          <w14:textFill>
            <w14:solidFill>
              <w14:schemeClr w14:val="tx1"/>
            </w14:solidFill>
          </w14:textFill>
        </w:rPr>
      </w:pPr>
    </w:p>
    <w:p w14:paraId="29EF9B2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10.1016/j.acthis.2026.152367</w:t>
      </w:r>
    </w:p>
    <w:p w14:paraId="4E54ED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42673636</w:t>
      </w:r>
    </w:p>
    <w:p w14:paraId="2DBB7E1F">
      <w:pPr>
        <w:rPr>
          <w:rFonts w:hint="eastAsia" w:ascii="宋体" w:hAnsi="宋体" w:eastAsia="宋体" w:cs="宋体"/>
          <w:color w:val="000000" w:themeColor="text1"/>
          <w:szCs w:val="24"/>
          <w14:textFill>
            <w14:solidFill>
              <w14:schemeClr w14:val="tx1"/>
            </w14:solidFill>
          </w14:textFill>
        </w:rPr>
      </w:pPr>
    </w:p>
    <w:p w14:paraId="362CAA82">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2</w:t>
      </w:r>
      <w:r>
        <w:rPr>
          <w:rFonts w:hint="eastAsia" w:ascii="宋体" w:hAnsi="宋体" w:eastAsia="宋体" w:cs="宋体"/>
          <w:b/>
          <w:bCs/>
          <w:color w:val="FF0000"/>
          <w:szCs w:val="24"/>
        </w:rPr>
        <w:t>. Infection. 2026 Aug 31. doi: 10.1007/s15010-026-02951-3. Online ahead of print.</w:t>
      </w:r>
    </w:p>
    <w:p w14:paraId="60BFFE26">
      <w:pPr>
        <w:rPr>
          <w:rFonts w:hint="eastAsia" w:ascii="宋体" w:hAnsi="宋体" w:eastAsia="宋体" w:cs="宋体"/>
          <w:color w:val="000000" w:themeColor="text1"/>
          <w:szCs w:val="24"/>
          <w14:textFill>
            <w14:solidFill>
              <w14:schemeClr w14:val="tx1"/>
            </w14:solidFill>
          </w14:textFill>
        </w:rPr>
      </w:pPr>
    </w:p>
    <w:p w14:paraId="10BE6E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Novel blood biomarkers distinguish active pulmonary tuberculosis from </w:t>
      </w:r>
    </w:p>
    <w:p w14:paraId="1F15D9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non-pulmonary tuberculosis: a prospective, large scale, clinical trial in </w:t>
      </w:r>
    </w:p>
    <w:p w14:paraId="6BC0AB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Eastern China.</w:t>
      </w:r>
    </w:p>
    <w:p w14:paraId="681E5727">
      <w:pPr>
        <w:rPr>
          <w:rFonts w:hint="eastAsia" w:ascii="宋体" w:hAnsi="宋体" w:eastAsia="宋体" w:cs="宋体"/>
          <w:color w:val="000000" w:themeColor="text1"/>
          <w:szCs w:val="24"/>
          <w14:textFill>
            <w14:solidFill>
              <w14:schemeClr w14:val="tx1"/>
            </w14:solidFill>
          </w14:textFill>
        </w:rPr>
      </w:pPr>
    </w:p>
    <w:p w14:paraId="295C297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Ke H(#)(1), Xu HX(#)(2), Xiong KL(#)(1)(3), Wang H(4), Zeng Y(5), Zhang QL(6), </w:t>
      </w:r>
    </w:p>
    <w:p w14:paraId="46D016D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Zhou J(1), Bai Y(1), Liang BQ(1), Zhang SJ(1), Liu LR(7), Xie JP(8), Zhang </w:t>
      </w:r>
    </w:p>
    <w:p w14:paraId="605029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ZM(9), Fan L(10).</w:t>
      </w:r>
    </w:p>
    <w:p w14:paraId="2916E8DC">
      <w:pPr>
        <w:rPr>
          <w:rFonts w:hint="eastAsia" w:ascii="宋体" w:hAnsi="宋体" w:eastAsia="宋体" w:cs="宋体"/>
          <w:color w:val="000000" w:themeColor="text1"/>
          <w:szCs w:val="24"/>
          <w14:textFill>
            <w14:solidFill>
              <w14:schemeClr w14:val="tx1"/>
            </w14:solidFill>
          </w14:textFill>
        </w:rPr>
      </w:pPr>
    </w:p>
    <w:p w14:paraId="3F9A456B">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Hui Ke,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Hong-Xiang Xu,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Kun-Long Xiong,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Hua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 Zeng,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Qi-Long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Jie Zhou,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Yan Bai,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Bing-Qing Liang,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Shao-Jun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Li-Rong Liu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Jian-Ping Xie</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Zhe-Min Zhang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Lin Fan</w:t>
      </w:r>
      <w:r>
        <w:rPr>
          <w:rFonts w:hint="eastAsia" w:ascii="宋体" w:hAnsi="宋体" w:eastAsia="宋体" w:cs="宋体"/>
          <w:b/>
          <w:bCs/>
          <w:color w:val="0070C0"/>
          <w:szCs w:val="24"/>
          <w:lang w:val="en-US" w:eastAsia="zh-CN"/>
        </w:rPr>
        <w:t>*</w:t>
      </w:r>
    </w:p>
    <w:p w14:paraId="74F033D8">
      <w:pPr>
        <w:jc w:val="left"/>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Li-rong Liu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kevin.liuzg@foxmail.com </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Jian-ping Xi</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georgex@swu.edu.cn </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Zhe-min Zhang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zhemindoc@163.com </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Lin Fan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fanlinsj@163.com</w:t>
      </w:r>
    </w:p>
    <w:p w14:paraId="3CE2FC0C">
      <w:pPr>
        <w:rPr>
          <w:rFonts w:hint="eastAsia" w:ascii="宋体" w:hAnsi="宋体" w:eastAsia="宋体" w:cs="宋体"/>
          <w:color w:val="000000" w:themeColor="text1"/>
          <w:szCs w:val="24"/>
          <w14:textFill>
            <w14:solidFill>
              <w14:schemeClr w14:val="tx1"/>
            </w14:solidFill>
          </w14:textFill>
        </w:rPr>
      </w:pPr>
    </w:p>
    <w:p w14:paraId="5C2EC3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CD234D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Tuberculosis, Shanghai Pulmonary Hospital, Shanghai Clinic and </w:t>
      </w:r>
    </w:p>
    <w:p w14:paraId="2DC5C7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of Tuberculosis, Shanghai Key Laboratory of Tuberculosis, Tongji </w:t>
      </w:r>
    </w:p>
    <w:p w14:paraId="178D94A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School of Medicine, Shanghai, China.</w:t>
      </w:r>
    </w:p>
    <w:p w14:paraId="384B1A4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(2)Institute of Modern Biopharmaceuticals, State Key Laboratory Breeding Base of </w:t>
      </w:r>
    </w:p>
    <w:p w14:paraId="4CC57C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Eco-Environment and Bio-Resource of the Three Gorges Area, Key Laboratory of </w:t>
      </w:r>
    </w:p>
    <w:p w14:paraId="0FB0CB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Eco-environments in Three Gorges Reservoir Region, Ministry of Education, School </w:t>
      </w:r>
    </w:p>
    <w:p w14:paraId="7E1366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Life Sciences, Southwest University, Chongqing, China.</w:t>
      </w:r>
    </w:p>
    <w:p w14:paraId="3AD79A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(3)Respiratory department, Ningbo the first people hospital, Ningbo, Zhejiang, </w:t>
      </w:r>
    </w:p>
    <w:p w14:paraId="6461BA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4D4C8F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(4)Department of Tuberculosis, Anhui Chest Hospital, Hefei, Anhui, China.</w:t>
      </w:r>
    </w:p>
    <w:p w14:paraId="3EA0748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(5)Department of Tuberculosis, The Second Hospital of Nanjing, Nanjing </w:t>
      </w:r>
    </w:p>
    <w:p w14:paraId="1DC034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of Chinese Medicine, Nanjing, China.</w:t>
      </w:r>
    </w:p>
    <w:p w14:paraId="2384E7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(6)Jiangxi Chest Hospital (Jiangxi Third People's Hospital), Nanchang, China.</w:t>
      </w:r>
    </w:p>
    <w:p w14:paraId="3B0948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(7)Department of Clinical Laboratory, Shanghai Pulmonary Hospital, Tongji </w:t>
      </w:r>
    </w:p>
    <w:p w14:paraId="48F5DFF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School of Medicine, Shanghai, China. kevin.liuzg@foxmail.com.</w:t>
      </w:r>
    </w:p>
    <w:p w14:paraId="70C8C14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(8)Institute of Modern Biopharmaceuticals, State Key Laboratory Breeding Base of </w:t>
      </w:r>
    </w:p>
    <w:p w14:paraId="788A68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Eco-Environment and Bio-Resource of the Three Gorges Area, Key Laboratory of </w:t>
      </w:r>
    </w:p>
    <w:p w14:paraId="4EDCE7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Eco-environments in Three Gorges Reservoir Region, Ministry of Education, School </w:t>
      </w:r>
    </w:p>
    <w:p w14:paraId="12B9A9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Life Sciences, Southwest University, Chongqing, China. georgex@swu.edu.cn.</w:t>
      </w:r>
    </w:p>
    <w:p w14:paraId="692168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(9)Department of Tuberculosis, Shanghai Pulmonary Hospital, Shanghai Clinic and </w:t>
      </w:r>
    </w:p>
    <w:p w14:paraId="518BAE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of Tuberculosis, Shanghai Key Laboratory of Tuberculosis, Tongji </w:t>
      </w:r>
    </w:p>
    <w:p w14:paraId="0D1B7C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School of Medicine, Shanghai, China. zhemindoc@163.com.</w:t>
      </w:r>
    </w:p>
    <w:p w14:paraId="23D2DA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(10)Department of Tuberculosis, Shanghai Pulmonary Hospital, Shanghai Clinic and </w:t>
      </w:r>
    </w:p>
    <w:p w14:paraId="59AB16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of Tuberculosis, Shanghai Key Laboratory of Tuberculosis, Tongji </w:t>
      </w:r>
    </w:p>
    <w:p w14:paraId="559C10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School of Medicine, Shanghai, China. fanlinsj@163.com.</w:t>
      </w:r>
    </w:p>
    <w:p w14:paraId="61D647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13161827">
      <w:pPr>
        <w:rPr>
          <w:rFonts w:hint="eastAsia" w:ascii="宋体" w:hAnsi="宋体" w:eastAsia="宋体" w:cs="宋体"/>
          <w:color w:val="000000" w:themeColor="text1"/>
          <w:szCs w:val="24"/>
          <w14:textFill>
            <w14:solidFill>
              <w14:schemeClr w14:val="tx1"/>
            </w14:solidFill>
          </w14:textFill>
        </w:rPr>
      </w:pPr>
    </w:p>
    <w:p w14:paraId="426097A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OBJECTIVES: </w:t>
      </w:r>
      <w:r>
        <w:rPr>
          <w:rFonts w:hint="eastAsia" w:ascii="宋体" w:hAnsi="宋体" w:eastAsia="宋体" w:cs="宋体"/>
          <w:color w:val="000000" w:themeColor="text1"/>
          <w:szCs w:val="24"/>
          <w14:textFill>
            <w14:solidFill>
              <w14:schemeClr w14:val="tx1"/>
            </w14:solidFill>
          </w14:textFill>
        </w:rPr>
        <w:t xml:space="preserve">Active Tuberculosis (TB) had the challenge in early detection. Our </w:t>
      </w:r>
    </w:p>
    <w:p w14:paraId="5C0432C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pilot study showed four novel diagnostic biomarkers had high value of TB </w:t>
      </w:r>
    </w:p>
    <w:p w14:paraId="73B4009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The aim of the study was to further verify the diagnosis value of </w:t>
      </w:r>
    </w:p>
    <w:p w14:paraId="1545F4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these biomarkers for active pulmonary TB (PTB) from non-TB through clinical </w:t>
      </w:r>
    </w:p>
    <w:p w14:paraId="0F150D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trial with large scale samples.</w:t>
      </w:r>
    </w:p>
    <w:p w14:paraId="5B7E88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The prospective, large scale, multicenter, diagnostic clinical trial </w:t>
      </w:r>
    </w:p>
    <w:p w14:paraId="6AC20BA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performed from 2022 Jan to 2024 Dec in Eastern China. PTB suspects met </w:t>
      </w:r>
    </w:p>
    <w:p w14:paraId="1A8935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inclusion criteria were enrolled the study, taken RNA abstract from the </w:t>
      </w:r>
    </w:p>
    <w:p w14:paraId="026EF4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Peripheral venous blood for RNA examination of BATF2, UBE2L6, SERPING1, VAMP5 </w:t>
      </w:r>
    </w:p>
    <w:p w14:paraId="7A70B2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tested by QFT-GIT as well, the diagnosis value of sensitivity, specificity, </w:t>
      </w:r>
    </w:p>
    <w:p w14:paraId="4B798A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positive predictive value (PPV), negative predictive value (NPV) and AUC for </w:t>
      </w:r>
    </w:p>
    <w:p w14:paraId="49B690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active TB by single and fixed groups of biomarkers were calculated and </w:t>
      </w:r>
    </w:p>
    <w:p w14:paraId="7C5C04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evaluated.</w:t>
      </w:r>
    </w:p>
    <w:p w14:paraId="523006B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890 cases were finally included the study, containing 564 cases of PTB </w:t>
      </w:r>
    </w:p>
    <w:p w14:paraId="21EB66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(365 had definite and 199 had probable TB) and 326 cases of non-PTB. Any single </w:t>
      </w:r>
    </w:p>
    <w:p w14:paraId="2373F9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biomarker from BATF2, UBE2L6, SERPNG1 or VAMP5 has advantage diagnosis values </w:t>
      </w:r>
    </w:p>
    <w:p w14:paraId="128140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over QFT-GIT, UBE2L6 had the best value of the diagnosis (AUC 0.84) of active </w:t>
      </w:r>
    </w:p>
    <w:p w14:paraId="5F8CE8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TB. Combination of UBE2L6/SERPING1/VAMP5 had best diagnosis value of active PTB </w:t>
      </w:r>
    </w:p>
    <w:p w14:paraId="76DF643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(sensitivity of 70.5% and specificity of 95.4%) from non-PTB.</w:t>
      </w:r>
    </w:p>
    <w:p w14:paraId="0F7118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CONCLUSIONS: </w:t>
      </w:r>
      <w:r>
        <w:rPr>
          <w:rFonts w:hint="eastAsia" w:ascii="宋体" w:hAnsi="宋体" w:eastAsia="宋体" w:cs="宋体"/>
          <w:color w:val="000000" w:themeColor="text1"/>
          <w:szCs w:val="24"/>
          <w14:textFill>
            <w14:solidFill>
              <w14:schemeClr w14:val="tx1"/>
            </w14:solidFill>
          </w14:textFill>
        </w:rPr>
        <w:t xml:space="preserve">Blood derived transcription level of combination on Three-genes </w:t>
      </w:r>
    </w:p>
    <w:p w14:paraId="37CFC7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(UBE2L6, SERPING1, VAMP5) had excellent diagnosis value of active PTB from </w:t>
      </w:r>
    </w:p>
    <w:p w14:paraId="6EA73B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non-TB diseases, which deserved clinical application in the future.</w:t>
      </w:r>
    </w:p>
    <w:p w14:paraId="443E6B68">
      <w:pPr>
        <w:rPr>
          <w:rFonts w:hint="eastAsia" w:ascii="宋体" w:hAnsi="宋体" w:eastAsia="宋体" w:cs="宋体"/>
          <w:color w:val="000000" w:themeColor="text1"/>
          <w:szCs w:val="24"/>
          <w14:textFill>
            <w14:solidFill>
              <w14:schemeClr w14:val="tx1"/>
            </w14:solidFill>
          </w14:textFill>
        </w:rPr>
      </w:pPr>
    </w:p>
    <w:p w14:paraId="52C848A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Springer-Verlag GmbH Germany, part of Springer Nature.</w:t>
      </w:r>
    </w:p>
    <w:p w14:paraId="06F3780C">
      <w:pPr>
        <w:rPr>
          <w:rFonts w:hint="eastAsia" w:ascii="宋体" w:hAnsi="宋体" w:eastAsia="宋体" w:cs="宋体"/>
          <w:color w:val="000000" w:themeColor="text1"/>
          <w:szCs w:val="24"/>
          <w14:textFill>
            <w14:solidFill>
              <w14:schemeClr w14:val="tx1"/>
            </w14:solidFill>
          </w14:textFill>
        </w:rPr>
      </w:pPr>
    </w:p>
    <w:p w14:paraId="59101C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10.1007/s15010-026-02951-3</w:t>
      </w:r>
    </w:p>
    <w:p w14:paraId="66FA62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42671775</w:t>
      </w:r>
    </w:p>
    <w:p w14:paraId="480BCBA4">
      <w:pPr>
        <w:rPr>
          <w:rFonts w:hint="eastAsia" w:ascii="宋体" w:hAnsi="宋体" w:eastAsia="宋体" w:cs="宋体"/>
          <w:color w:val="000000" w:themeColor="text1"/>
          <w:szCs w:val="24"/>
          <w14:textFill>
            <w14:solidFill>
              <w14:schemeClr w14:val="tx1"/>
            </w14:solidFill>
          </w14:textFill>
        </w:rPr>
      </w:pPr>
    </w:p>
    <w:p w14:paraId="41F966E2">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3</w:t>
      </w:r>
      <w:r>
        <w:rPr>
          <w:rFonts w:hint="eastAsia" w:ascii="宋体" w:hAnsi="宋体" w:eastAsia="宋体" w:cs="宋体"/>
          <w:b/>
          <w:bCs/>
          <w:color w:val="FF0000"/>
          <w:szCs w:val="24"/>
        </w:rPr>
        <w:t>. J Int Med Res. 2026 Sep;54(9):3000605261480907. doi: 10.1177/03000605261480907. Epub 2026 Aug 30.</w:t>
      </w:r>
    </w:p>
    <w:p w14:paraId="5787FFA8">
      <w:pPr>
        <w:rPr>
          <w:rFonts w:hint="eastAsia" w:ascii="宋体" w:hAnsi="宋体" w:eastAsia="宋体" w:cs="宋体"/>
          <w:color w:val="000000" w:themeColor="text1"/>
          <w:szCs w:val="24"/>
          <w14:textFill>
            <w14:solidFill>
              <w14:schemeClr w14:val="tx1"/>
            </w14:solidFill>
          </w14:textFill>
        </w:rPr>
      </w:pPr>
    </w:p>
    <w:p w14:paraId="65762A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 single-cell atlas of peripheral immunity suggests immune subset attrition </w:t>
      </w:r>
    </w:p>
    <w:p w14:paraId="6167BC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during tuberculosis dissemination.</w:t>
      </w:r>
    </w:p>
    <w:p w14:paraId="674F1F0C">
      <w:pPr>
        <w:rPr>
          <w:rFonts w:hint="eastAsia" w:ascii="宋体" w:hAnsi="宋体" w:eastAsia="宋体" w:cs="宋体"/>
          <w:color w:val="000000" w:themeColor="text1"/>
          <w:szCs w:val="24"/>
          <w14:textFill>
            <w14:solidFill>
              <w14:schemeClr w14:val="tx1"/>
            </w14:solidFill>
          </w14:textFill>
        </w:rPr>
      </w:pPr>
    </w:p>
    <w:p w14:paraId="6EB46D3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Jiang H(1), Liu C(2), Liu C(2), Wang D(2)(3).</w:t>
      </w:r>
    </w:p>
    <w:p w14:paraId="0B596D48">
      <w:pPr>
        <w:rPr>
          <w:rFonts w:hint="eastAsia" w:ascii="宋体" w:hAnsi="宋体" w:eastAsia="宋体" w:cs="宋体"/>
          <w:color w:val="000000" w:themeColor="text1"/>
          <w:szCs w:val="24"/>
          <w14:textFill>
            <w14:solidFill>
              <w14:schemeClr w14:val="tx1"/>
            </w14:solidFill>
          </w14:textFill>
        </w:rPr>
      </w:pPr>
    </w:p>
    <w:p w14:paraId="74F441C2">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Hairui Jiang,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Chunlong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Chunling Liu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Dapeng Wang</w:t>
      </w:r>
      <w:r>
        <w:rPr>
          <w:rFonts w:hint="eastAsia" w:ascii="宋体" w:hAnsi="宋体" w:eastAsia="宋体" w:cs="宋体"/>
          <w:b/>
          <w:bCs/>
          <w:color w:val="0070C0"/>
          <w:szCs w:val="24"/>
          <w:lang w:val="en-US" w:eastAsia="zh-CN"/>
        </w:rPr>
        <w:t>*</w:t>
      </w:r>
    </w:p>
    <w:p w14:paraId="3571B2CE">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Corresponding authors: Dapeng Wang, Email: dwang@bbmu.edu.cn </w:t>
      </w:r>
      <w:r>
        <w:rPr>
          <w:rFonts w:hint="eastAsia" w:ascii="宋体" w:hAnsi="宋体" w:eastAsia="宋体" w:cs="宋体"/>
          <w:b/>
          <w:bCs/>
          <w:color w:val="0070C0"/>
          <w:szCs w:val="24"/>
          <w:lang w:eastAsia="zh-CN"/>
        </w:rPr>
        <w:t>；</w:t>
      </w:r>
      <w:r>
        <w:rPr>
          <w:rFonts w:hint="eastAsia" w:ascii="宋体" w:hAnsi="宋体" w:eastAsia="宋体" w:cs="宋体"/>
          <w:b/>
          <w:bCs/>
          <w:color w:val="0070C0"/>
          <w:szCs w:val="24"/>
        </w:rPr>
        <w:t>Chunling Liu, Email: cliu@bbmu.edu.cn</w:t>
      </w:r>
    </w:p>
    <w:p w14:paraId="195C322A">
      <w:pPr>
        <w:rPr>
          <w:rFonts w:hint="eastAsia" w:ascii="宋体" w:hAnsi="宋体" w:eastAsia="宋体" w:cs="宋体"/>
          <w:color w:val="000000" w:themeColor="text1"/>
          <w:szCs w:val="24"/>
          <w14:textFill>
            <w14:solidFill>
              <w14:schemeClr w14:val="tx1"/>
            </w14:solidFill>
          </w14:textFill>
        </w:rPr>
      </w:pPr>
    </w:p>
    <w:p w14:paraId="739CFF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195CA7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(1)School of Clinical Medicine, Bengbu Medical University, China.</w:t>
      </w:r>
    </w:p>
    <w:p w14:paraId="09BC5A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Pathophysiology, School of Basic Medicine, Bengbu Medical </w:t>
      </w:r>
    </w:p>
    <w:p w14:paraId="15065B6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China.</w:t>
      </w:r>
    </w:p>
    <w:p w14:paraId="7ECB6D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(3)Key Laboratory of Cardiovascular and Cerebrovascular Diseases, Bengbu Medical </w:t>
      </w:r>
    </w:p>
    <w:p w14:paraId="0E1490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China.</w:t>
      </w:r>
    </w:p>
    <w:p w14:paraId="23F34E69">
      <w:pPr>
        <w:rPr>
          <w:rFonts w:hint="eastAsia" w:ascii="宋体" w:hAnsi="宋体" w:eastAsia="宋体" w:cs="宋体"/>
          <w:color w:val="000000" w:themeColor="text1"/>
          <w:szCs w:val="24"/>
          <w14:textFill>
            <w14:solidFill>
              <w14:schemeClr w14:val="tx1"/>
            </w14:solidFill>
          </w14:textFill>
        </w:rPr>
      </w:pPr>
    </w:p>
    <w:p w14:paraId="0E7194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Objective</w:t>
      </w:r>
      <w:r>
        <w:rPr>
          <w:rFonts w:hint="eastAsia" w:ascii="宋体" w:hAnsi="宋体" w:eastAsia="宋体" w:cs="宋体"/>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This study investigated immune lineage remodeling and intercellular </w:t>
      </w:r>
    </w:p>
    <w:p w14:paraId="376A8F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communication to elucidate the mechanisms driving the progression from active </w:t>
      </w:r>
    </w:p>
    <w:p w14:paraId="757D16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tuberculosis to disseminated tuberculosis.</w:t>
      </w:r>
      <w:r>
        <w:rPr>
          <w:rFonts w:hint="eastAsia" w:ascii="宋体" w:hAnsi="宋体" w:eastAsia="宋体" w:cs="宋体"/>
          <w:b/>
          <w:bCs/>
          <w:color w:val="000000" w:themeColor="text1"/>
          <w:szCs w:val="24"/>
          <w14:textFill>
            <w14:solidFill>
              <w14:schemeClr w14:val="tx1"/>
            </w14:solidFill>
          </w14:textFill>
        </w:rPr>
        <w:t>Methods</w:t>
      </w:r>
      <w:r>
        <w:rPr>
          <w:rFonts w:hint="eastAsia" w:ascii="宋体" w:hAnsi="宋体" w:eastAsia="宋体" w:cs="宋体"/>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We integrated single-cell </w:t>
      </w:r>
    </w:p>
    <w:p w14:paraId="6A57CF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RNA-sequencing datasets of peripheral blood mononuclear cells from healthy </w:t>
      </w:r>
    </w:p>
    <w:p w14:paraId="636ACA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controls, patients with active tuberculosis, and patients with disseminated </w:t>
      </w:r>
    </w:p>
    <w:p w14:paraId="27A027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(n = 3 for each group) to perform cellular clustering, functional </w:t>
      </w:r>
    </w:p>
    <w:p w14:paraId="7E9338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assessment, and communication network analyses.</w:t>
      </w: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Analysis identified 16 </w:t>
      </w:r>
    </w:p>
    <w:p w14:paraId="26C539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clusters across 5 major lineages. Although global cellular proportions remained </w:t>
      </w:r>
    </w:p>
    <w:p w14:paraId="04E10B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statistically stable across patient cohorts, disease progression was </w:t>
      </w:r>
    </w:p>
    <w:p w14:paraId="06A4947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characterized by distinct cell-intrinsic transcriptomic shifts and </w:t>
      </w:r>
    </w:p>
    <w:p w14:paraId="17CD49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subset-specific remodeling. This landscape was highlighted by the systematic </w:t>
      </w:r>
    </w:p>
    <w:p w14:paraId="3EF237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peripheral depletion of homeostatic "guardian" monocytes, alongside functional </w:t>
      </w:r>
    </w:p>
    <w:p w14:paraId="463D34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disruptions in natural killer and B-cell states, and a severe-stage-specific </w:t>
      </w:r>
    </w:p>
    <w:p w14:paraId="0B6756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accumulation of exhausted T cells. Consequently, circulating intercellular </w:t>
      </w:r>
    </w:p>
    <w:p w14:paraId="6249FD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communication networks were broadly attenuated in infected groups, featuring </w:t>
      </w:r>
    </w:p>
    <w:p w14:paraId="5E183AF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diminished receptor-ligand interactions between peripheral dendritic cells and </w:t>
      </w:r>
    </w:p>
    <w:p w14:paraId="37DAB3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naïve CD8+ T cells, driven by cell-intrinsic transcriptional rewiring rather </w:t>
      </w:r>
    </w:p>
    <w:p w14:paraId="1597D6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than shifts in underlying cell frequencies.</w:t>
      </w: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b/>
          <w:bCs/>
          <w:color w:val="000000" w:themeColor="text1"/>
          <w:szCs w:val="24"/>
          <w:lang w:val="en-US" w:eastAsia="zh-CN"/>
          <w14:textFill>
            <w14:solidFill>
              <w14:schemeClr w14:val="tx1"/>
            </w14:solidFill>
          </w14:textFill>
        </w:rPr>
        <w:t xml:space="preserve"> </w:t>
      </w:r>
      <w:r>
        <w:rPr>
          <w:rFonts w:hint="eastAsia" w:ascii="宋体" w:hAnsi="宋体" w:eastAsia="宋体" w:cs="宋体"/>
          <w:color w:val="000000" w:themeColor="text1"/>
          <w:szCs w:val="24"/>
          <w14:textFill>
            <w14:solidFill>
              <w14:schemeClr w14:val="tx1"/>
            </w14:solidFill>
          </w14:textFill>
        </w:rPr>
        <w:t xml:space="preserve">Tuberculosis progression </w:t>
      </w:r>
    </w:p>
    <w:p w14:paraId="431CCD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involves profound peripheral immune remodeling marked by the systemic attrition </w:t>
      </w:r>
    </w:p>
    <w:p w14:paraId="42CD00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circulating homeostatic populations and altered blood interactome dynamics. </w:t>
      </w:r>
    </w:p>
    <w:p w14:paraId="2F194FC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This preliminary atlas provides an exploratory framework for potential </w:t>
      </w:r>
    </w:p>
    <w:p w14:paraId="7998FF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therapeutic interventions in severe tuberculosis.</w:t>
      </w:r>
    </w:p>
    <w:p w14:paraId="1838F72A">
      <w:pPr>
        <w:rPr>
          <w:rFonts w:hint="eastAsia" w:ascii="宋体" w:hAnsi="宋体" w:eastAsia="宋体" w:cs="宋体"/>
          <w:color w:val="000000" w:themeColor="text1"/>
          <w:szCs w:val="24"/>
          <w14:textFill>
            <w14:solidFill>
              <w14:schemeClr w14:val="tx1"/>
            </w14:solidFill>
          </w14:textFill>
        </w:rPr>
      </w:pPr>
    </w:p>
    <w:p w14:paraId="26F383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10.1177/03000605261480907</w:t>
      </w:r>
    </w:p>
    <w:p w14:paraId="2B16F61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PMC13527331</w:t>
      </w:r>
    </w:p>
    <w:p w14:paraId="6755B1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42669785 [Indexed for MEDLINE]</w:t>
      </w:r>
    </w:p>
    <w:p w14:paraId="514835D0">
      <w:pPr>
        <w:rPr>
          <w:rFonts w:hint="eastAsia" w:ascii="宋体" w:hAnsi="宋体" w:eastAsia="宋体" w:cs="宋体"/>
          <w:color w:val="000000" w:themeColor="text1"/>
          <w:szCs w:val="24"/>
          <w14:textFill>
            <w14:solidFill>
              <w14:schemeClr w14:val="tx1"/>
            </w14:solidFill>
          </w14:textFill>
        </w:rPr>
      </w:pPr>
    </w:p>
    <w:p w14:paraId="7FE446C3">
      <w:pPr>
        <w:rPr>
          <w:rFonts w:hint="eastAsia" w:ascii="宋体" w:hAnsi="宋体" w:eastAsia="宋体" w:cs="宋体"/>
          <w:b/>
          <w:bCs/>
          <w:color w:val="FF0000"/>
          <w:szCs w:val="24"/>
        </w:rPr>
      </w:pPr>
      <w:r>
        <w:rPr>
          <w:rFonts w:hint="eastAsia" w:ascii="宋体" w:hAnsi="宋体" w:eastAsia="宋体" w:cs="宋体"/>
          <w:b/>
          <w:bCs/>
          <w:color w:val="FF0000"/>
          <w:szCs w:val="24"/>
        </w:rPr>
        <w:t>1</w:t>
      </w:r>
      <w:r>
        <w:rPr>
          <w:rFonts w:hint="eastAsia" w:ascii="宋体" w:hAnsi="宋体" w:eastAsia="宋体" w:cs="宋体"/>
          <w:b/>
          <w:bCs/>
          <w:color w:val="FF0000"/>
          <w:szCs w:val="24"/>
          <w:lang w:val="en-US" w:eastAsia="zh-CN"/>
        </w:rPr>
        <w:t>4</w:t>
      </w:r>
      <w:r>
        <w:rPr>
          <w:rFonts w:hint="eastAsia" w:ascii="宋体" w:hAnsi="宋体" w:eastAsia="宋体" w:cs="宋体"/>
          <w:b/>
          <w:bCs/>
          <w:color w:val="FF0000"/>
          <w:szCs w:val="24"/>
        </w:rPr>
        <w:t>. Phytomedicine. 2026 Aug 23;161:158753. doi: 10.1016/j.phymed.2026.158753. Online ahead of print.</w:t>
      </w:r>
    </w:p>
    <w:p w14:paraId="45BAAC3D">
      <w:pPr>
        <w:rPr>
          <w:rFonts w:hint="eastAsia" w:ascii="宋体" w:hAnsi="宋体" w:eastAsia="宋体" w:cs="宋体"/>
          <w:color w:val="000000" w:themeColor="text1"/>
          <w:szCs w:val="24"/>
          <w14:textFill>
            <w14:solidFill>
              <w14:schemeClr w14:val="tx1"/>
            </w14:solidFill>
          </w14:textFill>
        </w:rPr>
      </w:pPr>
    </w:p>
    <w:p w14:paraId="2140C9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Curcumin enhances mycobacterial clearance in diabetes-tuberculosis by targeting </w:t>
      </w:r>
    </w:p>
    <w:p w14:paraId="5EFF64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 WNT6.</w:t>
      </w:r>
    </w:p>
    <w:p w14:paraId="03225883">
      <w:pPr>
        <w:rPr>
          <w:rFonts w:hint="eastAsia" w:ascii="宋体" w:hAnsi="宋体" w:eastAsia="宋体" w:cs="宋体"/>
          <w:color w:val="000000" w:themeColor="text1"/>
          <w:szCs w:val="24"/>
          <w14:textFill>
            <w14:solidFill>
              <w14:schemeClr w14:val="tx1"/>
            </w14:solidFill>
          </w14:textFill>
        </w:rPr>
      </w:pPr>
    </w:p>
    <w:p w14:paraId="01698E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Lu H(1), Liu G(2), Li W(3), Xu Y(4), Li J(5), Lin J(6), Zeng L(7), Yang Q(6), </w:t>
      </w:r>
    </w:p>
    <w:p w14:paraId="1E885F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Yang J(6), Deng G(6), Chen X(1), Wang W(8).</w:t>
      </w:r>
    </w:p>
    <w:p w14:paraId="2FFB5A12">
      <w:pPr>
        <w:rPr>
          <w:rFonts w:hint="eastAsia" w:ascii="宋体" w:hAnsi="宋体" w:eastAsia="宋体" w:cs="宋体"/>
          <w:color w:val="000000" w:themeColor="text1"/>
          <w:szCs w:val="24"/>
          <w14:textFill>
            <w14:solidFill>
              <w14:schemeClr w14:val="tx1"/>
            </w14:solidFill>
          </w14:textFill>
        </w:rPr>
      </w:pPr>
    </w:p>
    <w:p w14:paraId="07B3668C">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Hailin Lu,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Guizhen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Wensi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Yuzhong Xu,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Jin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Jingyan Lin,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Lina Zeng,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Qianting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Jiahuan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Guofang Deng,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Xinchun Chen,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Wenfei Wang</w:t>
      </w:r>
      <w:r>
        <w:rPr>
          <w:rFonts w:hint="eastAsia" w:ascii="宋体" w:hAnsi="宋体" w:eastAsia="宋体" w:cs="宋体"/>
          <w:b/>
          <w:bCs/>
          <w:color w:val="0070C0"/>
          <w:szCs w:val="24"/>
          <w:lang w:val="en-US" w:eastAsia="zh-CN"/>
        </w:rPr>
        <w:t>*</w:t>
      </w:r>
    </w:p>
    <w:p w14:paraId="6746800B">
      <w:pPr>
        <w:rPr>
          <w:rFonts w:hint="eastAsia" w:ascii="宋体" w:hAnsi="宋体" w:eastAsia="宋体" w:cs="宋体"/>
          <w:b/>
          <w:bCs/>
          <w:color w:val="0070C0"/>
          <w:szCs w:val="24"/>
        </w:rPr>
      </w:pPr>
      <w:r>
        <w:rPr>
          <w:rFonts w:hint="eastAsia" w:ascii="宋体" w:hAnsi="宋体" w:eastAsia="宋体" w:cs="宋体"/>
          <w:b/>
          <w:bCs/>
          <w:color w:val="0070C0"/>
          <w:szCs w:val="24"/>
        </w:rPr>
        <w:t>* Corresponding author. E-mail address: shy_wenfei@hotmail.com (Wenfei Wang).</w:t>
      </w:r>
    </w:p>
    <w:p w14:paraId="11EB6446">
      <w:pPr>
        <w:rPr>
          <w:rFonts w:hint="eastAsia" w:ascii="宋体" w:hAnsi="宋体" w:eastAsia="宋体" w:cs="宋体"/>
          <w:color w:val="000000" w:themeColor="text1"/>
          <w:szCs w:val="24"/>
          <w14:textFill>
            <w14:solidFill>
              <w14:schemeClr w14:val="tx1"/>
            </w14:solidFill>
          </w14:textFill>
        </w:rPr>
      </w:pPr>
    </w:p>
    <w:p w14:paraId="6A1528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41EC20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(1)Shenzhen University Medical School, Shenzhen, China.</w:t>
      </w:r>
    </w:p>
    <w:p w14:paraId="3DD05E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(2)Gannan Medical University, Ganzhou, China.</w:t>
      </w:r>
    </w:p>
    <w:p w14:paraId="74B032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(3)Shenzhen University Medical School, Shenzhen, China; School of Pharmacy, </w:t>
      </w:r>
    </w:p>
    <w:p w14:paraId="7829752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Shenzhen University, Shenzhen, China.</w:t>
      </w:r>
    </w:p>
    <w:p w14:paraId="5280BC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(4)Department of Clinical Laboratory, Shenzhen Baoan hospital, Shenzhen, China.</w:t>
      </w:r>
    </w:p>
    <w:p w14:paraId="70A401B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(5)The Seventh Affiliated Hospital Sun Yat-sen University, Shenzhen, China.</w:t>
      </w:r>
    </w:p>
    <w:p w14:paraId="5C5D96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(6)National Clinical Research Center for Infectious Disease, Shenzhen Third </w:t>
      </w:r>
    </w:p>
    <w:p w14:paraId="719FFF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People's Hospital, Shenzhen, China.</w:t>
      </w:r>
    </w:p>
    <w:p w14:paraId="0860BE8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(7)Gannan Medical University, Ganzhou, China; National Clinical Research Center </w:t>
      </w:r>
    </w:p>
    <w:p w14:paraId="38D850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for Infectious Disease, Shenzhen Third People's Hospital, Shenzhen, China.</w:t>
      </w:r>
    </w:p>
    <w:p w14:paraId="6E2D6A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(8)Department of Clinical Laboratory, Shenzhen Baoan hospital, Shenzhen, China. </w:t>
      </w:r>
    </w:p>
    <w:p w14:paraId="0D9F5D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Electronic address: shy_wenfei@hotmail.com.</w:t>
      </w:r>
    </w:p>
    <w:p w14:paraId="75F57A59">
      <w:pPr>
        <w:rPr>
          <w:rFonts w:hint="eastAsia" w:ascii="宋体" w:hAnsi="宋体" w:eastAsia="宋体" w:cs="宋体"/>
          <w:b/>
          <w:bCs/>
          <w:color w:val="000000" w:themeColor="text1"/>
          <w:szCs w:val="24"/>
          <w14:textFill>
            <w14:solidFill>
              <w14:schemeClr w14:val="tx1"/>
            </w14:solidFill>
          </w14:textFill>
        </w:rPr>
      </w:pPr>
    </w:p>
    <w:p w14:paraId="07F400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The convergence of tuberculosis (TB) and diabetes mellitus (DM) </w:t>
      </w:r>
    </w:p>
    <w:p w14:paraId="03763B7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represents a critical global health challenge. Chronic hyperglycemia compromises </w:t>
      </w:r>
    </w:p>
    <w:p w14:paraId="65820A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macrophage bactericidal capacity, leading to excessive reactive oxygen species </w:t>
      </w:r>
    </w:p>
    <w:p w14:paraId="2C25D7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(ROS) accumulation and proinflammatory microenvironment that causing </w:t>
      </w:r>
    </w:p>
    <w:p w14:paraId="6622E2B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pathological damage to the lungs and paradoxically favors Mtb survival.</w:t>
      </w:r>
    </w:p>
    <w:p w14:paraId="56C9B33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OBJECTIVE: This study aimed to investigate the therapeutic potential of curcumin </w:t>
      </w:r>
    </w:p>
    <w:p w14:paraId="70DAC9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 mitigating metabolic-immune dysfunction in DM-TB comorbidity via </w:t>
      </w:r>
    </w:p>
    <w:p w14:paraId="776923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WNT6-mediated macrophage modulation.</w:t>
      </w:r>
    </w:p>
    <w:p w14:paraId="09DE42B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This study established a Type 2 Diabetes (T2D) mouse model using </w:t>
      </w:r>
    </w:p>
    <w:p w14:paraId="4C95F6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C57BL/6 mice, Mice were infected with H37Rv via inhalation, followed by curcumin </w:t>
      </w:r>
    </w:p>
    <w:p w14:paraId="2F10D4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administration. Various methodologies were employed, including RNA sequencing, </w:t>
      </w:r>
    </w:p>
    <w:p w14:paraId="25FDD18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flow cytometry, seahorse and Confocal Microscopy. THP-1 cells and bone </w:t>
      </w:r>
    </w:p>
    <w:p w14:paraId="4EB0DC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marrow-derived macrophages (BMDMs) were differentiated and used for infection </w:t>
      </w:r>
    </w:p>
    <w:p w14:paraId="567631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studies, assessing cell viability and intracellular bacterial burden.</w:t>
      </w:r>
    </w:p>
    <w:p w14:paraId="151A5F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Curcumin effectively reversed the pathological alterations associated </w:t>
      </w:r>
    </w:p>
    <w:p w14:paraId="015ADB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hyperglycemia. Specifically, it suppressed WNT6 expression, reduced lipid </w:t>
      </w:r>
    </w:p>
    <w:p w14:paraId="2D574A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droplet formation, and decreased FAO in macrophages. Additionally, curcumin </w:t>
      </w:r>
    </w:p>
    <w:p w14:paraId="393861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mitigated oxidative stress, restored immune homeostasis, and enhanced Mtb </w:t>
      </w:r>
    </w:p>
    <w:p w14:paraId="4CD7C3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clearance.</w:t>
      </w:r>
    </w:p>
    <w:p w14:paraId="7D3C48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Curcumin emerged as a viable intervention for strengthening host </w:t>
      </w:r>
    </w:p>
    <w:p w14:paraId="2DCDDD6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defense against TB in diabetic populations.</w:t>
      </w:r>
    </w:p>
    <w:p w14:paraId="57A43F37">
      <w:pPr>
        <w:rPr>
          <w:rFonts w:hint="eastAsia" w:ascii="宋体" w:hAnsi="宋体" w:eastAsia="宋体" w:cs="宋体"/>
          <w:color w:val="000000" w:themeColor="text1"/>
          <w:szCs w:val="24"/>
          <w14:textFill>
            <w14:solidFill>
              <w14:schemeClr w14:val="tx1"/>
            </w14:solidFill>
          </w14:textFill>
        </w:rPr>
      </w:pPr>
    </w:p>
    <w:p w14:paraId="39477A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Elsevier GmbH. All rights reserved.</w:t>
      </w:r>
    </w:p>
    <w:p w14:paraId="64F0269D">
      <w:pPr>
        <w:rPr>
          <w:rFonts w:hint="eastAsia" w:ascii="宋体" w:hAnsi="宋体" w:eastAsia="宋体" w:cs="宋体"/>
          <w:color w:val="000000" w:themeColor="text1"/>
          <w:szCs w:val="24"/>
          <w14:textFill>
            <w14:solidFill>
              <w14:schemeClr w14:val="tx1"/>
            </w14:solidFill>
          </w14:textFill>
        </w:rPr>
      </w:pPr>
    </w:p>
    <w:p w14:paraId="4E7E60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10.1016/j.phymed.2026.158753</w:t>
      </w:r>
    </w:p>
    <w:p w14:paraId="166FC6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42700713</w:t>
      </w:r>
    </w:p>
    <w:p w14:paraId="62EE2ECA">
      <w:pPr>
        <w:rPr>
          <w:rFonts w:hint="eastAsia" w:ascii="宋体" w:hAnsi="宋体" w:eastAsia="宋体" w:cs="宋体"/>
          <w:color w:val="000000" w:themeColor="text1"/>
          <w:szCs w:val="24"/>
          <w14:textFill>
            <w14:solidFill>
              <w14:schemeClr w14:val="tx1"/>
            </w14:solidFill>
          </w14:textFill>
        </w:rPr>
      </w:pPr>
    </w:p>
    <w:p w14:paraId="55ABFF87">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15</w:t>
      </w:r>
      <w:r>
        <w:rPr>
          <w:rFonts w:hint="eastAsia" w:ascii="宋体" w:hAnsi="宋体" w:eastAsia="宋体" w:cs="宋体"/>
          <w:b/>
          <w:bCs/>
          <w:color w:val="FF0000"/>
          <w:szCs w:val="24"/>
        </w:rPr>
        <w:t xml:space="preserve">. Front Immunol. 2026 Aug 21;17:1909083. doi: 10.3389/fimmu.2026.1909083. </w:t>
      </w:r>
    </w:p>
    <w:p w14:paraId="70E7D2CD">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546E5B56">
      <w:pPr>
        <w:rPr>
          <w:rFonts w:hint="eastAsia" w:ascii="宋体" w:hAnsi="宋体" w:eastAsia="宋体" w:cs="宋体"/>
          <w:color w:val="000000" w:themeColor="text1"/>
          <w:szCs w:val="24"/>
          <w14:textFill>
            <w14:solidFill>
              <w14:schemeClr w14:val="tx1"/>
            </w14:solidFill>
          </w14:textFill>
        </w:rPr>
      </w:pPr>
    </w:p>
    <w:p w14:paraId="2DC040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Integrated histopathology and single-cell transcriptomics reveal distinct </w:t>
      </w:r>
    </w:p>
    <w:p w14:paraId="4268E4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pathological features and foamy macrophage characteristics in spinal </w:t>
      </w:r>
    </w:p>
    <w:p w14:paraId="45EB365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tuberculosis and brucellar spondylitis.</w:t>
      </w:r>
    </w:p>
    <w:p w14:paraId="086C6169">
      <w:pPr>
        <w:rPr>
          <w:rFonts w:hint="eastAsia" w:ascii="宋体" w:hAnsi="宋体" w:eastAsia="宋体" w:cs="宋体"/>
          <w:color w:val="000000" w:themeColor="text1"/>
          <w:szCs w:val="24"/>
          <w14:textFill>
            <w14:solidFill>
              <w14:schemeClr w14:val="tx1"/>
            </w14:solidFill>
          </w14:textFill>
        </w:rPr>
      </w:pPr>
    </w:p>
    <w:p w14:paraId="79F985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Liu Q(#)(1)(2), Guo H(#)(1)(2), Liu J(#)(1)(2), Tao Z(1)(2), Ma L(1)(2), Gu </w:t>
      </w:r>
    </w:p>
    <w:p w14:paraId="2A44FF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Z(1)(2), Yue X(1)(2), Wei D(1), Niu N(1)(3), Shi J(1)(3).</w:t>
      </w:r>
    </w:p>
    <w:p w14:paraId="103F516C">
      <w:pPr>
        <w:rPr>
          <w:rFonts w:hint="eastAsia" w:ascii="宋体" w:hAnsi="宋体" w:eastAsia="宋体" w:cs="宋体"/>
          <w:color w:val="000000" w:themeColor="text1"/>
          <w:szCs w:val="24"/>
          <w14:textFill>
            <w14:solidFill>
              <w14:schemeClr w14:val="tx1"/>
            </w14:solidFill>
          </w14:textFill>
        </w:rPr>
      </w:pPr>
    </w:p>
    <w:p w14:paraId="4FB184EC">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Qiang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Hanhua Guo,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Junxiao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Zhenyong Tao,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Long Ma,</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Zhangui Gu,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Xuefeng Yue,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Daihao Wei,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Ningkui Niu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Jiandang Shi</w:t>
      </w:r>
      <w:r>
        <w:rPr>
          <w:rFonts w:hint="eastAsia" w:ascii="宋体" w:hAnsi="宋体" w:eastAsia="宋体" w:cs="宋体"/>
          <w:b/>
          <w:bCs/>
          <w:color w:val="0070C0"/>
          <w:szCs w:val="24"/>
          <w:lang w:val="en-US" w:eastAsia="zh-CN"/>
        </w:rPr>
        <w:t>*</w:t>
      </w:r>
    </w:p>
    <w:p w14:paraId="6C9EDE9E">
      <w:pPr>
        <w:jc w:val="left"/>
        <w:rPr>
          <w:rFonts w:hint="eastAsia" w:ascii="宋体" w:hAnsi="宋体" w:eastAsia="宋体" w:cs="宋体"/>
          <w:b/>
          <w:bCs/>
          <w:color w:val="0070C0"/>
          <w:szCs w:val="24"/>
        </w:rPr>
      </w:pPr>
      <w:r>
        <w:rPr>
          <w:rFonts w:hint="eastAsia" w:ascii="宋体" w:hAnsi="宋体" w:eastAsia="宋体" w:cs="宋体"/>
          <w:b/>
          <w:bCs/>
          <w:color w:val="0070C0"/>
          <w:szCs w:val="24"/>
        </w:rPr>
        <w:t>*CORRESPONDENCE Ningkui Niu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niuningkui@163.com </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Jiandang Shi</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shi_jiandang@nxmu.edu.cn</w:t>
      </w:r>
    </w:p>
    <w:p w14:paraId="192F8A04">
      <w:pPr>
        <w:rPr>
          <w:rFonts w:hint="eastAsia" w:ascii="宋体" w:hAnsi="宋体" w:eastAsia="宋体" w:cs="宋体"/>
          <w:color w:val="000000" w:themeColor="text1"/>
          <w:szCs w:val="24"/>
          <w14:textFill>
            <w14:solidFill>
              <w14:schemeClr w14:val="tx1"/>
            </w14:solidFill>
          </w14:textFill>
        </w:rPr>
      </w:pPr>
    </w:p>
    <w:p w14:paraId="2D1388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4589D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Orthopedic, General Hospital of Ningxia Medical University, </w:t>
      </w:r>
    </w:p>
    <w:p w14:paraId="3F77E2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Yinchuan Ningxia Hui Autonomous Region, China.</w:t>
      </w:r>
    </w:p>
    <w:p w14:paraId="0DB16C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(2)Ningxia Medical University, Yinchuan, Ningxia Hui Autonomous Region, China.</w:t>
      </w:r>
    </w:p>
    <w:p w14:paraId="27847B3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(3)Research Center for Prevention and Control of Bone and Joint Tuberculosis, </w:t>
      </w:r>
    </w:p>
    <w:p w14:paraId="55297D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General Hospital of Ningxia Medical University, Ningxia, China.</w:t>
      </w:r>
    </w:p>
    <w:p w14:paraId="55961CA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2C2538C3">
      <w:pPr>
        <w:rPr>
          <w:rFonts w:hint="eastAsia" w:ascii="宋体" w:hAnsi="宋体" w:eastAsia="宋体" w:cs="宋体"/>
          <w:color w:val="000000" w:themeColor="text1"/>
          <w:szCs w:val="24"/>
          <w14:textFill>
            <w14:solidFill>
              <w14:schemeClr w14:val="tx1"/>
            </w14:solidFill>
          </w14:textFill>
        </w:rPr>
      </w:pPr>
    </w:p>
    <w:p w14:paraId="7D13C4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Spinal tuberculosis (STB) and brucellar spondylitis (BS) show </w:t>
      </w:r>
    </w:p>
    <w:p w14:paraId="373134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substantial overlap in clinical and imaging manifestations, but their local </w:t>
      </w:r>
    </w:p>
    <w:p w14:paraId="1F62A95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immunopathological programs and corresponding cellular states have not been </w:t>
      </w:r>
    </w:p>
    <w:p w14:paraId="6E7F3C6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systematically compared. This study integrated histopathology and single-cell </w:t>
      </w:r>
    </w:p>
    <w:p w14:paraId="748D64E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transcriptomics to compare lesion-level differences between STB and BS and to </w:t>
      </w:r>
    </w:p>
    <w:p w14:paraId="7B5AF10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characterize macrophage states associated with the foamy cell reaction.</w:t>
      </w:r>
    </w:p>
    <w:p w14:paraId="0BD7D7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This retrospective case-control study included 80 STB cases and 80 BS </w:t>
      </w:r>
    </w:p>
    <w:p w14:paraId="022FD1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cases treated between January 2020 and December 2024. H&amp;E-stained lesion tissues </w:t>
      </w:r>
    </w:p>
    <w:p w14:paraId="512928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the full surgical cohort were reviewed for comparative histopathology. </w:t>
      </w:r>
    </w:p>
    <w:p w14:paraId="15F137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Fresh lesion nucleus pulposus tissue from six representative cases (STB = 3, </w:t>
      </w:r>
    </w:p>
    <w:p w14:paraId="7166AF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BS = 3) underwent scRNA-seq re-analysis with cell-type annotation, myeloid </w:t>
      </w:r>
    </w:p>
    <w:p w14:paraId="2D1AACF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subclustering, functional module scoring, GSVA, and CellChat analysis. Dual </w:t>
      </w:r>
    </w:p>
    <w:p w14:paraId="41C9AC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immunofluorescence for CD68 paired with CYP27A1, PLIN2, or PPARγ was used as </w:t>
      </w:r>
    </w:p>
    <w:p w14:paraId="069400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tissue-level validation.The scRNA-seq workflow focused on the </w:t>
      </w:r>
    </w:p>
    <w:p w14:paraId="10F773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monocyte-macrophage lineage to evaluate lipid-remodelled states associated with </w:t>
      </w:r>
    </w:p>
    <w:p w14:paraId="60A9856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foamy cell reaction. Tissue-level immunofluorescence and supplementary </w:t>
      </w:r>
    </w:p>
    <w:p w14:paraId="1F18B9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statistical summaries were interpreted as orthogonal support for the </w:t>
      </w:r>
    </w:p>
    <w:p w14:paraId="245952F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transcriptomic findings rather than as stand-alone diagnostic criteria.</w:t>
      </w:r>
    </w:p>
    <w:p w14:paraId="1177DD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Histopathological comparison showed that STB and BS were both dominated </w:t>
      </w:r>
    </w:p>
    <w:p w14:paraId="4DB3A3C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by chronic inflammation but exhibited distinct lesion patterns. STB was </w:t>
      </w:r>
    </w:p>
    <w:p w14:paraId="74DBB8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characterized mainly by tuberculous nodules, caseous necrosis, Langhans giant </w:t>
      </w:r>
    </w:p>
    <w:p w14:paraId="03B3C3A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cells, and granulomatous inflammation, whereas BS more often showed plasma cell </w:t>
      </w:r>
    </w:p>
    <w:p w14:paraId="134AA3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infiltration, foamy cell reaction, eosinophil infiltration, and fibrotic repair. </w:t>
      </w:r>
    </w:p>
    <w:p w14:paraId="365777E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These between-group differences were statistically significant (P &lt; 0.05 or </w:t>
      </w:r>
    </w:p>
    <w:p w14:paraId="382B4F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 &lt; 0.01, as appropriate).scRNA-seq yielded 67,274 high-quality cells and </w:t>
      </w:r>
    </w:p>
    <w:p w14:paraId="175A368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identified nine major cell types. Re-clustering of the Mono_Macrophage_DC </w:t>
      </w:r>
    </w:p>
    <w:p w14:paraId="11BEF1E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lineage identified 15 subclusters, among which Macro4 was relatively enriched in </w:t>
      </w:r>
    </w:p>
    <w:p w14:paraId="15C084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BS. Rather than showing the highest value for every broad foam-cell-related </w:t>
      </w:r>
    </w:p>
    <w:p w14:paraId="1081C4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metric, Macro4 was supported by convergent evidence including relative </w:t>
      </w:r>
    </w:p>
    <w:p w14:paraId="6E20CB1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enrichment in BS, coordinated expression of PPARG, APOE, APOC1, PLIN2, and </w:t>
      </w:r>
    </w:p>
    <w:p w14:paraId="466EBF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CYP27A1, and higher lipid-droplet-formation and cholesterol-efflux-related </w:t>
      </w:r>
    </w:p>
    <w:p w14:paraId="15ADC8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programs in BS_Macro4.Dual immunofluorescence showed higher CD68-normalized </w:t>
      </w:r>
    </w:p>
    <w:p w14:paraId="766FB1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overlap fractions for CYP27A1, PLIN2, and PPARγ in BS lesion tissues than in STB </w:t>
      </w:r>
    </w:p>
    <w:p w14:paraId="55C412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lesion tissues (P &lt; 0.05). CellChat analysis further suggested that Macro4 </w:t>
      </w:r>
    </w:p>
    <w:p w14:paraId="35E5BE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contributed relatively more to the HGF-MET signalling context in BS, although </w:t>
      </w:r>
    </w:p>
    <w:p w14:paraId="374056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these ligand-receptor relationships should be interpreted as </w:t>
      </w:r>
    </w:p>
    <w:p w14:paraId="5FFDC9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transcriptome-inferred candidate interactions.</w:t>
      </w:r>
    </w:p>
    <w:p w14:paraId="4125379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color w:val="000000" w:themeColor="text1"/>
          <w:szCs w:val="24"/>
          <w14:textFill>
            <w14:solidFill>
              <w14:schemeClr w14:val="tx1"/>
            </w14:solidFill>
          </w14:textFill>
        </w:rPr>
        <w:t xml:space="preserve"> STB and BS exhibit distinct local immunopathological programs. STB </w:t>
      </w:r>
    </w:p>
    <w:p w14:paraId="167235F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is characterized by a granulomatous-necrotizing inflammatory pattern, whereas BS </w:t>
      </w:r>
    </w:p>
    <w:p w14:paraId="645C7A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more often shows a chronic inflammatory and tissue-repair-associated lesion </w:t>
      </w:r>
    </w:p>
    <w:p w14:paraId="5D3A35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background with a more prominent foamy cell reaction. Macro4 is best interpreted </w:t>
      </w:r>
    </w:p>
    <w:p w14:paraId="6404BC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 a BS-associated lipid-remodelled macrophage state supported by convergent </w:t>
      </w:r>
    </w:p>
    <w:p w14:paraId="1F7CA9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histological and transcriptomic evidence. These findings provide a lesion-level </w:t>
      </w:r>
    </w:p>
    <w:p w14:paraId="55DBDA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cellular framework for further pathological and mechanistic study rather than a </w:t>
      </w:r>
    </w:p>
    <w:p w14:paraId="2B7D1B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validated stand-alone diagnostic cutoff.</w:t>
      </w:r>
    </w:p>
    <w:p w14:paraId="4E32874B">
      <w:pPr>
        <w:rPr>
          <w:rFonts w:hint="eastAsia" w:ascii="宋体" w:hAnsi="宋体" w:eastAsia="宋体" w:cs="宋体"/>
          <w:color w:val="000000" w:themeColor="text1"/>
          <w:szCs w:val="24"/>
          <w14:textFill>
            <w14:solidFill>
              <w14:schemeClr w14:val="tx1"/>
            </w14:solidFill>
          </w14:textFill>
        </w:rPr>
      </w:pPr>
    </w:p>
    <w:p w14:paraId="491EA2D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Liu, Guo, Liu, Tao, Ma, Gu, Yue, Wei, Niu and Shi.</w:t>
      </w:r>
    </w:p>
    <w:p w14:paraId="011EB7F0">
      <w:pPr>
        <w:rPr>
          <w:rFonts w:hint="eastAsia" w:ascii="宋体" w:hAnsi="宋体" w:eastAsia="宋体" w:cs="宋体"/>
          <w:color w:val="000000" w:themeColor="text1"/>
          <w:szCs w:val="24"/>
          <w14:textFill>
            <w14:solidFill>
              <w14:schemeClr w14:val="tx1"/>
            </w14:solidFill>
          </w14:textFill>
        </w:rPr>
      </w:pPr>
    </w:p>
    <w:p w14:paraId="24B6FB5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10.3389/fimmu.2026.1909083</w:t>
      </w:r>
    </w:p>
    <w:p w14:paraId="6EFB37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PMC13541710</w:t>
      </w:r>
    </w:p>
    <w:p w14:paraId="468F1FE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42698543 [Indexed for MEDLINE]</w:t>
      </w:r>
    </w:p>
    <w:p w14:paraId="7D3F8006">
      <w:pPr>
        <w:rPr>
          <w:rFonts w:hint="eastAsia" w:ascii="宋体" w:hAnsi="宋体" w:eastAsia="宋体" w:cs="宋体"/>
          <w:color w:val="000000" w:themeColor="text1"/>
          <w:szCs w:val="24"/>
          <w14:textFill>
            <w14:solidFill>
              <w14:schemeClr w14:val="tx1"/>
            </w14:solidFill>
          </w14:textFill>
        </w:rPr>
      </w:pPr>
    </w:p>
    <w:p w14:paraId="5DF64407">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16</w:t>
      </w:r>
      <w:r>
        <w:rPr>
          <w:rFonts w:hint="eastAsia" w:ascii="宋体" w:hAnsi="宋体" w:eastAsia="宋体" w:cs="宋体"/>
          <w:b/>
          <w:bCs/>
          <w:color w:val="FF0000"/>
          <w:szCs w:val="24"/>
        </w:rPr>
        <w:t xml:space="preserve">. Front Immunol. 2026 Aug 19;17:1889276. doi: 10.3389/fimmu.2026.1889276. </w:t>
      </w:r>
    </w:p>
    <w:p w14:paraId="076DDC6A">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354CCB63">
      <w:pPr>
        <w:rPr>
          <w:rFonts w:hint="eastAsia" w:ascii="宋体" w:hAnsi="宋体" w:eastAsia="宋体" w:cs="宋体"/>
          <w:color w:val="000000" w:themeColor="text1"/>
          <w:szCs w:val="24"/>
          <w14:textFill>
            <w14:solidFill>
              <w14:schemeClr w14:val="tx1"/>
            </w14:solidFill>
          </w14:textFill>
        </w:rPr>
      </w:pPr>
    </w:p>
    <w:p w14:paraId="4BF61A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granulomas to tumors: post-tuberculosis immune and structural lung </w:t>
      </w:r>
    </w:p>
    <w:p w14:paraId="0E184B4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remodeling as a driver of carcinogenesis.</w:t>
      </w:r>
    </w:p>
    <w:p w14:paraId="62B01BE7">
      <w:pPr>
        <w:rPr>
          <w:rFonts w:hint="eastAsia" w:ascii="宋体" w:hAnsi="宋体" w:eastAsia="宋体" w:cs="宋体"/>
          <w:color w:val="000000" w:themeColor="text1"/>
          <w:szCs w:val="24"/>
          <w14:textFill>
            <w14:solidFill>
              <w14:schemeClr w14:val="tx1"/>
            </w14:solidFill>
          </w14:textFill>
        </w:rPr>
      </w:pPr>
    </w:p>
    <w:p w14:paraId="18F2E3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Rukonge PA(#)(1), Kawuribi V(#)(2), Lu Z(3), Oluwaseun AF(4), Sheng Y(5), Yan </w:t>
      </w:r>
    </w:p>
    <w:p w14:paraId="316C94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K(1), Zheng Z(6), Liu X(6), Chu L(6), Yu G(7).</w:t>
      </w:r>
    </w:p>
    <w:p w14:paraId="42450E9C">
      <w:pPr>
        <w:rPr>
          <w:rFonts w:hint="eastAsia" w:ascii="宋体" w:hAnsi="宋体" w:eastAsia="宋体" w:cs="宋体"/>
          <w:color w:val="000000" w:themeColor="text1"/>
          <w:szCs w:val="24"/>
          <w14:textFill>
            <w14:solidFill>
              <w14:schemeClr w14:val="tx1"/>
            </w14:solidFill>
          </w14:textFill>
        </w:rPr>
      </w:pPr>
    </w:p>
    <w:p w14:paraId="47829766">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Praise Audax Rukonge,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Vincent Kawuribi,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Zhimeng Lu,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Adelaiye Favour Oluwaseun,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Yifan Sheng,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Kun Yan,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Zhiyang Zheng,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Xinyao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Liang Chu,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Guiping Yu</w:t>
      </w:r>
      <w:r>
        <w:rPr>
          <w:rFonts w:hint="eastAsia" w:ascii="宋体" w:hAnsi="宋体" w:eastAsia="宋体" w:cs="宋体"/>
          <w:b/>
          <w:bCs/>
          <w:color w:val="0070C0"/>
          <w:szCs w:val="24"/>
          <w:lang w:val="en-US" w:eastAsia="zh-CN"/>
        </w:rPr>
        <w:t>*</w:t>
      </w:r>
    </w:p>
    <w:p w14:paraId="676CCD9B">
      <w:pPr>
        <w:rPr>
          <w:rFonts w:hint="eastAsia" w:ascii="宋体" w:hAnsi="宋体" w:eastAsia="宋体" w:cs="宋体"/>
          <w:b/>
          <w:bCs/>
          <w:color w:val="0070C0"/>
          <w:szCs w:val="24"/>
        </w:rPr>
      </w:pPr>
      <w:r>
        <w:rPr>
          <w:rFonts w:hint="eastAsia" w:ascii="宋体" w:hAnsi="宋体" w:eastAsia="宋体" w:cs="宋体"/>
          <w:b/>
          <w:bCs/>
          <w:color w:val="0070C0"/>
          <w:szCs w:val="24"/>
        </w:rPr>
        <w:t>*CORRESPONDENCE Guiping Yu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xiaoyuer97103@163.com</w:t>
      </w:r>
    </w:p>
    <w:p w14:paraId="49B54B1B">
      <w:pPr>
        <w:rPr>
          <w:rFonts w:hint="eastAsia" w:ascii="宋体" w:hAnsi="宋体" w:eastAsia="宋体" w:cs="宋体"/>
          <w:color w:val="000000" w:themeColor="text1"/>
          <w:szCs w:val="24"/>
          <w14:textFill>
            <w14:solidFill>
              <w14:schemeClr w14:val="tx1"/>
            </w14:solidFill>
          </w14:textFill>
        </w:rPr>
      </w:pPr>
    </w:p>
    <w:p w14:paraId="10E850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232DD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Cardiothoracic Surgery, Jiangyin Clinical College of Xuzhou </w:t>
      </w:r>
    </w:p>
    <w:p w14:paraId="3956E87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University, Wuxi, Jiangsu, China.</w:t>
      </w:r>
    </w:p>
    <w:p w14:paraId="7F2DAC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(2)Department of Biomedical Engineering, School of Medical Imaging, Xuzhou </w:t>
      </w:r>
    </w:p>
    <w:p w14:paraId="707B4CF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University, Xuzhou, China.</w:t>
      </w:r>
    </w:p>
    <w:p w14:paraId="5761C4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(3)Department of Cardiothoracic Surgery, The Affiliated Jiangyin Hospital of </w:t>
      </w:r>
    </w:p>
    <w:p w14:paraId="5EBBFF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Nantong University, Jiangsu, China.</w:t>
      </w:r>
    </w:p>
    <w:p w14:paraId="53E93E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(4)The Affiliated Hospital of Henan University of Science and Technology, </w:t>
      </w:r>
    </w:p>
    <w:p w14:paraId="58A3C6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Luoyang, China.</w:t>
      </w:r>
    </w:p>
    <w:p w14:paraId="1450D1C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(5)Wuxi Key Laboratory of Biomaterials for Clinical Application, Department of </w:t>
      </w:r>
    </w:p>
    <w:p w14:paraId="354DDC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Central Laboratory, Jiangyin Clinical College of Xuzhou Medical University, </w:t>
      </w:r>
    </w:p>
    <w:p w14:paraId="443E86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Wuxi, China.</w:t>
      </w:r>
    </w:p>
    <w:p w14:paraId="691A87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(6)Department of Cardiothoracic Surgery, The Affiliated Hospital of Xuzhou </w:t>
      </w:r>
    </w:p>
    <w:p w14:paraId="7A52D9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Medical University, Xuzhou, Jiangsu, China.</w:t>
      </w:r>
    </w:p>
    <w:p w14:paraId="6F010A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(7)Department of Thoracic Surgery, Shanghai Public Health Clinical Center (Fudan </w:t>
      </w:r>
    </w:p>
    <w:p w14:paraId="68FCE5A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Shanghai, China.</w:t>
      </w:r>
    </w:p>
    <w:p w14:paraId="59CC21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605FA422">
      <w:pPr>
        <w:rPr>
          <w:rFonts w:hint="eastAsia" w:ascii="宋体" w:hAnsi="宋体" w:eastAsia="宋体" w:cs="宋体"/>
          <w:color w:val="000000" w:themeColor="text1"/>
          <w:szCs w:val="24"/>
          <w14:textFill>
            <w14:solidFill>
              <w14:schemeClr w14:val="tx1"/>
            </w14:solidFill>
          </w14:textFill>
        </w:rPr>
      </w:pPr>
    </w:p>
    <w:p w14:paraId="60047C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Although antibiotic therapy effectively cures active tuberculosis (TB), many </w:t>
      </w:r>
    </w:p>
    <w:p w14:paraId="5BB990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survivors are left with permanent lung damage and long-lasting immune </w:t>
      </w:r>
    </w:p>
    <w:p w14:paraId="3758E8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alterations. Growing epidemiological evidence indicates that individuals with </w:t>
      </w:r>
    </w:p>
    <w:p w14:paraId="070C66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prior pulmonary TB have a two- to three-fold increased risk of lung cancer, </w:t>
      </w:r>
    </w:p>
    <w:p w14:paraId="791645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independent of smoking, suggesting mechanisms beyond shared risk factors. This </w:t>
      </w:r>
    </w:p>
    <w:p w14:paraId="13AA3A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review advances the concept that TB imprints a durable "memory" within the lung, </w:t>
      </w:r>
    </w:p>
    <w:p w14:paraId="7F8D24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characterized by persistent structural remodeling and immune reprogramming that </w:t>
      </w:r>
    </w:p>
    <w:p w14:paraId="7F94058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together create a tumor-permissive microenvironment. We synthesize evidence </w:t>
      </w:r>
    </w:p>
    <w:p w14:paraId="660617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showing that TB granulomas act as dynamic immune niches that induce hypoxia, </w:t>
      </w:r>
    </w:p>
    <w:p w14:paraId="5E2FAE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fibrosis, and immune exhaustion, features that frequently persist after </w:t>
      </w:r>
    </w:p>
    <w:p w14:paraId="214824D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microbiological cure. Post-TB sequelae including fibrotic scarring, cavitation, </w:t>
      </w:r>
    </w:p>
    <w:p w14:paraId="5352B8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bronchiectasis, and vascular remodeling, promote chronic inflammation, oxidative </w:t>
      </w:r>
    </w:p>
    <w:p w14:paraId="5A25159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DNA damage, and mechanotransduction pathways linked to oncogenesis. </w:t>
      </w:r>
    </w:p>
    <w:p w14:paraId="6DA5DF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Concurrently, sustained T-cell exhaustion, macrophage polarization toward </w:t>
      </w:r>
    </w:p>
    <w:p w14:paraId="2FB1D1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tumor-associated phenotypes, and impaired antigen presentation weaken tumor </w:t>
      </w:r>
    </w:p>
    <w:p w14:paraId="1D62DC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surveillance. We further discuss emerging roles for lung microbiome dysbiosis in </w:t>
      </w:r>
    </w:p>
    <w:p w14:paraId="400A3F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sustaining inflammation. Collectively, these processes provide a mechanistic </w:t>
      </w:r>
    </w:p>
    <w:p w14:paraId="375671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framework linking healed TB to lung carcinogenesis and highlight TB survivors as </w:t>
      </w:r>
    </w:p>
    <w:p w14:paraId="487ACF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 distinct population for targeted surveillance and preventive strategies.</w:t>
      </w:r>
    </w:p>
    <w:p w14:paraId="4170BBAD">
      <w:pPr>
        <w:rPr>
          <w:rFonts w:hint="eastAsia" w:ascii="宋体" w:hAnsi="宋体" w:eastAsia="宋体" w:cs="宋体"/>
          <w:color w:val="000000" w:themeColor="text1"/>
          <w:szCs w:val="24"/>
          <w14:textFill>
            <w14:solidFill>
              <w14:schemeClr w14:val="tx1"/>
            </w14:solidFill>
          </w14:textFill>
        </w:rPr>
      </w:pPr>
    </w:p>
    <w:p w14:paraId="26B6E21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Copyright © 2026 Rukonge, Kawuribi, Lu, Oluwaseun, Sheng, Yan, Zheng, Liu, Chu </w:t>
      </w:r>
    </w:p>
    <w:p w14:paraId="54FC3C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Yu.</w:t>
      </w:r>
    </w:p>
    <w:p w14:paraId="7F987AB0">
      <w:pPr>
        <w:rPr>
          <w:rFonts w:hint="eastAsia" w:ascii="宋体" w:hAnsi="宋体" w:eastAsia="宋体" w:cs="宋体"/>
          <w:color w:val="000000" w:themeColor="text1"/>
          <w:szCs w:val="24"/>
          <w14:textFill>
            <w14:solidFill>
              <w14:schemeClr w14:val="tx1"/>
            </w14:solidFill>
          </w14:textFill>
        </w:rPr>
      </w:pPr>
    </w:p>
    <w:p w14:paraId="603425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10.3389/fimmu.2026.1889276</w:t>
      </w:r>
    </w:p>
    <w:p w14:paraId="60EFF27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PMC13535963</w:t>
      </w:r>
    </w:p>
    <w:p w14:paraId="661B4A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42688943 [Indexed for MEDLINE]</w:t>
      </w:r>
    </w:p>
    <w:p w14:paraId="6354583C">
      <w:pPr>
        <w:rPr>
          <w:rFonts w:hint="eastAsia" w:ascii="宋体" w:hAnsi="宋体" w:eastAsia="宋体" w:cs="宋体"/>
          <w:color w:val="000000" w:themeColor="text1"/>
          <w:szCs w:val="24"/>
          <w14:textFill>
            <w14:solidFill>
              <w14:schemeClr w14:val="tx1"/>
            </w14:solidFill>
          </w14:textFill>
        </w:rPr>
      </w:pPr>
    </w:p>
    <w:p w14:paraId="4EE5A7B5">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w:t>
      </w:r>
      <w:r>
        <w:rPr>
          <w:rFonts w:hint="eastAsia" w:ascii="宋体" w:hAnsi="宋体" w:eastAsia="宋体" w:cs="宋体"/>
          <w:b/>
          <w:bCs/>
          <w:color w:val="FF0000"/>
          <w:szCs w:val="24"/>
        </w:rPr>
        <w:t xml:space="preserve">7. Front Microbiol. 2026 Aug 19;17:1898813. doi: 10.3389/fmicb.2026.1898813. </w:t>
      </w:r>
    </w:p>
    <w:p w14:paraId="4F18B372">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18B6C8A4">
      <w:pPr>
        <w:rPr>
          <w:rFonts w:hint="eastAsia" w:ascii="宋体" w:hAnsi="宋体" w:eastAsia="宋体" w:cs="宋体"/>
          <w:color w:val="000000" w:themeColor="text1"/>
          <w:szCs w:val="24"/>
          <w14:textFill>
            <w14:solidFill>
              <w14:schemeClr w14:val="tx1"/>
            </w14:solidFill>
          </w14:textFill>
        </w:rPr>
      </w:pPr>
    </w:p>
    <w:p w14:paraId="272492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Expression and biochemical characterization of a patatin-like medium-chain </w:t>
      </w:r>
    </w:p>
    <w:p w14:paraId="2025719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esterase Rv1063c from Mycobacterium tuberculosis.</w:t>
      </w:r>
    </w:p>
    <w:p w14:paraId="5C3FE5E1">
      <w:pPr>
        <w:rPr>
          <w:rFonts w:hint="eastAsia" w:ascii="宋体" w:hAnsi="宋体" w:eastAsia="宋体" w:cs="宋体"/>
          <w:color w:val="000000" w:themeColor="text1"/>
          <w:szCs w:val="24"/>
          <w14:textFill>
            <w14:solidFill>
              <w14:schemeClr w14:val="tx1"/>
            </w14:solidFill>
          </w14:textFill>
        </w:rPr>
      </w:pPr>
    </w:p>
    <w:p w14:paraId="1E2BE6F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Song Y(#)(1), Dong S(#)(2), Zhai R(1), Zhang M(1), Gao Z(1), Jia Y(1), Han W(1), </w:t>
      </w:r>
    </w:p>
    <w:p w14:paraId="2CA8674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Lin H(1).</w:t>
      </w:r>
    </w:p>
    <w:p w14:paraId="6540B873">
      <w:pPr>
        <w:rPr>
          <w:rFonts w:hint="eastAsia" w:ascii="宋体" w:hAnsi="宋体" w:eastAsia="宋体" w:cs="宋体"/>
          <w:color w:val="000000" w:themeColor="text1"/>
          <w:szCs w:val="24"/>
          <w14:textFill>
            <w14:solidFill>
              <w14:schemeClr w14:val="tx1"/>
            </w14:solidFill>
          </w14:textFill>
        </w:rPr>
      </w:pPr>
    </w:p>
    <w:p w14:paraId="76D925D8">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Yuming Song,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Songsong Dong,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Rumeng Zhai,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Mingli Zhang,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Zhengyang Gao,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Yufan Jia,</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Wugeng Han,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Hong Lin</w:t>
      </w:r>
      <w:r>
        <w:rPr>
          <w:rFonts w:hint="eastAsia" w:ascii="宋体" w:hAnsi="宋体" w:eastAsia="宋体" w:cs="宋体"/>
          <w:b/>
          <w:bCs/>
          <w:color w:val="0070C0"/>
          <w:szCs w:val="24"/>
          <w:lang w:val="en-US" w:eastAsia="zh-CN"/>
        </w:rPr>
        <w:t>*</w:t>
      </w:r>
    </w:p>
    <w:p w14:paraId="0A076CD2">
      <w:pPr>
        <w:rPr>
          <w:rFonts w:hint="eastAsia" w:ascii="宋体" w:hAnsi="宋体" w:eastAsia="宋体" w:cs="宋体"/>
          <w:b/>
          <w:bCs/>
          <w:color w:val="0070C0"/>
          <w:szCs w:val="24"/>
        </w:rPr>
      </w:pPr>
      <w:r>
        <w:rPr>
          <w:rFonts w:hint="eastAsia" w:ascii="宋体" w:hAnsi="宋体" w:eastAsia="宋体" w:cs="宋体"/>
          <w:b/>
          <w:bCs/>
          <w:color w:val="0070C0"/>
          <w:szCs w:val="24"/>
        </w:rPr>
        <w:t>*CORRESPONDENCE Hong Lin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linhong2021@sdsmu.edu.cn</w:t>
      </w:r>
    </w:p>
    <w:p w14:paraId="66C7BFE4">
      <w:pPr>
        <w:rPr>
          <w:rFonts w:hint="eastAsia" w:ascii="宋体" w:hAnsi="宋体" w:eastAsia="宋体" w:cs="宋体"/>
          <w:color w:val="000000" w:themeColor="text1"/>
          <w:szCs w:val="24"/>
          <w14:textFill>
            <w14:solidFill>
              <w14:schemeClr w14:val="tx1"/>
            </w14:solidFill>
          </w14:textFill>
        </w:rPr>
      </w:pPr>
    </w:p>
    <w:p w14:paraId="684A4AF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88B2BC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(1)Weifang Key Laboratory of Respiratory Tract Pathogens and Drug Therapy, </w:t>
      </w:r>
    </w:p>
    <w:p w14:paraId="4B7ECAB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School of Life Science and Technology, Shandong Second Medical University, </w:t>
      </w:r>
    </w:p>
    <w:p w14:paraId="4248A3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Weifang, China.</w:t>
      </w:r>
    </w:p>
    <w:p w14:paraId="092A29F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(2)Clinical Laboratory, Children's Hospital Affiliated to Shandong University, </w:t>
      </w:r>
    </w:p>
    <w:p w14:paraId="28C2A8E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Jinan, China.</w:t>
      </w:r>
    </w:p>
    <w:p w14:paraId="27FDDE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12E85452">
      <w:pPr>
        <w:rPr>
          <w:rFonts w:hint="eastAsia" w:ascii="宋体" w:hAnsi="宋体" w:eastAsia="宋体" w:cs="宋体"/>
          <w:color w:val="000000" w:themeColor="text1"/>
          <w:szCs w:val="24"/>
          <w14:textFill>
            <w14:solidFill>
              <w14:schemeClr w14:val="tx1"/>
            </w14:solidFill>
          </w14:textFill>
        </w:rPr>
      </w:pPr>
    </w:p>
    <w:p w14:paraId="3B61C1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INTRODUCTION: </w:t>
      </w:r>
      <w:r>
        <w:rPr>
          <w:rFonts w:hint="eastAsia" w:ascii="宋体" w:hAnsi="宋体" w:eastAsia="宋体" w:cs="宋体"/>
          <w:color w:val="000000" w:themeColor="text1"/>
          <w:szCs w:val="24"/>
          <w14:textFill>
            <w14:solidFill>
              <w14:schemeClr w14:val="tx1"/>
            </w14:solidFill>
          </w14:textFill>
        </w:rPr>
        <w:t xml:space="preserve">Mycobacterium tuberculosis is extremely dependent upon </w:t>
      </w:r>
    </w:p>
    <w:p w14:paraId="55E02F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lipid-hydrolyzing enzymes to utilize the resources of host lipids and survive </w:t>
      </w:r>
    </w:p>
    <w:p w14:paraId="7A015D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within the cell. Rv1063c is a conserved hypothetical protein predicted to share </w:t>
      </w:r>
    </w:p>
    <w:p w14:paraId="264C3C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sequence homology with the patatin-like family.</w:t>
      </w:r>
    </w:p>
    <w:p w14:paraId="3EE691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In the present study, the rv1063c gene was cloned and heterologously </w:t>
      </w:r>
    </w:p>
    <w:p w14:paraId="7AFE99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expressed in Escherichia coli BL21 (DE3). Functional enzyme was obtained by </w:t>
      </w:r>
    </w:p>
    <w:p w14:paraId="7F31355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solubilizing inclusion bodies in 8 mol·L-1 urea, refolding via gradient </w:t>
      </w:r>
    </w:p>
    <w:p w14:paraId="403FAC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dialysis, and purifying through Ni-affinity chromatography.</w:t>
      </w:r>
    </w:p>
    <w:p w14:paraId="3A80788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Bioinformatic homology analysis indicates Rv1063c is homologous to </w:t>
      </w:r>
    </w:p>
    <w:p w14:paraId="19D91F0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members of the patatin-like family containing a putative Ser52-Asp166 catalytic </w:t>
      </w:r>
    </w:p>
    <w:p w14:paraId="3E2238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dyad, though this residue pair has not been experimentally validated in the </w:t>
      </w:r>
    </w:p>
    <w:p w14:paraId="15F1CCC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present study. The recombinant Rv1063c was mainly expressed as inclusion bodies </w:t>
      </w:r>
    </w:p>
    <w:p w14:paraId="5F0C35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without significant soluble cytoplasmic expression. Biochemical assays </w:t>
      </w:r>
    </w:p>
    <w:p w14:paraId="5939CE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demonstrated the recombinant protein exclusively hydrolyzes medium-chain </w:t>
      </w:r>
    </w:p>
    <w:p w14:paraId="12260F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pnitrophenyl esters (C8-12), with maximum hydrolytic activity toward p-NP-C8 </w:t>
      </w:r>
    </w:p>
    <w:p w14:paraId="7CCB21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(caprylate), followed by C10 and C12, and exhibited the highest activity at 40 </w:t>
      </w:r>
    </w:p>
    <w:p w14:paraId="63D7EC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 and pH 7.0. The enzyme exhibited moderate catalytic efficiency but poor </w:t>
      </w:r>
    </w:p>
    <w:p w14:paraId="4421BE8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thermal stability. All catalytic data in this paper were obtained from </w:t>
      </w:r>
    </w:p>
    <w:p w14:paraId="61F45D5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artificial p-nitrophenyl ester substrates, which cannot fully reflect natural </w:t>
      </w:r>
    </w:p>
    <w:p w14:paraId="59C239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lipid substrate preference of mycobacteria in vivo.</w:t>
      </w:r>
    </w:p>
    <w:p w14:paraId="0207BB0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DISCUSSION:</w:t>
      </w:r>
      <w:r>
        <w:rPr>
          <w:rFonts w:hint="eastAsia" w:ascii="宋体" w:hAnsi="宋体" w:eastAsia="宋体" w:cs="宋体"/>
          <w:color w:val="000000" w:themeColor="text1"/>
          <w:szCs w:val="24"/>
          <w14:textFill>
            <w14:solidFill>
              <w14:schemeClr w14:val="tx1"/>
            </w14:solidFill>
          </w14:textFill>
        </w:rPr>
        <w:t xml:space="preserve"> This work biochemically characterizes Rv1063c as a </w:t>
      </w:r>
    </w:p>
    <w:p w14:paraId="2F661E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medium-chain-specific esterase encoded by a protein homologous to the patatin </w:t>
      </w:r>
    </w:p>
    <w:p w14:paraId="5FC632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superfamily. Its physiological and pathogenic roles remain undetermined, and </w:t>
      </w:r>
    </w:p>
    <w:p w14:paraId="4E5300A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further multi-level experiments are required to clarify its biological </w:t>
      </w:r>
    </w:p>
    <w:p w14:paraId="4C6249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functions.</w:t>
      </w:r>
    </w:p>
    <w:p w14:paraId="1925EF22">
      <w:pPr>
        <w:rPr>
          <w:rFonts w:hint="eastAsia" w:ascii="宋体" w:hAnsi="宋体" w:eastAsia="宋体" w:cs="宋体"/>
          <w:color w:val="000000" w:themeColor="text1"/>
          <w:szCs w:val="24"/>
          <w14:textFill>
            <w14:solidFill>
              <w14:schemeClr w14:val="tx1"/>
            </w14:solidFill>
          </w14:textFill>
        </w:rPr>
      </w:pPr>
    </w:p>
    <w:p w14:paraId="3785F9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Song, Dong, Zhai, Zhang, Gao, Jia, Han and Lin.</w:t>
      </w:r>
    </w:p>
    <w:p w14:paraId="1B645CE0">
      <w:pPr>
        <w:rPr>
          <w:rFonts w:hint="eastAsia" w:ascii="宋体" w:hAnsi="宋体" w:eastAsia="宋体" w:cs="宋体"/>
          <w:color w:val="000000" w:themeColor="text1"/>
          <w:szCs w:val="24"/>
          <w14:textFill>
            <w14:solidFill>
              <w14:schemeClr w14:val="tx1"/>
            </w14:solidFill>
          </w14:textFill>
        </w:rPr>
      </w:pPr>
    </w:p>
    <w:p w14:paraId="4A3E650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10.3389/fmicb.2026.1898813</w:t>
      </w:r>
    </w:p>
    <w:p w14:paraId="15D086A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PMC13533970</w:t>
      </w:r>
    </w:p>
    <w:p w14:paraId="583E4FB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42688277</w:t>
      </w:r>
    </w:p>
    <w:p w14:paraId="44F9305C">
      <w:pPr>
        <w:rPr>
          <w:rFonts w:hint="eastAsia" w:ascii="宋体" w:hAnsi="宋体" w:eastAsia="宋体" w:cs="宋体"/>
          <w:color w:val="000000" w:themeColor="text1"/>
          <w:szCs w:val="24"/>
          <w14:textFill>
            <w14:solidFill>
              <w14:schemeClr w14:val="tx1"/>
            </w14:solidFill>
          </w14:textFill>
        </w:rPr>
      </w:pPr>
    </w:p>
    <w:p w14:paraId="26E878A3">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w:t>
      </w:r>
      <w:r>
        <w:rPr>
          <w:rFonts w:hint="eastAsia" w:ascii="宋体" w:hAnsi="宋体" w:eastAsia="宋体" w:cs="宋体"/>
          <w:b/>
          <w:bCs/>
          <w:color w:val="FF0000"/>
          <w:szCs w:val="24"/>
        </w:rPr>
        <w:t xml:space="preserve">8. Front Pediatr. 2026 Aug 19;14:1872306. doi: 10.3389/fped.2026.1872306. </w:t>
      </w:r>
    </w:p>
    <w:p w14:paraId="5C1D7AEF">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17544781">
      <w:pPr>
        <w:rPr>
          <w:rFonts w:hint="eastAsia" w:ascii="宋体" w:hAnsi="宋体" w:eastAsia="宋体" w:cs="宋体"/>
          <w:color w:val="000000" w:themeColor="text1"/>
          <w:szCs w:val="24"/>
          <w14:textFill>
            <w14:solidFill>
              <w14:schemeClr w14:val="tx1"/>
            </w14:solidFill>
          </w14:textFill>
        </w:rPr>
      </w:pPr>
    </w:p>
    <w:p w14:paraId="53935D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Case Report: STAT3 hyper-IgE syndrome in children: two cases report with </w:t>
      </w:r>
    </w:p>
    <w:p w14:paraId="535A27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uncommon complications of tuberculosis and lymphoma.</w:t>
      </w:r>
    </w:p>
    <w:p w14:paraId="09209CA9">
      <w:pPr>
        <w:rPr>
          <w:rFonts w:hint="eastAsia" w:ascii="宋体" w:hAnsi="宋体" w:eastAsia="宋体" w:cs="宋体"/>
          <w:color w:val="000000" w:themeColor="text1"/>
          <w:szCs w:val="24"/>
          <w14:textFill>
            <w14:solidFill>
              <w14:schemeClr w14:val="tx1"/>
            </w14:solidFill>
          </w14:textFill>
        </w:rPr>
      </w:pPr>
    </w:p>
    <w:p w14:paraId="411E14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Cao X(1), Wang B(1), Xu Y(1).</w:t>
      </w:r>
    </w:p>
    <w:p w14:paraId="33A0FF85">
      <w:pPr>
        <w:rPr>
          <w:rFonts w:hint="eastAsia" w:ascii="宋体" w:hAnsi="宋体" w:eastAsia="宋体" w:cs="宋体"/>
          <w:color w:val="000000" w:themeColor="text1"/>
          <w:szCs w:val="24"/>
          <w14:textFill>
            <w14:solidFill>
              <w14:schemeClr w14:val="tx1"/>
            </w14:solidFill>
          </w14:textFill>
        </w:rPr>
      </w:pPr>
    </w:p>
    <w:p w14:paraId="076683E9">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Xiaobei Cao,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Bo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Yongsheng Xu</w:t>
      </w:r>
      <w:r>
        <w:rPr>
          <w:rFonts w:hint="eastAsia" w:ascii="宋体" w:hAnsi="宋体" w:eastAsia="宋体" w:cs="宋体"/>
          <w:b/>
          <w:bCs/>
          <w:color w:val="0070C0"/>
          <w:szCs w:val="24"/>
          <w:lang w:val="en-US" w:eastAsia="zh-CN"/>
        </w:rPr>
        <w:t>*</w:t>
      </w:r>
    </w:p>
    <w:p w14:paraId="5310A7E4">
      <w:pPr>
        <w:rPr>
          <w:rFonts w:hint="eastAsia" w:ascii="宋体" w:hAnsi="宋体" w:eastAsia="宋体" w:cs="宋体"/>
          <w:b/>
          <w:bCs/>
          <w:color w:val="0070C0"/>
          <w:szCs w:val="24"/>
        </w:rPr>
      </w:pPr>
      <w:r>
        <w:rPr>
          <w:rFonts w:hint="eastAsia" w:ascii="宋体" w:hAnsi="宋体" w:eastAsia="宋体" w:cs="宋体"/>
          <w:b/>
          <w:bCs/>
          <w:color w:val="0070C0"/>
          <w:szCs w:val="24"/>
        </w:rPr>
        <w:t>*CORRESPONDENCE Yongsheng Xu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xxyyss@126.com</w:t>
      </w:r>
    </w:p>
    <w:p w14:paraId="29C0C428">
      <w:pPr>
        <w:rPr>
          <w:rFonts w:hint="eastAsia" w:ascii="宋体" w:hAnsi="宋体" w:eastAsia="宋体" w:cs="宋体"/>
          <w:color w:val="000000" w:themeColor="text1"/>
          <w:szCs w:val="24"/>
          <w14:textFill>
            <w14:solidFill>
              <w14:schemeClr w14:val="tx1"/>
            </w14:solidFill>
          </w14:textFill>
        </w:rPr>
      </w:pPr>
    </w:p>
    <w:p w14:paraId="49E34E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770C94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Pediatric Respiratory Medicine, Tianjin Children's Hospital </w:t>
      </w:r>
    </w:p>
    <w:p w14:paraId="40C7E92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(Children's Hospital, Tianjin University), Tianjin Key Laboratory of Birth </w:t>
      </w:r>
    </w:p>
    <w:p w14:paraId="56FE95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Defects for Prevention and Treatment, Tianjin, China.</w:t>
      </w:r>
    </w:p>
    <w:p w14:paraId="71BD9E18">
      <w:pPr>
        <w:rPr>
          <w:rFonts w:hint="eastAsia" w:ascii="宋体" w:hAnsi="宋体" w:eastAsia="宋体" w:cs="宋体"/>
          <w:color w:val="000000" w:themeColor="text1"/>
          <w:szCs w:val="24"/>
          <w14:textFill>
            <w14:solidFill>
              <w14:schemeClr w14:val="tx1"/>
            </w14:solidFill>
          </w14:textFill>
        </w:rPr>
      </w:pPr>
    </w:p>
    <w:p w14:paraId="2C60AF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Hyper-IgE syndrome (HIES) is a rare primary immunodeficiency </w:t>
      </w:r>
    </w:p>
    <w:p w14:paraId="610B037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disorder distinguished by a triad of eczema, recurrent skin and pulmonary </w:t>
      </w:r>
    </w:p>
    <w:p w14:paraId="77887A3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infections, and elevated serum IgE levels. The loss-of-function mutations in </w:t>
      </w:r>
    </w:p>
    <w:p w14:paraId="0D1021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signal transducer and activator of transcription 3 (STAT3) result in STAT3-HIES, </w:t>
      </w:r>
    </w:p>
    <w:p w14:paraId="26F349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which is considered the prototype form of HIES. Patients with STAT3-HIES are </w:t>
      </w:r>
    </w:p>
    <w:p w14:paraId="08CB34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susceptible to Staphylococcus aureus and Candida albicans, while Mycobacterium </w:t>
      </w:r>
    </w:p>
    <w:p w14:paraId="504487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infection is rare, usually accompanied by multiple non-immunologic </w:t>
      </w:r>
    </w:p>
    <w:p w14:paraId="5FB09A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features including skeletal and connective tissue abnormalities, and the </w:t>
      </w:r>
    </w:p>
    <w:p w14:paraId="5B6BF61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increasing risk of lymphoma. Owing to the diverse clinical manifestations of </w:t>
      </w:r>
    </w:p>
    <w:p w14:paraId="6458AD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this disease and the lack of specific symptoms in its early stage, delayed </w:t>
      </w:r>
    </w:p>
    <w:p w14:paraId="68F2E8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diagnosis often occurs.</w:t>
      </w:r>
    </w:p>
    <w:p w14:paraId="400BDE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CASE PRESENTATION:</w:t>
      </w:r>
      <w:r>
        <w:rPr>
          <w:rFonts w:hint="eastAsia" w:ascii="宋体" w:hAnsi="宋体" w:eastAsia="宋体" w:cs="宋体"/>
          <w:color w:val="000000" w:themeColor="text1"/>
          <w:szCs w:val="24"/>
          <w14:textFill>
            <w14:solidFill>
              <w14:schemeClr w14:val="tx1"/>
            </w14:solidFill>
          </w14:textFill>
        </w:rPr>
        <w:t xml:space="preserve"> This report describes two cases of children with STAT3-HIES. </w:t>
      </w:r>
    </w:p>
    <w:p w14:paraId="4BDF023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One case was a 3-year-old child who presented with intestinal intussusception as </w:t>
      </w:r>
    </w:p>
    <w:p w14:paraId="10B883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initial symptom and was considered to have probable intestinal tuberculosis </w:t>
      </w:r>
    </w:p>
    <w:p w14:paraId="5958C3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accompanied by miliary pulmonary tuberculosis, and tuberculosis was cured </w:t>
      </w:r>
    </w:p>
    <w:p w14:paraId="0B8A91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after one year of anti-infection treatment, HIES combined with intestinal </w:t>
      </w:r>
    </w:p>
    <w:p w14:paraId="5875F3D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presenting with intussusception as the clinical manifestation has </w:t>
      </w:r>
    </w:p>
    <w:p w14:paraId="5FD35F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never been reported. Second case was a 16-year-old child who was diagnosed with </w:t>
      </w:r>
    </w:p>
    <w:p w14:paraId="132F223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anaplastic lymphoma kinase-negative anaplastic large cell lymphoma because of </w:t>
      </w:r>
    </w:p>
    <w:p w14:paraId="1DD1EE5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swollen lymph nodes in the neck at the age of 10, he underwent allogeneic </w:t>
      </w:r>
    </w:p>
    <w:p w14:paraId="5F9E12B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hematopoietic stem cell transplantation when he was 16 years old, unfortunately </w:t>
      </w:r>
    </w:p>
    <w:p w14:paraId="3B8CC32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he died of lung infection after three months.</w:t>
      </w:r>
    </w:p>
    <w:p w14:paraId="6650265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The cases described in this article enhance our understanding of the </w:t>
      </w:r>
    </w:p>
    <w:p w14:paraId="40CF4F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manifestations, treatment and prognosis of this syndrome, highlighting the </w:t>
      </w:r>
    </w:p>
    <w:p w14:paraId="421FCD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hazards of active tuberculosis and lymphoma in patients with HIES, as well as </w:t>
      </w:r>
    </w:p>
    <w:p w14:paraId="22A2CD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the importance of timely diagnosis, individualized treatment and follow-up.</w:t>
      </w:r>
    </w:p>
    <w:p w14:paraId="70FBB51C">
      <w:pPr>
        <w:rPr>
          <w:rFonts w:hint="eastAsia" w:ascii="宋体" w:hAnsi="宋体" w:eastAsia="宋体" w:cs="宋体"/>
          <w:color w:val="000000" w:themeColor="text1"/>
          <w:szCs w:val="24"/>
          <w14:textFill>
            <w14:solidFill>
              <w14:schemeClr w14:val="tx1"/>
            </w14:solidFill>
          </w14:textFill>
        </w:rPr>
      </w:pPr>
    </w:p>
    <w:p w14:paraId="3CC257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Cao, Wang and Xu.</w:t>
      </w:r>
    </w:p>
    <w:p w14:paraId="5DF8880A">
      <w:pPr>
        <w:rPr>
          <w:rFonts w:hint="eastAsia" w:ascii="宋体" w:hAnsi="宋体" w:eastAsia="宋体" w:cs="宋体"/>
          <w:color w:val="000000" w:themeColor="text1"/>
          <w:szCs w:val="24"/>
          <w14:textFill>
            <w14:solidFill>
              <w14:schemeClr w14:val="tx1"/>
            </w14:solidFill>
          </w14:textFill>
        </w:rPr>
      </w:pPr>
    </w:p>
    <w:p w14:paraId="0FB7C8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10.3389/fped.2026.1872306</w:t>
      </w:r>
    </w:p>
    <w:p w14:paraId="4D6AD5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PMC13534057</w:t>
      </w:r>
    </w:p>
    <w:p w14:paraId="29308AF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42688214</w:t>
      </w:r>
    </w:p>
    <w:p w14:paraId="73A33FE6">
      <w:pPr>
        <w:rPr>
          <w:rFonts w:hint="eastAsia" w:ascii="宋体" w:hAnsi="宋体" w:eastAsia="宋体" w:cs="宋体"/>
          <w:color w:val="000000" w:themeColor="text1"/>
          <w:szCs w:val="24"/>
          <w14:textFill>
            <w14:solidFill>
              <w14:schemeClr w14:val="tx1"/>
            </w14:solidFill>
          </w14:textFill>
        </w:rPr>
      </w:pPr>
    </w:p>
    <w:p w14:paraId="503C4E7D">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1</w:t>
      </w:r>
      <w:r>
        <w:rPr>
          <w:rFonts w:hint="eastAsia" w:ascii="宋体" w:hAnsi="宋体" w:eastAsia="宋体" w:cs="宋体"/>
          <w:b/>
          <w:bCs/>
          <w:color w:val="FF0000"/>
          <w:szCs w:val="24"/>
        </w:rPr>
        <w:t xml:space="preserve">9. Front Cell Infect Microbiol. 2026 Aug 19;16:1888373. doi: </w:t>
      </w:r>
    </w:p>
    <w:p w14:paraId="7B570111">
      <w:pPr>
        <w:rPr>
          <w:rFonts w:hint="eastAsia" w:ascii="宋体" w:hAnsi="宋体" w:eastAsia="宋体" w:cs="宋体"/>
          <w:b/>
          <w:bCs/>
          <w:color w:val="FF0000"/>
          <w:szCs w:val="24"/>
        </w:rPr>
      </w:pPr>
      <w:r>
        <w:rPr>
          <w:rFonts w:hint="eastAsia" w:ascii="宋体" w:hAnsi="宋体" w:eastAsia="宋体" w:cs="宋体"/>
          <w:b/>
          <w:bCs/>
          <w:color w:val="FF0000"/>
          <w:szCs w:val="24"/>
        </w:rPr>
        <w:t>10.3389/fcimb.2026.1888373. eCollection 2026.</w:t>
      </w:r>
    </w:p>
    <w:p w14:paraId="49571A91">
      <w:pPr>
        <w:rPr>
          <w:rFonts w:hint="eastAsia" w:ascii="宋体" w:hAnsi="宋体" w:eastAsia="宋体" w:cs="宋体"/>
          <w:color w:val="000000" w:themeColor="text1"/>
          <w:szCs w:val="24"/>
          <w14:textFill>
            <w14:solidFill>
              <w14:schemeClr w14:val="tx1"/>
            </w14:solidFill>
          </w14:textFill>
        </w:rPr>
      </w:pPr>
    </w:p>
    <w:p w14:paraId="02AFB8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Functional and mechanistic characterization of the phosphatidyl-myo-inositol </w:t>
      </w:r>
    </w:p>
    <w:p w14:paraId="247BF6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mannosyltransferase PimA from Mycobacterium tuberculosis: implications for </w:t>
      </w:r>
    </w:p>
    <w:p w14:paraId="21CD6AC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anti-tuberculosis drug development.</w:t>
      </w:r>
    </w:p>
    <w:p w14:paraId="08E76A80">
      <w:pPr>
        <w:rPr>
          <w:rFonts w:hint="eastAsia" w:ascii="宋体" w:hAnsi="宋体" w:eastAsia="宋体" w:cs="宋体"/>
          <w:color w:val="000000" w:themeColor="text1"/>
          <w:szCs w:val="24"/>
          <w14:textFill>
            <w14:solidFill>
              <w14:schemeClr w14:val="tx1"/>
            </w14:solidFill>
          </w14:textFill>
        </w:rPr>
      </w:pPr>
    </w:p>
    <w:p w14:paraId="11075A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Liu D(1)(2), Deng H(2), Liu X(2), Yao W(2), Li N(1).</w:t>
      </w:r>
    </w:p>
    <w:p w14:paraId="52216545">
      <w:pPr>
        <w:rPr>
          <w:rFonts w:hint="eastAsia" w:ascii="宋体" w:hAnsi="宋体" w:eastAsia="宋体" w:cs="宋体"/>
          <w:color w:val="000000" w:themeColor="text1"/>
          <w:szCs w:val="24"/>
          <w14:textFill>
            <w14:solidFill>
              <w14:schemeClr w14:val="tx1"/>
            </w14:solidFill>
          </w14:textFill>
        </w:rPr>
      </w:pPr>
    </w:p>
    <w:p w14:paraId="388D9F73">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Dafeng Liu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Huashui Deng,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Xinbao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Wenshuang Yao,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Na Li</w:t>
      </w:r>
      <w:r>
        <w:rPr>
          <w:rFonts w:hint="eastAsia" w:ascii="宋体" w:hAnsi="宋体" w:eastAsia="宋体" w:cs="宋体"/>
          <w:b/>
          <w:bCs/>
          <w:color w:val="0070C0"/>
          <w:szCs w:val="24"/>
          <w:lang w:val="en-US" w:eastAsia="zh-CN"/>
        </w:rPr>
        <w:t>*</w:t>
      </w:r>
    </w:p>
    <w:p w14:paraId="4B0EA10E">
      <w:pPr>
        <w:jc w:val="left"/>
        <w:rPr>
          <w:rFonts w:hint="eastAsia" w:ascii="宋体" w:hAnsi="宋体" w:eastAsia="宋体" w:cs="宋体"/>
          <w:b/>
          <w:bCs/>
          <w:color w:val="0070C0"/>
          <w:szCs w:val="24"/>
        </w:rPr>
      </w:pPr>
      <w:r>
        <w:rPr>
          <w:rFonts w:hint="eastAsia" w:ascii="宋体" w:hAnsi="宋体" w:eastAsia="宋体" w:cs="宋体"/>
          <w:b/>
          <w:bCs/>
          <w:color w:val="0070C0"/>
          <w:szCs w:val="24"/>
        </w:rPr>
        <w:t>*CORRESPONDENCE Dafeng Liu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dafeli@sina.cn; liudafeng2017@163.com </w:t>
      </w:r>
    </w:p>
    <w:p w14:paraId="496735D9">
      <w:pPr>
        <w:jc w:val="left"/>
        <w:rPr>
          <w:rFonts w:hint="eastAsia" w:ascii="宋体" w:hAnsi="宋体" w:eastAsia="宋体" w:cs="宋体"/>
          <w:b/>
          <w:bCs/>
          <w:color w:val="0070C0"/>
          <w:szCs w:val="24"/>
        </w:rPr>
      </w:pPr>
      <w:r>
        <w:rPr>
          <w:rFonts w:hint="eastAsia" w:ascii="宋体" w:hAnsi="宋体" w:eastAsia="宋体" w:cs="宋体"/>
          <w:b/>
          <w:bCs/>
          <w:color w:val="0070C0"/>
          <w:szCs w:val="24"/>
        </w:rPr>
        <w:t>Na Li</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nali2026@qq.com</w:t>
      </w:r>
    </w:p>
    <w:p w14:paraId="567D761B">
      <w:pPr>
        <w:rPr>
          <w:rFonts w:hint="eastAsia" w:ascii="宋体" w:hAnsi="宋体" w:eastAsia="宋体" w:cs="宋体"/>
          <w:color w:val="000000" w:themeColor="text1"/>
          <w:szCs w:val="24"/>
          <w14:textFill>
            <w14:solidFill>
              <w14:schemeClr w14:val="tx1"/>
            </w14:solidFill>
          </w14:textFill>
        </w:rPr>
      </w:pPr>
    </w:p>
    <w:p w14:paraId="3A700A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13589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(1)College of Biological Sciences and Technology, Yili Normal University, </w:t>
      </w:r>
    </w:p>
    <w:p w14:paraId="1E66543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Yining, Xinjiang, China.</w:t>
      </w:r>
    </w:p>
    <w:p w14:paraId="431700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(2)School of Life Sciences, Xiamen University, Xiamen, Fujian, China.</w:t>
      </w:r>
    </w:p>
    <w:p w14:paraId="740CA62C">
      <w:pPr>
        <w:rPr>
          <w:rFonts w:hint="eastAsia" w:ascii="宋体" w:hAnsi="宋体" w:eastAsia="宋体" w:cs="宋体"/>
          <w:color w:val="000000" w:themeColor="text1"/>
          <w:szCs w:val="24"/>
          <w14:textFill>
            <w14:solidFill>
              <w14:schemeClr w14:val="tx1"/>
            </w14:solidFill>
          </w14:textFill>
        </w:rPr>
      </w:pPr>
    </w:p>
    <w:p w14:paraId="13AD94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Human-adapted Mycobacterium tuberculosis (Mtb) also infects animals and </w:t>
      </w:r>
    </w:p>
    <w:p w14:paraId="505257C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transmits zoonotically, threatening public health. The cell wall glycolipids </w:t>
      </w:r>
    </w:p>
    <w:p w14:paraId="1EE083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lipoarabinomannan and lipomannan are essential virulence factors of Mtb. </w:t>
      </w:r>
    </w:p>
    <w:p w14:paraId="71DDA8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Phosphatidyl-myo-inositol mannosyltransferase PimA catalyzes a key step in their </w:t>
      </w:r>
    </w:p>
    <w:p w14:paraId="19F782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biosynthesis and represents a potential drug target. However, the functional </w:t>
      </w:r>
    </w:p>
    <w:p w14:paraId="51B1E2E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mechanism of Mtb PimA remains incompletely understood. Here, the hydrodynamic </w:t>
      </w:r>
    </w:p>
    <w:p w14:paraId="0DAEBC1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diameter of monomeric PimA was measured as 5.1 ± 0.2 nm. The structural model of PimA was predicted using AlphaFold2. Molecular docking was conducted to predict </w:t>
      </w:r>
    </w:p>
    <w:p w14:paraId="0286D79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potential binding sites, and site-directed mutagenesis was then performed. </w:t>
      </w:r>
    </w:p>
    <w:p w14:paraId="272E12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Mutations D253A, E274A or E282A dramatically reduced the activity, whereas </w:t>
      </w:r>
    </w:p>
    <w:p w14:paraId="5E4A4B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R196A, K202A or K256A abolished activity entirely. Guanosine diphosphate (GDP) </w:t>
      </w:r>
    </w:p>
    <w:p w14:paraId="5457EC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benzimidazole inhibited PimA by over 50% at 40 µM and 10 µM, respectively. </w:t>
      </w:r>
    </w:p>
    <w:p w14:paraId="12136E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PimA transcription increased linearly over time in macrophages, and conditional </w:t>
      </w:r>
    </w:p>
    <w:p w14:paraId="1095A1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PimA-silenced mutant rendered Mtb rapidly susceptible to macrophage killing. </w:t>
      </w:r>
    </w:p>
    <w:p w14:paraId="0781BF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These results provide a structural and functional framework for the rational </w:t>
      </w:r>
    </w:p>
    <w:p w14:paraId="1CF8A5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design of novel anti-tubercular agents targeting PimA.</w:t>
      </w:r>
    </w:p>
    <w:p w14:paraId="2CD44E83">
      <w:pPr>
        <w:rPr>
          <w:rFonts w:hint="eastAsia" w:ascii="宋体" w:hAnsi="宋体" w:eastAsia="宋体" w:cs="宋体"/>
          <w:color w:val="000000" w:themeColor="text1"/>
          <w:szCs w:val="24"/>
          <w14:textFill>
            <w14:solidFill>
              <w14:schemeClr w14:val="tx1"/>
            </w14:solidFill>
          </w14:textFill>
        </w:rPr>
      </w:pPr>
    </w:p>
    <w:p w14:paraId="77805F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Liu, Deng, Liu, Yao and Li.</w:t>
      </w:r>
    </w:p>
    <w:p w14:paraId="7094C61F">
      <w:pPr>
        <w:rPr>
          <w:rFonts w:hint="eastAsia" w:ascii="宋体" w:hAnsi="宋体" w:eastAsia="宋体" w:cs="宋体"/>
          <w:color w:val="000000" w:themeColor="text1"/>
          <w:szCs w:val="24"/>
          <w14:textFill>
            <w14:solidFill>
              <w14:schemeClr w14:val="tx1"/>
            </w14:solidFill>
          </w14:textFill>
        </w:rPr>
      </w:pPr>
    </w:p>
    <w:p w14:paraId="088550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10.3389/fcimb.2026.1888373</w:t>
      </w:r>
    </w:p>
    <w:p w14:paraId="318496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PMC13533801</w:t>
      </w:r>
    </w:p>
    <w:p w14:paraId="41FAE1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42688155 [Indexed for MEDLINE]</w:t>
      </w:r>
    </w:p>
    <w:p w14:paraId="702F00FE">
      <w:pPr>
        <w:rPr>
          <w:rFonts w:hint="eastAsia" w:ascii="宋体" w:hAnsi="宋体" w:eastAsia="宋体" w:cs="宋体"/>
          <w:color w:val="000000" w:themeColor="text1"/>
          <w:szCs w:val="24"/>
          <w14:textFill>
            <w14:solidFill>
              <w14:schemeClr w14:val="tx1"/>
            </w14:solidFill>
          </w14:textFill>
        </w:rPr>
      </w:pPr>
    </w:p>
    <w:p w14:paraId="28577EB8">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20</w:t>
      </w:r>
      <w:r>
        <w:rPr>
          <w:rFonts w:hint="eastAsia" w:ascii="宋体" w:hAnsi="宋体" w:eastAsia="宋体" w:cs="宋体"/>
          <w:b/>
          <w:bCs/>
          <w:color w:val="FF0000"/>
          <w:szCs w:val="24"/>
        </w:rPr>
        <w:t>. Vet Microbiol. 2026 Aug 30;321:111208. doi: 10.1016/j.vetmic.2026.111208. Online ahead of print.</w:t>
      </w:r>
    </w:p>
    <w:p w14:paraId="26C519FB">
      <w:pPr>
        <w:rPr>
          <w:rFonts w:hint="eastAsia" w:ascii="宋体" w:hAnsi="宋体" w:eastAsia="宋体" w:cs="宋体"/>
          <w:color w:val="000000" w:themeColor="text1"/>
          <w:szCs w:val="24"/>
          <w14:textFill>
            <w14:solidFill>
              <w14:schemeClr w14:val="tx1"/>
            </w14:solidFill>
          </w14:textFill>
        </w:rPr>
      </w:pPr>
    </w:p>
    <w:p w14:paraId="47A2C6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Intranasal BCG cell wall polysaccharide-based subunit vaccine confers protection </w:t>
      </w:r>
    </w:p>
    <w:p w14:paraId="6466737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against Mycobacterium bovis challenge in mice.</w:t>
      </w:r>
    </w:p>
    <w:p w14:paraId="775F1E7E">
      <w:pPr>
        <w:rPr>
          <w:rFonts w:hint="eastAsia" w:ascii="宋体" w:hAnsi="宋体" w:eastAsia="宋体" w:cs="宋体"/>
          <w:color w:val="000000" w:themeColor="text1"/>
          <w:szCs w:val="24"/>
          <w14:textFill>
            <w14:solidFill>
              <w14:schemeClr w14:val="tx1"/>
            </w14:solidFill>
          </w14:textFill>
        </w:rPr>
      </w:pPr>
    </w:p>
    <w:p w14:paraId="4D94B7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 N(1), Zhou M(2), Song Y(3), Tang L(1), Ma H(1), Xu J(1), Cao J(2), Li N(4), </w:t>
      </w:r>
    </w:p>
    <w:p w14:paraId="45FA42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Chu Y(5).</w:t>
      </w:r>
    </w:p>
    <w:p w14:paraId="68DEBCC1">
      <w:pPr>
        <w:rPr>
          <w:rFonts w:hint="eastAsia" w:ascii="宋体" w:hAnsi="宋体" w:eastAsia="宋体" w:cs="宋体"/>
          <w:color w:val="000000" w:themeColor="text1"/>
          <w:szCs w:val="24"/>
          <w14:textFill>
            <w14:solidFill>
              <w14:schemeClr w14:val="tx1"/>
            </w14:solidFill>
          </w14:textFill>
        </w:rPr>
      </w:pPr>
    </w:p>
    <w:p w14:paraId="4D941EEE">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Na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Mengting Zhou,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Yinjuan Song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 Tang,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Hui Ma,</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Jian Xu,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Jian Cao,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Na Li,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Yuefeng Chu</w:t>
      </w:r>
      <w:r>
        <w:rPr>
          <w:rFonts w:hint="eastAsia" w:ascii="宋体" w:hAnsi="宋体" w:eastAsia="宋体" w:cs="宋体"/>
          <w:b/>
          <w:bCs/>
          <w:color w:val="0070C0"/>
          <w:szCs w:val="24"/>
          <w:lang w:val="en-US" w:eastAsia="zh-CN"/>
        </w:rPr>
        <w:t>*</w:t>
      </w:r>
    </w:p>
    <w:p w14:paraId="420176DC">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Corresponding author: E-mail addresses: songyinjuan@caas.cn (Yinjuan Song), chuyuefeng@caas.cn (Yuefeng Chu).</w:t>
      </w:r>
    </w:p>
    <w:p w14:paraId="3CE6FF16">
      <w:pPr>
        <w:rPr>
          <w:rFonts w:hint="eastAsia" w:ascii="宋体" w:hAnsi="宋体" w:eastAsia="宋体" w:cs="宋体"/>
          <w:color w:val="000000" w:themeColor="text1"/>
          <w:szCs w:val="24"/>
          <w14:textFill>
            <w14:solidFill>
              <w14:schemeClr w14:val="tx1"/>
            </w14:solidFill>
          </w14:textFill>
        </w:rPr>
      </w:pPr>
    </w:p>
    <w:p w14:paraId="202947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34A50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(1)State Key Laboratory of Animal Disease Control and Prevention, College of </w:t>
      </w:r>
    </w:p>
    <w:p w14:paraId="0F73CB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Veterinary Medicine, Lanzhou University, Lanzhou Veterinary Research Institute, </w:t>
      </w:r>
    </w:p>
    <w:p w14:paraId="18C231F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Chinese Academy of Agricultural Sciences, Lanzhou 730000, China.</w:t>
      </w:r>
    </w:p>
    <w:p w14:paraId="66DAED2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(2)State Key Laboratory of Animal Disease Control and Prevention, College of </w:t>
      </w:r>
    </w:p>
    <w:p w14:paraId="2BF533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Veterinary Medicine, Lanzhou University, Lanzhou Veterinary Research Institute, </w:t>
      </w:r>
    </w:p>
    <w:p w14:paraId="7307AC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Chinese Academy of Agricultural Sciences, Lanzhou 730000, China; TECON </w:t>
      </w:r>
    </w:p>
    <w:p w14:paraId="13F351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BioPharmaceutical Co., Ltd., Urumqi, Xinjiang 830000, China.</w:t>
      </w:r>
    </w:p>
    <w:p w14:paraId="10C603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(3)State Key Laboratory of Animal Disease Control and Prevention, College of </w:t>
      </w:r>
    </w:p>
    <w:p w14:paraId="2300B92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Veterinary Medicine, Lanzhou University, Lanzhou Veterinary Research Institute, </w:t>
      </w:r>
    </w:p>
    <w:p w14:paraId="4250A1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Chinese Academy of Agricultural Sciences, Lanzhou 730000, China. Electronic </w:t>
      </w:r>
    </w:p>
    <w:p w14:paraId="1DA445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address: songyinjuan@caas.cn.</w:t>
      </w:r>
    </w:p>
    <w:p w14:paraId="144D35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(4)College of Animal Medicine, Xinjiang Agricultural University, Urumqi 830052, </w:t>
      </w:r>
    </w:p>
    <w:p w14:paraId="79A48E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791729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(5)State Key Laboratory of Animal Disease Control and Prevention, College of </w:t>
      </w:r>
    </w:p>
    <w:p w14:paraId="7FA2A1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Veterinary Medicine, Lanzhou University, Lanzhou Veterinary Research Institute, </w:t>
      </w:r>
    </w:p>
    <w:p w14:paraId="720E54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Chinese Academy of Agricultural Sciences, Lanzhou 730000, China; Gansu Province </w:t>
      </w:r>
    </w:p>
    <w:p w14:paraId="7F64DA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Research Center for Basic Disciplines of Pathogen Biology, Lanzhou 730046, </w:t>
      </w:r>
    </w:p>
    <w:p w14:paraId="4F8610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China; Key Laboratory of Veterinary Etiological Biology, Key Laboratory of </w:t>
      </w:r>
    </w:p>
    <w:p w14:paraId="10338E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Ruminant Disease Prevention and Control (West), Ministry of Agricultural and </w:t>
      </w:r>
    </w:p>
    <w:p w14:paraId="5ACCBA0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Rural Affairs, Lanzhou 730046, China. Electronic address: chuyuefeng@caas.cn.</w:t>
      </w:r>
    </w:p>
    <w:p w14:paraId="28622363">
      <w:pPr>
        <w:rPr>
          <w:rFonts w:hint="eastAsia" w:ascii="宋体" w:hAnsi="宋体" w:eastAsia="宋体" w:cs="宋体"/>
          <w:color w:val="000000" w:themeColor="text1"/>
          <w:szCs w:val="24"/>
          <w14:textFill>
            <w14:solidFill>
              <w14:schemeClr w14:val="tx1"/>
            </w14:solidFill>
          </w14:textFill>
        </w:rPr>
      </w:pPr>
    </w:p>
    <w:p w14:paraId="149C9E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Bovine tuberculosis (bTB), caused by Mycobacterium bovis (M. bovis), is an </w:t>
      </w:r>
    </w:p>
    <w:p w14:paraId="09EEC2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important disease affecting livestock and public health. To achieve the goal of </w:t>
      </w:r>
    </w:p>
    <w:p w14:paraId="18D2AA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ending bTB, more effective vaccines for cattle are urgently needed. Recently, </w:t>
      </w:r>
    </w:p>
    <w:p w14:paraId="31A0A9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subunit vaccines have attracted widespread attention. An effective bTB subunit </w:t>
      </w:r>
    </w:p>
    <w:p w14:paraId="1161D3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vaccine requires the identification of key components in the pathogen that can </w:t>
      </w:r>
    </w:p>
    <w:p w14:paraId="3AD6A36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induce protective immune responses and relies on adjuvants to induce robust </w:t>
      </w:r>
    </w:p>
    <w:p w14:paraId="71B713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immunity against the target pathogen. In this study, we developed subunit </w:t>
      </w:r>
    </w:p>
    <w:p w14:paraId="043F7C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vaccines employing BCG cell wall polysaccharides (CW) or Ag85A as antigens, </w:t>
      </w:r>
    </w:p>
    <w:p w14:paraId="0E2801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formulated with either chitosan-based nanoparticles (CSNPs) or manganese jelly </w:t>
      </w:r>
    </w:p>
    <w:p w14:paraId="293217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(MnJ) as adjuvants. The protective efficacy of these vaccines was evaluated </w:t>
      </w:r>
    </w:p>
    <w:p w14:paraId="36BFE8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following intranasal administration in a mouse model challenged with M. bovis. </w:t>
      </w:r>
    </w:p>
    <w:p w14:paraId="18702E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Our results demonstrated that vaccination with CW-MnJβ elicited a marked IL-17 </w:t>
      </w:r>
    </w:p>
    <w:p w14:paraId="283420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response. Following M. bovis challenge, the data revealed that CW‑based vaccines </w:t>
      </w:r>
    </w:p>
    <w:p w14:paraId="78D8B5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(CW‑CSNPs, CW‑MnJα, and CW‑MnJβ) provided significant protection, with CW‑MnJα and CW‑MnJβ showing efficacy comparable to BCG, as evidenced by significant reductions in bacterial burden and obvious alleviation of histopathological damage in the lung and spleen compared to the PBS control. In contrast, Ag85A-based vaccines failed to provide comparable protection, although </w:t>
      </w:r>
    </w:p>
    <w:p w14:paraId="0C44D9A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Ag85A-MnJα and Ag85A-MnJβ stimulated a substantial IgG response. These findings </w:t>
      </w:r>
    </w:p>
    <w:p w14:paraId="1BCB427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provide evidence that intranasal administration of a subunit vaccine </w:t>
      </w:r>
    </w:p>
    <w:p w14:paraId="0D4D8F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incorporating BCG cell wall polysaccharide as an antigen, adjuvanted with either </w:t>
      </w:r>
    </w:p>
    <w:p w14:paraId="761B09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CSNPs or MnJ, holds substantial promise as an effective bTB vaccine.</w:t>
      </w:r>
    </w:p>
    <w:p w14:paraId="6F45921C">
      <w:pPr>
        <w:rPr>
          <w:rFonts w:hint="eastAsia" w:ascii="宋体" w:hAnsi="宋体" w:eastAsia="宋体" w:cs="宋体"/>
          <w:color w:val="000000" w:themeColor="text1"/>
          <w:szCs w:val="24"/>
          <w14:textFill>
            <w14:solidFill>
              <w14:schemeClr w14:val="tx1"/>
            </w14:solidFill>
          </w14:textFill>
        </w:rPr>
      </w:pPr>
    </w:p>
    <w:p w14:paraId="5865A12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Elsevier B.V. All rights reserved.</w:t>
      </w:r>
    </w:p>
    <w:p w14:paraId="09FDE753">
      <w:pPr>
        <w:rPr>
          <w:rFonts w:hint="eastAsia" w:ascii="宋体" w:hAnsi="宋体" w:eastAsia="宋体" w:cs="宋体"/>
          <w:color w:val="000000" w:themeColor="text1"/>
          <w:szCs w:val="24"/>
          <w14:textFill>
            <w14:solidFill>
              <w14:schemeClr w14:val="tx1"/>
            </w14:solidFill>
          </w14:textFill>
        </w:rPr>
      </w:pPr>
    </w:p>
    <w:p w14:paraId="470095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10.1016/j.vetmic.2026.111208</w:t>
      </w:r>
    </w:p>
    <w:p w14:paraId="3C2424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42685465</w:t>
      </w:r>
    </w:p>
    <w:p w14:paraId="0B19F747">
      <w:pPr>
        <w:rPr>
          <w:rFonts w:hint="eastAsia" w:ascii="宋体" w:hAnsi="宋体" w:eastAsia="宋体" w:cs="宋体"/>
          <w:color w:val="000000" w:themeColor="text1"/>
          <w:szCs w:val="24"/>
          <w14:textFill>
            <w14:solidFill>
              <w14:schemeClr w14:val="tx1"/>
            </w14:solidFill>
          </w14:textFill>
        </w:rPr>
      </w:pPr>
    </w:p>
    <w:p w14:paraId="1DA41521">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21</w:t>
      </w:r>
      <w:r>
        <w:rPr>
          <w:rFonts w:hint="eastAsia" w:ascii="宋体" w:hAnsi="宋体" w:eastAsia="宋体" w:cs="宋体"/>
          <w:b/>
          <w:bCs/>
          <w:color w:val="FF0000"/>
          <w:szCs w:val="24"/>
        </w:rPr>
        <w:t xml:space="preserve">. Front Cell Infect Microbiol. 2026 Aug 18;16:1897479. doi: </w:t>
      </w:r>
    </w:p>
    <w:p w14:paraId="3A25C992">
      <w:pPr>
        <w:rPr>
          <w:rFonts w:hint="eastAsia" w:ascii="宋体" w:hAnsi="宋体" w:eastAsia="宋体" w:cs="宋体"/>
          <w:b/>
          <w:bCs/>
          <w:color w:val="FF0000"/>
          <w:szCs w:val="24"/>
        </w:rPr>
      </w:pPr>
      <w:r>
        <w:rPr>
          <w:rFonts w:hint="eastAsia" w:ascii="宋体" w:hAnsi="宋体" w:eastAsia="宋体" w:cs="宋体"/>
          <w:b/>
          <w:bCs/>
          <w:color w:val="FF0000"/>
          <w:szCs w:val="24"/>
        </w:rPr>
        <w:t>10.3389/fcimb.2026.1897479. eCollection 2026.</w:t>
      </w:r>
    </w:p>
    <w:p w14:paraId="43B76752">
      <w:pPr>
        <w:rPr>
          <w:rFonts w:hint="eastAsia" w:ascii="宋体" w:hAnsi="宋体" w:eastAsia="宋体" w:cs="宋体"/>
          <w:color w:val="000000" w:themeColor="text1"/>
          <w:szCs w:val="24"/>
          <w14:textFill>
            <w14:solidFill>
              <w14:schemeClr w14:val="tx1"/>
            </w14:solidFill>
          </w14:textFill>
        </w:rPr>
      </w:pPr>
    </w:p>
    <w:p w14:paraId="52A74F7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Incremental value of quantitative SPECT/CT integrated parameters in a multimodal </w:t>
      </w:r>
    </w:p>
    <w:p w14:paraId="5F6A6AE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machine-learning model for differentiating spinal tuberculosis from pyogenic </w:t>
      </w:r>
    </w:p>
    <w:p w14:paraId="054C76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spondylitis.</w:t>
      </w:r>
    </w:p>
    <w:p w14:paraId="144D9711">
      <w:pPr>
        <w:rPr>
          <w:rFonts w:hint="eastAsia" w:ascii="宋体" w:hAnsi="宋体" w:eastAsia="宋体" w:cs="宋体"/>
          <w:color w:val="000000" w:themeColor="text1"/>
          <w:szCs w:val="24"/>
          <w14:textFill>
            <w14:solidFill>
              <w14:schemeClr w14:val="tx1"/>
            </w14:solidFill>
          </w14:textFill>
        </w:rPr>
      </w:pPr>
    </w:p>
    <w:p w14:paraId="7D4DC8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Wang J(#)(1)(2), Duan X(#)(1)(2), Wang J(1)(2), Zhu M(1)(2), Gao Y(1)(3), Jia </w:t>
      </w:r>
    </w:p>
    <w:p w14:paraId="481B2C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Y(4), Zhao Q(4), Niu N(1)(5).</w:t>
      </w:r>
    </w:p>
    <w:p w14:paraId="57698089">
      <w:pPr>
        <w:rPr>
          <w:rFonts w:hint="eastAsia" w:ascii="宋体" w:hAnsi="宋体" w:eastAsia="宋体" w:cs="宋体"/>
          <w:color w:val="000000" w:themeColor="text1"/>
          <w:szCs w:val="24"/>
          <w14:textFill>
            <w14:solidFill>
              <w14:schemeClr w14:val="tx1"/>
            </w14:solidFill>
          </w14:textFill>
        </w:rPr>
      </w:pPr>
    </w:p>
    <w:p w14:paraId="2284D76D">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Jiaxing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Xingyu Duan,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Jiong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Mengqi Zhu,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Yuxin Gao,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Yingqin Jia,</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Qian Zhao</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Ningkui Niu</w:t>
      </w:r>
      <w:r>
        <w:rPr>
          <w:rFonts w:hint="eastAsia" w:ascii="宋体" w:hAnsi="宋体" w:eastAsia="宋体" w:cs="宋体"/>
          <w:b/>
          <w:bCs/>
          <w:color w:val="0070C0"/>
          <w:szCs w:val="24"/>
          <w:lang w:val="en-US" w:eastAsia="zh-CN"/>
        </w:rPr>
        <w:t>*</w:t>
      </w:r>
    </w:p>
    <w:p w14:paraId="73370A4B">
      <w:pPr>
        <w:jc w:val="left"/>
        <w:rPr>
          <w:rFonts w:hint="eastAsia" w:ascii="宋体" w:hAnsi="宋体" w:eastAsia="宋体" w:cs="宋体"/>
          <w:b/>
          <w:bCs/>
          <w:color w:val="0070C0"/>
          <w:szCs w:val="24"/>
        </w:rPr>
      </w:pPr>
      <w:r>
        <w:rPr>
          <w:rFonts w:hint="eastAsia" w:ascii="宋体" w:hAnsi="宋体" w:eastAsia="宋体" w:cs="宋体"/>
          <w:b/>
          <w:bCs/>
          <w:color w:val="0070C0"/>
          <w:szCs w:val="24"/>
        </w:rPr>
        <w:t>*CORRESPONDENCE Ningkui Niu</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niuningkui6743242@163.com</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Qian Zhao</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cecilia_hh@126.com</w:t>
      </w:r>
    </w:p>
    <w:p w14:paraId="5FD4418C">
      <w:pPr>
        <w:rPr>
          <w:rFonts w:hint="eastAsia" w:ascii="宋体" w:hAnsi="宋体" w:eastAsia="宋体" w:cs="宋体"/>
          <w:color w:val="000000" w:themeColor="text1"/>
          <w:szCs w:val="24"/>
          <w14:textFill>
            <w14:solidFill>
              <w14:schemeClr w14:val="tx1"/>
            </w14:solidFill>
          </w14:textFill>
        </w:rPr>
      </w:pPr>
    </w:p>
    <w:p w14:paraId="1FC5D27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272731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Orthopedics, General Hospital of Ningxia Medical University, </w:t>
      </w:r>
    </w:p>
    <w:p w14:paraId="6022FD4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Yinchuan, Ningxia, China.</w:t>
      </w:r>
    </w:p>
    <w:p w14:paraId="07DE2F0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(2)Ningxia Medical University, Yinchuan, Ningxia, China.</w:t>
      </w:r>
    </w:p>
    <w:p w14:paraId="088E73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(3)Key Laboratory of Clinical Pathogenic Microorganisms, General Hospital of </w:t>
      </w:r>
    </w:p>
    <w:p w14:paraId="3053E1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Ningxia Medical University, Yinchuan, Ningxia, China.</w:t>
      </w:r>
    </w:p>
    <w:p w14:paraId="4FDFB81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(4)Department of Nuclear Medicine, General Hospital of Ningxia Medical </w:t>
      </w:r>
    </w:p>
    <w:p w14:paraId="3569D24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Yinchuan, Ningxia, China.</w:t>
      </w:r>
    </w:p>
    <w:p w14:paraId="2BC1834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(5)Research Center for Prevention and Control of Bone and Joint Tuberculosis, </w:t>
      </w:r>
    </w:p>
    <w:p w14:paraId="6A3C4E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General Hospital of Ningxia Medical University, Yinchuan, Ningxia, China.</w:t>
      </w:r>
    </w:p>
    <w:p w14:paraId="1D7A28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5FDB28F1">
      <w:pPr>
        <w:rPr>
          <w:rFonts w:hint="eastAsia" w:ascii="宋体" w:hAnsi="宋体" w:eastAsia="宋体" w:cs="宋体"/>
          <w:color w:val="000000" w:themeColor="text1"/>
          <w:szCs w:val="24"/>
          <w14:textFill>
            <w14:solidFill>
              <w14:schemeClr w14:val="tx1"/>
            </w14:solidFill>
          </w14:textFill>
        </w:rPr>
      </w:pPr>
    </w:p>
    <w:p w14:paraId="6BDB7F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OBJECTIVE:</w:t>
      </w:r>
      <w:r>
        <w:rPr>
          <w:rFonts w:hint="eastAsia" w:ascii="宋体" w:hAnsi="宋体" w:eastAsia="宋体" w:cs="宋体"/>
          <w:color w:val="000000" w:themeColor="text1"/>
          <w:szCs w:val="24"/>
          <w14:textFill>
            <w14:solidFill>
              <w14:schemeClr w14:val="tx1"/>
            </w14:solidFill>
          </w14:textFill>
        </w:rPr>
        <w:t xml:space="preserve"> To develop and internally validate a multimodal machine-learning </w:t>
      </w:r>
    </w:p>
    <w:p w14:paraId="0DB63D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model integrating clinical characteristics, laboratory markers, conventional </w:t>
      </w:r>
    </w:p>
    <w:p w14:paraId="06B0A24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imaging findings, and quantitative SPECT/CT parameters for differentiating </w:t>
      </w:r>
    </w:p>
    <w:p w14:paraId="468F06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spinal tuberculosis (STB) from pyogenic spondylitis (PS), and to evaluate the </w:t>
      </w:r>
    </w:p>
    <w:p w14:paraId="550D9F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incremental diagnostic value of quantitative SPECT/CT parameters.</w:t>
      </w:r>
    </w:p>
    <w:p w14:paraId="0EB58B8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This retrospective study included 96 patients with STB and 69 with PS </w:t>
      </w:r>
    </w:p>
    <w:p w14:paraId="6287A7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confirmed by microbiological, molecular, or histopathological examinations </w:t>
      </w:r>
    </w:p>
    <w:p w14:paraId="011AAF8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between September 2024 and May 2026. Demographic characteristics, laboratory </w:t>
      </w:r>
    </w:p>
    <w:p w14:paraId="320317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markers, conventional imaging findings, and quantitative SPECT/CT parameters </w:t>
      </w:r>
    </w:p>
    <w:p w14:paraId="071281B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were collected. Two prespecified integrated quantitative SPECT/CT parameters, </w:t>
      </w:r>
    </w:p>
    <w:p w14:paraId="27B150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LBISUVmax and LBISUVmean, were used to construct a baseline model, a </w:t>
      </w:r>
    </w:p>
    <w:p w14:paraId="16BAE9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quantitative SPECT/CT-only model, and a fusion model. Elastic Net logistic </w:t>
      </w:r>
    </w:p>
    <w:p w14:paraId="04B7D7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regression was used for the primary analysis, and radial basis function support </w:t>
      </w:r>
    </w:p>
    <w:p w14:paraId="622F86E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vector machine (RBF-SVM) was used for robustness analysis. Internal validation </w:t>
      </w:r>
    </w:p>
    <w:p w14:paraId="6BBBE16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was performed using repeated stratified nested cross-validation. Model </w:t>
      </w:r>
    </w:p>
    <w:p w14:paraId="081224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performance was evaluated using the area under the receiver operating </w:t>
      </w:r>
    </w:p>
    <w:p w14:paraId="52DEC6A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characteristic curve (AUC), Brier score, and calibration measures. Incremental </w:t>
      </w:r>
    </w:p>
    <w:p w14:paraId="4ECB2ED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value was assessed using 2, 000 patient-level paired bootstrap </w:t>
      </w:r>
    </w:p>
    <w:p w14:paraId="2B53E8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replicates. Two prespecified sensitivity analyses were also performed.</w:t>
      </w:r>
    </w:p>
    <w:p w14:paraId="13AF9E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All seven integrated quantitative SPECT/CT parameters were </w:t>
      </w:r>
    </w:p>
    <w:p w14:paraId="5C9077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significantly higher in the PS group than in the STB group (all P &lt; 0.01). In </w:t>
      </w:r>
    </w:p>
    <w:p w14:paraId="557AF68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Elastic Net analysis, the baseline, quantitative SPECT/CT-only, and fusion </w:t>
      </w:r>
    </w:p>
    <w:p w14:paraId="6C706F7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models achieved AUCs of 0.788, 0.871, and 0.899, respectively. Compared with the </w:t>
      </w:r>
    </w:p>
    <w:p w14:paraId="42E6486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baseline model, the fusion model increased the AUC by 0.110 (95% CI, </w:t>
      </w:r>
    </w:p>
    <w:p w14:paraId="63CD39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0.054-0.172) and reduced the Brier score by 0.048 (95% CI, 0.024-0.070). The </w:t>
      </w:r>
    </w:p>
    <w:p w14:paraId="02C62E0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RBF-SVM fusion model achieved an AUC of 0.957; however, its incremental AUC over </w:t>
      </w:r>
    </w:p>
    <w:p w14:paraId="545C5EF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corresponding baseline model was only 0.021 (95% CI, -0.003 to 0.050). Both </w:t>
      </w:r>
    </w:p>
    <w:p w14:paraId="1A4CF0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analyses yielded findings consistent in direction with the primary </w:t>
      </w:r>
    </w:p>
    <w:p w14:paraId="11FB62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analysis, and inclusion of all seven quantitative parameters did not further </w:t>
      </w:r>
    </w:p>
    <w:p w14:paraId="3118398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improve model performance.</w:t>
      </w:r>
    </w:p>
    <w:p w14:paraId="712CB7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LBISUVmax and LBISUVmean improved the discrimination between STB and </w:t>
      </w:r>
    </w:p>
    <w:p w14:paraId="2DB765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PS when added to conventional clinical, laboratory, and imaging information and </w:t>
      </w:r>
    </w:p>
    <w:p w14:paraId="13EDC28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demonstrated consistent incremental value in the Elastic Net primary analysis </w:t>
      </w:r>
    </w:p>
    <w:p w14:paraId="692F7C2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prespecified sensitivity analyses. Integrated quantitative SPECT/CT </w:t>
      </w:r>
    </w:p>
    <w:p w14:paraId="2A10A6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parameters may therefore provide useful complementary diagnostic information; </w:t>
      </w:r>
    </w:p>
    <w:p w14:paraId="4CB85E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however, their clinical applicability requires confirmation through multicenter </w:t>
      </w:r>
    </w:p>
    <w:p w14:paraId="0A22F3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external validation and prospective studies.</w:t>
      </w:r>
    </w:p>
    <w:p w14:paraId="5B3028F0">
      <w:pPr>
        <w:rPr>
          <w:rFonts w:hint="eastAsia" w:ascii="宋体" w:hAnsi="宋体" w:eastAsia="宋体" w:cs="宋体"/>
          <w:color w:val="000000" w:themeColor="text1"/>
          <w:szCs w:val="24"/>
          <w14:textFill>
            <w14:solidFill>
              <w14:schemeClr w14:val="tx1"/>
            </w14:solidFill>
          </w14:textFill>
        </w:rPr>
      </w:pPr>
    </w:p>
    <w:p w14:paraId="19B5AE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Wang, Duan, Wang, Zhu, Gao, Jia, Zhao and Niu.</w:t>
      </w:r>
    </w:p>
    <w:p w14:paraId="4EE16F29">
      <w:pPr>
        <w:rPr>
          <w:rFonts w:hint="eastAsia" w:ascii="宋体" w:hAnsi="宋体" w:eastAsia="宋体" w:cs="宋体"/>
          <w:color w:val="000000" w:themeColor="text1"/>
          <w:szCs w:val="24"/>
          <w14:textFill>
            <w14:solidFill>
              <w14:schemeClr w14:val="tx1"/>
            </w14:solidFill>
          </w14:textFill>
        </w:rPr>
      </w:pPr>
    </w:p>
    <w:p w14:paraId="5489F6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10.3389/fcimb.2026.1897479</w:t>
      </w:r>
    </w:p>
    <w:p w14:paraId="65AD834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PMC13529530</w:t>
      </w:r>
    </w:p>
    <w:p w14:paraId="539CD7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42682485 [Indexed for MEDLINE]</w:t>
      </w:r>
    </w:p>
    <w:p w14:paraId="387E6962">
      <w:pPr>
        <w:rPr>
          <w:rFonts w:hint="eastAsia" w:ascii="宋体" w:hAnsi="宋体" w:eastAsia="宋体" w:cs="宋体"/>
          <w:color w:val="000000" w:themeColor="text1"/>
          <w:szCs w:val="24"/>
          <w14:textFill>
            <w14:solidFill>
              <w14:schemeClr w14:val="tx1"/>
            </w14:solidFill>
          </w14:textFill>
        </w:rPr>
      </w:pPr>
    </w:p>
    <w:p w14:paraId="71A7C87B">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22</w:t>
      </w:r>
      <w:r>
        <w:rPr>
          <w:rFonts w:hint="eastAsia" w:ascii="宋体" w:hAnsi="宋体" w:eastAsia="宋体" w:cs="宋体"/>
          <w:b/>
          <w:bCs/>
          <w:color w:val="FF0000"/>
          <w:szCs w:val="24"/>
        </w:rPr>
        <w:t xml:space="preserve">. Front Cell Infect Microbiol. 2026 Aug 18;16:1818202. doi: </w:t>
      </w:r>
    </w:p>
    <w:p w14:paraId="39ADDAEB">
      <w:pPr>
        <w:rPr>
          <w:rFonts w:hint="eastAsia" w:ascii="宋体" w:hAnsi="宋体" w:eastAsia="宋体" w:cs="宋体"/>
          <w:b/>
          <w:bCs/>
          <w:color w:val="FF0000"/>
          <w:szCs w:val="24"/>
        </w:rPr>
      </w:pPr>
      <w:r>
        <w:rPr>
          <w:rFonts w:hint="eastAsia" w:ascii="宋体" w:hAnsi="宋体" w:eastAsia="宋体" w:cs="宋体"/>
          <w:b/>
          <w:bCs/>
          <w:color w:val="FF0000"/>
          <w:szCs w:val="24"/>
        </w:rPr>
        <w:t>10.3389/fcimb.2026.1818202. eCollection 2026.</w:t>
      </w:r>
    </w:p>
    <w:p w14:paraId="66A64681">
      <w:pPr>
        <w:rPr>
          <w:rFonts w:hint="eastAsia" w:ascii="宋体" w:hAnsi="宋体" w:eastAsia="宋体" w:cs="宋体"/>
          <w:color w:val="000000" w:themeColor="text1"/>
          <w:szCs w:val="24"/>
          <w14:textFill>
            <w14:solidFill>
              <w14:schemeClr w14:val="tx1"/>
            </w14:solidFill>
          </w14:textFill>
        </w:rPr>
      </w:pPr>
    </w:p>
    <w:p w14:paraId="6AB7D9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Clinical utility of targeted next-generation sequencing for rapid detection, </w:t>
      </w:r>
    </w:p>
    <w:p w14:paraId="435BE05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species differentiation, drug resistance profiling, and prognostic evaluation in </w:t>
      </w:r>
    </w:p>
    <w:p w14:paraId="3C5855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Mycobacterium tuberculosis: a multi-center retrospective cohort study.</w:t>
      </w:r>
    </w:p>
    <w:p w14:paraId="53DC24AE">
      <w:pPr>
        <w:rPr>
          <w:rFonts w:hint="eastAsia" w:ascii="宋体" w:hAnsi="宋体" w:eastAsia="宋体" w:cs="宋体"/>
          <w:color w:val="000000" w:themeColor="text1"/>
          <w:szCs w:val="24"/>
          <w14:textFill>
            <w14:solidFill>
              <w14:schemeClr w14:val="tx1"/>
            </w14:solidFill>
          </w14:textFill>
        </w:rPr>
      </w:pPr>
    </w:p>
    <w:p w14:paraId="4B6DB9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Shi L(#)(1), Ni M(#)(2), Yang F(#)(3), Shi W(4), Liu X(2), Ni C(5), He F(1), </w:t>
      </w:r>
    </w:p>
    <w:p w14:paraId="38A982B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Huang Y(1), Yang X(1), Pei Y(1).</w:t>
      </w:r>
    </w:p>
    <w:p w14:paraId="7C535ED9">
      <w:pPr>
        <w:rPr>
          <w:rFonts w:hint="eastAsia" w:ascii="宋体" w:hAnsi="宋体" w:eastAsia="宋体" w:cs="宋体"/>
          <w:color w:val="000000" w:themeColor="text1"/>
          <w:szCs w:val="24"/>
          <w14:textFill>
            <w14:solidFill>
              <w14:schemeClr w14:val="tx1"/>
            </w14:solidFill>
          </w14:textFill>
        </w:rPr>
      </w:pPr>
    </w:p>
    <w:p w14:paraId="1D5ABCA0">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Li Shi,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Mingde Ni,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Fan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Wei Shi,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Xiuwu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Chen Ni,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Fang He,</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Yunhui Huang,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Xiaoyun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 Pei</w:t>
      </w:r>
      <w:r>
        <w:rPr>
          <w:rFonts w:hint="eastAsia" w:ascii="宋体" w:hAnsi="宋体" w:eastAsia="宋体" w:cs="宋体"/>
          <w:b/>
          <w:bCs/>
          <w:color w:val="0070C0"/>
          <w:szCs w:val="24"/>
          <w:lang w:val="en-US" w:eastAsia="zh-CN"/>
        </w:rPr>
        <w:t>*</w:t>
      </w:r>
    </w:p>
    <w:p w14:paraId="47F3E459">
      <w:pPr>
        <w:rPr>
          <w:rFonts w:hint="eastAsia" w:ascii="宋体" w:hAnsi="宋体" w:eastAsia="宋体" w:cs="宋体"/>
          <w:b/>
          <w:bCs/>
          <w:color w:val="0070C0"/>
          <w:szCs w:val="24"/>
        </w:rPr>
      </w:pPr>
      <w:r>
        <w:rPr>
          <w:rFonts w:hint="eastAsia" w:ascii="宋体" w:hAnsi="宋体" w:eastAsia="宋体" w:cs="宋体"/>
          <w:b/>
          <w:bCs/>
          <w:color w:val="0070C0"/>
          <w:szCs w:val="24"/>
        </w:rPr>
        <w:t>*CORRESPONDENCE Yi Pei</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1113284116@qq.com</w:t>
      </w:r>
    </w:p>
    <w:p w14:paraId="63B08144">
      <w:pPr>
        <w:rPr>
          <w:rFonts w:hint="eastAsia" w:ascii="宋体" w:hAnsi="宋体" w:eastAsia="宋体" w:cs="宋体"/>
          <w:b/>
          <w:bCs/>
          <w:color w:val="0070C0"/>
          <w:szCs w:val="24"/>
        </w:rPr>
      </w:pPr>
    </w:p>
    <w:p w14:paraId="568123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3341106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Tuberculosis, The Affiliated Changsha Central Hospital, </w:t>
      </w:r>
    </w:p>
    <w:p w14:paraId="334BF10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Hengyang Medical School, University of South China, Changsha, Hunan, China.</w:t>
      </w:r>
    </w:p>
    <w:p w14:paraId="6894CD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(2)Linyi People's Hospital, Linyi, Shandong, China.</w:t>
      </w:r>
    </w:p>
    <w:p w14:paraId="1450EB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(3)Dinfectome Inc., Nanjing, Jiangsu, China.</w:t>
      </w:r>
    </w:p>
    <w:p w14:paraId="3AB7D1F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(4)School of Information Engineering, Changsha Medical University, Changsha, </w:t>
      </w:r>
    </w:p>
    <w:p w14:paraId="171779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Hunan, China.</w:t>
      </w:r>
    </w:p>
    <w:p w14:paraId="360BA29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(5)The Second Clinical Medical College of Guangxi Medical University, Nanning, </w:t>
      </w:r>
    </w:p>
    <w:p w14:paraId="743204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Guangxi, China.</w:t>
      </w:r>
    </w:p>
    <w:p w14:paraId="63DC0E6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3C06AA19">
      <w:pPr>
        <w:rPr>
          <w:rFonts w:hint="eastAsia" w:ascii="宋体" w:hAnsi="宋体" w:eastAsia="宋体" w:cs="宋体"/>
          <w:color w:val="000000" w:themeColor="text1"/>
          <w:szCs w:val="24"/>
          <w14:textFill>
            <w14:solidFill>
              <w14:schemeClr w14:val="tx1"/>
            </w14:solidFill>
          </w14:textFill>
        </w:rPr>
      </w:pPr>
    </w:p>
    <w:p w14:paraId="33303F7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Tuberculosis (TB) remains a global health threat, which is </w:t>
      </w:r>
    </w:p>
    <w:p w14:paraId="0643B2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complicated by challenges in distinguishing TB from nontuberculous mycobacteria </w:t>
      </w:r>
    </w:p>
    <w:p w14:paraId="7065A05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(NTM) infections and drug resistance. Conventional diagnostics (including </w:t>
      </w:r>
    </w:p>
    <w:p w14:paraId="19799B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culture, Xpert MTB/RIF, AFB smear, T-SPOT.TB, etc.) are limited by inadequate </w:t>
      </w:r>
    </w:p>
    <w:p w14:paraId="1C3E6E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differentiation of TB and NTM, incomplete resistance profiling, and prolonged </w:t>
      </w:r>
    </w:p>
    <w:p w14:paraId="43FAAA0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turnaround times.</w:t>
      </w:r>
    </w:p>
    <w:p w14:paraId="20CBD68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w:t>
      </w:r>
      <w:r>
        <w:rPr>
          <w:rFonts w:hint="eastAsia" w:ascii="宋体" w:hAnsi="宋体" w:eastAsia="宋体" w:cs="宋体"/>
          <w:color w:val="000000" w:themeColor="text1"/>
          <w:szCs w:val="24"/>
          <w14:textFill>
            <w14:solidFill>
              <w14:schemeClr w14:val="tx1"/>
            </w14:solidFill>
          </w14:textFill>
        </w:rPr>
        <w:t xml:space="preserve"> This retrospective multicenter study enrolled 130 patients with </w:t>
      </w:r>
    </w:p>
    <w:p w14:paraId="248520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suspected mycobacterial infection between August 2023 and June 2024 at two </w:t>
      </w:r>
    </w:p>
    <w:p w14:paraId="2E75200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tertiary hospitals in China. Patients were classified as TB (n=91), NTM (n=18), </w:t>
      </w:r>
    </w:p>
    <w:p w14:paraId="78C8F4B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Other (n=17) and Mixed infection (n=4) based on a composite reference standard </w:t>
      </w:r>
    </w:p>
    <w:p w14:paraId="0D1990F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(final clinical diagnosis) established independently of targeted next-generation </w:t>
      </w:r>
    </w:p>
    <w:p w14:paraId="0855E92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sequencing (tNGS) results. Performance of tNGS versus conventional methods was </w:t>
      </w:r>
    </w:p>
    <w:p w14:paraId="3D271E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evaluated across different sample types. Diagnostic performance, drug-resistance </w:t>
      </w:r>
    </w:p>
    <w:p w14:paraId="3D13D1B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detection, therapeutic impact and clinical outcomes were analyzed.</w:t>
      </w:r>
    </w:p>
    <w:p w14:paraId="5F7122C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The overall agreement of tNGS detection with clinical diagnoses of </w:t>
      </w:r>
    </w:p>
    <w:p w14:paraId="5473B57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pathogens was 80.9% in sputum and 71.3% in bronchoalveolar lavage fluid (BALF), </w:t>
      </w:r>
    </w:p>
    <w:p w14:paraId="00E9750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exceeding conventional methods (which remained below 55%). Critically, tNGS </w:t>
      </w:r>
    </w:p>
    <w:p w14:paraId="20641D7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effectively distinguished TB from NTM, with diagnostic sensitivity of 84.0% (95% </w:t>
      </w:r>
    </w:p>
    <w:p w14:paraId="1664F4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CI, 75.0%-90.8%) for TB and 90.5% (95% CI, 69.6%-98.8%) for NTM, and specificity </w:t>
      </w:r>
    </w:p>
    <w:p w14:paraId="45E23A1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100.0% (95% CI, 90.3%-100.0%) for TB and 99.1% (95% CI, 95.0%-100.0%) for </w:t>
      </w:r>
    </w:p>
    <w:p w14:paraId="4AF6B5A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NTM. tNGS simultaneously detected resistance-associated variants relevant to 11 </w:t>
      </w:r>
    </w:p>
    <w:p w14:paraId="2256650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antimycobacterial drugs within approximately 24 hours. Treatment regimens for 52 </w:t>
      </w:r>
    </w:p>
    <w:p w14:paraId="2B80BE6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patients (41.3%) were adjusted following tNGS reporting. Of these, 82.7% showed </w:t>
      </w:r>
    </w:p>
    <w:p w14:paraId="5163C3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subsequent clinical improvement, however, these outcome data remain descriptive </w:t>
      </w:r>
    </w:p>
    <w:p w14:paraId="54337E5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and do not establish causality.</w:t>
      </w:r>
    </w:p>
    <w:p w14:paraId="596222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color w:val="000000" w:themeColor="text1"/>
          <w:szCs w:val="24"/>
          <w14:textFill>
            <w14:solidFill>
              <w14:schemeClr w14:val="tx1"/>
            </w14:solidFill>
          </w14:textFill>
        </w:rPr>
        <w:t xml:space="preserve"> tNGS enables rapid, accurate, and comprehensive diagnosis of </w:t>
      </w:r>
    </w:p>
    <w:p w14:paraId="54171B0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mycobacterial infections, reliably differentiates TB from NTM, and provides </w:t>
      </w:r>
    </w:p>
    <w:p w14:paraId="5B666C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drug-resistance profiles to inform therapy, with the potential to assist in </w:t>
      </w:r>
    </w:p>
    <w:p w14:paraId="5E20D49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optimizing clinical management of TB.</w:t>
      </w:r>
    </w:p>
    <w:p w14:paraId="55DED017">
      <w:pPr>
        <w:rPr>
          <w:rFonts w:hint="eastAsia" w:ascii="宋体" w:hAnsi="宋体" w:eastAsia="宋体" w:cs="宋体"/>
          <w:color w:val="000000" w:themeColor="text1"/>
          <w:szCs w:val="24"/>
          <w14:textFill>
            <w14:solidFill>
              <w14:schemeClr w14:val="tx1"/>
            </w14:solidFill>
          </w14:textFill>
        </w:rPr>
      </w:pPr>
    </w:p>
    <w:p w14:paraId="0FE287B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2026 Shi, Ni, Yang, Shi, Liu, Ni, He, Huang, Yang and Pei.</w:t>
      </w:r>
    </w:p>
    <w:p w14:paraId="640F13CC">
      <w:pPr>
        <w:rPr>
          <w:rFonts w:hint="eastAsia" w:ascii="宋体" w:hAnsi="宋体" w:eastAsia="宋体" w:cs="宋体"/>
          <w:color w:val="000000" w:themeColor="text1"/>
          <w:szCs w:val="24"/>
          <w14:textFill>
            <w14:solidFill>
              <w14:schemeClr w14:val="tx1"/>
            </w14:solidFill>
          </w14:textFill>
        </w:rPr>
      </w:pPr>
    </w:p>
    <w:p w14:paraId="1246895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10.3389/fcimb.2026.1818202</w:t>
      </w:r>
    </w:p>
    <w:p w14:paraId="2B88F3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PMC13529550</w:t>
      </w:r>
    </w:p>
    <w:p w14:paraId="6E348B2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42682482 [Indexed for MEDLINE]</w:t>
      </w:r>
    </w:p>
    <w:p w14:paraId="691110DC">
      <w:pPr>
        <w:rPr>
          <w:rFonts w:hint="eastAsia" w:ascii="宋体" w:hAnsi="宋体" w:eastAsia="宋体" w:cs="宋体"/>
          <w:color w:val="000000" w:themeColor="text1"/>
          <w:szCs w:val="24"/>
          <w14:textFill>
            <w14:solidFill>
              <w14:schemeClr w14:val="tx1"/>
            </w14:solidFill>
          </w14:textFill>
        </w:rPr>
      </w:pPr>
    </w:p>
    <w:p w14:paraId="52AC9DBF">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23</w:t>
      </w:r>
      <w:r>
        <w:rPr>
          <w:rFonts w:hint="eastAsia" w:ascii="宋体" w:hAnsi="宋体" w:eastAsia="宋体" w:cs="宋体"/>
          <w:b/>
          <w:bCs/>
          <w:color w:val="FF0000"/>
          <w:szCs w:val="24"/>
        </w:rPr>
        <w:t>. BMC Infect Dis. 2026 Jul 29;26(1):1589. doi: 10.1186/s12879-026-14026-7.</w:t>
      </w:r>
    </w:p>
    <w:p w14:paraId="6098974F">
      <w:pPr>
        <w:rPr>
          <w:rFonts w:hint="eastAsia" w:ascii="宋体" w:hAnsi="宋体" w:eastAsia="宋体" w:cs="宋体"/>
          <w:color w:val="000000" w:themeColor="text1"/>
          <w:szCs w:val="24"/>
          <w14:textFill>
            <w14:solidFill>
              <w14:schemeClr w14:val="tx1"/>
            </w14:solidFill>
          </w14:textFill>
        </w:rPr>
      </w:pPr>
    </w:p>
    <w:p w14:paraId="589098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Diagnostic performance of nucleic acid MALDI-TOF MS in mycobacterial detection, </w:t>
      </w:r>
    </w:p>
    <w:p w14:paraId="5B8BA4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species identification, and drug resistance testing for Mycobacterium </w:t>
      </w:r>
    </w:p>
    <w:p w14:paraId="330872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tuberculosis.</w:t>
      </w:r>
    </w:p>
    <w:p w14:paraId="06F224B6">
      <w:pPr>
        <w:rPr>
          <w:rFonts w:hint="eastAsia" w:ascii="宋体" w:hAnsi="宋体" w:eastAsia="宋体" w:cs="宋体"/>
          <w:color w:val="000000" w:themeColor="text1"/>
          <w:szCs w:val="24"/>
          <w14:textFill>
            <w14:solidFill>
              <w14:schemeClr w14:val="tx1"/>
            </w14:solidFill>
          </w14:textFill>
        </w:rPr>
      </w:pPr>
    </w:p>
    <w:p w14:paraId="6CE23F0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Yan M(#)(1), Xu J(#)(1), Yang Z(#)(1), Liu L(1), Wang Y(1), Guo X(1), Liu X(1), </w:t>
      </w:r>
    </w:p>
    <w:p w14:paraId="284BC56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An H(#)(2), Wang T(#)(3).</w:t>
      </w:r>
    </w:p>
    <w:p w14:paraId="4FE43A2A">
      <w:pPr>
        <w:rPr>
          <w:rFonts w:hint="eastAsia" w:ascii="宋体" w:hAnsi="宋体" w:eastAsia="宋体" w:cs="宋体"/>
          <w:color w:val="000000" w:themeColor="text1"/>
          <w:szCs w:val="24"/>
          <w14:textFill>
            <w14:solidFill>
              <w14:schemeClr w14:val="tx1"/>
            </w14:solidFill>
          </w14:textFill>
        </w:rPr>
      </w:pPr>
    </w:p>
    <w:p w14:paraId="494BCEB1">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Mengdie Yan,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Jing Xu,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Zhengzheng Yang,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Lin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Yu Wang,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Xiaoni Guo,</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Xiao Liu,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Huiru An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Tianhao Wang</w:t>
      </w:r>
      <w:r>
        <w:rPr>
          <w:rFonts w:hint="eastAsia" w:ascii="宋体" w:hAnsi="宋体" w:eastAsia="宋体" w:cs="宋体"/>
          <w:b/>
          <w:bCs/>
          <w:color w:val="0070C0"/>
          <w:szCs w:val="24"/>
          <w:lang w:val="en-US" w:eastAsia="zh-CN"/>
        </w:rPr>
        <w:t>*</w:t>
      </w:r>
    </w:p>
    <w:p w14:paraId="28ED98F3">
      <w:pPr>
        <w:jc w:val="left"/>
        <w:rPr>
          <w:rFonts w:hint="eastAsia" w:ascii="宋体" w:hAnsi="宋体" w:eastAsia="宋体" w:cs="宋体"/>
          <w:b/>
          <w:bCs/>
          <w:color w:val="0070C0"/>
          <w:szCs w:val="24"/>
        </w:rPr>
      </w:pPr>
      <w:r>
        <w:rPr>
          <w:rFonts w:hint="eastAsia" w:ascii="宋体" w:hAnsi="宋体" w:eastAsia="宋体" w:cs="宋体"/>
          <w:b/>
          <w:bCs/>
          <w:color w:val="0070C0"/>
          <w:szCs w:val="24"/>
        </w:rPr>
        <w:t>*Correspondence: Huiru An</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anhuiru74@sina.com </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Tianhao Wang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 xml:space="preserve"> wangtianhao309@163.com</w:t>
      </w:r>
    </w:p>
    <w:p w14:paraId="6A7FA87E">
      <w:pPr>
        <w:rPr>
          <w:rFonts w:hint="eastAsia" w:ascii="宋体" w:hAnsi="宋体" w:eastAsia="宋体" w:cs="宋体"/>
          <w:color w:val="000000" w:themeColor="text1"/>
          <w:szCs w:val="24"/>
          <w14:textFill>
            <w14:solidFill>
              <w14:schemeClr w14:val="tx1"/>
            </w14:solidFill>
          </w14:textFill>
        </w:rPr>
      </w:pPr>
    </w:p>
    <w:p w14:paraId="0E22A5F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F3DFDE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(1)The Senior Department of Tuberculosis of Chinese, PLA General Hospital, </w:t>
      </w:r>
    </w:p>
    <w:p w14:paraId="1B52C3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Beijing, 100091, China.</w:t>
      </w:r>
    </w:p>
    <w:p w14:paraId="58698AD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(2)The Senior Department of Tuberculosis of Chinese, PLA General Hospital, </w:t>
      </w:r>
    </w:p>
    <w:p w14:paraId="10DD14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Beijing, 100091, China. anhuiru74@sina.com.</w:t>
      </w:r>
    </w:p>
    <w:p w14:paraId="49B8EA4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(3)The Senior Department of Emergency of Chinese PLA General Hospital, Beijing, </w:t>
      </w:r>
    </w:p>
    <w:p w14:paraId="7A2E2FF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100091, China. wangtianhao309@163.com.</w:t>
      </w:r>
    </w:p>
    <w:p w14:paraId="5EABAF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2432C8A2">
      <w:pPr>
        <w:rPr>
          <w:rFonts w:hint="eastAsia" w:ascii="宋体" w:hAnsi="宋体" w:eastAsia="宋体" w:cs="宋体"/>
          <w:color w:val="000000" w:themeColor="text1"/>
          <w:szCs w:val="24"/>
          <w14:textFill>
            <w14:solidFill>
              <w14:schemeClr w14:val="tx1"/>
            </w14:solidFill>
          </w14:textFill>
        </w:rPr>
      </w:pPr>
    </w:p>
    <w:p w14:paraId="2D1C273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Conventional methods for detecting mycobacteria were insufficient </w:t>
      </w:r>
    </w:p>
    <w:p w14:paraId="781FA69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for comprehensive species identification and full-spectrum drug resistance </w:t>
      </w:r>
    </w:p>
    <w:p w14:paraId="5D11EEC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profiling. This study aimed to evaluate the diagnostic value of nucleic acid </w:t>
      </w:r>
    </w:p>
    <w:p w14:paraId="001C69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matrix-assisted laser desorption/ionization time-of-flight mass spectrometry </w:t>
      </w:r>
    </w:p>
    <w:p w14:paraId="215D5FD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(MALDI-TOF MS) for mycobacterial detection, species identification, and </w:t>
      </w:r>
    </w:p>
    <w:p w14:paraId="346280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Mycobacterium tuberculosis drug resistance testing.</w:t>
      </w:r>
    </w:p>
    <w:p w14:paraId="7813E1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METHODS: </w:t>
      </w:r>
      <w:r>
        <w:rPr>
          <w:rFonts w:hint="eastAsia" w:ascii="宋体" w:hAnsi="宋体" w:eastAsia="宋体" w:cs="宋体"/>
          <w:color w:val="000000" w:themeColor="text1"/>
          <w:szCs w:val="24"/>
          <w14:textFill>
            <w14:solidFill>
              <w14:schemeClr w14:val="tx1"/>
            </w14:solidFill>
          </w14:textFill>
        </w:rPr>
        <w:t xml:space="preserve">A retrospective study was performed on clinical specimens (including </w:t>
      </w:r>
    </w:p>
    <w:p w14:paraId="2A9CE25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sputum, bronchoalveolar lavage fluid, pleural fluid, pus, and other lesion </w:t>
      </w:r>
    </w:p>
    <w:p w14:paraId="4931F6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samples) obtained from patients with tuberculosis, nontuberculous mycobacterial </w:t>
      </w:r>
    </w:p>
    <w:p w14:paraId="448D38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infection, or other infectious diseases at the Eighth Medical Center of Chinese </w:t>
      </w:r>
    </w:p>
    <w:p w14:paraId="75ABCD7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PLA General Hospital between December 2020 and July 2023. Specimens were </w:t>
      </w:r>
    </w:p>
    <w:p w14:paraId="5E4D8F7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examined using nucleic acid MALDI-TOF MS, Gene Xpert MTB/RIF (Xpert), and </w:t>
      </w:r>
    </w:p>
    <w:p w14:paraId="057808D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Mycobacterium tuberculosis culture. Diagnostic performance and agreement were </w:t>
      </w:r>
    </w:p>
    <w:p w14:paraId="3D793B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assessed using Mycobacterium tuberculosis culture and composite clinical </w:t>
      </w:r>
    </w:p>
    <w:p w14:paraId="7162D46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(integrating clinical manifestations, imaging findings, and multiple </w:t>
      </w:r>
    </w:p>
    <w:p w14:paraId="5BE8894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laboratory tests according to WS288-2017 Diagnostic Criteria for Tuberculosis of </w:t>
      </w:r>
    </w:p>
    <w:p w14:paraId="13BCA4D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 as reference standards.</w:t>
      </w:r>
    </w:p>
    <w:p w14:paraId="70E940C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A total of 138 specimens were included in the final analysis. Compared </w:t>
      </w:r>
    </w:p>
    <w:p w14:paraId="584EE6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Mycobacterium tuberculosis culture, nucleic acid MALDI-TOF MS exhibited </w:t>
      </w:r>
    </w:p>
    <w:p w14:paraId="7049ABC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relatively high analytical nucleic acid sensitivity (97.7%) for MTB detection </w:t>
      </w:r>
    </w:p>
    <w:p w14:paraId="7401E7D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(97.7%). However, the assay showed poor specificity of only 24.2%, with slight </w:t>
      </w:r>
    </w:p>
    <w:p w14:paraId="00F0066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agreement between Mycobacterium tuberculosis culture and nucleic acid MALDI-TOF </w:t>
      </w:r>
    </w:p>
    <w:p w14:paraId="7B19CEA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MS (Kappa = 0.151). When composite clinical diagnosis was used as the reference </w:t>
      </w:r>
    </w:p>
    <w:p w14:paraId="74F2911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standard, nucleic acid MALDI-TOF MS yielded seemingly favorable diagnostic </w:t>
      </w:r>
    </w:p>
    <w:p w14:paraId="055F1C7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indicators (sensitivity: 98.1%, specificity: 73.3%, accuracy: 92.8%, </w:t>
      </w:r>
    </w:p>
    <w:p w14:paraId="2DC094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Kappa = 0.770). Its sensitivity (98.1%) was numerically superior to that of </w:t>
      </w:r>
    </w:p>
    <w:p w14:paraId="7648BA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culture (39.8%) and Xpert (73.1%), with all P &lt; 0.001. The AUC of nucleic acid </w:t>
      </w:r>
    </w:p>
    <w:p w14:paraId="48523D2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MALDI-TOF MS was 0.857, which was comparable to that of Xpert (0.870) with </w:t>
      </w:r>
    </w:p>
    <w:p w14:paraId="5819A9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 = 0.721, but relatively higher than that of Mycobacterium tuberculosis culture </w:t>
      </w:r>
    </w:p>
    <w:p w14:paraId="3238FB2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with P &lt; 0.001. In drug resistance prediction (n = 34), nucleic acid MALDI-TOF </w:t>
      </w:r>
    </w:p>
    <w:p w14:paraId="440C57B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MS exhibited moderate accuracy for rifampicin, isoniazid, streptomycin, and </w:t>
      </w:r>
    </w:p>
    <w:p w14:paraId="22C5051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fluoroquinolones (AUC range: 0.760-0.840), with rifampicin resistance </w:t>
      </w:r>
    </w:p>
    <w:p w14:paraId="39758EF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sensitivity reaching 95.0%. Meanwhile, a total of 29 strains, including NTM and </w:t>
      </w:r>
    </w:p>
    <w:p w14:paraId="3DA20AE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MTB co-infections, were identified by nucleic acid MALDI-TOF MS, which were </w:t>
      </w:r>
    </w:p>
    <w:p w14:paraId="510EAF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descriptive only.</w:t>
      </w:r>
    </w:p>
    <w:p w14:paraId="5A2CB51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color w:val="000000" w:themeColor="text1"/>
          <w:szCs w:val="24"/>
          <w14:textFill>
            <w14:solidFill>
              <w14:schemeClr w14:val="tx1"/>
            </w14:solidFill>
          </w14:textFill>
        </w:rPr>
        <w:t xml:space="preserve"> Nucleic acid MALDI-TOF MS is an auxiliary tool for the rapid </w:t>
      </w:r>
    </w:p>
    <w:p w14:paraId="6AB588E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diagnosis of MTB and NTM and for the preliminary screening of drug resistance. </w:t>
      </w:r>
    </w:p>
    <w:p w14:paraId="359461B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assay exhibits moderately improved sensitivity compared with culture methods </w:t>
      </w:r>
    </w:p>
    <w:p w14:paraId="76B3E4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and reasonably good concordance with composite clinical diagnosis. It platform </w:t>
      </w:r>
    </w:p>
    <w:p w14:paraId="3407EB1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may serve as an auxiliary screening method when combined with mycobacterial </w:t>
      </w:r>
    </w:p>
    <w:p w14:paraId="31B9DEB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culture, Xpert, and comprehensive clinical evaluation to avoid overdiagnosis. </w:t>
      </w:r>
    </w:p>
    <w:p w14:paraId="7AAAEC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Its independent clinical application requires rigorous further validation in </w:t>
      </w:r>
    </w:p>
    <w:p w14:paraId="3F8057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large-scale, multi-center cohorts before widespread routine use.</w:t>
      </w:r>
    </w:p>
    <w:p w14:paraId="32BE1F56">
      <w:pPr>
        <w:rPr>
          <w:rFonts w:hint="eastAsia" w:ascii="宋体" w:hAnsi="宋体" w:eastAsia="宋体" w:cs="宋体"/>
          <w:color w:val="000000" w:themeColor="text1"/>
          <w:szCs w:val="24"/>
          <w14:textFill>
            <w14:solidFill>
              <w14:schemeClr w14:val="tx1"/>
            </w14:solidFill>
          </w14:textFill>
        </w:rPr>
      </w:pPr>
    </w:p>
    <w:p w14:paraId="501836A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The Author(s).</w:t>
      </w:r>
    </w:p>
    <w:p w14:paraId="56386191">
      <w:pPr>
        <w:rPr>
          <w:rFonts w:hint="eastAsia" w:ascii="宋体" w:hAnsi="宋体" w:eastAsia="宋体" w:cs="宋体"/>
          <w:color w:val="000000" w:themeColor="text1"/>
          <w:szCs w:val="24"/>
          <w14:textFill>
            <w14:solidFill>
              <w14:schemeClr w14:val="tx1"/>
            </w14:solidFill>
          </w14:textFill>
        </w:rPr>
      </w:pPr>
    </w:p>
    <w:p w14:paraId="085657F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10.1186/s12879-026-14026-7</w:t>
      </w:r>
    </w:p>
    <w:p w14:paraId="76B1AEE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PMC13536569</w:t>
      </w:r>
    </w:p>
    <w:p w14:paraId="003B3C2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42681611 [Indexed for MEDLINE]</w:t>
      </w:r>
    </w:p>
    <w:p w14:paraId="74E15593">
      <w:pPr>
        <w:rPr>
          <w:rFonts w:hint="eastAsia" w:ascii="宋体" w:hAnsi="宋体" w:eastAsia="宋体" w:cs="宋体"/>
          <w:color w:val="000000" w:themeColor="text1"/>
          <w:szCs w:val="24"/>
          <w14:textFill>
            <w14:solidFill>
              <w14:schemeClr w14:val="tx1"/>
            </w14:solidFill>
          </w14:textFill>
        </w:rPr>
      </w:pPr>
    </w:p>
    <w:p w14:paraId="44A2B3F1">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24</w:t>
      </w:r>
      <w:r>
        <w:rPr>
          <w:rFonts w:hint="eastAsia" w:ascii="宋体" w:hAnsi="宋体" w:eastAsia="宋体" w:cs="宋体"/>
          <w:b/>
          <w:bCs/>
          <w:color w:val="FF0000"/>
          <w:szCs w:val="24"/>
        </w:rPr>
        <w:t xml:space="preserve">. Int J Womens Health. 2026 Aug 27;18:624782. doi: 10.2147/IJWH.S624782. </w:t>
      </w:r>
    </w:p>
    <w:p w14:paraId="27F0AA46">
      <w:pPr>
        <w:rPr>
          <w:rFonts w:hint="eastAsia" w:ascii="宋体" w:hAnsi="宋体" w:eastAsia="宋体" w:cs="宋体"/>
          <w:b/>
          <w:bCs/>
          <w:color w:val="FF0000"/>
          <w:szCs w:val="24"/>
        </w:rPr>
      </w:pPr>
      <w:r>
        <w:rPr>
          <w:rFonts w:hint="eastAsia" w:ascii="宋体" w:hAnsi="宋体" w:eastAsia="宋体" w:cs="宋体"/>
          <w:b/>
          <w:bCs/>
          <w:color w:val="FF0000"/>
          <w:szCs w:val="24"/>
        </w:rPr>
        <w:t>eCollection 2026.</w:t>
      </w:r>
    </w:p>
    <w:p w14:paraId="12A33190">
      <w:pPr>
        <w:rPr>
          <w:rFonts w:hint="eastAsia" w:ascii="宋体" w:hAnsi="宋体" w:eastAsia="宋体" w:cs="宋体"/>
          <w:color w:val="000000" w:themeColor="text1"/>
          <w:szCs w:val="24"/>
          <w14:textFill>
            <w14:solidFill>
              <w14:schemeClr w14:val="tx1"/>
            </w14:solidFill>
          </w14:textFill>
        </w:rPr>
      </w:pPr>
    </w:p>
    <w:p w14:paraId="7B7F766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Global Burden of Tuberculosis and Drug-Resistant Subtypes Among Women of </w:t>
      </w:r>
    </w:p>
    <w:p w14:paraId="2C43569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Childbearing Age from 1990 to 2021, with Projections to 2030.</w:t>
      </w:r>
    </w:p>
    <w:p w14:paraId="2804096B">
      <w:pPr>
        <w:rPr>
          <w:rFonts w:hint="eastAsia" w:ascii="宋体" w:hAnsi="宋体" w:eastAsia="宋体" w:cs="宋体"/>
          <w:color w:val="000000" w:themeColor="text1"/>
          <w:szCs w:val="24"/>
          <w14:textFill>
            <w14:solidFill>
              <w14:schemeClr w14:val="tx1"/>
            </w14:solidFill>
          </w14:textFill>
        </w:rPr>
      </w:pPr>
    </w:p>
    <w:p w14:paraId="515F4BD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Chen J(#)(1)(2)(3), Peng X(#)(2)(4), Zheng Y(1)(3), Chen R(1)(3).</w:t>
      </w:r>
    </w:p>
    <w:p w14:paraId="05E3CC9F">
      <w:pPr>
        <w:rPr>
          <w:rFonts w:hint="eastAsia" w:ascii="宋体" w:hAnsi="宋体" w:eastAsia="宋体" w:cs="宋体"/>
          <w:color w:val="000000" w:themeColor="text1"/>
          <w:szCs w:val="24"/>
          <w14:textFill>
            <w14:solidFill>
              <w14:schemeClr w14:val="tx1"/>
            </w14:solidFill>
          </w14:textFill>
        </w:rPr>
      </w:pPr>
    </w:p>
    <w:p w14:paraId="07D0000A">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Jiawang Chen,</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Xiaozhen Peng,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Yixiang Zheng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Ruochan Chen</w:t>
      </w:r>
      <w:r>
        <w:rPr>
          <w:rFonts w:hint="eastAsia" w:ascii="宋体" w:hAnsi="宋体" w:eastAsia="宋体" w:cs="宋体"/>
          <w:b/>
          <w:bCs/>
          <w:color w:val="0070C0"/>
          <w:szCs w:val="24"/>
          <w:lang w:val="en-US" w:eastAsia="zh-CN"/>
        </w:rPr>
        <w:t>*</w:t>
      </w:r>
    </w:p>
    <w:p w14:paraId="0C54CE04">
      <w:pPr>
        <w:jc w:val="left"/>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Correspondence: Ruochan Chen, Email</w:t>
      </w:r>
      <w:r>
        <w:rPr>
          <w:rFonts w:hint="eastAsia" w:ascii="宋体" w:hAnsi="宋体" w:eastAsia="宋体" w:cs="宋体"/>
          <w:b/>
          <w:bCs/>
          <w:color w:val="0070C0"/>
          <w:szCs w:val="24"/>
          <w:lang w:val="en-US" w:eastAsia="zh-CN"/>
        </w:rPr>
        <w:t xml:space="preserve">, </w:t>
      </w:r>
      <w:r>
        <w:rPr>
          <w:rFonts w:hint="default" w:ascii="宋体" w:hAnsi="宋体" w:eastAsia="宋体" w:cs="宋体"/>
          <w:b/>
          <w:bCs/>
          <w:color w:val="0070C0"/>
          <w:szCs w:val="24"/>
        </w:rPr>
        <w:t>405031@csu.edu.cn</w:t>
      </w:r>
      <w:r>
        <w:rPr>
          <w:rFonts w:hint="eastAsia" w:ascii="宋体" w:hAnsi="宋体" w:eastAsia="宋体" w:cs="宋体"/>
          <w:b/>
          <w:bCs/>
          <w:color w:val="0070C0"/>
          <w:szCs w:val="24"/>
          <w:lang w:val="en-US" w:eastAsia="zh-CN"/>
        </w:rPr>
        <w:t xml:space="preserve">; </w:t>
      </w:r>
      <w:r>
        <w:rPr>
          <w:rFonts w:hint="default" w:ascii="宋体" w:hAnsi="宋体" w:eastAsia="宋体" w:cs="宋体"/>
          <w:b/>
          <w:bCs/>
          <w:color w:val="0070C0"/>
          <w:szCs w:val="24"/>
        </w:rPr>
        <w:t>Yixiang Zheng, Email</w:t>
      </w:r>
      <w:r>
        <w:rPr>
          <w:rFonts w:hint="eastAsia" w:ascii="宋体" w:hAnsi="宋体" w:eastAsia="宋体" w:cs="宋体"/>
          <w:b/>
          <w:bCs/>
          <w:color w:val="0070C0"/>
          <w:szCs w:val="24"/>
          <w:lang w:val="en-US" w:eastAsia="zh-CN"/>
        </w:rPr>
        <w:t xml:space="preserve">, </w:t>
      </w:r>
      <w:r>
        <w:rPr>
          <w:rFonts w:hint="default" w:ascii="宋体" w:hAnsi="宋体" w:eastAsia="宋体" w:cs="宋体"/>
          <w:b/>
          <w:bCs/>
          <w:color w:val="0070C0"/>
          <w:szCs w:val="24"/>
        </w:rPr>
        <w:t>yxzheng@csu.edu.cn</w:t>
      </w:r>
    </w:p>
    <w:p w14:paraId="7D75A9D3">
      <w:pPr>
        <w:rPr>
          <w:rFonts w:hint="eastAsia" w:ascii="宋体" w:hAnsi="宋体" w:eastAsia="宋体" w:cs="宋体"/>
          <w:color w:val="000000" w:themeColor="text1"/>
          <w:szCs w:val="24"/>
          <w14:textFill>
            <w14:solidFill>
              <w14:schemeClr w14:val="tx1"/>
            </w14:solidFill>
          </w14:textFill>
        </w:rPr>
      </w:pPr>
    </w:p>
    <w:p w14:paraId="2349CD4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5C581B3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(1)Hunan Key Laboratory of Viral Hepatitis, Department of Infectious Diseases, </w:t>
      </w:r>
    </w:p>
    <w:p w14:paraId="1B1C60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Xiangya Hospital, Central South University, Changsha, Hunan, People's Republic </w:t>
      </w:r>
    </w:p>
    <w:p w14:paraId="2942138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of China.</w:t>
      </w:r>
    </w:p>
    <w:p w14:paraId="7C1EDD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(2)College of Laboratory Medicine, Hunan University of Medicine, Huaihua, Hunan, </w:t>
      </w:r>
    </w:p>
    <w:p w14:paraId="6DE6F27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People's Republic of China.</w:t>
      </w:r>
    </w:p>
    <w:p w14:paraId="26FAE15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(3)National Clinical Research Center for Geriatric Disorders (Xiangya), </w:t>
      </w:r>
    </w:p>
    <w:p w14:paraId="222FBFA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Changsha, Hunan, People's Republic of China.</w:t>
      </w:r>
    </w:p>
    <w:p w14:paraId="3863D0F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(4)Hunan Provincial Research and Innovation Platform for Universities: Decoding </w:t>
      </w:r>
    </w:p>
    <w:p w14:paraId="36E3743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of Novel Biomolecules in Liver Cancer and Intelligent Diagnosis, Huaihua, Hunan, </w:t>
      </w:r>
    </w:p>
    <w:p w14:paraId="6D715ED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People's Republic of China.</w:t>
      </w:r>
    </w:p>
    <w:p w14:paraId="3CDA179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(#)Contributed equally</w:t>
      </w:r>
    </w:p>
    <w:p w14:paraId="46A687A0">
      <w:pPr>
        <w:rPr>
          <w:rFonts w:hint="eastAsia" w:ascii="宋体" w:hAnsi="宋体" w:eastAsia="宋体" w:cs="宋体"/>
          <w:color w:val="000000" w:themeColor="text1"/>
          <w:szCs w:val="24"/>
          <w14:textFill>
            <w14:solidFill>
              <w14:schemeClr w14:val="tx1"/>
            </w14:solidFill>
          </w14:textFill>
        </w:rPr>
      </w:pPr>
    </w:p>
    <w:p w14:paraId="6A27D7C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BACKGROUND: </w:t>
      </w:r>
      <w:r>
        <w:rPr>
          <w:rFonts w:hint="eastAsia" w:ascii="宋体" w:hAnsi="宋体" w:eastAsia="宋体" w:cs="宋体"/>
          <w:color w:val="000000" w:themeColor="text1"/>
          <w:szCs w:val="24"/>
          <w14:textFill>
            <w14:solidFill>
              <w14:schemeClr w14:val="tx1"/>
            </w14:solidFill>
          </w14:textFill>
        </w:rPr>
        <w:t xml:space="preserve">Tuberculosis (TB) poses a major threat to women of childbearing age </w:t>
      </w:r>
    </w:p>
    <w:p w14:paraId="74E7EC9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(WCBA, 15-49 years), yet comprehensive global burden analyses remain limited. </w:t>
      </w:r>
    </w:p>
    <w:p w14:paraId="33CE4B9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This study provides a comprehensive global spatiotemporal analysis of TB and </w:t>
      </w:r>
    </w:p>
    <w:p w14:paraId="4C0FDD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drug-resistant subtypes among WCBA.</w:t>
      </w:r>
    </w:p>
    <w:p w14:paraId="7BEF94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METHODS:</w:t>
      </w:r>
      <w:r>
        <w:rPr>
          <w:rFonts w:hint="eastAsia" w:ascii="宋体" w:hAnsi="宋体" w:eastAsia="宋体" w:cs="宋体"/>
          <w:color w:val="000000" w:themeColor="text1"/>
          <w:szCs w:val="24"/>
          <w14:textFill>
            <w14:solidFill>
              <w14:schemeClr w14:val="tx1"/>
            </w14:solidFill>
          </w14:textFill>
        </w:rPr>
        <w:t xml:space="preserve"> Using Global Burden of Disease Study 2021 data, we assessed the global </w:t>
      </w:r>
    </w:p>
    <w:p w14:paraId="22CEF1A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incidence and disability-adjusted life years (DALYs) of TB and drug-resistant </w:t>
      </w:r>
    </w:p>
    <w:p w14:paraId="737D891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subtypes among WCBA from 1990 to 2021, and projected trends to 2030 using </w:t>
      </w:r>
    </w:p>
    <w:p w14:paraId="455DA53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Bayesian age-period-cohort models.</w:t>
      </w:r>
    </w:p>
    <w:p w14:paraId="081FB98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RESULTS: </w:t>
      </w:r>
      <w:r>
        <w:rPr>
          <w:rFonts w:hint="eastAsia" w:ascii="宋体" w:hAnsi="宋体" w:eastAsia="宋体" w:cs="宋体"/>
          <w:color w:val="000000" w:themeColor="text1"/>
          <w:szCs w:val="24"/>
          <w14:textFill>
            <w14:solidFill>
              <w14:schemeClr w14:val="tx1"/>
            </w14:solidFill>
          </w14:textFill>
        </w:rPr>
        <w:t xml:space="preserve">In 2021, an estimated 1.99 million WCBA developed TB globally. The </w:t>
      </w:r>
    </w:p>
    <w:p w14:paraId="7747F85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age-standardized incidence rate (ASIR) and age-standardized DALY rate (ASDR) </w:t>
      </w:r>
    </w:p>
    <w:p w14:paraId="340476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declined for overall TB and drug-susceptible TB (DS-TB), but increased for </w:t>
      </w:r>
    </w:p>
    <w:p w14:paraId="002CB01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multidrug-resistant TB (MDR-TB) and extensively drug-resistant TB (XDR-TB). The </w:t>
      </w:r>
    </w:p>
    <w:p w14:paraId="1004CE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large relative increases in XDR-TB should be interpreted cautiously because </w:t>
      </w:r>
    </w:p>
    <w:p w14:paraId="3546E43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baseline estimates were very small and case definitions, testing capacity, and </w:t>
      </w:r>
    </w:p>
    <w:p w14:paraId="34131B4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surveillance changed over time. The TB burden showed substantial geographic </w:t>
      </w:r>
    </w:p>
    <w:p w14:paraId="5FD311E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heterogeneity, with the highest age-standardized rates concentrated in </w:t>
      </w:r>
    </w:p>
    <w:p w14:paraId="660E3E5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Sub-Saharan Africa. Age-specific patterns showed higher ASIRs in younger </w:t>
      </w:r>
    </w:p>
    <w:p w14:paraId="65BCE5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populations, whereas ASDRs increased with age. Among the four GBD-attributable </w:t>
      </w:r>
    </w:p>
    <w:p w14:paraId="4DC1694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exposures included in the comparative analysis, high body-mass index had the </w:t>
      </w:r>
    </w:p>
    <w:p w14:paraId="5021B09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largest modeled TB-related DALY rate in 2021. This restricted comparison should </w:t>
      </w:r>
    </w:p>
    <w:p w14:paraId="7FAD57C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not be interpreted as ranking all established TB determinants. Projections </w:t>
      </w:r>
    </w:p>
    <w:p w14:paraId="7AC45D9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suggest that overall TB incidence will decline, whereas the modeled XDR-TB ASIR </w:t>
      </w:r>
    </w:p>
    <w:p w14:paraId="3D3AE2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may continue to rise through 2030 globally.</w:t>
      </w:r>
    </w:p>
    <w:p w14:paraId="1C70C2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 xml:space="preserve">CONCLUSION: </w:t>
      </w:r>
      <w:r>
        <w:rPr>
          <w:rFonts w:hint="eastAsia" w:ascii="宋体" w:hAnsi="宋体" w:eastAsia="宋体" w:cs="宋体"/>
          <w:color w:val="000000" w:themeColor="text1"/>
          <w:szCs w:val="24"/>
          <w14:textFill>
            <w14:solidFill>
              <w14:schemeClr w14:val="tx1"/>
            </w14:solidFill>
          </w14:textFill>
        </w:rPr>
        <w:t xml:space="preserve">Reducing TB among WCBA requires improved access to rapid diagnosis, </w:t>
      </w:r>
    </w:p>
    <w:p w14:paraId="2190753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drug susceptibility testing, effective DR-TB treatment, and risk-based TB </w:t>
      </w:r>
    </w:p>
    <w:p w14:paraId="23EE0AB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screening within reproductive and antenatal care, particularly in low-SDI and </w:t>
      </w:r>
    </w:p>
    <w:p w14:paraId="4906F05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high-burden settings. Pregnancy- and postpartum-specific surveillance should </w:t>
      </w:r>
    </w:p>
    <w:p w14:paraId="26122FB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also be strengthened, as these populations are not separately identifiable in </w:t>
      </w:r>
    </w:p>
    <w:p w14:paraId="7E996E1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GBD 2021.</w:t>
      </w:r>
    </w:p>
    <w:p w14:paraId="374D489B">
      <w:pPr>
        <w:rPr>
          <w:rFonts w:hint="eastAsia" w:ascii="宋体" w:hAnsi="宋体" w:eastAsia="宋体" w:cs="宋体"/>
          <w:color w:val="000000" w:themeColor="text1"/>
          <w:szCs w:val="24"/>
          <w14:textFill>
            <w14:solidFill>
              <w14:schemeClr w14:val="tx1"/>
            </w14:solidFill>
          </w14:textFill>
        </w:rPr>
      </w:pPr>
    </w:p>
    <w:p w14:paraId="368E420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Chen et al.</w:t>
      </w:r>
    </w:p>
    <w:p w14:paraId="79728561">
      <w:pPr>
        <w:rPr>
          <w:rFonts w:hint="eastAsia" w:ascii="宋体" w:hAnsi="宋体" w:eastAsia="宋体" w:cs="宋体"/>
          <w:color w:val="000000" w:themeColor="text1"/>
          <w:szCs w:val="24"/>
          <w14:textFill>
            <w14:solidFill>
              <w14:schemeClr w14:val="tx1"/>
            </w14:solidFill>
          </w14:textFill>
        </w:rPr>
      </w:pPr>
    </w:p>
    <w:p w14:paraId="660FE6D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10.2147/IJWH.S624782</w:t>
      </w:r>
    </w:p>
    <w:p w14:paraId="39BB495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PMC13528669</w:t>
      </w:r>
    </w:p>
    <w:p w14:paraId="1565EC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42677238</w:t>
      </w:r>
    </w:p>
    <w:p w14:paraId="75F120CF">
      <w:pPr>
        <w:rPr>
          <w:rFonts w:hint="eastAsia" w:ascii="宋体" w:hAnsi="宋体" w:eastAsia="宋体" w:cs="宋体"/>
          <w:color w:val="000000" w:themeColor="text1"/>
          <w:szCs w:val="24"/>
          <w14:textFill>
            <w14:solidFill>
              <w14:schemeClr w14:val="tx1"/>
            </w14:solidFill>
          </w14:textFill>
        </w:rPr>
      </w:pPr>
    </w:p>
    <w:p w14:paraId="67F6926D">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25</w:t>
      </w:r>
      <w:r>
        <w:rPr>
          <w:rFonts w:hint="eastAsia" w:ascii="宋体" w:hAnsi="宋体" w:eastAsia="宋体" w:cs="宋体"/>
          <w:b/>
          <w:bCs/>
          <w:color w:val="FF0000"/>
          <w:szCs w:val="24"/>
        </w:rPr>
        <w:t>. Cent Eur J Immunol. 2026;51(2):121-132. doi: 10.5114/ceji/208684. Epub 2026 Jan 29.</w:t>
      </w:r>
    </w:p>
    <w:p w14:paraId="29346B2B">
      <w:pPr>
        <w:rPr>
          <w:rFonts w:hint="eastAsia" w:ascii="宋体" w:hAnsi="宋体" w:eastAsia="宋体" w:cs="宋体"/>
          <w:color w:val="000000" w:themeColor="text1"/>
          <w:szCs w:val="24"/>
          <w14:textFill>
            <w14:solidFill>
              <w14:schemeClr w14:val="tx1"/>
            </w14:solidFill>
          </w14:textFill>
        </w:rPr>
      </w:pPr>
    </w:p>
    <w:p w14:paraId="76E9D46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Glutaminase 1-mediated glutaminolysis regulates tuberculosis progression by </w:t>
      </w:r>
    </w:p>
    <w:p w14:paraId="393CD9C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modulating Th1 and Th17 immune responses.</w:t>
      </w:r>
    </w:p>
    <w:p w14:paraId="56BD7AE6">
      <w:pPr>
        <w:rPr>
          <w:rFonts w:hint="eastAsia" w:ascii="宋体" w:hAnsi="宋体" w:eastAsia="宋体" w:cs="宋体"/>
          <w:color w:val="000000" w:themeColor="text1"/>
          <w:szCs w:val="24"/>
          <w14:textFill>
            <w14:solidFill>
              <w14:schemeClr w14:val="tx1"/>
            </w14:solidFill>
          </w14:textFill>
        </w:rPr>
      </w:pPr>
    </w:p>
    <w:p w14:paraId="5FA979E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Cai X(1), Huang Y(1), Zeng L(1), Rong R(1).</w:t>
      </w:r>
    </w:p>
    <w:p w14:paraId="32AA596C">
      <w:pPr>
        <w:rPr>
          <w:rFonts w:hint="eastAsia" w:ascii="宋体" w:hAnsi="宋体" w:eastAsia="宋体" w:cs="宋体"/>
          <w:color w:val="000000" w:themeColor="text1"/>
          <w:szCs w:val="24"/>
          <w14:textFill>
            <w14:solidFill>
              <w14:schemeClr w14:val="tx1"/>
            </w14:solidFill>
          </w14:textFill>
        </w:rPr>
      </w:pPr>
    </w:p>
    <w:p w14:paraId="6175C567">
      <w:pPr>
        <w:rPr>
          <w:rFonts w:hint="eastAsia" w:ascii="宋体" w:hAnsi="宋体" w:eastAsia="宋体" w:cs="宋体"/>
          <w:b/>
          <w:bCs/>
          <w:color w:val="0070C0"/>
          <w:szCs w:val="24"/>
        </w:rPr>
      </w:pPr>
      <w:r>
        <w:rPr>
          <w:rFonts w:hint="eastAsia" w:ascii="宋体" w:hAnsi="宋体" w:eastAsia="宋体" w:cs="宋体"/>
          <w:b/>
          <w:bCs/>
          <w:color w:val="0070C0"/>
          <w:szCs w:val="24"/>
        </w:rPr>
        <w:t>Xiaozhen Cai,</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Yidan Huang</w:t>
      </w: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Lili Zeng,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Rong Rong</w:t>
      </w:r>
    </w:p>
    <w:p w14:paraId="12697FA7">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Correspondence: Yidan Huang, e-mail: ydhdoctor@hotmail.com</w:t>
      </w:r>
    </w:p>
    <w:p w14:paraId="0830B3EE">
      <w:pPr>
        <w:rPr>
          <w:rFonts w:hint="eastAsia" w:ascii="宋体" w:hAnsi="宋体" w:eastAsia="宋体" w:cs="宋体"/>
          <w:color w:val="000000" w:themeColor="text1"/>
          <w:szCs w:val="24"/>
          <w14:textFill>
            <w14:solidFill>
              <w14:schemeClr w14:val="tx1"/>
            </w14:solidFill>
          </w14:textFill>
        </w:rPr>
      </w:pPr>
    </w:p>
    <w:p w14:paraId="1625583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6BE4A55A">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(1)Department of Respiratory Medicine, Houjie Hospital of Dongguan, Dongguan, </w:t>
      </w:r>
    </w:p>
    <w:p w14:paraId="7B389DD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w:t>
      </w:r>
    </w:p>
    <w:p w14:paraId="5CED2E3A">
      <w:pPr>
        <w:rPr>
          <w:rFonts w:hint="eastAsia" w:ascii="宋体" w:hAnsi="宋体" w:eastAsia="宋体" w:cs="宋体"/>
          <w:color w:val="000000" w:themeColor="text1"/>
          <w:szCs w:val="24"/>
          <w14:textFill>
            <w14:solidFill>
              <w14:schemeClr w14:val="tx1"/>
            </w14:solidFill>
          </w14:textFill>
        </w:rPr>
      </w:pPr>
    </w:p>
    <w:p w14:paraId="4BD9BBC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INTRODUCTION:</w:t>
      </w:r>
      <w:r>
        <w:rPr>
          <w:rFonts w:hint="eastAsia" w:ascii="宋体" w:hAnsi="宋体" w:eastAsia="宋体" w:cs="宋体"/>
          <w:color w:val="000000" w:themeColor="text1"/>
          <w:szCs w:val="24"/>
          <w14:textFill>
            <w14:solidFill>
              <w14:schemeClr w14:val="tx1"/>
            </w14:solidFill>
          </w14:textFill>
        </w:rPr>
        <w:t xml:space="preserve"> Mycobacterium tuberculosis-mediated tuberculosis (TB) is an </w:t>
      </w:r>
    </w:p>
    <w:p w14:paraId="1AA7E1F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infectious disease that results in approximately 1.2 million deaths annually. </w:t>
      </w:r>
    </w:p>
    <w:p w14:paraId="71BE54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Glutaminase (GLS1) is a metabolic enzyme involved in glutaminolysis. The current </w:t>
      </w:r>
    </w:p>
    <w:p w14:paraId="48454D2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study examined the roles and mechanisms of GLS1 in TB progression.</w:t>
      </w:r>
    </w:p>
    <w:p w14:paraId="6911C70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MATERIAL AND METHODS:</w:t>
      </w:r>
      <w:r>
        <w:rPr>
          <w:rFonts w:hint="eastAsia" w:ascii="宋体" w:hAnsi="宋体" w:eastAsia="宋体" w:cs="宋体"/>
          <w:color w:val="000000" w:themeColor="text1"/>
          <w:szCs w:val="24"/>
          <w14:textFill>
            <w14:solidFill>
              <w14:schemeClr w14:val="tx1"/>
            </w14:solidFill>
          </w14:textFill>
        </w:rPr>
        <w:t xml:space="preserve"> Peripheral blood mononuclear cells (PBMCs) were extracted </w:t>
      </w:r>
    </w:p>
    <w:p w14:paraId="71C7669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from TB patients and healthy individuals, and CD4+ T and CD14+ monocytes were </w:t>
      </w:r>
    </w:p>
    <w:p w14:paraId="4432CD34">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sorted. PBMCs were incubated with M. tuberculosis strain H37Rv lysate to </w:t>
      </w:r>
    </w:p>
    <w:p w14:paraId="5DF6E0A3">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stimulate immune responses and treated with BPTES, a GLS1 inhibitor. RT-qPCR and </w:t>
      </w:r>
    </w:p>
    <w:p w14:paraId="7E4BF13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western blotting were employed to detect mRNA and protein levels, respectively. </w:t>
      </w:r>
    </w:p>
    <w:p w14:paraId="7AB7EE6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Immunophenotyping of cells was performed using flow cytometry. ELISA was used to </w:t>
      </w:r>
    </w:p>
    <w:p w14:paraId="618CA3F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determine cytokine levels. Colony-forming unit assays were used to evaluate M. </w:t>
      </w:r>
    </w:p>
    <w:p w14:paraId="769902A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tuberculosis survival in macrophages. ChIP assays were used to detect the </w:t>
      </w:r>
    </w:p>
    <w:p w14:paraId="22DD1AD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enrichment of H3K9ac/H3K27ac at the gene promoters.</w:t>
      </w:r>
    </w:p>
    <w:p w14:paraId="2C5B02D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RESULTS:</w:t>
      </w:r>
      <w:r>
        <w:rPr>
          <w:rFonts w:hint="eastAsia" w:ascii="宋体" w:hAnsi="宋体" w:eastAsia="宋体" w:cs="宋体"/>
          <w:color w:val="000000" w:themeColor="text1"/>
          <w:szCs w:val="24"/>
          <w14:textFill>
            <w14:solidFill>
              <w14:schemeClr w14:val="tx1"/>
            </w14:solidFill>
          </w14:textFill>
        </w:rPr>
        <w:t xml:space="preserve"> GLS1 was elevated in CD4+ T cells from TB patients and H37Rv </w:t>
      </w:r>
    </w:p>
    <w:p w14:paraId="41E31E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lysate-stimulated PBMCs. GLS1-mediated glutaminolysis promoted Th1 and Th17 cell </w:t>
      </w:r>
    </w:p>
    <w:p w14:paraId="67A0685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differentiation. Inhibition of GLS1 by BPTES facilitated M. tuberculosis </w:t>
      </w:r>
    </w:p>
    <w:p w14:paraId="005EDF4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survival in macrophages. GLS1 inhibition reduced H3K9ac and H3K27ac epigenetic </w:t>
      </w:r>
    </w:p>
    <w:p w14:paraId="61AFDCF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modification in the promoter region of interferon γ and interleukin 17.</w:t>
      </w:r>
    </w:p>
    <w:p w14:paraId="7C67118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b/>
          <w:bCs/>
          <w:color w:val="000000" w:themeColor="text1"/>
          <w:szCs w:val="24"/>
          <w14:textFill>
            <w14:solidFill>
              <w14:schemeClr w14:val="tx1"/>
            </w14:solidFill>
          </w14:textFill>
        </w:rPr>
        <w:t>CONCLUSIONS:</w:t>
      </w:r>
      <w:r>
        <w:rPr>
          <w:rFonts w:hint="eastAsia" w:ascii="宋体" w:hAnsi="宋体" w:eastAsia="宋体" w:cs="宋体"/>
          <w:color w:val="000000" w:themeColor="text1"/>
          <w:szCs w:val="24"/>
          <w14:textFill>
            <w14:solidFill>
              <w14:schemeClr w14:val="tx1"/>
            </w14:solidFill>
          </w14:textFill>
        </w:rPr>
        <w:t xml:space="preserve"> GLS1-mediated glutaminolysis may regulate TB progression by </w:t>
      </w:r>
    </w:p>
    <w:p w14:paraId="6D7A004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modulating Th1 and Th17 immune responses via epigenetic regulation.</w:t>
      </w:r>
    </w:p>
    <w:p w14:paraId="5D291F19">
      <w:pPr>
        <w:rPr>
          <w:rFonts w:hint="eastAsia" w:ascii="宋体" w:hAnsi="宋体" w:eastAsia="宋体" w:cs="宋体"/>
          <w:color w:val="000000" w:themeColor="text1"/>
          <w:szCs w:val="24"/>
          <w14:textFill>
            <w14:solidFill>
              <w14:schemeClr w14:val="tx1"/>
            </w14:solidFill>
          </w14:textFill>
        </w:rPr>
      </w:pPr>
    </w:p>
    <w:p w14:paraId="7E876DC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Copyright © Polish Society of Experimental and Clinical Immunology.</w:t>
      </w:r>
    </w:p>
    <w:p w14:paraId="31A57DAB">
      <w:pPr>
        <w:rPr>
          <w:rFonts w:hint="eastAsia" w:ascii="宋体" w:hAnsi="宋体" w:eastAsia="宋体" w:cs="宋体"/>
          <w:color w:val="000000" w:themeColor="text1"/>
          <w:szCs w:val="24"/>
          <w14:textFill>
            <w14:solidFill>
              <w14:schemeClr w14:val="tx1"/>
            </w14:solidFill>
          </w14:textFill>
        </w:rPr>
      </w:pPr>
    </w:p>
    <w:p w14:paraId="3AA5F47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10.5114/ceji/208684</w:t>
      </w:r>
    </w:p>
    <w:p w14:paraId="70167C59">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PMCID: PMC13527620</w:t>
      </w:r>
    </w:p>
    <w:p w14:paraId="292BE07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42676755</w:t>
      </w:r>
    </w:p>
    <w:p w14:paraId="19F76985">
      <w:pPr>
        <w:rPr>
          <w:rFonts w:hint="eastAsia" w:ascii="宋体" w:hAnsi="宋体" w:eastAsia="宋体" w:cs="宋体"/>
          <w:color w:val="000000" w:themeColor="text1"/>
          <w:szCs w:val="24"/>
          <w14:textFill>
            <w14:solidFill>
              <w14:schemeClr w14:val="tx1"/>
            </w14:solidFill>
          </w14:textFill>
        </w:rPr>
      </w:pPr>
    </w:p>
    <w:p w14:paraId="07E5DAAC">
      <w:pPr>
        <w:rPr>
          <w:rFonts w:hint="eastAsia" w:ascii="宋体" w:hAnsi="宋体" w:eastAsia="宋体" w:cs="宋体"/>
          <w:b/>
          <w:bCs/>
          <w:color w:val="FF0000"/>
          <w:szCs w:val="24"/>
        </w:rPr>
      </w:pPr>
      <w:r>
        <w:rPr>
          <w:rFonts w:hint="eastAsia" w:ascii="宋体" w:hAnsi="宋体" w:eastAsia="宋体" w:cs="宋体"/>
          <w:b/>
          <w:bCs/>
          <w:color w:val="FF0000"/>
          <w:szCs w:val="24"/>
          <w:lang w:val="en-US" w:eastAsia="zh-CN"/>
        </w:rPr>
        <w:t>26</w:t>
      </w:r>
      <w:r>
        <w:rPr>
          <w:rFonts w:hint="eastAsia" w:ascii="宋体" w:hAnsi="宋体" w:eastAsia="宋体" w:cs="宋体"/>
          <w:b/>
          <w:bCs/>
          <w:color w:val="FF0000"/>
          <w:szCs w:val="24"/>
        </w:rPr>
        <w:t>. J Mass Spectrom. 2026 Sep;61(9):e70108. doi: 10.1002/jms.70108.</w:t>
      </w:r>
    </w:p>
    <w:p w14:paraId="51E45D2A">
      <w:pPr>
        <w:rPr>
          <w:rFonts w:hint="eastAsia" w:ascii="宋体" w:hAnsi="宋体" w:eastAsia="宋体" w:cs="宋体"/>
          <w:color w:val="000000" w:themeColor="text1"/>
          <w:szCs w:val="24"/>
          <w14:textFill>
            <w14:solidFill>
              <w14:schemeClr w14:val="tx1"/>
            </w14:solidFill>
          </w14:textFill>
        </w:rPr>
      </w:pPr>
    </w:p>
    <w:p w14:paraId="3F64C9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LC-MS/MS-Based Lipidomic Profiling Reveals the Regulatory Effect of </w:t>
      </w:r>
    </w:p>
    <w:p w14:paraId="1AE863E7">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Stemoninoamide on TGF-β1-Induced Myofibroblast Transition in HFL1 Cells.</w:t>
      </w:r>
    </w:p>
    <w:p w14:paraId="2AFAB6AE">
      <w:pPr>
        <w:rPr>
          <w:rFonts w:hint="eastAsia" w:ascii="宋体" w:hAnsi="宋体" w:eastAsia="宋体" w:cs="宋体"/>
          <w:color w:val="000000" w:themeColor="text1"/>
          <w:szCs w:val="24"/>
          <w14:textFill>
            <w14:solidFill>
              <w14:schemeClr w14:val="tx1"/>
            </w14:solidFill>
          </w14:textFill>
        </w:rPr>
      </w:pPr>
    </w:p>
    <w:p w14:paraId="043EAD7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Kang W(1)(2), Peng X(1)(3), Zhou W(1)(2)(4), Zhang C(1)(3)(4).</w:t>
      </w:r>
    </w:p>
    <w:p w14:paraId="317DDEC7">
      <w:pPr>
        <w:rPr>
          <w:rFonts w:hint="eastAsia" w:ascii="宋体" w:hAnsi="宋体" w:eastAsia="宋体" w:cs="宋体"/>
          <w:color w:val="000000" w:themeColor="text1"/>
          <w:szCs w:val="24"/>
          <w14:textFill>
            <w14:solidFill>
              <w14:schemeClr w14:val="tx1"/>
            </w14:solidFill>
          </w14:textFill>
        </w:rPr>
      </w:pPr>
    </w:p>
    <w:p w14:paraId="4B761356">
      <w:pPr>
        <w:rPr>
          <w:rFonts w:hint="eastAsia" w:ascii="宋体" w:hAnsi="宋体" w:eastAsia="宋体" w:cs="宋体"/>
          <w:b/>
          <w:bCs/>
          <w:color w:val="0070C0"/>
          <w:szCs w:val="24"/>
          <w:lang w:val="en-US" w:eastAsia="zh-CN"/>
        </w:rPr>
      </w:pPr>
      <w:r>
        <w:rPr>
          <w:rFonts w:hint="eastAsia" w:ascii="宋体" w:hAnsi="宋体" w:eastAsia="宋体" w:cs="宋体"/>
          <w:b/>
          <w:bCs/>
          <w:color w:val="0070C0"/>
          <w:szCs w:val="24"/>
        </w:rPr>
        <w:t>Wen Kang,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Xueting Peng,</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Wenbin Zhou,</w:t>
      </w:r>
      <w:r>
        <w:rPr>
          <w:rFonts w:hint="eastAsia" w:ascii="宋体" w:hAnsi="宋体" w:eastAsia="宋体" w:cs="宋体"/>
          <w:b/>
          <w:bCs/>
          <w:color w:val="0070C0"/>
          <w:szCs w:val="24"/>
          <w:lang w:val="en-US" w:eastAsia="zh-CN"/>
        </w:rPr>
        <w:t xml:space="preserve"> </w:t>
      </w:r>
      <w:r>
        <w:rPr>
          <w:rFonts w:hint="eastAsia" w:ascii="宋体" w:hAnsi="宋体" w:eastAsia="宋体" w:cs="宋体"/>
          <w:b/>
          <w:bCs/>
          <w:color w:val="0070C0"/>
          <w:szCs w:val="24"/>
        </w:rPr>
        <w:t>Chen Zhang</w:t>
      </w:r>
      <w:r>
        <w:rPr>
          <w:rFonts w:hint="eastAsia" w:ascii="宋体" w:hAnsi="宋体" w:eastAsia="宋体" w:cs="宋体"/>
          <w:b/>
          <w:bCs/>
          <w:color w:val="0070C0"/>
          <w:szCs w:val="24"/>
          <w:lang w:val="en-US" w:eastAsia="zh-CN"/>
        </w:rPr>
        <w:t>*</w:t>
      </w:r>
    </w:p>
    <w:p w14:paraId="04BF0B2D">
      <w:pPr>
        <w:rPr>
          <w:rFonts w:hint="eastAsia" w:ascii="宋体" w:hAnsi="宋体" w:eastAsia="宋体" w:cs="宋体"/>
          <w:b/>
          <w:bCs/>
          <w:color w:val="0070C0"/>
          <w:szCs w:val="24"/>
        </w:rPr>
      </w:pPr>
      <w:r>
        <w:rPr>
          <w:rFonts w:hint="eastAsia" w:ascii="宋体" w:hAnsi="宋体" w:eastAsia="宋体" w:cs="宋体"/>
          <w:b/>
          <w:bCs/>
          <w:color w:val="0070C0"/>
          <w:szCs w:val="24"/>
          <w:lang w:val="en-US" w:eastAsia="zh-CN"/>
        </w:rPr>
        <w:t>*</w:t>
      </w:r>
      <w:r>
        <w:rPr>
          <w:rFonts w:hint="eastAsia" w:ascii="宋体" w:hAnsi="宋体" w:eastAsia="宋体" w:cs="宋体"/>
          <w:b/>
          <w:bCs/>
          <w:color w:val="0070C0"/>
          <w:szCs w:val="24"/>
        </w:rPr>
        <w:t>Correspondence: Chen Zhang (zcyx3120@163.com)</w:t>
      </w:r>
    </w:p>
    <w:p w14:paraId="2B6CD3C9">
      <w:pPr>
        <w:rPr>
          <w:rFonts w:hint="eastAsia" w:ascii="宋体" w:hAnsi="宋体" w:eastAsia="宋体" w:cs="宋体"/>
          <w:color w:val="000000" w:themeColor="text1"/>
          <w:szCs w:val="24"/>
          <w14:textFill>
            <w14:solidFill>
              <w14:schemeClr w14:val="tx1"/>
            </w14:solidFill>
          </w14:textFill>
        </w:rPr>
      </w:pPr>
    </w:p>
    <w:p w14:paraId="4465F24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Author information:</w:t>
      </w:r>
    </w:p>
    <w:p w14:paraId="06230EEE">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(1)Key Laboratory of Mass Spectrometry Imaging and Metabolomics (Minzu </w:t>
      </w:r>
    </w:p>
    <w:p w14:paraId="7EBAF99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University of China), State Ethnic Affairs Commission, Beijing, China.</w:t>
      </w:r>
    </w:p>
    <w:p w14:paraId="271CF0D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(2)College of Pharmacy, Minzu University of China, Beijing, China.</w:t>
      </w:r>
    </w:p>
    <w:p w14:paraId="6C2C98F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(3)Center for Imaging and Systems Biology, College of Life and Environmental </w:t>
      </w:r>
    </w:p>
    <w:p w14:paraId="56282FA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Sciences, Minzu University of China, Beijing, China.</w:t>
      </w:r>
    </w:p>
    <w:p w14:paraId="328FFF1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(4)Key Laboratory of Ethnomedicine of Ministry of Education, Minzu University of </w:t>
      </w:r>
    </w:p>
    <w:p w14:paraId="2E99A32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China, Beijing, China.</w:t>
      </w:r>
    </w:p>
    <w:p w14:paraId="00A216D3">
      <w:pPr>
        <w:rPr>
          <w:rFonts w:hint="eastAsia" w:ascii="宋体" w:hAnsi="宋体" w:eastAsia="宋体" w:cs="宋体"/>
          <w:color w:val="000000" w:themeColor="text1"/>
          <w:szCs w:val="24"/>
          <w14:textFill>
            <w14:solidFill>
              <w14:schemeClr w14:val="tx1"/>
            </w14:solidFill>
          </w14:textFill>
        </w:rPr>
      </w:pPr>
    </w:p>
    <w:p w14:paraId="4A773B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dried roots of Stemona tuberosa, known as "Bai-Bu" in traditional Chinese </w:t>
      </w:r>
    </w:p>
    <w:p w14:paraId="5D9CC8E5">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medicine, have been employed as a therapeutic agent for the treatment of </w:t>
      </w:r>
    </w:p>
    <w:p w14:paraId="5FD3DBC6">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pertussis and tuberculosis. The chemical composition of S. tuberosa is dominated </w:t>
      </w:r>
    </w:p>
    <w:p w14:paraId="7390A72D">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by alkaloids which have been reported to possess antifibrosis effect. Herein, </w:t>
      </w:r>
    </w:p>
    <w:p w14:paraId="1020B7D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ELISA kit and immunofluorescence analyses showed that the alkaloid of </w:t>
      </w:r>
    </w:p>
    <w:p w14:paraId="516B7AF2">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stemoninoamide (Stem) isolated from S. tuberosa exhibited inhibitory effect on </w:t>
      </w:r>
    </w:p>
    <w:p w14:paraId="35CE2C0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the production of α-SMA and Col-1 of HFL1 cells stimulated by TGF-β1. Further </w:t>
      </w:r>
    </w:p>
    <w:p w14:paraId="3A95EC3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lipidomic analysis based on LC-MS/MS revealed differential metabolites via </w:t>
      </w:r>
    </w:p>
    <w:p w14:paraId="6E442F8C">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multivariate statistical analysis. Pathway enrichment analyses indicated that </w:t>
      </w:r>
    </w:p>
    <w:p w14:paraId="05FF8120">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xml:space="preserve">differential metabolites were mostly implicated in S1P/S1PR signaling pathway, </w:t>
      </w:r>
    </w:p>
    <w:p w14:paraId="3D73188B">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which could be potentially associated with the antifibrosis mechanism of Stem.</w:t>
      </w:r>
    </w:p>
    <w:p w14:paraId="1D55F401">
      <w:pPr>
        <w:rPr>
          <w:rFonts w:hint="eastAsia" w:ascii="宋体" w:hAnsi="宋体" w:eastAsia="宋体" w:cs="宋体"/>
          <w:color w:val="000000" w:themeColor="text1"/>
          <w:szCs w:val="24"/>
          <w14:textFill>
            <w14:solidFill>
              <w14:schemeClr w14:val="tx1"/>
            </w14:solidFill>
          </w14:textFill>
        </w:rPr>
      </w:pPr>
    </w:p>
    <w:p w14:paraId="4144EBB1">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 2026 John Wiley &amp; Sons Ltd.</w:t>
      </w:r>
    </w:p>
    <w:p w14:paraId="020E32C0">
      <w:pPr>
        <w:rPr>
          <w:rFonts w:hint="eastAsia" w:ascii="宋体" w:hAnsi="宋体" w:eastAsia="宋体" w:cs="宋体"/>
          <w:color w:val="000000" w:themeColor="text1"/>
          <w:szCs w:val="24"/>
          <w14:textFill>
            <w14:solidFill>
              <w14:schemeClr w14:val="tx1"/>
            </w14:solidFill>
          </w14:textFill>
        </w:rPr>
      </w:pPr>
    </w:p>
    <w:p w14:paraId="5BEC8978">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DOI: 10.1002/jms.70108</w:t>
      </w:r>
    </w:p>
    <w:p w14:paraId="6A39218F">
      <w:pPr>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PMID: 42701314 [Indexed for MEDLINE]</w:t>
      </w:r>
    </w:p>
    <w:p w14:paraId="0B1B08B1">
      <w:pPr>
        <w:rPr>
          <w:rFonts w:hint="eastAsia" w:ascii="宋体" w:hAnsi="宋体" w:eastAsia="宋体" w:cs="宋体"/>
          <w:color w:val="000000" w:themeColor="text1"/>
          <w:szCs w:val="24"/>
          <w14:textFill>
            <w14:solidFill>
              <w14:schemeClr w14:val="tx1"/>
            </w14:solidFill>
          </w14:textFill>
        </w:rPr>
      </w:pPr>
    </w:p>
    <w:p w14:paraId="2DFF3ADF">
      <w:pPr>
        <w:rPr>
          <w:rFonts w:hint="eastAsia" w:ascii="宋体" w:hAnsi="宋体" w:eastAsia="宋体" w:cs="宋体"/>
          <w:color w:val="000000" w:themeColor="text1"/>
          <w:szCs w:val="24"/>
          <w14:textFill>
            <w14:solidFill>
              <w14:schemeClr w14:val="tx1"/>
            </w14:solidFill>
          </w14:textFill>
        </w:rPr>
      </w:pPr>
    </w:p>
    <w:sectPr>
      <w:pgSz w:w="11906" w:h="16838"/>
      <w:pgMar w:top="1440" w:right="1753" w:bottom="1440" w:left="175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099"/>
    <w:rsid w:val="00000DB9"/>
    <w:rsid w:val="000014AB"/>
    <w:rsid w:val="00001D3A"/>
    <w:rsid w:val="00002158"/>
    <w:rsid w:val="0000344F"/>
    <w:rsid w:val="00003B7D"/>
    <w:rsid w:val="00004B8B"/>
    <w:rsid w:val="00004DDC"/>
    <w:rsid w:val="00004E0D"/>
    <w:rsid w:val="000053D4"/>
    <w:rsid w:val="00005626"/>
    <w:rsid w:val="00005C57"/>
    <w:rsid w:val="00005DF6"/>
    <w:rsid w:val="00006365"/>
    <w:rsid w:val="00006B5E"/>
    <w:rsid w:val="00006BCA"/>
    <w:rsid w:val="00006DF9"/>
    <w:rsid w:val="00007617"/>
    <w:rsid w:val="00007812"/>
    <w:rsid w:val="00007A28"/>
    <w:rsid w:val="00011C35"/>
    <w:rsid w:val="00012109"/>
    <w:rsid w:val="00012461"/>
    <w:rsid w:val="0001360E"/>
    <w:rsid w:val="0001363A"/>
    <w:rsid w:val="00013BEE"/>
    <w:rsid w:val="00014403"/>
    <w:rsid w:val="00015A87"/>
    <w:rsid w:val="00016B45"/>
    <w:rsid w:val="00016B5F"/>
    <w:rsid w:val="0001711E"/>
    <w:rsid w:val="0001736B"/>
    <w:rsid w:val="0001780F"/>
    <w:rsid w:val="00017F5F"/>
    <w:rsid w:val="0002050B"/>
    <w:rsid w:val="000212B5"/>
    <w:rsid w:val="00021B2B"/>
    <w:rsid w:val="00022216"/>
    <w:rsid w:val="00022C1A"/>
    <w:rsid w:val="00024C92"/>
    <w:rsid w:val="0002517A"/>
    <w:rsid w:val="0002533D"/>
    <w:rsid w:val="0002556C"/>
    <w:rsid w:val="00025EF3"/>
    <w:rsid w:val="00026721"/>
    <w:rsid w:val="00026903"/>
    <w:rsid w:val="00026B44"/>
    <w:rsid w:val="00030C8F"/>
    <w:rsid w:val="00031017"/>
    <w:rsid w:val="00032443"/>
    <w:rsid w:val="0003251D"/>
    <w:rsid w:val="000336F2"/>
    <w:rsid w:val="000341A3"/>
    <w:rsid w:val="000349DB"/>
    <w:rsid w:val="00034C47"/>
    <w:rsid w:val="00035160"/>
    <w:rsid w:val="000369F1"/>
    <w:rsid w:val="000377E0"/>
    <w:rsid w:val="00040D2C"/>
    <w:rsid w:val="000411E9"/>
    <w:rsid w:val="000419D1"/>
    <w:rsid w:val="00041F05"/>
    <w:rsid w:val="00042044"/>
    <w:rsid w:val="00042257"/>
    <w:rsid w:val="00042426"/>
    <w:rsid w:val="00042646"/>
    <w:rsid w:val="000426FD"/>
    <w:rsid w:val="00042BCC"/>
    <w:rsid w:val="00042F87"/>
    <w:rsid w:val="000430FF"/>
    <w:rsid w:val="000439C5"/>
    <w:rsid w:val="00043AA7"/>
    <w:rsid w:val="00043EC1"/>
    <w:rsid w:val="00043F59"/>
    <w:rsid w:val="0004433C"/>
    <w:rsid w:val="0004482E"/>
    <w:rsid w:val="00044BF9"/>
    <w:rsid w:val="00044C1D"/>
    <w:rsid w:val="000467F6"/>
    <w:rsid w:val="00046D3D"/>
    <w:rsid w:val="0004738B"/>
    <w:rsid w:val="0004796A"/>
    <w:rsid w:val="00047D8A"/>
    <w:rsid w:val="00050F4A"/>
    <w:rsid w:val="000512A8"/>
    <w:rsid w:val="000518ED"/>
    <w:rsid w:val="0005269D"/>
    <w:rsid w:val="00052F5C"/>
    <w:rsid w:val="00053092"/>
    <w:rsid w:val="00054174"/>
    <w:rsid w:val="000542D4"/>
    <w:rsid w:val="0005483D"/>
    <w:rsid w:val="00055647"/>
    <w:rsid w:val="000557AE"/>
    <w:rsid w:val="00055A35"/>
    <w:rsid w:val="00055DAE"/>
    <w:rsid w:val="00055E67"/>
    <w:rsid w:val="0005622B"/>
    <w:rsid w:val="00056868"/>
    <w:rsid w:val="00056925"/>
    <w:rsid w:val="00056A0E"/>
    <w:rsid w:val="00056B72"/>
    <w:rsid w:val="0005708E"/>
    <w:rsid w:val="000570CD"/>
    <w:rsid w:val="00057CFD"/>
    <w:rsid w:val="000608E2"/>
    <w:rsid w:val="00061893"/>
    <w:rsid w:val="00061C4A"/>
    <w:rsid w:val="00062457"/>
    <w:rsid w:val="00063178"/>
    <w:rsid w:val="0006337A"/>
    <w:rsid w:val="000637F3"/>
    <w:rsid w:val="00063930"/>
    <w:rsid w:val="00063E49"/>
    <w:rsid w:val="000650D3"/>
    <w:rsid w:val="00065A57"/>
    <w:rsid w:val="00065B56"/>
    <w:rsid w:val="000660CB"/>
    <w:rsid w:val="00066C6B"/>
    <w:rsid w:val="0006702C"/>
    <w:rsid w:val="000672B8"/>
    <w:rsid w:val="00070260"/>
    <w:rsid w:val="0007069D"/>
    <w:rsid w:val="00070FE6"/>
    <w:rsid w:val="000716E0"/>
    <w:rsid w:val="00071D85"/>
    <w:rsid w:val="00071F83"/>
    <w:rsid w:val="00073164"/>
    <w:rsid w:val="0007482C"/>
    <w:rsid w:val="00074A4F"/>
    <w:rsid w:val="00075067"/>
    <w:rsid w:val="000750A2"/>
    <w:rsid w:val="000751FE"/>
    <w:rsid w:val="00075D82"/>
    <w:rsid w:val="00075F42"/>
    <w:rsid w:val="0007684E"/>
    <w:rsid w:val="00076855"/>
    <w:rsid w:val="00076884"/>
    <w:rsid w:val="00076A1E"/>
    <w:rsid w:val="00076E62"/>
    <w:rsid w:val="00076F4D"/>
    <w:rsid w:val="0007729A"/>
    <w:rsid w:val="0007790C"/>
    <w:rsid w:val="0008093D"/>
    <w:rsid w:val="00080EB3"/>
    <w:rsid w:val="00081087"/>
    <w:rsid w:val="000811D4"/>
    <w:rsid w:val="000815C7"/>
    <w:rsid w:val="00082408"/>
    <w:rsid w:val="00082565"/>
    <w:rsid w:val="00082B2E"/>
    <w:rsid w:val="00082B6A"/>
    <w:rsid w:val="00082EB9"/>
    <w:rsid w:val="00083766"/>
    <w:rsid w:val="00083B28"/>
    <w:rsid w:val="00083C1E"/>
    <w:rsid w:val="00083CDE"/>
    <w:rsid w:val="00083F4F"/>
    <w:rsid w:val="00084611"/>
    <w:rsid w:val="00085CBB"/>
    <w:rsid w:val="00086220"/>
    <w:rsid w:val="000866EC"/>
    <w:rsid w:val="000871EA"/>
    <w:rsid w:val="000878F0"/>
    <w:rsid w:val="000879A2"/>
    <w:rsid w:val="000900A1"/>
    <w:rsid w:val="000904A7"/>
    <w:rsid w:val="00090B79"/>
    <w:rsid w:val="00092343"/>
    <w:rsid w:val="00092419"/>
    <w:rsid w:val="0009252C"/>
    <w:rsid w:val="00092C39"/>
    <w:rsid w:val="00092C59"/>
    <w:rsid w:val="00092F3A"/>
    <w:rsid w:val="00093655"/>
    <w:rsid w:val="00093A63"/>
    <w:rsid w:val="00094139"/>
    <w:rsid w:val="00094FD8"/>
    <w:rsid w:val="00094FDF"/>
    <w:rsid w:val="00095EEB"/>
    <w:rsid w:val="00096767"/>
    <w:rsid w:val="00096770"/>
    <w:rsid w:val="00096805"/>
    <w:rsid w:val="00097075"/>
    <w:rsid w:val="000979C8"/>
    <w:rsid w:val="00097C56"/>
    <w:rsid w:val="00097DBB"/>
    <w:rsid w:val="000A0936"/>
    <w:rsid w:val="000A0C4E"/>
    <w:rsid w:val="000A12C3"/>
    <w:rsid w:val="000A1FB5"/>
    <w:rsid w:val="000A2006"/>
    <w:rsid w:val="000A2735"/>
    <w:rsid w:val="000A2DEE"/>
    <w:rsid w:val="000A361C"/>
    <w:rsid w:val="000A3785"/>
    <w:rsid w:val="000A37B4"/>
    <w:rsid w:val="000A3C36"/>
    <w:rsid w:val="000A3DED"/>
    <w:rsid w:val="000A4B87"/>
    <w:rsid w:val="000A4CEA"/>
    <w:rsid w:val="000A50DC"/>
    <w:rsid w:val="000A5E88"/>
    <w:rsid w:val="000A6D28"/>
    <w:rsid w:val="000A6DBA"/>
    <w:rsid w:val="000A73A3"/>
    <w:rsid w:val="000A7D87"/>
    <w:rsid w:val="000B086A"/>
    <w:rsid w:val="000B1292"/>
    <w:rsid w:val="000B15A4"/>
    <w:rsid w:val="000B1B8A"/>
    <w:rsid w:val="000B1EF2"/>
    <w:rsid w:val="000B2066"/>
    <w:rsid w:val="000B207D"/>
    <w:rsid w:val="000B2A58"/>
    <w:rsid w:val="000B37C0"/>
    <w:rsid w:val="000B4814"/>
    <w:rsid w:val="000B53D7"/>
    <w:rsid w:val="000B644B"/>
    <w:rsid w:val="000B64CA"/>
    <w:rsid w:val="000B73F6"/>
    <w:rsid w:val="000B7415"/>
    <w:rsid w:val="000B74EB"/>
    <w:rsid w:val="000B7C3B"/>
    <w:rsid w:val="000C07C5"/>
    <w:rsid w:val="000C09F8"/>
    <w:rsid w:val="000C0A24"/>
    <w:rsid w:val="000C0F9A"/>
    <w:rsid w:val="000C1141"/>
    <w:rsid w:val="000C11D8"/>
    <w:rsid w:val="000C1C1D"/>
    <w:rsid w:val="000C2025"/>
    <w:rsid w:val="000C2538"/>
    <w:rsid w:val="000C31CF"/>
    <w:rsid w:val="000C3599"/>
    <w:rsid w:val="000C3C2C"/>
    <w:rsid w:val="000C4172"/>
    <w:rsid w:val="000C4425"/>
    <w:rsid w:val="000C48BE"/>
    <w:rsid w:val="000C4AA0"/>
    <w:rsid w:val="000C54B5"/>
    <w:rsid w:val="000C5BD0"/>
    <w:rsid w:val="000C5D65"/>
    <w:rsid w:val="000C64E2"/>
    <w:rsid w:val="000C6757"/>
    <w:rsid w:val="000C6BE6"/>
    <w:rsid w:val="000D04AB"/>
    <w:rsid w:val="000D072C"/>
    <w:rsid w:val="000D088A"/>
    <w:rsid w:val="000D0A87"/>
    <w:rsid w:val="000D111E"/>
    <w:rsid w:val="000D1748"/>
    <w:rsid w:val="000D2140"/>
    <w:rsid w:val="000D229A"/>
    <w:rsid w:val="000D2954"/>
    <w:rsid w:val="000D29AC"/>
    <w:rsid w:val="000D29FE"/>
    <w:rsid w:val="000D2A7B"/>
    <w:rsid w:val="000D2D26"/>
    <w:rsid w:val="000D2E2E"/>
    <w:rsid w:val="000D3106"/>
    <w:rsid w:val="000D3334"/>
    <w:rsid w:val="000D38BB"/>
    <w:rsid w:val="000D3E73"/>
    <w:rsid w:val="000D401D"/>
    <w:rsid w:val="000D48F9"/>
    <w:rsid w:val="000D4DA6"/>
    <w:rsid w:val="000D6767"/>
    <w:rsid w:val="000D6B28"/>
    <w:rsid w:val="000D7130"/>
    <w:rsid w:val="000D7225"/>
    <w:rsid w:val="000E0BA3"/>
    <w:rsid w:val="000E0FAD"/>
    <w:rsid w:val="000E160C"/>
    <w:rsid w:val="000E1ED0"/>
    <w:rsid w:val="000E2070"/>
    <w:rsid w:val="000E321F"/>
    <w:rsid w:val="000E350F"/>
    <w:rsid w:val="000E3685"/>
    <w:rsid w:val="000E3861"/>
    <w:rsid w:val="000E3922"/>
    <w:rsid w:val="000E3998"/>
    <w:rsid w:val="000E3CB5"/>
    <w:rsid w:val="000E3E6F"/>
    <w:rsid w:val="000E3FAA"/>
    <w:rsid w:val="000E3FC3"/>
    <w:rsid w:val="000E515E"/>
    <w:rsid w:val="000E5936"/>
    <w:rsid w:val="000E6910"/>
    <w:rsid w:val="000E6B0B"/>
    <w:rsid w:val="000E7095"/>
    <w:rsid w:val="000E7324"/>
    <w:rsid w:val="000E7332"/>
    <w:rsid w:val="000E782C"/>
    <w:rsid w:val="000F02D4"/>
    <w:rsid w:val="000F031F"/>
    <w:rsid w:val="000F0847"/>
    <w:rsid w:val="000F1325"/>
    <w:rsid w:val="000F1799"/>
    <w:rsid w:val="000F1C71"/>
    <w:rsid w:val="000F27EF"/>
    <w:rsid w:val="000F2CAB"/>
    <w:rsid w:val="000F31C8"/>
    <w:rsid w:val="000F352E"/>
    <w:rsid w:val="000F38A7"/>
    <w:rsid w:val="000F4278"/>
    <w:rsid w:val="000F5325"/>
    <w:rsid w:val="000F5B62"/>
    <w:rsid w:val="000F5E34"/>
    <w:rsid w:val="000F64D5"/>
    <w:rsid w:val="000F69E7"/>
    <w:rsid w:val="000F6C96"/>
    <w:rsid w:val="000F6F22"/>
    <w:rsid w:val="000F6FA9"/>
    <w:rsid w:val="000F763E"/>
    <w:rsid w:val="001011E5"/>
    <w:rsid w:val="001014FB"/>
    <w:rsid w:val="00101917"/>
    <w:rsid w:val="00101965"/>
    <w:rsid w:val="0010208F"/>
    <w:rsid w:val="0010233B"/>
    <w:rsid w:val="00102C3A"/>
    <w:rsid w:val="00102CB5"/>
    <w:rsid w:val="00102F6D"/>
    <w:rsid w:val="00104454"/>
    <w:rsid w:val="001054FA"/>
    <w:rsid w:val="001058AC"/>
    <w:rsid w:val="0010615D"/>
    <w:rsid w:val="0010782E"/>
    <w:rsid w:val="0010799E"/>
    <w:rsid w:val="00110110"/>
    <w:rsid w:val="00110765"/>
    <w:rsid w:val="00111272"/>
    <w:rsid w:val="00111661"/>
    <w:rsid w:val="00111A11"/>
    <w:rsid w:val="00112598"/>
    <w:rsid w:val="0011287F"/>
    <w:rsid w:val="00112A13"/>
    <w:rsid w:val="00112A56"/>
    <w:rsid w:val="00112F4B"/>
    <w:rsid w:val="0011324E"/>
    <w:rsid w:val="00113349"/>
    <w:rsid w:val="0011339A"/>
    <w:rsid w:val="001136AC"/>
    <w:rsid w:val="00113A4D"/>
    <w:rsid w:val="00113BD6"/>
    <w:rsid w:val="00114048"/>
    <w:rsid w:val="00114747"/>
    <w:rsid w:val="001148A1"/>
    <w:rsid w:val="00115471"/>
    <w:rsid w:val="00115539"/>
    <w:rsid w:val="00115817"/>
    <w:rsid w:val="00116CC5"/>
    <w:rsid w:val="001170F6"/>
    <w:rsid w:val="00117346"/>
    <w:rsid w:val="001174DF"/>
    <w:rsid w:val="00117773"/>
    <w:rsid w:val="001177F1"/>
    <w:rsid w:val="00117E84"/>
    <w:rsid w:val="00120949"/>
    <w:rsid w:val="001209C1"/>
    <w:rsid w:val="001209CA"/>
    <w:rsid w:val="00120A34"/>
    <w:rsid w:val="00120ED7"/>
    <w:rsid w:val="00122327"/>
    <w:rsid w:val="00122F4E"/>
    <w:rsid w:val="00123068"/>
    <w:rsid w:val="0012347D"/>
    <w:rsid w:val="00123DB0"/>
    <w:rsid w:val="00124801"/>
    <w:rsid w:val="0012481A"/>
    <w:rsid w:val="00125C53"/>
    <w:rsid w:val="001266D9"/>
    <w:rsid w:val="0012692E"/>
    <w:rsid w:val="0012702F"/>
    <w:rsid w:val="00127511"/>
    <w:rsid w:val="00127B6E"/>
    <w:rsid w:val="00127CF5"/>
    <w:rsid w:val="00130E3F"/>
    <w:rsid w:val="00131585"/>
    <w:rsid w:val="00132F43"/>
    <w:rsid w:val="001336F7"/>
    <w:rsid w:val="00133A73"/>
    <w:rsid w:val="00133ACC"/>
    <w:rsid w:val="001346A8"/>
    <w:rsid w:val="00134766"/>
    <w:rsid w:val="00134A12"/>
    <w:rsid w:val="00134A7B"/>
    <w:rsid w:val="00134DEE"/>
    <w:rsid w:val="00135067"/>
    <w:rsid w:val="001356E3"/>
    <w:rsid w:val="0013594B"/>
    <w:rsid w:val="001362DC"/>
    <w:rsid w:val="00136B8B"/>
    <w:rsid w:val="00136FAC"/>
    <w:rsid w:val="001370CD"/>
    <w:rsid w:val="001401A3"/>
    <w:rsid w:val="001405D6"/>
    <w:rsid w:val="00140740"/>
    <w:rsid w:val="0014119D"/>
    <w:rsid w:val="001412B3"/>
    <w:rsid w:val="001415DE"/>
    <w:rsid w:val="00141786"/>
    <w:rsid w:val="00141CE3"/>
    <w:rsid w:val="00142416"/>
    <w:rsid w:val="00142DBF"/>
    <w:rsid w:val="0014494D"/>
    <w:rsid w:val="00145B48"/>
    <w:rsid w:val="001502F0"/>
    <w:rsid w:val="00150583"/>
    <w:rsid w:val="00150794"/>
    <w:rsid w:val="0015126B"/>
    <w:rsid w:val="00151455"/>
    <w:rsid w:val="00151E7D"/>
    <w:rsid w:val="00152B66"/>
    <w:rsid w:val="0015367E"/>
    <w:rsid w:val="00153B0D"/>
    <w:rsid w:val="001559A6"/>
    <w:rsid w:val="00155C7B"/>
    <w:rsid w:val="00156286"/>
    <w:rsid w:val="001565EA"/>
    <w:rsid w:val="00156FBA"/>
    <w:rsid w:val="00157277"/>
    <w:rsid w:val="00157490"/>
    <w:rsid w:val="00157628"/>
    <w:rsid w:val="001609A6"/>
    <w:rsid w:val="00160D4F"/>
    <w:rsid w:val="00161378"/>
    <w:rsid w:val="001615D7"/>
    <w:rsid w:val="00161BF1"/>
    <w:rsid w:val="00161F92"/>
    <w:rsid w:val="00162F9A"/>
    <w:rsid w:val="00163152"/>
    <w:rsid w:val="00164CBA"/>
    <w:rsid w:val="00165A37"/>
    <w:rsid w:val="00165A5C"/>
    <w:rsid w:val="00166250"/>
    <w:rsid w:val="00166477"/>
    <w:rsid w:val="0016753E"/>
    <w:rsid w:val="0016764C"/>
    <w:rsid w:val="00167748"/>
    <w:rsid w:val="00167E31"/>
    <w:rsid w:val="00170319"/>
    <w:rsid w:val="0017116D"/>
    <w:rsid w:val="00171541"/>
    <w:rsid w:val="00172F22"/>
    <w:rsid w:val="00173B35"/>
    <w:rsid w:val="00174065"/>
    <w:rsid w:val="001743F5"/>
    <w:rsid w:val="00175ACE"/>
    <w:rsid w:val="00175B5A"/>
    <w:rsid w:val="00175C0E"/>
    <w:rsid w:val="00175D6E"/>
    <w:rsid w:val="0017715C"/>
    <w:rsid w:val="0017719B"/>
    <w:rsid w:val="00177548"/>
    <w:rsid w:val="00177C94"/>
    <w:rsid w:val="0018099B"/>
    <w:rsid w:val="0018108C"/>
    <w:rsid w:val="001812F4"/>
    <w:rsid w:val="001816CC"/>
    <w:rsid w:val="0018181D"/>
    <w:rsid w:val="001830BE"/>
    <w:rsid w:val="00183788"/>
    <w:rsid w:val="001837F3"/>
    <w:rsid w:val="00183F32"/>
    <w:rsid w:val="001849FC"/>
    <w:rsid w:val="0018564F"/>
    <w:rsid w:val="0018682D"/>
    <w:rsid w:val="00186BCA"/>
    <w:rsid w:val="00187878"/>
    <w:rsid w:val="001878CF"/>
    <w:rsid w:val="00187A92"/>
    <w:rsid w:val="00187DA7"/>
    <w:rsid w:val="00190484"/>
    <w:rsid w:val="001908EB"/>
    <w:rsid w:val="0019192C"/>
    <w:rsid w:val="00191A50"/>
    <w:rsid w:val="001929C1"/>
    <w:rsid w:val="00192D5E"/>
    <w:rsid w:val="001930F1"/>
    <w:rsid w:val="00193AD7"/>
    <w:rsid w:val="00193ADE"/>
    <w:rsid w:val="00194114"/>
    <w:rsid w:val="00194939"/>
    <w:rsid w:val="00194994"/>
    <w:rsid w:val="00195007"/>
    <w:rsid w:val="00195670"/>
    <w:rsid w:val="00196093"/>
    <w:rsid w:val="001960D3"/>
    <w:rsid w:val="0019652D"/>
    <w:rsid w:val="001967CA"/>
    <w:rsid w:val="00196C1E"/>
    <w:rsid w:val="0019757F"/>
    <w:rsid w:val="001A040E"/>
    <w:rsid w:val="001A06AF"/>
    <w:rsid w:val="001A127F"/>
    <w:rsid w:val="001A18AE"/>
    <w:rsid w:val="001A1B60"/>
    <w:rsid w:val="001A1F66"/>
    <w:rsid w:val="001A220A"/>
    <w:rsid w:val="001A3082"/>
    <w:rsid w:val="001A30F9"/>
    <w:rsid w:val="001A3C89"/>
    <w:rsid w:val="001A3ED6"/>
    <w:rsid w:val="001A4B38"/>
    <w:rsid w:val="001A5EB8"/>
    <w:rsid w:val="001A6CD6"/>
    <w:rsid w:val="001A71D4"/>
    <w:rsid w:val="001A7525"/>
    <w:rsid w:val="001A75BC"/>
    <w:rsid w:val="001A75E8"/>
    <w:rsid w:val="001A77F9"/>
    <w:rsid w:val="001A7832"/>
    <w:rsid w:val="001A79CD"/>
    <w:rsid w:val="001A7ADC"/>
    <w:rsid w:val="001B1480"/>
    <w:rsid w:val="001B14E7"/>
    <w:rsid w:val="001B1623"/>
    <w:rsid w:val="001B183C"/>
    <w:rsid w:val="001B1D7B"/>
    <w:rsid w:val="001B2009"/>
    <w:rsid w:val="001B2688"/>
    <w:rsid w:val="001B26E2"/>
    <w:rsid w:val="001B28A8"/>
    <w:rsid w:val="001B2961"/>
    <w:rsid w:val="001B2D3B"/>
    <w:rsid w:val="001B2EE4"/>
    <w:rsid w:val="001B382E"/>
    <w:rsid w:val="001B468D"/>
    <w:rsid w:val="001B4C3C"/>
    <w:rsid w:val="001B4CE6"/>
    <w:rsid w:val="001B4DC6"/>
    <w:rsid w:val="001B51A9"/>
    <w:rsid w:val="001B578C"/>
    <w:rsid w:val="001B59BF"/>
    <w:rsid w:val="001B5DFD"/>
    <w:rsid w:val="001B6637"/>
    <w:rsid w:val="001B6AA0"/>
    <w:rsid w:val="001B6B80"/>
    <w:rsid w:val="001C0858"/>
    <w:rsid w:val="001C0BA3"/>
    <w:rsid w:val="001C0D59"/>
    <w:rsid w:val="001C0DC6"/>
    <w:rsid w:val="001C1546"/>
    <w:rsid w:val="001C1578"/>
    <w:rsid w:val="001C1881"/>
    <w:rsid w:val="001C20B6"/>
    <w:rsid w:val="001C20EB"/>
    <w:rsid w:val="001C2C76"/>
    <w:rsid w:val="001C2D56"/>
    <w:rsid w:val="001C2D8C"/>
    <w:rsid w:val="001C2F64"/>
    <w:rsid w:val="001C3115"/>
    <w:rsid w:val="001C3C4B"/>
    <w:rsid w:val="001C3EF8"/>
    <w:rsid w:val="001C5120"/>
    <w:rsid w:val="001C524A"/>
    <w:rsid w:val="001C5712"/>
    <w:rsid w:val="001C57FB"/>
    <w:rsid w:val="001C58F8"/>
    <w:rsid w:val="001C59F0"/>
    <w:rsid w:val="001C62D4"/>
    <w:rsid w:val="001C694D"/>
    <w:rsid w:val="001C69AE"/>
    <w:rsid w:val="001C6E99"/>
    <w:rsid w:val="001D0089"/>
    <w:rsid w:val="001D0B07"/>
    <w:rsid w:val="001D0DD3"/>
    <w:rsid w:val="001D1737"/>
    <w:rsid w:val="001D1D47"/>
    <w:rsid w:val="001D2534"/>
    <w:rsid w:val="001D2C2F"/>
    <w:rsid w:val="001D4E51"/>
    <w:rsid w:val="001D52DD"/>
    <w:rsid w:val="001D5A05"/>
    <w:rsid w:val="001D5FC7"/>
    <w:rsid w:val="001D6262"/>
    <w:rsid w:val="001D69BF"/>
    <w:rsid w:val="001D6D6C"/>
    <w:rsid w:val="001D74AD"/>
    <w:rsid w:val="001D75E5"/>
    <w:rsid w:val="001D76AC"/>
    <w:rsid w:val="001D7F12"/>
    <w:rsid w:val="001E0201"/>
    <w:rsid w:val="001E02EA"/>
    <w:rsid w:val="001E092D"/>
    <w:rsid w:val="001E0F00"/>
    <w:rsid w:val="001E14F6"/>
    <w:rsid w:val="001E16A8"/>
    <w:rsid w:val="001E179C"/>
    <w:rsid w:val="001E2637"/>
    <w:rsid w:val="001E2B6C"/>
    <w:rsid w:val="001E2D41"/>
    <w:rsid w:val="001E37E1"/>
    <w:rsid w:val="001E4C91"/>
    <w:rsid w:val="001E4D01"/>
    <w:rsid w:val="001E568E"/>
    <w:rsid w:val="001E5B2C"/>
    <w:rsid w:val="001E6528"/>
    <w:rsid w:val="001E697E"/>
    <w:rsid w:val="001E735A"/>
    <w:rsid w:val="001E7838"/>
    <w:rsid w:val="001E7B37"/>
    <w:rsid w:val="001E7CB2"/>
    <w:rsid w:val="001E7CD8"/>
    <w:rsid w:val="001F098B"/>
    <w:rsid w:val="001F0E0C"/>
    <w:rsid w:val="001F1791"/>
    <w:rsid w:val="001F182F"/>
    <w:rsid w:val="001F20FA"/>
    <w:rsid w:val="001F248C"/>
    <w:rsid w:val="001F2638"/>
    <w:rsid w:val="001F2E8E"/>
    <w:rsid w:val="001F3DB3"/>
    <w:rsid w:val="001F4101"/>
    <w:rsid w:val="001F4C90"/>
    <w:rsid w:val="001F55C0"/>
    <w:rsid w:val="001F5BE0"/>
    <w:rsid w:val="001F6243"/>
    <w:rsid w:val="001F6401"/>
    <w:rsid w:val="001F6444"/>
    <w:rsid w:val="001F6920"/>
    <w:rsid w:val="001F6BB5"/>
    <w:rsid w:val="001F7747"/>
    <w:rsid w:val="00200448"/>
    <w:rsid w:val="0020060C"/>
    <w:rsid w:val="00200BFB"/>
    <w:rsid w:val="00201467"/>
    <w:rsid w:val="00201665"/>
    <w:rsid w:val="0020169B"/>
    <w:rsid w:val="00202162"/>
    <w:rsid w:val="00202614"/>
    <w:rsid w:val="0020283E"/>
    <w:rsid w:val="00203136"/>
    <w:rsid w:val="00203B67"/>
    <w:rsid w:val="00203FDE"/>
    <w:rsid w:val="00204B2F"/>
    <w:rsid w:val="00204F38"/>
    <w:rsid w:val="0020515F"/>
    <w:rsid w:val="0020559A"/>
    <w:rsid w:val="00206265"/>
    <w:rsid w:val="00207513"/>
    <w:rsid w:val="00207993"/>
    <w:rsid w:val="0021097D"/>
    <w:rsid w:val="0021160B"/>
    <w:rsid w:val="00211AE3"/>
    <w:rsid w:val="00212521"/>
    <w:rsid w:val="0021256D"/>
    <w:rsid w:val="00212CBB"/>
    <w:rsid w:val="00212D63"/>
    <w:rsid w:val="0021356B"/>
    <w:rsid w:val="00213DC4"/>
    <w:rsid w:val="00213E9D"/>
    <w:rsid w:val="00214099"/>
    <w:rsid w:val="0021415D"/>
    <w:rsid w:val="002143BF"/>
    <w:rsid w:val="00215009"/>
    <w:rsid w:val="00215036"/>
    <w:rsid w:val="00215D68"/>
    <w:rsid w:val="00215E87"/>
    <w:rsid w:val="00216865"/>
    <w:rsid w:val="00216B2D"/>
    <w:rsid w:val="00216B69"/>
    <w:rsid w:val="00216FE3"/>
    <w:rsid w:val="0021718E"/>
    <w:rsid w:val="002172B8"/>
    <w:rsid w:val="00220849"/>
    <w:rsid w:val="0022112B"/>
    <w:rsid w:val="0022177F"/>
    <w:rsid w:val="00222BF8"/>
    <w:rsid w:val="00222C1F"/>
    <w:rsid w:val="002237B6"/>
    <w:rsid w:val="00223EC7"/>
    <w:rsid w:val="00223F13"/>
    <w:rsid w:val="002246F4"/>
    <w:rsid w:val="002250FB"/>
    <w:rsid w:val="0022537C"/>
    <w:rsid w:val="002260D7"/>
    <w:rsid w:val="00226151"/>
    <w:rsid w:val="002261D7"/>
    <w:rsid w:val="0022635E"/>
    <w:rsid w:val="00226417"/>
    <w:rsid w:val="002264F6"/>
    <w:rsid w:val="002269CE"/>
    <w:rsid w:val="00226A07"/>
    <w:rsid w:val="0023030B"/>
    <w:rsid w:val="0023054B"/>
    <w:rsid w:val="002307BF"/>
    <w:rsid w:val="00231B75"/>
    <w:rsid w:val="00232D98"/>
    <w:rsid w:val="0023387B"/>
    <w:rsid w:val="00233B2D"/>
    <w:rsid w:val="00234A90"/>
    <w:rsid w:val="00234AC9"/>
    <w:rsid w:val="00235153"/>
    <w:rsid w:val="0023622E"/>
    <w:rsid w:val="00236497"/>
    <w:rsid w:val="002366B9"/>
    <w:rsid w:val="002368A3"/>
    <w:rsid w:val="0023793E"/>
    <w:rsid w:val="0024004F"/>
    <w:rsid w:val="0024013D"/>
    <w:rsid w:val="002404BC"/>
    <w:rsid w:val="0024079D"/>
    <w:rsid w:val="00240F93"/>
    <w:rsid w:val="0024111C"/>
    <w:rsid w:val="0024123B"/>
    <w:rsid w:val="002414C7"/>
    <w:rsid w:val="002426DE"/>
    <w:rsid w:val="00242B2B"/>
    <w:rsid w:val="002434F4"/>
    <w:rsid w:val="00244832"/>
    <w:rsid w:val="002449AD"/>
    <w:rsid w:val="002465F0"/>
    <w:rsid w:val="00246901"/>
    <w:rsid w:val="0024704A"/>
    <w:rsid w:val="00247E12"/>
    <w:rsid w:val="00250A8B"/>
    <w:rsid w:val="00251271"/>
    <w:rsid w:val="00251922"/>
    <w:rsid w:val="00252068"/>
    <w:rsid w:val="002520B2"/>
    <w:rsid w:val="00252307"/>
    <w:rsid w:val="00252DE3"/>
    <w:rsid w:val="0025362F"/>
    <w:rsid w:val="0025415A"/>
    <w:rsid w:val="00254609"/>
    <w:rsid w:val="00254919"/>
    <w:rsid w:val="00254E56"/>
    <w:rsid w:val="00254F1F"/>
    <w:rsid w:val="00255583"/>
    <w:rsid w:val="002557EB"/>
    <w:rsid w:val="002558A0"/>
    <w:rsid w:val="0025593F"/>
    <w:rsid w:val="0025671A"/>
    <w:rsid w:val="00256A02"/>
    <w:rsid w:val="00256D18"/>
    <w:rsid w:val="0025701C"/>
    <w:rsid w:val="0025720C"/>
    <w:rsid w:val="002573CF"/>
    <w:rsid w:val="002577B2"/>
    <w:rsid w:val="00257A79"/>
    <w:rsid w:val="00257C61"/>
    <w:rsid w:val="0026071D"/>
    <w:rsid w:val="00260828"/>
    <w:rsid w:val="002609CD"/>
    <w:rsid w:val="0026193B"/>
    <w:rsid w:val="002619A4"/>
    <w:rsid w:val="00261A00"/>
    <w:rsid w:val="0026216B"/>
    <w:rsid w:val="002622F1"/>
    <w:rsid w:val="002629E1"/>
    <w:rsid w:val="00262EA3"/>
    <w:rsid w:val="002640D3"/>
    <w:rsid w:val="00264730"/>
    <w:rsid w:val="00264E66"/>
    <w:rsid w:val="00264E82"/>
    <w:rsid w:val="002658B8"/>
    <w:rsid w:val="00265E5B"/>
    <w:rsid w:val="0026605C"/>
    <w:rsid w:val="002662B8"/>
    <w:rsid w:val="0026666D"/>
    <w:rsid w:val="002667A0"/>
    <w:rsid w:val="002667F6"/>
    <w:rsid w:val="00266D93"/>
    <w:rsid w:val="00266F9B"/>
    <w:rsid w:val="0026754E"/>
    <w:rsid w:val="0026793F"/>
    <w:rsid w:val="00270098"/>
    <w:rsid w:val="00270835"/>
    <w:rsid w:val="002708B4"/>
    <w:rsid w:val="00270CE5"/>
    <w:rsid w:val="00271C0B"/>
    <w:rsid w:val="002723F8"/>
    <w:rsid w:val="002734FB"/>
    <w:rsid w:val="00273BB6"/>
    <w:rsid w:val="00275609"/>
    <w:rsid w:val="00275C21"/>
    <w:rsid w:val="00276213"/>
    <w:rsid w:val="00277640"/>
    <w:rsid w:val="00277768"/>
    <w:rsid w:val="00281323"/>
    <w:rsid w:val="00281B09"/>
    <w:rsid w:val="0028258F"/>
    <w:rsid w:val="002839D1"/>
    <w:rsid w:val="00283F3A"/>
    <w:rsid w:val="002849DB"/>
    <w:rsid w:val="00284ADA"/>
    <w:rsid w:val="00284E2C"/>
    <w:rsid w:val="002850C9"/>
    <w:rsid w:val="00285178"/>
    <w:rsid w:val="00285233"/>
    <w:rsid w:val="00285261"/>
    <w:rsid w:val="002856EB"/>
    <w:rsid w:val="00285E2D"/>
    <w:rsid w:val="00286A3C"/>
    <w:rsid w:val="00286C77"/>
    <w:rsid w:val="00287DB6"/>
    <w:rsid w:val="00290166"/>
    <w:rsid w:val="002904A3"/>
    <w:rsid w:val="00290ED2"/>
    <w:rsid w:val="00290F48"/>
    <w:rsid w:val="0029167E"/>
    <w:rsid w:val="00291877"/>
    <w:rsid w:val="00291C13"/>
    <w:rsid w:val="00291F64"/>
    <w:rsid w:val="00292D3A"/>
    <w:rsid w:val="00294399"/>
    <w:rsid w:val="00294A7A"/>
    <w:rsid w:val="00294FFF"/>
    <w:rsid w:val="0029557A"/>
    <w:rsid w:val="002968AF"/>
    <w:rsid w:val="0029720F"/>
    <w:rsid w:val="002975D6"/>
    <w:rsid w:val="002A0CFE"/>
    <w:rsid w:val="002A1B89"/>
    <w:rsid w:val="002A1DB0"/>
    <w:rsid w:val="002A22D6"/>
    <w:rsid w:val="002A2B49"/>
    <w:rsid w:val="002A3C2A"/>
    <w:rsid w:val="002A3C75"/>
    <w:rsid w:val="002A4094"/>
    <w:rsid w:val="002A46B4"/>
    <w:rsid w:val="002A48D6"/>
    <w:rsid w:val="002A52D6"/>
    <w:rsid w:val="002A5755"/>
    <w:rsid w:val="002A59B9"/>
    <w:rsid w:val="002A5A6B"/>
    <w:rsid w:val="002A5EB6"/>
    <w:rsid w:val="002A5EE6"/>
    <w:rsid w:val="002A65C4"/>
    <w:rsid w:val="002A6BE3"/>
    <w:rsid w:val="002A71C7"/>
    <w:rsid w:val="002A730A"/>
    <w:rsid w:val="002A76E3"/>
    <w:rsid w:val="002A7785"/>
    <w:rsid w:val="002A779F"/>
    <w:rsid w:val="002B0853"/>
    <w:rsid w:val="002B0E05"/>
    <w:rsid w:val="002B1029"/>
    <w:rsid w:val="002B164A"/>
    <w:rsid w:val="002B1915"/>
    <w:rsid w:val="002B26DA"/>
    <w:rsid w:val="002B2853"/>
    <w:rsid w:val="002B2AF0"/>
    <w:rsid w:val="002B2F94"/>
    <w:rsid w:val="002B39FD"/>
    <w:rsid w:val="002B3B3E"/>
    <w:rsid w:val="002B3C03"/>
    <w:rsid w:val="002B3E8B"/>
    <w:rsid w:val="002B4525"/>
    <w:rsid w:val="002B4A2B"/>
    <w:rsid w:val="002B6176"/>
    <w:rsid w:val="002B6D55"/>
    <w:rsid w:val="002B6E03"/>
    <w:rsid w:val="002B75F8"/>
    <w:rsid w:val="002B7C6A"/>
    <w:rsid w:val="002B7C9B"/>
    <w:rsid w:val="002C0178"/>
    <w:rsid w:val="002C0AB2"/>
    <w:rsid w:val="002C0C00"/>
    <w:rsid w:val="002C0D87"/>
    <w:rsid w:val="002C0F7F"/>
    <w:rsid w:val="002C1311"/>
    <w:rsid w:val="002C1B3D"/>
    <w:rsid w:val="002C1EE8"/>
    <w:rsid w:val="002C2D59"/>
    <w:rsid w:val="002C4737"/>
    <w:rsid w:val="002C4820"/>
    <w:rsid w:val="002C56DB"/>
    <w:rsid w:val="002C5B8B"/>
    <w:rsid w:val="002C5C4A"/>
    <w:rsid w:val="002C6CB6"/>
    <w:rsid w:val="002C6DF3"/>
    <w:rsid w:val="002C756E"/>
    <w:rsid w:val="002D0691"/>
    <w:rsid w:val="002D08DE"/>
    <w:rsid w:val="002D097F"/>
    <w:rsid w:val="002D0F60"/>
    <w:rsid w:val="002D1036"/>
    <w:rsid w:val="002D1E5D"/>
    <w:rsid w:val="002D1F08"/>
    <w:rsid w:val="002D1F45"/>
    <w:rsid w:val="002D227E"/>
    <w:rsid w:val="002D2B2D"/>
    <w:rsid w:val="002D2C9F"/>
    <w:rsid w:val="002D2D13"/>
    <w:rsid w:val="002D3321"/>
    <w:rsid w:val="002D4623"/>
    <w:rsid w:val="002D4762"/>
    <w:rsid w:val="002D486C"/>
    <w:rsid w:val="002D4B0D"/>
    <w:rsid w:val="002D5297"/>
    <w:rsid w:val="002D56E1"/>
    <w:rsid w:val="002D5D18"/>
    <w:rsid w:val="002D6980"/>
    <w:rsid w:val="002D7004"/>
    <w:rsid w:val="002D70BC"/>
    <w:rsid w:val="002D7167"/>
    <w:rsid w:val="002E07C7"/>
    <w:rsid w:val="002E141B"/>
    <w:rsid w:val="002E1B94"/>
    <w:rsid w:val="002E2195"/>
    <w:rsid w:val="002E271A"/>
    <w:rsid w:val="002E29E7"/>
    <w:rsid w:val="002E3D81"/>
    <w:rsid w:val="002E4F32"/>
    <w:rsid w:val="002E5FCF"/>
    <w:rsid w:val="002E69D6"/>
    <w:rsid w:val="002E6B73"/>
    <w:rsid w:val="002E731D"/>
    <w:rsid w:val="002E7808"/>
    <w:rsid w:val="002E7ACD"/>
    <w:rsid w:val="002E7E95"/>
    <w:rsid w:val="002F01F9"/>
    <w:rsid w:val="002F0230"/>
    <w:rsid w:val="002F0755"/>
    <w:rsid w:val="002F0D59"/>
    <w:rsid w:val="002F0DE0"/>
    <w:rsid w:val="002F1B7B"/>
    <w:rsid w:val="002F25BC"/>
    <w:rsid w:val="002F2E38"/>
    <w:rsid w:val="002F2E7B"/>
    <w:rsid w:val="002F3C7F"/>
    <w:rsid w:val="002F3DAB"/>
    <w:rsid w:val="002F3FA9"/>
    <w:rsid w:val="002F4386"/>
    <w:rsid w:val="002F453E"/>
    <w:rsid w:val="002F4946"/>
    <w:rsid w:val="002F4B1A"/>
    <w:rsid w:val="002F5970"/>
    <w:rsid w:val="002F5B09"/>
    <w:rsid w:val="002F61DE"/>
    <w:rsid w:val="002F6822"/>
    <w:rsid w:val="002F6EBD"/>
    <w:rsid w:val="002F7159"/>
    <w:rsid w:val="002F723D"/>
    <w:rsid w:val="002F7C4D"/>
    <w:rsid w:val="002F7C5D"/>
    <w:rsid w:val="002F7C8C"/>
    <w:rsid w:val="002F7F3B"/>
    <w:rsid w:val="002F7FC3"/>
    <w:rsid w:val="00300459"/>
    <w:rsid w:val="003004F8"/>
    <w:rsid w:val="00300880"/>
    <w:rsid w:val="00300933"/>
    <w:rsid w:val="00300B17"/>
    <w:rsid w:val="00300B25"/>
    <w:rsid w:val="00300BE1"/>
    <w:rsid w:val="00301A69"/>
    <w:rsid w:val="00301AFE"/>
    <w:rsid w:val="00301C1E"/>
    <w:rsid w:val="00302429"/>
    <w:rsid w:val="003036B5"/>
    <w:rsid w:val="00303AD4"/>
    <w:rsid w:val="003047CA"/>
    <w:rsid w:val="003047D4"/>
    <w:rsid w:val="00304D6E"/>
    <w:rsid w:val="003059EA"/>
    <w:rsid w:val="00305BF3"/>
    <w:rsid w:val="003076BD"/>
    <w:rsid w:val="0030788B"/>
    <w:rsid w:val="00307B4D"/>
    <w:rsid w:val="00310C6D"/>
    <w:rsid w:val="003112ED"/>
    <w:rsid w:val="003115CE"/>
    <w:rsid w:val="00311803"/>
    <w:rsid w:val="00311A4A"/>
    <w:rsid w:val="00311AE8"/>
    <w:rsid w:val="00311EB9"/>
    <w:rsid w:val="00312830"/>
    <w:rsid w:val="00313453"/>
    <w:rsid w:val="0031499F"/>
    <w:rsid w:val="00314BD8"/>
    <w:rsid w:val="00314DA8"/>
    <w:rsid w:val="00315619"/>
    <w:rsid w:val="00315723"/>
    <w:rsid w:val="00316469"/>
    <w:rsid w:val="003164FD"/>
    <w:rsid w:val="00316661"/>
    <w:rsid w:val="003168D6"/>
    <w:rsid w:val="00316EAA"/>
    <w:rsid w:val="00316EFC"/>
    <w:rsid w:val="0031733D"/>
    <w:rsid w:val="00317342"/>
    <w:rsid w:val="00317F7F"/>
    <w:rsid w:val="00321B3B"/>
    <w:rsid w:val="00321BA1"/>
    <w:rsid w:val="00322183"/>
    <w:rsid w:val="00322A9A"/>
    <w:rsid w:val="00322C7B"/>
    <w:rsid w:val="003236C4"/>
    <w:rsid w:val="00324282"/>
    <w:rsid w:val="00324324"/>
    <w:rsid w:val="003250B7"/>
    <w:rsid w:val="00325B57"/>
    <w:rsid w:val="00325C09"/>
    <w:rsid w:val="00325FC1"/>
    <w:rsid w:val="003264B8"/>
    <w:rsid w:val="003264DA"/>
    <w:rsid w:val="00326B51"/>
    <w:rsid w:val="00326C40"/>
    <w:rsid w:val="00327286"/>
    <w:rsid w:val="00327769"/>
    <w:rsid w:val="00327DC3"/>
    <w:rsid w:val="00330EEE"/>
    <w:rsid w:val="00330F68"/>
    <w:rsid w:val="003312A7"/>
    <w:rsid w:val="00331C94"/>
    <w:rsid w:val="00331CA9"/>
    <w:rsid w:val="0033244E"/>
    <w:rsid w:val="00332B82"/>
    <w:rsid w:val="00332ED6"/>
    <w:rsid w:val="003337B2"/>
    <w:rsid w:val="00333C97"/>
    <w:rsid w:val="0033405E"/>
    <w:rsid w:val="0033488D"/>
    <w:rsid w:val="00334CFC"/>
    <w:rsid w:val="003351B7"/>
    <w:rsid w:val="00335356"/>
    <w:rsid w:val="00336B6F"/>
    <w:rsid w:val="00336E81"/>
    <w:rsid w:val="00337DD8"/>
    <w:rsid w:val="00340239"/>
    <w:rsid w:val="00340543"/>
    <w:rsid w:val="0034073E"/>
    <w:rsid w:val="00340832"/>
    <w:rsid w:val="003408F2"/>
    <w:rsid w:val="00341464"/>
    <w:rsid w:val="003431E8"/>
    <w:rsid w:val="003432F0"/>
    <w:rsid w:val="003434A1"/>
    <w:rsid w:val="0034379D"/>
    <w:rsid w:val="0034470F"/>
    <w:rsid w:val="0034535A"/>
    <w:rsid w:val="0034613D"/>
    <w:rsid w:val="00346C3C"/>
    <w:rsid w:val="0034753F"/>
    <w:rsid w:val="00347C38"/>
    <w:rsid w:val="00347F11"/>
    <w:rsid w:val="00350006"/>
    <w:rsid w:val="00350BAF"/>
    <w:rsid w:val="0035124C"/>
    <w:rsid w:val="0035196D"/>
    <w:rsid w:val="00351EE7"/>
    <w:rsid w:val="00353FA5"/>
    <w:rsid w:val="0035436A"/>
    <w:rsid w:val="00354448"/>
    <w:rsid w:val="00354BF4"/>
    <w:rsid w:val="00354D01"/>
    <w:rsid w:val="00354D93"/>
    <w:rsid w:val="0035505B"/>
    <w:rsid w:val="003554CD"/>
    <w:rsid w:val="0035606C"/>
    <w:rsid w:val="00356D07"/>
    <w:rsid w:val="0035704B"/>
    <w:rsid w:val="003578D4"/>
    <w:rsid w:val="00360B6D"/>
    <w:rsid w:val="00360E97"/>
    <w:rsid w:val="00361061"/>
    <w:rsid w:val="0036188C"/>
    <w:rsid w:val="00361922"/>
    <w:rsid w:val="00361AC8"/>
    <w:rsid w:val="00361F88"/>
    <w:rsid w:val="003628DE"/>
    <w:rsid w:val="00362BCA"/>
    <w:rsid w:val="00363137"/>
    <w:rsid w:val="003634E2"/>
    <w:rsid w:val="0036354F"/>
    <w:rsid w:val="00364128"/>
    <w:rsid w:val="00364147"/>
    <w:rsid w:val="003651AB"/>
    <w:rsid w:val="003658FE"/>
    <w:rsid w:val="00365C42"/>
    <w:rsid w:val="003666D3"/>
    <w:rsid w:val="00366949"/>
    <w:rsid w:val="00366985"/>
    <w:rsid w:val="0036725E"/>
    <w:rsid w:val="00367A20"/>
    <w:rsid w:val="00367EDE"/>
    <w:rsid w:val="00367FED"/>
    <w:rsid w:val="003715AF"/>
    <w:rsid w:val="00373035"/>
    <w:rsid w:val="00373E6F"/>
    <w:rsid w:val="00373F21"/>
    <w:rsid w:val="003742AF"/>
    <w:rsid w:val="00374410"/>
    <w:rsid w:val="003746C3"/>
    <w:rsid w:val="00374F06"/>
    <w:rsid w:val="00376182"/>
    <w:rsid w:val="003761D4"/>
    <w:rsid w:val="00376FAF"/>
    <w:rsid w:val="00377921"/>
    <w:rsid w:val="00380554"/>
    <w:rsid w:val="003806FA"/>
    <w:rsid w:val="0038099B"/>
    <w:rsid w:val="00380AAE"/>
    <w:rsid w:val="0038110D"/>
    <w:rsid w:val="0038116D"/>
    <w:rsid w:val="0038141E"/>
    <w:rsid w:val="00381542"/>
    <w:rsid w:val="00381B50"/>
    <w:rsid w:val="00381D42"/>
    <w:rsid w:val="00381E27"/>
    <w:rsid w:val="003821C8"/>
    <w:rsid w:val="003829B9"/>
    <w:rsid w:val="0038322B"/>
    <w:rsid w:val="00383BA7"/>
    <w:rsid w:val="00383D99"/>
    <w:rsid w:val="00384775"/>
    <w:rsid w:val="0038484E"/>
    <w:rsid w:val="00385022"/>
    <w:rsid w:val="0038563A"/>
    <w:rsid w:val="00385E22"/>
    <w:rsid w:val="0039039E"/>
    <w:rsid w:val="0039054F"/>
    <w:rsid w:val="00390BA2"/>
    <w:rsid w:val="00390F4D"/>
    <w:rsid w:val="00391675"/>
    <w:rsid w:val="00391751"/>
    <w:rsid w:val="003918EE"/>
    <w:rsid w:val="00392717"/>
    <w:rsid w:val="003928C1"/>
    <w:rsid w:val="003933E4"/>
    <w:rsid w:val="003936C4"/>
    <w:rsid w:val="0039406E"/>
    <w:rsid w:val="00395A4B"/>
    <w:rsid w:val="00395FEA"/>
    <w:rsid w:val="00396B06"/>
    <w:rsid w:val="003978AB"/>
    <w:rsid w:val="003A01DF"/>
    <w:rsid w:val="003A21DE"/>
    <w:rsid w:val="003A2335"/>
    <w:rsid w:val="003A3232"/>
    <w:rsid w:val="003A396B"/>
    <w:rsid w:val="003A3A4E"/>
    <w:rsid w:val="003A3E49"/>
    <w:rsid w:val="003A5979"/>
    <w:rsid w:val="003A6D57"/>
    <w:rsid w:val="003A73D5"/>
    <w:rsid w:val="003B0472"/>
    <w:rsid w:val="003B06D6"/>
    <w:rsid w:val="003B07D2"/>
    <w:rsid w:val="003B1211"/>
    <w:rsid w:val="003B1E9F"/>
    <w:rsid w:val="003B3657"/>
    <w:rsid w:val="003B37D5"/>
    <w:rsid w:val="003B37F0"/>
    <w:rsid w:val="003B4748"/>
    <w:rsid w:val="003B4BC5"/>
    <w:rsid w:val="003B5A29"/>
    <w:rsid w:val="003B61C0"/>
    <w:rsid w:val="003B74B5"/>
    <w:rsid w:val="003B77B1"/>
    <w:rsid w:val="003B797B"/>
    <w:rsid w:val="003C12BF"/>
    <w:rsid w:val="003C12E4"/>
    <w:rsid w:val="003C17B3"/>
    <w:rsid w:val="003C261C"/>
    <w:rsid w:val="003C2964"/>
    <w:rsid w:val="003C2980"/>
    <w:rsid w:val="003C2D78"/>
    <w:rsid w:val="003C2F2F"/>
    <w:rsid w:val="003C2FD6"/>
    <w:rsid w:val="003C3777"/>
    <w:rsid w:val="003C3899"/>
    <w:rsid w:val="003C3B18"/>
    <w:rsid w:val="003C447A"/>
    <w:rsid w:val="003C4B12"/>
    <w:rsid w:val="003C4E94"/>
    <w:rsid w:val="003C5949"/>
    <w:rsid w:val="003C6658"/>
    <w:rsid w:val="003C66AF"/>
    <w:rsid w:val="003C68FA"/>
    <w:rsid w:val="003C6DA0"/>
    <w:rsid w:val="003C798C"/>
    <w:rsid w:val="003C79E8"/>
    <w:rsid w:val="003D042F"/>
    <w:rsid w:val="003D0464"/>
    <w:rsid w:val="003D0890"/>
    <w:rsid w:val="003D1376"/>
    <w:rsid w:val="003D165F"/>
    <w:rsid w:val="003D2B60"/>
    <w:rsid w:val="003D36E0"/>
    <w:rsid w:val="003D4141"/>
    <w:rsid w:val="003D48D8"/>
    <w:rsid w:val="003D4B4E"/>
    <w:rsid w:val="003D4ECD"/>
    <w:rsid w:val="003D54C1"/>
    <w:rsid w:val="003D630D"/>
    <w:rsid w:val="003D65F4"/>
    <w:rsid w:val="003D7524"/>
    <w:rsid w:val="003D7D26"/>
    <w:rsid w:val="003E0336"/>
    <w:rsid w:val="003E09E3"/>
    <w:rsid w:val="003E0B3D"/>
    <w:rsid w:val="003E0E67"/>
    <w:rsid w:val="003E1A75"/>
    <w:rsid w:val="003E2B2B"/>
    <w:rsid w:val="003E2C2D"/>
    <w:rsid w:val="003E2C86"/>
    <w:rsid w:val="003E3935"/>
    <w:rsid w:val="003E3A21"/>
    <w:rsid w:val="003E3CBC"/>
    <w:rsid w:val="003E45FC"/>
    <w:rsid w:val="003E48AC"/>
    <w:rsid w:val="003E48EE"/>
    <w:rsid w:val="003E4E48"/>
    <w:rsid w:val="003E505F"/>
    <w:rsid w:val="003E51FE"/>
    <w:rsid w:val="003E5DD0"/>
    <w:rsid w:val="003E6A35"/>
    <w:rsid w:val="003E726A"/>
    <w:rsid w:val="003E7403"/>
    <w:rsid w:val="003E7CE5"/>
    <w:rsid w:val="003F0284"/>
    <w:rsid w:val="003F03F5"/>
    <w:rsid w:val="003F0687"/>
    <w:rsid w:val="003F0AA6"/>
    <w:rsid w:val="003F0E95"/>
    <w:rsid w:val="003F113C"/>
    <w:rsid w:val="003F24B9"/>
    <w:rsid w:val="003F283A"/>
    <w:rsid w:val="003F3631"/>
    <w:rsid w:val="003F3EFD"/>
    <w:rsid w:val="003F4068"/>
    <w:rsid w:val="003F4C2D"/>
    <w:rsid w:val="003F52AD"/>
    <w:rsid w:val="003F562F"/>
    <w:rsid w:val="003F7583"/>
    <w:rsid w:val="003F76D8"/>
    <w:rsid w:val="003F7775"/>
    <w:rsid w:val="003F7C2C"/>
    <w:rsid w:val="003F7D93"/>
    <w:rsid w:val="003F7EAC"/>
    <w:rsid w:val="004013A4"/>
    <w:rsid w:val="004017ED"/>
    <w:rsid w:val="00401F72"/>
    <w:rsid w:val="00402280"/>
    <w:rsid w:val="004024C7"/>
    <w:rsid w:val="00402545"/>
    <w:rsid w:val="004026D8"/>
    <w:rsid w:val="00403146"/>
    <w:rsid w:val="004035AF"/>
    <w:rsid w:val="00403E00"/>
    <w:rsid w:val="0040422E"/>
    <w:rsid w:val="004048F2"/>
    <w:rsid w:val="00404999"/>
    <w:rsid w:val="00404B86"/>
    <w:rsid w:val="00405665"/>
    <w:rsid w:val="00405FE9"/>
    <w:rsid w:val="00406328"/>
    <w:rsid w:val="004078DF"/>
    <w:rsid w:val="004110AD"/>
    <w:rsid w:val="004114DD"/>
    <w:rsid w:val="00412BC7"/>
    <w:rsid w:val="00414112"/>
    <w:rsid w:val="0041429B"/>
    <w:rsid w:val="00414361"/>
    <w:rsid w:val="00415306"/>
    <w:rsid w:val="004155D7"/>
    <w:rsid w:val="00415BE5"/>
    <w:rsid w:val="00416636"/>
    <w:rsid w:val="00417C19"/>
    <w:rsid w:val="00417DFE"/>
    <w:rsid w:val="00420607"/>
    <w:rsid w:val="004206FE"/>
    <w:rsid w:val="0042083B"/>
    <w:rsid w:val="00420C63"/>
    <w:rsid w:val="00421469"/>
    <w:rsid w:val="00422191"/>
    <w:rsid w:val="00422E5C"/>
    <w:rsid w:val="004238F2"/>
    <w:rsid w:val="00424BB5"/>
    <w:rsid w:val="00425780"/>
    <w:rsid w:val="00425A90"/>
    <w:rsid w:val="00425E7A"/>
    <w:rsid w:val="0042603D"/>
    <w:rsid w:val="00426138"/>
    <w:rsid w:val="004262E6"/>
    <w:rsid w:val="00426E0C"/>
    <w:rsid w:val="00427861"/>
    <w:rsid w:val="00427DA6"/>
    <w:rsid w:val="00427E77"/>
    <w:rsid w:val="0043103A"/>
    <w:rsid w:val="0043115B"/>
    <w:rsid w:val="0043130F"/>
    <w:rsid w:val="00431A04"/>
    <w:rsid w:val="00431F1C"/>
    <w:rsid w:val="00432041"/>
    <w:rsid w:val="004321C5"/>
    <w:rsid w:val="004324DF"/>
    <w:rsid w:val="004324F1"/>
    <w:rsid w:val="004327EB"/>
    <w:rsid w:val="004333ED"/>
    <w:rsid w:val="00433991"/>
    <w:rsid w:val="00433FD7"/>
    <w:rsid w:val="00434AAA"/>
    <w:rsid w:val="00434D40"/>
    <w:rsid w:val="0043516A"/>
    <w:rsid w:val="004357A5"/>
    <w:rsid w:val="004402E7"/>
    <w:rsid w:val="004407E8"/>
    <w:rsid w:val="00440802"/>
    <w:rsid w:val="004408A5"/>
    <w:rsid w:val="00441188"/>
    <w:rsid w:val="0044128E"/>
    <w:rsid w:val="004414FD"/>
    <w:rsid w:val="0044254E"/>
    <w:rsid w:val="004425FA"/>
    <w:rsid w:val="00442724"/>
    <w:rsid w:val="00443412"/>
    <w:rsid w:val="00443446"/>
    <w:rsid w:val="004437CB"/>
    <w:rsid w:val="00444133"/>
    <w:rsid w:val="00444369"/>
    <w:rsid w:val="00444DB4"/>
    <w:rsid w:val="00445DE8"/>
    <w:rsid w:val="00446216"/>
    <w:rsid w:val="004464BD"/>
    <w:rsid w:val="004477C3"/>
    <w:rsid w:val="0045029C"/>
    <w:rsid w:val="004503C7"/>
    <w:rsid w:val="00450784"/>
    <w:rsid w:val="004507E5"/>
    <w:rsid w:val="00450CBC"/>
    <w:rsid w:val="00451367"/>
    <w:rsid w:val="00451F5A"/>
    <w:rsid w:val="00453E62"/>
    <w:rsid w:val="00453E92"/>
    <w:rsid w:val="00453ED1"/>
    <w:rsid w:val="004541FD"/>
    <w:rsid w:val="00454971"/>
    <w:rsid w:val="00454B6E"/>
    <w:rsid w:val="00454D1E"/>
    <w:rsid w:val="004555C8"/>
    <w:rsid w:val="00455DA7"/>
    <w:rsid w:val="0045657F"/>
    <w:rsid w:val="00456B60"/>
    <w:rsid w:val="00456DB3"/>
    <w:rsid w:val="00460119"/>
    <w:rsid w:val="004603A0"/>
    <w:rsid w:val="00461010"/>
    <w:rsid w:val="004620E3"/>
    <w:rsid w:val="004624E1"/>
    <w:rsid w:val="00462950"/>
    <w:rsid w:val="00462D96"/>
    <w:rsid w:val="0046350F"/>
    <w:rsid w:val="0046363E"/>
    <w:rsid w:val="00463C5F"/>
    <w:rsid w:val="0046490E"/>
    <w:rsid w:val="00464FE8"/>
    <w:rsid w:val="00466C06"/>
    <w:rsid w:val="004674FC"/>
    <w:rsid w:val="00470389"/>
    <w:rsid w:val="00471B3F"/>
    <w:rsid w:val="00471C5A"/>
    <w:rsid w:val="004723C7"/>
    <w:rsid w:val="0047320C"/>
    <w:rsid w:val="004732A1"/>
    <w:rsid w:val="00473331"/>
    <w:rsid w:val="004735B6"/>
    <w:rsid w:val="00473A91"/>
    <w:rsid w:val="004742E0"/>
    <w:rsid w:val="004745C0"/>
    <w:rsid w:val="00474746"/>
    <w:rsid w:val="00474ADA"/>
    <w:rsid w:val="0047521A"/>
    <w:rsid w:val="0047579F"/>
    <w:rsid w:val="00475F81"/>
    <w:rsid w:val="004761CD"/>
    <w:rsid w:val="00476675"/>
    <w:rsid w:val="00476B9C"/>
    <w:rsid w:val="00477D7E"/>
    <w:rsid w:val="0048024B"/>
    <w:rsid w:val="00480CC2"/>
    <w:rsid w:val="00480F47"/>
    <w:rsid w:val="00481210"/>
    <w:rsid w:val="00481406"/>
    <w:rsid w:val="0048155D"/>
    <w:rsid w:val="00481DA4"/>
    <w:rsid w:val="0048297D"/>
    <w:rsid w:val="00482BC8"/>
    <w:rsid w:val="00483113"/>
    <w:rsid w:val="004838E2"/>
    <w:rsid w:val="00483E90"/>
    <w:rsid w:val="00484051"/>
    <w:rsid w:val="004844D0"/>
    <w:rsid w:val="00484BD3"/>
    <w:rsid w:val="00484E8E"/>
    <w:rsid w:val="00485132"/>
    <w:rsid w:val="00485492"/>
    <w:rsid w:val="004859E6"/>
    <w:rsid w:val="00485A26"/>
    <w:rsid w:val="004868D8"/>
    <w:rsid w:val="00486AED"/>
    <w:rsid w:val="0048706C"/>
    <w:rsid w:val="00487272"/>
    <w:rsid w:val="004879CD"/>
    <w:rsid w:val="00487B2E"/>
    <w:rsid w:val="00490132"/>
    <w:rsid w:val="00490C54"/>
    <w:rsid w:val="00490D13"/>
    <w:rsid w:val="00492480"/>
    <w:rsid w:val="004926B5"/>
    <w:rsid w:val="00492A94"/>
    <w:rsid w:val="00492C89"/>
    <w:rsid w:val="004933DC"/>
    <w:rsid w:val="004935C4"/>
    <w:rsid w:val="00495080"/>
    <w:rsid w:val="0049619D"/>
    <w:rsid w:val="0049645C"/>
    <w:rsid w:val="00496878"/>
    <w:rsid w:val="00496C86"/>
    <w:rsid w:val="00497113"/>
    <w:rsid w:val="004A0388"/>
    <w:rsid w:val="004A03A0"/>
    <w:rsid w:val="004A0414"/>
    <w:rsid w:val="004A0998"/>
    <w:rsid w:val="004A09E4"/>
    <w:rsid w:val="004A0E6D"/>
    <w:rsid w:val="004A10E1"/>
    <w:rsid w:val="004A14FE"/>
    <w:rsid w:val="004A1710"/>
    <w:rsid w:val="004A17A9"/>
    <w:rsid w:val="004A20AB"/>
    <w:rsid w:val="004A20B1"/>
    <w:rsid w:val="004A221A"/>
    <w:rsid w:val="004A24B3"/>
    <w:rsid w:val="004A2703"/>
    <w:rsid w:val="004A32E6"/>
    <w:rsid w:val="004A3E99"/>
    <w:rsid w:val="004A3F28"/>
    <w:rsid w:val="004A405A"/>
    <w:rsid w:val="004A589F"/>
    <w:rsid w:val="004A5D9A"/>
    <w:rsid w:val="004A5F86"/>
    <w:rsid w:val="004A63AC"/>
    <w:rsid w:val="004A70E6"/>
    <w:rsid w:val="004B0063"/>
    <w:rsid w:val="004B131F"/>
    <w:rsid w:val="004B21EC"/>
    <w:rsid w:val="004B2741"/>
    <w:rsid w:val="004B27AC"/>
    <w:rsid w:val="004B2A6F"/>
    <w:rsid w:val="004B2B7F"/>
    <w:rsid w:val="004B2FFD"/>
    <w:rsid w:val="004B460A"/>
    <w:rsid w:val="004B4A8B"/>
    <w:rsid w:val="004B4BC3"/>
    <w:rsid w:val="004B5C90"/>
    <w:rsid w:val="004B5EAA"/>
    <w:rsid w:val="004B652B"/>
    <w:rsid w:val="004B6958"/>
    <w:rsid w:val="004B706D"/>
    <w:rsid w:val="004B7473"/>
    <w:rsid w:val="004B7C58"/>
    <w:rsid w:val="004C0BEF"/>
    <w:rsid w:val="004C163C"/>
    <w:rsid w:val="004C1FE4"/>
    <w:rsid w:val="004C237B"/>
    <w:rsid w:val="004C33DB"/>
    <w:rsid w:val="004C37A0"/>
    <w:rsid w:val="004C39AF"/>
    <w:rsid w:val="004C40BE"/>
    <w:rsid w:val="004C421E"/>
    <w:rsid w:val="004C44DA"/>
    <w:rsid w:val="004C470B"/>
    <w:rsid w:val="004C575A"/>
    <w:rsid w:val="004C5C1E"/>
    <w:rsid w:val="004C655A"/>
    <w:rsid w:val="004C7259"/>
    <w:rsid w:val="004C7734"/>
    <w:rsid w:val="004C7A21"/>
    <w:rsid w:val="004C7A4E"/>
    <w:rsid w:val="004C7F23"/>
    <w:rsid w:val="004D0791"/>
    <w:rsid w:val="004D1099"/>
    <w:rsid w:val="004D1D8C"/>
    <w:rsid w:val="004D1E11"/>
    <w:rsid w:val="004D20D6"/>
    <w:rsid w:val="004D235D"/>
    <w:rsid w:val="004D2500"/>
    <w:rsid w:val="004D2C65"/>
    <w:rsid w:val="004D3BE2"/>
    <w:rsid w:val="004D3CD1"/>
    <w:rsid w:val="004D4BB9"/>
    <w:rsid w:val="004D560C"/>
    <w:rsid w:val="004D5676"/>
    <w:rsid w:val="004D5796"/>
    <w:rsid w:val="004D5835"/>
    <w:rsid w:val="004D5B35"/>
    <w:rsid w:val="004D5C18"/>
    <w:rsid w:val="004D6D9D"/>
    <w:rsid w:val="004D7C08"/>
    <w:rsid w:val="004D7C7C"/>
    <w:rsid w:val="004E01BC"/>
    <w:rsid w:val="004E0983"/>
    <w:rsid w:val="004E14B8"/>
    <w:rsid w:val="004E1E0B"/>
    <w:rsid w:val="004E1F87"/>
    <w:rsid w:val="004E21D3"/>
    <w:rsid w:val="004E2841"/>
    <w:rsid w:val="004E2E92"/>
    <w:rsid w:val="004E2EF5"/>
    <w:rsid w:val="004E3C7D"/>
    <w:rsid w:val="004E3CC2"/>
    <w:rsid w:val="004E456A"/>
    <w:rsid w:val="004E4747"/>
    <w:rsid w:val="004E477B"/>
    <w:rsid w:val="004E4A7D"/>
    <w:rsid w:val="004E4CB6"/>
    <w:rsid w:val="004E52E1"/>
    <w:rsid w:val="004E56A1"/>
    <w:rsid w:val="004E6996"/>
    <w:rsid w:val="004E7581"/>
    <w:rsid w:val="004E7687"/>
    <w:rsid w:val="004E775D"/>
    <w:rsid w:val="004F0850"/>
    <w:rsid w:val="004F0C58"/>
    <w:rsid w:val="004F1049"/>
    <w:rsid w:val="004F20CB"/>
    <w:rsid w:val="004F2487"/>
    <w:rsid w:val="004F3762"/>
    <w:rsid w:val="004F484F"/>
    <w:rsid w:val="004F52AA"/>
    <w:rsid w:val="004F531A"/>
    <w:rsid w:val="004F5A0E"/>
    <w:rsid w:val="004F64F4"/>
    <w:rsid w:val="004F76E0"/>
    <w:rsid w:val="0050001C"/>
    <w:rsid w:val="005008A3"/>
    <w:rsid w:val="00500D65"/>
    <w:rsid w:val="00500FB2"/>
    <w:rsid w:val="0050107D"/>
    <w:rsid w:val="005013B8"/>
    <w:rsid w:val="005014D7"/>
    <w:rsid w:val="00501DA9"/>
    <w:rsid w:val="0050212E"/>
    <w:rsid w:val="00502AEF"/>
    <w:rsid w:val="00502B3B"/>
    <w:rsid w:val="00502EE4"/>
    <w:rsid w:val="0050362C"/>
    <w:rsid w:val="00504516"/>
    <w:rsid w:val="00504C5C"/>
    <w:rsid w:val="0050541F"/>
    <w:rsid w:val="00505997"/>
    <w:rsid w:val="00505F8E"/>
    <w:rsid w:val="00506493"/>
    <w:rsid w:val="00506F90"/>
    <w:rsid w:val="005073CF"/>
    <w:rsid w:val="00507DC9"/>
    <w:rsid w:val="005106CD"/>
    <w:rsid w:val="00510B8F"/>
    <w:rsid w:val="005117AC"/>
    <w:rsid w:val="00511E33"/>
    <w:rsid w:val="0051229D"/>
    <w:rsid w:val="00512610"/>
    <w:rsid w:val="00512AED"/>
    <w:rsid w:val="00513169"/>
    <w:rsid w:val="00513327"/>
    <w:rsid w:val="00513D1A"/>
    <w:rsid w:val="00514B81"/>
    <w:rsid w:val="0051563E"/>
    <w:rsid w:val="00515F90"/>
    <w:rsid w:val="00515FAC"/>
    <w:rsid w:val="00516223"/>
    <w:rsid w:val="00516566"/>
    <w:rsid w:val="005166E2"/>
    <w:rsid w:val="00516718"/>
    <w:rsid w:val="00516D23"/>
    <w:rsid w:val="00517C63"/>
    <w:rsid w:val="00520EF5"/>
    <w:rsid w:val="00520F44"/>
    <w:rsid w:val="005210D9"/>
    <w:rsid w:val="00521280"/>
    <w:rsid w:val="00521601"/>
    <w:rsid w:val="00521AEE"/>
    <w:rsid w:val="005228C0"/>
    <w:rsid w:val="00522A4E"/>
    <w:rsid w:val="00522D67"/>
    <w:rsid w:val="00524C51"/>
    <w:rsid w:val="00524D3F"/>
    <w:rsid w:val="00525431"/>
    <w:rsid w:val="005256F7"/>
    <w:rsid w:val="00525CB4"/>
    <w:rsid w:val="00526038"/>
    <w:rsid w:val="00526157"/>
    <w:rsid w:val="00526233"/>
    <w:rsid w:val="00526479"/>
    <w:rsid w:val="00526CCB"/>
    <w:rsid w:val="005271DF"/>
    <w:rsid w:val="0052759B"/>
    <w:rsid w:val="00530493"/>
    <w:rsid w:val="00530E25"/>
    <w:rsid w:val="0053112F"/>
    <w:rsid w:val="00531289"/>
    <w:rsid w:val="00531421"/>
    <w:rsid w:val="00532246"/>
    <w:rsid w:val="005328FF"/>
    <w:rsid w:val="00532BEB"/>
    <w:rsid w:val="00533759"/>
    <w:rsid w:val="00534130"/>
    <w:rsid w:val="005347F2"/>
    <w:rsid w:val="00535A76"/>
    <w:rsid w:val="00535C55"/>
    <w:rsid w:val="0053619F"/>
    <w:rsid w:val="005363A7"/>
    <w:rsid w:val="005364EE"/>
    <w:rsid w:val="00536637"/>
    <w:rsid w:val="00536994"/>
    <w:rsid w:val="005369C7"/>
    <w:rsid w:val="00537678"/>
    <w:rsid w:val="00540FD2"/>
    <w:rsid w:val="00541D1C"/>
    <w:rsid w:val="00541E77"/>
    <w:rsid w:val="005425E6"/>
    <w:rsid w:val="00542924"/>
    <w:rsid w:val="00542A65"/>
    <w:rsid w:val="00542A66"/>
    <w:rsid w:val="00542BC0"/>
    <w:rsid w:val="00542DC6"/>
    <w:rsid w:val="0054357B"/>
    <w:rsid w:val="00544A39"/>
    <w:rsid w:val="00544C92"/>
    <w:rsid w:val="00544D1E"/>
    <w:rsid w:val="00544E11"/>
    <w:rsid w:val="00544E84"/>
    <w:rsid w:val="00544F05"/>
    <w:rsid w:val="005452DD"/>
    <w:rsid w:val="00545A46"/>
    <w:rsid w:val="00545D04"/>
    <w:rsid w:val="00545EA8"/>
    <w:rsid w:val="0054613C"/>
    <w:rsid w:val="005463C2"/>
    <w:rsid w:val="00546550"/>
    <w:rsid w:val="005468FB"/>
    <w:rsid w:val="00546D92"/>
    <w:rsid w:val="00546DF0"/>
    <w:rsid w:val="00546EAF"/>
    <w:rsid w:val="0054714C"/>
    <w:rsid w:val="00550993"/>
    <w:rsid w:val="005510A1"/>
    <w:rsid w:val="00551148"/>
    <w:rsid w:val="0055142B"/>
    <w:rsid w:val="00551A02"/>
    <w:rsid w:val="00551B20"/>
    <w:rsid w:val="00553692"/>
    <w:rsid w:val="005539F7"/>
    <w:rsid w:val="00553DB0"/>
    <w:rsid w:val="00553FB0"/>
    <w:rsid w:val="00555606"/>
    <w:rsid w:val="005561D4"/>
    <w:rsid w:val="00557B06"/>
    <w:rsid w:val="005605D2"/>
    <w:rsid w:val="00560709"/>
    <w:rsid w:val="0056090E"/>
    <w:rsid w:val="005613F7"/>
    <w:rsid w:val="00561854"/>
    <w:rsid w:val="00561AC4"/>
    <w:rsid w:val="00561DF9"/>
    <w:rsid w:val="00563250"/>
    <w:rsid w:val="005639AA"/>
    <w:rsid w:val="00563B6E"/>
    <w:rsid w:val="00563BE1"/>
    <w:rsid w:val="00563EFD"/>
    <w:rsid w:val="005641AE"/>
    <w:rsid w:val="00564F2D"/>
    <w:rsid w:val="0056547A"/>
    <w:rsid w:val="00565638"/>
    <w:rsid w:val="00565CDB"/>
    <w:rsid w:val="00565D91"/>
    <w:rsid w:val="0056627D"/>
    <w:rsid w:val="005667B7"/>
    <w:rsid w:val="00567A9C"/>
    <w:rsid w:val="0057123A"/>
    <w:rsid w:val="005717DE"/>
    <w:rsid w:val="00572B13"/>
    <w:rsid w:val="00572D95"/>
    <w:rsid w:val="00573DBC"/>
    <w:rsid w:val="00574256"/>
    <w:rsid w:val="005744AE"/>
    <w:rsid w:val="00574706"/>
    <w:rsid w:val="00574CF6"/>
    <w:rsid w:val="00574EDE"/>
    <w:rsid w:val="005752EC"/>
    <w:rsid w:val="0057566A"/>
    <w:rsid w:val="005757C0"/>
    <w:rsid w:val="0057596A"/>
    <w:rsid w:val="00575A86"/>
    <w:rsid w:val="00575D85"/>
    <w:rsid w:val="00575F35"/>
    <w:rsid w:val="005764F8"/>
    <w:rsid w:val="0057656A"/>
    <w:rsid w:val="0057656C"/>
    <w:rsid w:val="00576C39"/>
    <w:rsid w:val="005771CB"/>
    <w:rsid w:val="005773EC"/>
    <w:rsid w:val="00577446"/>
    <w:rsid w:val="00577753"/>
    <w:rsid w:val="00577F06"/>
    <w:rsid w:val="00577FB7"/>
    <w:rsid w:val="00580229"/>
    <w:rsid w:val="00580629"/>
    <w:rsid w:val="0058087E"/>
    <w:rsid w:val="00581199"/>
    <w:rsid w:val="00581715"/>
    <w:rsid w:val="00581A9B"/>
    <w:rsid w:val="00581C4E"/>
    <w:rsid w:val="00582356"/>
    <w:rsid w:val="00582A9A"/>
    <w:rsid w:val="00582B3C"/>
    <w:rsid w:val="00582F42"/>
    <w:rsid w:val="00583AE4"/>
    <w:rsid w:val="005847E0"/>
    <w:rsid w:val="00584820"/>
    <w:rsid w:val="00584E3C"/>
    <w:rsid w:val="005854E1"/>
    <w:rsid w:val="005854EF"/>
    <w:rsid w:val="00585B55"/>
    <w:rsid w:val="00585C01"/>
    <w:rsid w:val="00586107"/>
    <w:rsid w:val="00586304"/>
    <w:rsid w:val="0058681F"/>
    <w:rsid w:val="005870C3"/>
    <w:rsid w:val="00587360"/>
    <w:rsid w:val="00587769"/>
    <w:rsid w:val="00587C48"/>
    <w:rsid w:val="00590120"/>
    <w:rsid w:val="005906AE"/>
    <w:rsid w:val="00590D40"/>
    <w:rsid w:val="0059135B"/>
    <w:rsid w:val="005919ED"/>
    <w:rsid w:val="00591C5E"/>
    <w:rsid w:val="00592011"/>
    <w:rsid w:val="00592666"/>
    <w:rsid w:val="00592E0A"/>
    <w:rsid w:val="005954AC"/>
    <w:rsid w:val="005954E1"/>
    <w:rsid w:val="00595E76"/>
    <w:rsid w:val="0059632A"/>
    <w:rsid w:val="00597960"/>
    <w:rsid w:val="005A07B1"/>
    <w:rsid w:val="005A0F8A"/>
    <w:rsid w:val="005A1148"/>
    <w:rsid w:val="005A12C9"/>
    <w:rsid w:val="005A1371"/>
    <w:rsid w:val="005A1910"/>
    <w:rsid w:val="005A1A34"/>
    <w:rsid w:val="005A2514"/>
    <w:rsid w:val="005A32BA"/>
    <w:rsid w:val="005A376D"/>
    <w:rsid w:val="005A3D50"/>
    <w:rsid w:val="005A46D1"/>
    <w:rsid w:val="005A4AC6"/>
    <w:rsid w:val="005A4E75"/>
    <w:rsid w:val="005A4F50"/>
    <w:rsid w:val="005A507A"/>
    <w:rsid w:val="005A53EB"/>
    <w:rsid w:val="005A6971"/>
    <w:rsid w:val="005B0A39"/>
    <w:rsid w:val="005B14FD"/>
    <w:rsid w:val="005B1C1C"/>
    <w:rsid w:val="005B1CFB"/>
    <w:rsid w:val="005B2212"/>
    <w:rsid w:val="005B24F5"/>
    <w:rsid w:val="005B29C0"/>
    <w:rsid w:val="005B2D3A"/>
    <w:rsid w:val="005B3C5A"/>
    <w:rsid w:val="005B484B"/>
    <w:rsid w:val="005B5963"/>
    <w:rsid w:val="005B6734"/>
    <w:rsid w:val="005B6828"/>
    <w:rsid w:val="005B6A8D"/>
    <w:rsid w:val="005B6B3D"/>
    <w:rsid w:val="005B6F08"/>
    <w:rsid w:val="005B6FB7"/>
    <w:rsid w:val="005B727D"/>
    <w:rsid w:val="005C09A6"/>
    <w:rsid w:val="005C09FD"/>
    <w:rsid w:val="005C1D5B"/>
    <w:rsid w:val="005C2903"/>
    <w:rsid w:val="005C296D"/>
    <w:rsid w:val="005C339C"/>
    <w:rsid w:val="005C341C"/>
    <w:rsid w:val="005C3616"/>
    <w:rsid w:val="005C36CB"/>
    <w:rsid w:val="005C3744"/>
    <w:rsid w:val="005C3C9A"/>
    <w:rsid w:val="005C4AAA"/>
    <w:rsid w:val="005C5489"/>
    <w:rsid w:val="005C57F9"/>
    <w:rsid w:val="005C5E3B"/>
    <w:rsid w:val="005C60B5"/>
    <w:rsid w:val="005C654F"/>
    <w:rsid w:val="005C74B2"/>
    <w:rsid w:val="005C7630"/>
    <w:rsid w:val="005C768B"/>
    <w:rsid w:val="005C773A"/>
    <w:rsid w:val="005D0735"/>
    <w:rsid w:val="005D0C52"/>
    <w:rsid w:val="005D113E"/>
    <w:rsid w:val="005D1DE4"/>
    <w:rsid w:val="005D27E2"/>
    <w:rsid w:val="005D655F"/>
    <w:rsid w:val="005D6CAB"/>
    <w:rsid w:val="005D7495"/>
    <w:rsid w:val="005D763A"/>
    <w:rsid w:val="005D78B7"/>
    <w:rsid w:val="005D791F"/>
    <w:rsid w:val="005D7AD8"/>
    <w:rsid w:val="005E0397"/>
    <w:rsid w:val="005E0676"/>
    <w:rsid w:val="005E08A7"/>
    <w:rsid w:val="005E1D31"/>
    <w:rsid w:val="005E3E9D"/>
    <w:rsid w:val="005E5330"/>
    <w:rsid w:val="005E53FA"/>
    <w:rsid w:val="005E5461"/>
    <w:rsid w:val="005E56C0"/>
    <w:rsid w:val="005E6037"/>
    <w:rsid w:val="005E6523"/>
    <w:rsid w:val="005E7A49"/>
    <w:rsid w:val="005F16BD"/>
    <w:rsid w:val="005F1710"/>
    <w:rsid w:val="005F17C5"/>
    <w:rsid w:val="005F29A3"/>
    <w:rsid w:val="005F325B"/>
    <w:rsid w:val="005F35FE"/>
    <w:rsid w:val="005F4617"/>
    <w:rsid w:val="005F5780"/>
    <w:rsid w:val="005F6618"/>
    <w:rsid w:val="005F67F3"/>
    <w:rsid w:val="005F69FA"/>
    <w:rsid w:val="005F6BCD"/>
    <w:rsid w:val="005F71B3"/>
    <w:rsid w:val="00600E34"/>
    <w:rsid w:val="006012B3"/>
    <w:rsid w:val="00602033"/>
    <w:rsid w:val="00604136"/>
    <w:rsid w:val="006046D8"/>
    <w:rsid w:val="006046E1"/>
    <w:rsid w:val="00604994"/>
    <w:rsid w:val="00604B10"/>
    <w:rsid w:val="00604C3C"/>
    <w:rsid w:val="00604CA8"/>
    <w:rsid w:val="00605A62"/>
    <w:rsid w:val="00605E3D"/>
    <w:rsid w:val="00606339"/>
    <w:rsid w:val="00606E01"/>
    <w:rsid w:val="00606ECC"/>
    <w:rsid w:val="00606F91"/>
    <w:rsid w:val="0060721B"/>
    <w:rsid w:val="006076D5"/>
    <w:rsid w:val="00610403"/>
    <w:rsid w:val="006109CC"/>
    <w:rsid w:val="00610CD3"/>
    <w:rsid w:val="00611BA8"/>
    <w:rsid w:val="0061248D"/>
    <w:rsid w:val="00612BA1"/>
    <w:rsid w:val="00612E69"/>
    <w:rsid w:val="0061356E"/>
    <w:rsid w:val="0061369A"/>
    <w:rsid w:val="00613953"/>
    <w:rsid w:val="00613A12"/>
    <w:rsid w:val="00613A84"/>
    <w:rsid w:val="00613C22"/>
    <w:rsid w:val="00613C37"/>
    <w:rsid w:val="006147C5"/>
    <w:rsid w:val="0061517C"/>
    <w:rsid w:val="00615A71"/>
    <w:rsid w:val="00615C74"/>
    <w:rsid w:val="006160C7"/>
    <w:rsid w:val="006164FF"/>
    <w:rsid w:val="00616B33"/>
    <w:rsid w:val="00617566"/>
    <w:rsid w:val="00617CAF"/>
    <w:rsid w:val="00617F75"/>
    <w:rsid w:val="0062009C"/>
    <w:rsid w:val="0062034C"/>
    <w:rsid w:val="00620766"/>
    <w:rsid w:val="00620A34"/>
    <w:rsid w:val="006210A8"/>
    <w:rsid w:val="0062176C"/>
    <w:rsid w:val="00621A24"/>
    <w:rsid w:val="006221E3"/>
    <w:rsid w:val="00622365"/>
    <w:rsid w:val="006227EF"/>
    <w:rsid w:val="0062292E"/>
    <w:rsid w:val="00622948"/>
    <w:rsid w:val="00622E3A"/>
    <w:rsid w:val="00623F5A"/>
    <w:rsid w:val="00623FBD"/>
    <w:rsid w:val="00624871"/>
    <w:rsid w:val="00624DFC"/>
    <w:rsid w:val="0062514F"/>
    <w:rsid w:val="006253AF"/>
    <w:rsid w:val="0062593B"/>
    <w:rsid w:val="00625BE3"/>
    <w:rsid w:val="00625C8E"/>
    <w:rsid w:val="00626126"/>
    <w:rsid w:val="00626678"/>
    <w:rsid w:val="00626868"/>
    <w:rsid w:val="00626C50"/>
    <w:rsid w:val="006274E9"/>
    <w:rsid w:val="006278B1"/>
    <w:rsid w:val="00627D5A"/>
    <w:rsid w:val="00627DB7"/>
    <w:rsid w:val="00627F44"/>
    <w:rsid w:val="0063016C"/>
    <w:rsid w:val="006310BC"/>
    <w:rsid w:val="006313DB"/>
    <w:rsid w:val="006321EE"/>
    <w:rsid w:val="0063254D"/>
    <w:rsid w:val="0063273A"/>
    <w:rsid w:val="00633521"/>
    <w:rsid w:val="006344C0"/>
    <w:rsid w:val="00634963"/>
    <w:rsid w:val="006351B3"/>
    <w:rsid w:val="0063530A"/>
    <w:rsid w:val="0063579D"/>
    <w:rsid w:val="0063580A"/>
    <w:rsid w:val="006358D6"/>
    <w:rsid w:val="00635B56"/>
    <w:rsid w:val="0063602E"/>
    <w:rsid w:val="006368FD"/>
    <w:rsid w:val="00637137"/>
    <w:rsid w:val="00637349"/>
    <w:rsid w:val="006374EA"/>
    <w:rsid w:val="006375B6"/>
    <w:rsid w:val="00637824"/>
    <w:rsid w:val="006378C9"/>
    <w:rsid w:val="006401CB"/>
    <w:rsid w:val="00640BF2"/>
    <w:rsid w:val="00640E0F"/>
    <w:rsid w:val="00641284"/>
    <w:rsid w:val="00643189"/>
    <w:rsid w:val="006433C2"/>
    <w:rsid w:val="006436AF"/>
    <w:rsid w:val="006438C4"/>
    <w:rsid w:val="00643BD7"/>
    <w:rsid w:val="006448D7"/>
    <w:rsid w:val="006449C1"/>
    <w:rsid w:val="00646CB9"/>
    <w:rsid w:val="006471F4"/>
    <w:rsid w:val="00647474"/>
    <w:rsid w:val="00647D56"/>
    <w:rsid w:val="00647D78"/>
    <w:rsid w:val="006507F4"/>
    <w:rsid w:val="006512B1"/>
    <w:rsid w:val="00651921"/>
    <w:rsid w:val="006520C8"/>
    <w:rsid w:val="00652177"/>
    <w:rsid w:val="0065257E"/>
    <w:rsid w:val="00652780"/>
    <w:rsid w:val="00652B69"/>
    <w:rsid w:val="00652EA4"/>
    <w:rsid w:val="00653FE4"/>
    <w:rsid w:val="006540B2"/>
    <w:rsid w:val="0065417B"/>
    <w:rsid w:val="0065510B"/>
    <w:rsid w:val="006552EE"/>
    <w:rsid w:val="00655605"/>
    <w:rsid w:val="00655A39"/>
    <w:rsid w:val="00655B89"/>
    <w:rsid w:val="006562B2"/>
    <w:rsid w:val="006565EC"/>
    <w:rsid w:val="00657006"/>
    <w:rsid w:val="006601F0"/>
    <w:rsid w:val="0066234C"/>
    <w:rsid w:val="006628F1"/>
    <w:rsid w:val="0066295F"/>
    <w:rsid w:val="0066352E"/>
    <w:rsid w:val="0066463A"/>
    <w:rsid w:val="00665476"/>
    <w:rsid w:val="0066565F"/>
    <w:rsid w:val="006657D3"/>
    <w:rsid w:val="00665B79"/>
    <w:rsid w:val="00667089"/>
    <w:rsid w:val="0066796D"/>
    <w:rsid w:val="00667BA3"/>
    <w:rsid w:val="00670BA4"/>
    <w:rsid w:val="00671092"/>
    <w:rsid w:val="006725FF"/>
    <w:rsid w:val="00672780"/>
    <w:rsid w:val="0067287E"/>
    <w:rsid w:val="00673AF7"/>
    <w:rsid w:val="00673FF7"/>
    <w:rsid w:val="00674D62"/>
    <w:rsid w:val="00674DD3"/>
    <w:rsid w:val="0067748A"/>
    <w:rsid w:val="006816F2"/>
    <w:rsid w:val="006827B4"/>
    <w:rsid w:val="006828B9"/>
    <w:rsid w:val="006828C3"/>
    <w:rsid w:val="00682943"/>
    <w:rsid w:val="00682DBF"/>
    <w:rsid w:val="0068311E"/>
    <w:rsid w:val="00683C75"/>
    <w:rsid w:val="006844D1"/>
    <w:rsid w:val="00684A8B"/>
    <w:rsid w:val="00684AE5"/>
    <w:rsid w:val="00685FAC"/>
    <w:rsid w:val="00686628"/>
    <w:rsid w:val="006869D9"/>
    <w:rsid w:val="00686F90"/>
    <w:rsid w:val="00687164"/>
    <w:rsid w:val="0068748F"/>
    <w:rsid w:val="006902D6"/>
    <w:rsid w:val="006903D9"/>
    <w:rsid w:val="00690B19"/>
    <w:rsid w:val="0069120C"/>
    <w:rsid w:val="00691D36"/>
    <w:rsid w:val="00693332"/>
    <w:rsid w:val="00693BA9"/>
    <w:rsid w:val="00693D4A"/>
    <w:rsid w:val="00694631"/>
    <w:rsid w:val="00694712"/>
    <w:rsid w:val="00695436"/>
    <w:rsid w:val="00695817"/>
    <w:rsid w:val="00695B36"/>
    <w:rsid w:val="00695EC3"/>
    <w:rsid w:val="0069663F"/>
    <w:rsid w:val="006971BB"/>
    <w:rsid w:val="006A0194"/>
    <w:rsid w:val="006A01C9"/>
    <w:rsid w:val="006A0FBB"/>
    <w:rsid w:val="006A1066"/>
    <w:rsid w:val="006A1466"/>
    <w:rsid w:val="006A1684"/>
    <w:rsid w:val="006A2B25"/>
    <w:rsid w:val="006A344E"/>
    <w:rsid w:val="006A3450"/>
    <w:rsid w:val="006A358D"/>
    <w:rsid w:val="006A398A"/>
    <w:rsid w:val="006A39F7"/>
    <w:rsid w:val="006A3AE7"/>
    <w:rsid w:val="006A4766"/>
    <w:rsid w:val="006A5A9E"/>
    <w:rsid w:val="006A5AA2"/>
    <w:rsid w:val="006A5C07"/>
    <w:rsid w:val="006A6A10"/>
    <w:rsid w:val="006A6CC7"/>
    <w:rsid w:val="006B0960"/>
    <w:rsid w:val="006B1E2E"/>
    <w:rsid w:val="006B30F6"/>
    <w:rsid w:val="006B3169"/>
    <w:rsid w:val="006B3571"/>
    <w:rsid w:val="006B3D54"/>
    <w:rsid w:val="006B4698"/>
    <w:rsid w:val="006B52A7"/>
    <w:rsid w:val="006B57E2"/>
    <w:rsid w:val="006B580F"/>
    <w:rsid w:val="006B5C94"/>
    <w:rsid w:val="006B6C2A"/>
    <w:rsid w:val="006B6D06"/>
    <w:rsid w:val="006B6D37"/>
    <w:rsid w:val="006B71D6"/>
    <w:rsid w:val="006B76B3"/>
    <w:rsid w:val="006C04FA"/>
    <w:rsid w:val="006C0837"/>
    <w:rsid w:val="006C127B"/>
    <w:rsid w:val="006C1ADD"/>
    <w:rsid w:val="006C1B41"/>
    <w:rsid w:val="006C3262"/>
    <w:rsid w:val="006C336D"/>
    <w:rsid w:val="006C3CE3"/>
    <w:rsid w:val="006C43D2"/>
    <w:rsid w:val="006C45C8"/>
    <w:rsid w:val="006C6318"/>
    <w:rsid w:val="006C65D5"/>
    <w:rsid w:val="006C6C80"/>
    <w:rsid w:val="006C7733"/>
    <w:rsid w:val="006D0BD3"/>
    <w:rsid w:val="006D0D5A"/>
    <w:rsid w:val="006D271B"/>
    <w:rsid w:val="006D2CEB"/>
    <w:rsid w:val="006D3077"/>
    <w:rsid w:val="006D3871"/>
    <w:rsid w:val="006D3B09"/>
    <w:rsid w:val="006D42AA"/>
    <w:rsid w:val="006D4387"/>
    <w:rsid w:val="006D4F8F"/>
    <w:rsid w:val="006D598D"/>
    <w:rsid w:val="006D5A91"/>
    <w:rsid w:val="006D63FA"/>
    <w:rsid w:val="006D657F"/>
    <w:rsid w:val="006D6B3C"/>
    <w:rsid w:val="006D77A6"/>
    <w:rsid w:val="006D7860"/>
    <w:rsid w:val="006D7ADD"/>
    <w:rsid w:val="006D7F99"/>
    <w:rsid w:val="006E05E7"/>
    <w:rsid w:val="006E067D"/>
    <w:rsid w:val="006E0C7E"/>
    <w:rsid w:val="006E1287"/>
    <w:rsid w:val="006E139D"/>
    <w:rsid w:val="006E2B3C"/>
    <w:rsid w:val="006E41BB"/>
    <w:rsid w:val="006E4F9B"/>
    <w:rsid w:val="006E5225"/>
    <w:rsid w:val="006E5F90"/>
    <w:rsid w:val="006E61FA"/>
    <w:rsid w:val="006E6466"/>
    <w:rsid w:val="006E6AAA"/>
    <w:rsid w:val="006E74CE"/>
    <w:rsid w:val="006F038C"/>
    <w:rsid w:val="006F0464"/>
    <w:rsid w:val="006F14F6"/>
    <w:rsid w:val="006F2099"/>
    <w:rsid w:val="006F2408"/>
    <w:rsid w:val="006F3806"/>
    <w:rsid w:val="006F4189"/>
    <w:rsid w:val="006F4704"/>
    <w:rsid w:val="006F4B57"/>
    <w:rsid w:val="006F57FE"/>
    <w:rsid w:val="006F5A02"/>
    <w:rsid w:val="006F5D99"/>
    <w:rsid w:val="006F6B99"/>
    <w:rsid w:val="006F722C"/>
    <w:rsid w:val="006F7D97"/>
    <w:rsid w:val="00700617"/>
    <w:rsid w:val="00701618"/>
    <w:rsid w:val="007022C0"/>
    <w:rsid w:val="00702454"/>
    <w:rsid w:val="0070247A"/>
    <w:rsid w:val="00702F1A"/>
    <w:rsid w:val="0070328C"/>
    <w:rsid w:val="007037B6"/>
    <w:rsid w:val="00703A1F"/>
    <w:rsid w:val="00703B41"/>
    <w:rsid w:val="00703E18"/>
    <w:rsid w:val="00704113"/>
    <w:rsid w:val="00705125"/>
    <w:rsid w:val="00705B95"/>
    <w:rsid w:val="00705C90"/>
    <w:rsid w:val="007063EB"/>
    <w:rsid w:val="00706602"/>
    <w:rsid w:val="007069A1"/>
    <w:rsid w:val="00706E0B"/>
    <w:rsid w:val="007071E3"/>
    <w:rsid w:val="00707300"/>
    <w:rsid w:val="00707458"/>
    <w:rsid w:val="00707935"/>
    <w:rsid w:val="00711B45"/>
    <w:rsid w:val="007120D6"/>
    <w:rsid w:val="00712616"/>
    <w:rsid w:val="0071390F"/>
    <w:rsid w:val="00714374"/>
    <w:rsid w:val="0071491F"/>
    <w:rsid w:val="0071599D"/>
    <w:rsid w:val="00715ADB"/>
    <w:rsid w:val="00716291"/>
    <w:rsid w:val="007172D2"/>
    <w:rsid w:val="007173E7"/>
    <w:rsid w:val="007204CF"/>
    <w:rsid w:val="00720707"/>
    <w:rsid w:val="00720951"/>
    <w:rsid w:val="00720A47"/>
    <w:rsid w:val="0072136A"/>
    <w:rsid w:val="007218C1"/>
    <w:rsid w:val="00721C7E"/>
    <w:rsid w:val="00722281"/>
    <w:rsid w:val="007227A3"/>
    <w:rsid w:val="00722CAC"/>
    <w:rsid w:val="00722E16"/>
    <w:rsid w:val="0072330E"/>
    <w:rsid w:val="007244E5"/>
    <w:rsid w:val="0072491D"/>
    <w:rsid w:val="00724D65"/>
    <w:rsid w:val="00725154"/>
    <w:rsid w:val="007251FF"/>
    <w:rsid w:val="0072524B"/>
    <w:rsid w:val="00725A44"/>
    <w:rsid w:val="00725D45"/>
    <w:rsid w:val="00727DD7"/>
    <w:rsid w:val="00727F20"/>
    <w:rsid w:val="007300C3"/>
    <w:rsid w:val="00730B4A"/>
    <w:rsid w:val="00731036"/>
    <w:rsid w:val="00731756"/>
    <w:rsid w:val="007317ED"/>
    <w:rsid w:val="00731F1F"/>
    <w:rsid w:val="00732650"/>
    <w:rsid w:val="0073298A"/>
    <w:rsid w:val="00732C78"/>
    <w:rsid w:val="007338C1"/>
    <w:rsid w:val="00733988"/>
    <w:rsid w:val="0073449C"/>
    <w:rsid w:val="00734B72"/>
    <w:rsid w:val="00734BF8"/>
    <w:rsid w:val="00735370"/>
    <w:rsid w:val="00735A6E"/>
    <w:rsid w:val="0073607D"/>
    <w:rsid w:val="007364ED"/>
    <w:rsid w:val="00736915"/>
    <w:rsid w:val="00736ECC"/>
    <w:rsid w:val="007409E0"/>
    <w:rsid w:val="00740B25"/>
    <w:rsid w:val="007414C8"/>
    <w:rsid w:val="00741877"/>
    <w:rsid w:val="00741A39"/>
    <w:rsid w:val="0074266D"/>
    <w:rsid w:val="00742CCE"/>
    <w:rsid w:val="00742E34"/>
    <w:rsid w:val="00742E77"/>
    <w:rsid w:val="00742FDB"/>
    <w:rsid w:val="0074352B"/>
    <w:rsid w:val="00743C01"/>
    <w:rsid w:val="00744274"/>
    <w:rsid w:val="00744723"/>
    <w:rsid w:val="0074481A"/>
    <w:rsid w:val="00744EF4"/>
    <w:rsid w:val="007452A5"/>
    <w:rsid w:val="00745745"/>
    <w:rsid w:val="00745874"/>
    <w:rsid w:val="00745BB2"/>
    <w:rsid w:val="007465DC"/>
    <w:rsid w:val="00746E28"/>
    <w:rsid w:val="00747710"/>
    <w:rsid w:val="0074794D"/>
    <w:rsid w:val="00747A1B"/>
    <w:rsid w:val="00747A2C"/>
    <w:rsid w:val="00750002"/>
    <w:rsid w:val="007502A7"/>
    <w:rsid w:val="00750816"/>
    <w:rsid w:val="00750819"/>
    <w:rsid w:val="00750826"/>
    <w:rsid w:val="00750883"/>
    <w:rsid w:val="00751203"/>
    <w:rsid w:val="00751218"/>
    <w:rsid w:val="0075188B"/>
    <w:rsid w:val="00752D27"/>
    <w:rsid w:val="00752E94"/>
    <w:rsid w:val="0075306C"/>
    <w:rsid w:val="00753214"/>
    <w:rsid w:val="00753B0E"/>
    <w:rsid w:val="00753F11"/>
    <w:rsid w:val="00754F96"/>
    <w:rsid w:val="0075586B"/>
    <w:rsid w:val="007559C9"/>
    <w:rsid w:val="00755E2C"/>
    <w:rsid w:val="00756563"/>
    <w:rsid w:val="007565F5"/>
    <w:rsid w:val="00757186"/>
    <w:rsid w:val="00757B7B"/>
    <w:rsid w:val="00757CC6"/>
    <w:rsid w:val="00757CF9"/>
    <w:rsid w:val="00760B7E"/>
    <w:rsid w:val="00760D38"/>
    <w:rsid w:val="007616CA"/>
    <w:rsid w:val="00761E6D"/>
    <w:rsid w:val="00762957"/>
    <w:rsid w:val="007629B0"/>
    <w:rsid w:val="00763667"/>
    <w:rsid w:val="00763E0C"/>
    <w:rsid w:val="007640F6"/>
    <w:rsid w:val="00765370"/>
    <w:rsid w:val="00765739"/>
    <w:rsid w:val="00766BFB"/>
    <w:rsid w:val="00766DEC"/>
    <w:rsid w:val="00767B63"/>
    <w:rsid w:val="00767FA3"/>
    <w:rsid w:val="00770878"/>
    <w:rsid w:val="00770B16"/>
    <w:rsid w:val="00770E22"/>
    <w:rsid w:val="00771988"/>
    <w:rsid w:val="007720AA"/>
    <w:rsid w:val="0077263B"/>
    <w:rsid w:val="007729F2"/>
    <w:rsid w:val="00772B2A"/>
    <w:rsid w:val="00773480"/>
    <w:rsid w:val="0077401E"/>
    <w:rsid w:val="00774BFA"/>
    <w:rsid w:val="0077537B"/>
    <w:rsid w:val="007756B4"/>
    <w:rsid w:val="00775A9D"/>
    <w:rsid w:val="00775E06"/>
    <w:rsid w:val="0077618A"/>
    <w:rsid w:val="00776350"/>
    <w:rsid w:val="00776970"/>
    <w:rsid w:val="00777321"/>
    <w:rsid w:val="00777371"/>
    <w:rsid w:val="00780249"/>
    <w:rsid w:val="007804AF"/>
    <w:rsid w:val="007808EB"/>
    <w:rsid w:val="00780E89"/>
    <w:rsid w:val="00781810"/>
    <w:rsid w:val="00781CAB"/>
    <w:rsid w:val="00782951"/>
    <w:rsid w:val="00782D2F"/>
    <w:rsid w:val="007831CD"/>
    <w:rsid w:val="0078327D"/>
    <w:rsid w:val="0078407E"/>
    <w:rsid w:val="0078409E"/>
    <w:rsid w:val="007846C1"/>
    <w:rsid w:val="007849AE"/>
    <w:rsid w:val="00784A08"/>
    <w:rsid w:val="00784E2E"/>
    <w:rsid w:val="00787B4B"/>
    <w:rsid w:val="0079009C"/>
    <w:rsid w:val="00790495"/>
    <w:rsid w:val="00790AA2"/>
    <w:rsid w:val="007923CD"/>
    <w:rsid w:val="00792F5C"/>
    <w:rsid w:val="00793120"/>
    <w:rsid w:val="00793CC3"/>
    <w:rsid w:val="00793E4B"/>
    <w:rsid w:val="00794365"/>
    <w:rsid w:val="007947BB"/>
    <w:rsid w:val="0079510A"/>
    <w:rsid w:val="00795863"/>
    <w:rsid w:val="007974B6"/>
    <w:rsid w:val="007A0071"/>
    <w:rsid w:val="007A0AD3"/>
    <w:rsid w:val="007A182C"/>
    <w:rsid w:val="007A201C"/>
    <w:rsid w:val="007A2A43"/>
    <w:rsid w:val="007A2E23"/>
    <w:rsid w:val="007A32DC"/>
    <w:rsid w:val="007A3A3A"/>
    <w:rsid w:val="007A3E59"/>
    <w:rsid w:val="007A46E8"/>
    <w:rsid w:val="007A497C"/>
    <w:rsid w:val="007A5343"/>
    <w:rsid w:val="007A5E30"/>
    <w:rsid w:val="007A73EF"/>
    <w:rsid w:val="007B1938"/>
    <w:rsid w:val="007B1C9B"/>
    <w:rsid w:val="007B3E9A"/>
    <w:rsid w:val="007B499C"/>
    <w:rsid w:val="007B4BFB"/>
    <w:rsid w:val="007B56EA"/>
    <w:rsid w:val="007B57C5"/>
    <w:rsid w:val="007B5963"/>
    <w:rsid w:val="007B6E12"/>
    <w:rsid w:val="007B7F69"/>
    <w:rsid w:val="007C057D"/>
    <w:rsid w:val="007C1D3C"/>
    <w:rsid w:val="007C37A3"/>
    <w:rsid w:val="007C3803"/>
    <w:rsid w:val="007C3BB1"/>
    <w:rsid w:val="007C4351"/>
    <w:rsid w:val="007C476A"/>
    <w:rsid w:val="007C521B"/>
    <w:rsid w:val="007C5251"/>
    <w:rsid w:val="007C58E0"/>
    <w:rsid w:val="007C5D2F"/>
    <w:rsid w:val="007C5F8D"/>
    <w:rsid w:val="007C68BC"/>
    <w:rsid w:val="007C6EFE"/>
    <w:rsid w:val="007C71E8"/>
    <w:rsid w:val="007C77A1"/>
    <w:rsid w:val="007C7BE1"/>
    <w:rsid w:val="007D0957"/>
    <w:rsid w:val="007D09B0"/>
    <w:rsid w:val="007D0E9F"/>
    <w:rsid w:val="007D0F1E"/>
    <w:rsid w:val="007D1F16"/>
    <w:rsid w:val="007D254A"/>
    <w:rsid w:val="007D2CCF"/>
    <w:rsid w:val="007D333F"/>
    <w:rsid w:val="007D38B8"/>
    <w:rsid w:val="007D3AF4"/>
    <w:rsid w:val="007D3F73"/>
    <w:rsid w:val="007D443B"/>
    <w:rsid w:val="007D492A"/>
    <w:rsid w:val="007D4B77"/>
    <w:rsid w:val="007D516D"/>
    <w:rsid w:val="007D541E"/>
    <w:rsid w:val="007D6012"/>
    <w:rsid w:val="007D611B"/>
    <w:rsid w:val="007D66A8"/>
    <w:rsid w:val="007D6BD0"/>
    <w:rsid w:val="007D767C"/>
    <w:rsid w:val="007D77CB"/>
    <w:rsid w:val="007D7944"/>
    <w:rsid w:val="007D7A0E"/>
    <w:rsid w:val="007D7BE7"/>
    <w:rsid w:val="007E0C31"/>
    <w:rsid w:val="007E205F"/>
    <w:rsid w:val="007E283C"/>
    <w:rsid w:val="007E3576"/>
    <w:rsid w:val="007E3BD6"/>
    <w:rsid w:val="007E438C"/>
    <w:rsid w:val="007E4455"/>
    <w:rsid w:val="007E570F"/>
    <w:rsid w:val="007E5BD1"/>
    <w:rsid w:val="007E6545"/>
    <w:rsid w:val="007E6781"/>
    <w:rsid w:val="007E6FA0"/>
    <w:rsid w:val="007E7249"/>
    <w:rsid w:val="007E72FB"/>
    <w:rsid w:val="007E76FE"/>
    <w:rsid w:val="007E798A"/>
    <w:rsid w:val="007E7B3F"/>
    <w:rsid w:val="007E7C36"/>
    <w:rsid w:val="007E7E58"/>
    <w:rsid w:val="007F1CA6"/>
    <w:rsid w:val="007F1E8A"/>
    <w:rsid w:val="007F1F8B"/>
    <w:rsid w:val="007F2D35"/>
    <w:rsid w:val="007F31F5"/>
    <w:rsid w:val="007F3252"/>
    <w:rsid w:val="007F4D0E"/>
    <w:rsid w:val="007F4F76"/>
    <w:rsid w:val="007F5540"/>
    <w:rsid w:val="007F55E1"/>
    <w:rsid w:val="007F58C8"/>
    <w:rsid w:val="007F58DA"/>
    <w:rsid w:val="007F7F42"/>
    <w:rsid w:val="00800133"/>
    <w:rsid w:val="008005C8"/>
    <w:rsid w:val="0080080A"/>
    <w:rsid w:val="00800C4F"/>
    <w:rsid w:val="0080111D"/>
    <w:rsid w:val="0080132C"/>
    <w:rsid w:val="008022E1"/>
    <w:rsid w:val="00803553"/>
    <w:rsid w:val="00803BF7"/>
    <w:rsid w:val="00803DD0"/>
    <w:rsid w:val="0080474F"/>
    <w:rsid w:val="008048AB"/>
    <w:rsid w:val="00804E7B"/>
    <w:rsid w:val="008051D7"/>
    <w:rsid w:val="008056A3"/>
    <w:rsid w:val="00806052"/>
    <w:rsid w:val="00807605"/>
    <w:rsid w:val="00807B96"/>
    <w:rsid w:val="0081025B"/>
    <w:rsid w:val="00810B62"/>
    <w:rsid w:val="00810DC9"/>
    <w:rsid w:val="00810E83"/>
    <w:rsid w:val="008110B3"/>
    <w:rsid w:val="0081167A"/>
    <w:rsid w:val="00811AD3"/>
    <w:rsid w:val="00811CAC"/>
    <w:rsid w:val="00813473"/>
    <w:rsid w:val="00813D11"/>
    <w:rsid w:val="00813EA5"/>
    <w:rsid w:val="00814DB4"/>
    <w:rsid w:val="00814E14"/>
    <w:rsid w:val="00814F18"/>
    <w:rsid w:val="00815000"/>
    <w:rsid w:val="00815D35"/>
    <w:rsid w:val="00815E5E"/>
    <w:rsid w:val="008162FC"/>
    <w:rsid w:val="00816ABF"/>
    <w:rsid w:val="00817A46"/>
    <w:rsid w:val="008213F1"/>
    <w:rsid w:val="0082171F"/>
    <w:rsid w:val="008217C5"/>
    <w:rsid w:val="00821E18"/>
    <w:rsid w:val="00822648"/>
    <w:rsid w:val="0082315C"/>
    <w:rsid w:val="008234D8"/>
    <w:rsid w:val="00824344"/>
    <w:rsid w:val="008243A3"/>
    <w:rsid w:val="00824894"/>
    <w:rsid w:val="00824D19"/>
    <w:rsid w:val="008252CC"/>
    <w:rsid w:val="008255FE"/>
    <w:rsid w:val="0082581D"/>
    <w:rsid w:val="0082602E"/>
    <w:rsid w:val="0082615F"/>
    <w:rsid w:val="008267E7"/>
    <w:rsid w:val="00827C1C"/>
    <w:rsid w:val="00830FCC"/>
    <w:rsid w:val="008312D6"/>
    <w:rsid w:val="00831DEA"/>
    <w:rsid w:val="00832163"/>
    <w:rsid w:val="008327EB"/>
    <w:rsid w:val="008331AB"/>
    <w:rsid w:val="0083461D"/>
    <w:rsid w:val="00834835"/>
    <w:rsid w:val="00834938"/>
    <w:rsid w:val="00834C1E"/>
    <w:rsid w:val="00834E68"/>
    <w:rsid w:val="00834F5F"/>
    <w:rsid w:val="008357C6"/>
    <w:rsid w:val="00835E68"/>
    <w:rsid w:val="00835F78"/>
    <w:rsid w:val="0083751C"/>
    <w:rsid w:val="008378FC"/>
    <w:rsid w:val="00837ED8"/>
    <w:rsid w:val="00840D42"/>
    <w:rsid w:val="00840DD7"/>
    <w:rsid w:val="00841191"/>
    <w:rsid w:val="008412EA"/>
    <w:rsid w:val="0084154A"/>
    <w:rsid w:val="00842762"/>
    <w:rsid w:val="00842D92"/>
    <w:rsid w:val="0084332D"/>
    <w:rsid w:val="00843896"/>
    <w:rsid w:val="0084476E"/>
    <w:rsid w:val="00845A61"/>
    <w:rsid w:val="00845E91"/>
    <w:rsid w:val="0084601D"/>
    <w:rsid w:val="008467D3"/>
    <w:rsid w:val="00847049"/>
    <w:rsid w:val="008470D2"/>
    <w:rsid w:val="00850734"/>
    <w:rsid w:val="00850939"/>
    <w:rsid w:val="0085158E"/>
    <w:rsid w:val="00852118"/>
    <w:rsid w:val="00852969"/>
    <w:rsid w:val="00852A4E"/>
    <w:rsid w:val="00853279"/>
    <w:rsid w:val="00853720"/>
    <w:rsid w:val="00853E37"/>
    <w:rsid w:val="008545D7"/>
    <w:rsid w:val="008548A5"/>
    <w:rsid w:val="00854DEB"/>
    <w:rsid w:val="008574D9"/>
    <w:rsid w:val="0085769D"/>
    <w:rsid w:val="00861748"/>
    <w:rsid w:val="00861DD5"/>
    <w:rsid w:val="008620D9"/>
    <w:rsid w:val="00862F54"/>
    <w:rsid w:val="00863919"/>
    <w:rsid w:val="008640E9"/>
    <w:rsid w:val="00864B2A"/>
    <w:rsid w:val="00865F14"/>
    <w:rsid w:val="00865FC1"/>
    <w:rsid w:val="008666F6"/>
    <w:rsid w:val="008675CD"/>
    <w:rsid w:val="008679D8"/>
    <w:rsid w:val="00870312"/>
    <w:rsid w:val="00870492"/>
    <w:rsid w:val="008707AC"/>
    <w:rsid w:val="008721D1"/>
    <w:rsid w:val="00872E28"/>
    <w:rsid w:val="00872FCF"/>
    <w:rsid w:val="00873B5E"/>
    <w:rsid w:val="00873E07"/>
    <w:rsid w:val="00873E74"/>
    <w:rsid w:val="0087627C"/>
    <w:rsid w:val="00876391"/>
    <w:rsid w:val="00876D37"/>
    <w:rsid w:val="008773AF"/>
    <w:rsid w:val="0087758D"/>
    <w:rsid w:val="00877A7E"/>
    <w:rsid w:val="00880AA0"/>
    <w:rsid w:val="00880C94"/>
    <w:rsid w:val="00880E23"/>
    <w:rsid w:val="008810B3"/>
    <w:rsid w:val="0088151C"/>
    <w:rsid w:val="00881543"/>
    <w:rsid w:val="008817D9"/>
    <w:rsid w:val="008819A5"/>
    <w:rsid w:val="00882EDF"/>
    <w:rsid w:val="00883112"/>
    <w:rsid w:val="0088344B"/>
    <w:rsid w:val="00883789"/>
    <w:rsid w:val="008837CA"/>
    <w:rsid w:val="00883A84"/>
    <w:rsid w:val="00883D8A"/>
    <w:rsid w:val="0088433D"/>
    <w:rsid w:val="0088491B"/>
    <w:rsid w:val="008850B3"/>
    <w:rsid w:val="008857EC"/>
    <w:rsid w:val="00885F43"/>
    <w:rsid w:val="00886913"/>
    <w:rsid w:val="00886F39"/>
    <w:rsid w:val="008878C5"/>
    <w:rsid w:val="00887AEB"/>
    <w:rsid w:val="00890E5A"/>
    <w:rsid w:val="008913C1"/>
    <w:rsid w:val="00891566"/>
    <w:rsid w:val="00891B37"/>
    <w:rsid w:val="00891E54"/>
    <w:rsid w:val="0089221B"/>
    <w:rsid w:val="00892EFD"/>
    <w:rsid w:val="00893270"/>
    <w:rsid w:val="00893C50"/>
    <w:rsid w:val="00893D16"/>
    <w:rsid w:val="00893E77"/>
    <w:rsid w:val="00893F70"/>
    <w:rsid w:val="008943C6"/>
    <w:rsid w:val="0089537A"/>
    <w:rsid w:val="00895B68"/>
    <w:rsid w:val="0089653B"/>
    <w:rsid w:val="008968A8"/>
    <w:rsid w:val="0089699F"/>
    <w:rsid w:val="008971FF"/>
    <w:rsid w:val="0089772E"/>
    <w:rsid w:val="0089776F"/>
    <w:rsid w:val="00897DDA"/>
    <w:rsid w:val="00897FE8"/>
    <w:rsid w:val="008A03C4"/>
    <w:rsid w:val="008A0552"/>
    <w:rsid w:val="008A07BB"/>
    <w:rsid w:val="008A1336"/>
    <w:rsid w:val="008A1590"/>
    <w:rsid w:val="008A2631"/>
    <w:rsid w:val="008A26F4"/>
    <w:rsid w:val="008A2D78"/>
    <w:rsid w:val="008A33B8"/>
    <w:rsid w:val="008A376A"/>
    <w:rsid w:val="008A37BE"/>
    <w:rsid w:val="008A39E3"/>
    <w:rsid w:val="008A3A25"/>
    <w:rsid w:val="008A49B6"/>
    <w:rsid w:val="008A502C"/>
    <w:rsid w:val="008A67C7"/>
    <w:rsid w:val="008A7317"/>
    <w:rsid w:val="008B054D"/>
    <w:rsid w:val="008B0785"/>
    <w:rsid w:val="008B10CA"/>
    <w:rsid w:val="008B10D9"/>
    <w:rsid w:val="008B1ED5"/>
    <w:rsid w:val="008B2019"/>
    <w:rsid w:val="008B2B66"/>
    <w:rsid w:val="008B33A6"/>
    <w:rsid w:val="008B3F12"/>
    <w:rsid w:val="008B3F1B"/>
    <w:rsid w:val="008B4B04"/>
    <w:rsid w:val="008B4B63"/>
    <w:rsid w:val="008B4EA0"/>
    <w:rsid w:val="008B63D9"/>
    <w:rsid w:val="008B6B47"/>
    <w:rsid w:val="008B707A"/>
    <w:rsid w:val="008B74C6"/>
    <w:rsid w:val="008B7825"/>
    <w:rsid w:val="008C0B58"/>
    <w:rsid w:val="008C28F9"/>
    <w:rsid w:val="008C2AF7"/>
    <w:rsid w:val="008C3813"/>
    <w:rsid w:val="008C383D"/>
    <w:rsid w:val="008C3C68"/>
    <w:rsid w:val="008C3D49"/>
    <w:rsid w:val="008C5040"/>
    <w:rsid w:val="008C59EE"/>
    <w:rsid w:val="008C5AC6"/>
    <w:rsid w:val="008C6077"/>
    <w:rsid w:val="008C73FF"/>
    <w:rsid w:val="008C75F2"/>
    <w:rsid w:val="008C7978"/>
    <w:rsid w:val="008C7BFF"/>
    <w:rsid w:val="008D0075"/>
    <w:rsid w:val="008D072F"/>
    <w:rsid w:val="008D0BA0"/>
    <w:rsid w:val="008D18F7"/>
    <w:rsid w:val="008D1EAF"/>
    <w:rsid w:val="008D2072"/>
    <w:rsid w:val="008D223E"/>
    <w:rsid w:val="008D25B6"/>
    <w:rsid w:val="008D3198"/>
    <w:rsid w:val="008D4563"/>
    <w:rsid w:val="008D5754"/>
    <w:rsid w:val="008D57B4"/>
    <w:rsid w:val="008D5D64"/>
    <w:rsid w:val="008D6077"/>
    <w:rsid w:val="008D66B9"/>
    <w:rsid w:val="008D6AB7"/>
    <w:rsid w:val="008D6EED"/>
    <w:rsid w:val="008D7649"/>
    <w:rsid w:val="008D7BC9"/>
    <w:rsid w:val="008D7D82"/>
    <w:rsid w:val="008D7DE2"/>
    <w:rsid w:val="008E036A"/>
    <w:rsid w:val="008E0F48"/>
    <w:rsid w:val="008E14EE"/>
    <w:rsid w:val="008E1516"/>
    <w:rsid w:val="008E19AA"/>
    <w:rsid w:val="008E2EB5"/>
    <w:rsid w:val="008E3104"/>
    <w:rsid w:val="008E3C92"/>
    <w:rsid w:val="008E3EB1"/>
    <w:rsid w:val="008E3EF9"/>
    <w:rsid w:val="008E4119"/>
    <w:rsid w:val="008E47B1"/>
    <w:rsid w:val="008E5353"/>
    <w:rsid w:val="008E5AF4"/>
    <w:rsid w:val="008E5C1C"/>
    <w:rsid w:val="008E5FC1"/>
    <w:rsid w:val="008E63EC"/>
    <w:rsid w:val="008E6B66"/>
    <w:rsid w:val="008E6E9B"/>
    <w:rsid w:val="008E7131"/>
    <w:rsid w:val="008E72AE"/>
    <w:rsid w:val="008E75FC"/>
    <w:rsid w:val="008E790D"/>
    <w:rsid w:val="008F042A"/>
    <w:rsid w:val="008F0433"/>
    <w:rsid w:val="008F0C02"/>
    <w:rsid w:val="008F18E5"/>
    <w:rsid w:val="008F1BEC"/>
    <w:rsid w:val="008F2B9A"/>
    <w:rsid w:val="008F2BB6"/>
    <w:rsid w:val="008F2CD7"/>
    <w:rsid w:val="008F2FD2"/>
    <w:rsid w:val="008F37ED"/>
    <w:rsid w:val="008F41B4"/>
    <w:rsid w:val="008F4E28"/>
    <w:rsid w:val="008F50C0"/>
    <w:rsid w:val="008F52A3"/>
    <w:rsid w:val="008F5698"/>
    <w:rsid w:val="008F598A"/>
    <w:rsid w:val="008F5CF9"/>
    <w:rsid w:val="008F5D81"/>
    <w:rsid w:val="008F6358"/>
    <w:rsid w:val="008F7445"/>
    <w:rsid w:val="0090037B"/>
    <w:rsid w:val="00900766"/>
    <w:rsid w:val="009014E6"/>
    <w:rsid w:val="009015BF"/>
    <w:rsid w:val="009022C8"/>
    <w:rsid w:val="009028C7"/>
    <w:rsid w:val="00903017"/>
    <w:rsid w:val="009030A8"/>
    <w:rsid w:val="009045D9"/>
    <w:rsid w:val="00904A96"/>
    <w:rsid w:val="00905731"/>
    <w:rsid w:val="00905CD3"/>
    <w:rsid w:val="00906273"/>
    <w:rsid w:val="00906F57"/>
    <w:rsid w:val="00907287"/>
    <w:rsid w:val="00910DA9"/>
    <w:rsid w:val="009116CD"/>
    <w:rsid w:val="00911859"/>
    <w:rsid w:val="009120A0"/>
    <w:rsid w:val="00912DE4"/>
    <w:rsid w:val="00913049"/>
    <w:rsid w:val="0091328C"/>
    <w:rsid w:val="009134D0"/>
    <w:rsid w:val="009136EB"/>
    <w:rsid w:val="0091410C"/>
    <w:rsid w:val="009141E6"/>
    <w:rsid w:val="00914382"/>
    <w:rsid w:val="009151FF"/>
    <w:rsid w:val="0091559E"/>
    <w:rsid w:val="00915E9C"/>
    <w:rsid w:val="0091615E"/>
    <w:rsid w:val="00916502"/>
    <w:rsid w:val="00916D23"/>
    <w:rsid w:val="00916D98"/>
    <w:rsid w:val="009171E9"/>
    <w:rsid w:val="00917A51"/>
    <w:rsid w:val="00920653"/>
    <w:rsid w:val="00920C10"/>
    <w:rsid w:val="0092148B"/>
    <w:rsid w:val="00921C72"/>
    <w:rsid w:val="0092223A"/>
    <w:rsid w:val="009225AD"/>
    <w:rsid w:val="00922924"/>
    <w:rsid w:val="00922D68"/>
    <w:rsid w:val="00923C53"/>
    <w:rsid w:val="00924183"/>
    <w:rsid w:val="00924691"/>
    <w:rsid w:val="0092510D"/>
    <w:rsid w:val="009254F2"/>
    <w:rsid w:val="0092668B"/>
    <w:rsid w:val="00926B00"/>
    <w:rsid w:val="00926D85"/>
    <w:rsid w:val="0092726E"/>
    <w:rsid w:val="00927419"/>
    <w:rsid w:val="00927523"/>
    <w:rsid w:val="009303B8"/>
    <w:rsid w:val="00930ACB"/>
    <w:rsid w:val="009312EB"/>
    <w:rsid w:val="0093164F"/>
    <w:rsid w:val="009319E6"/>
    <w:rsid w:val="00931C56"/>
    <w:rsid w:val="00932229"/>
    <w:rsid w:val="0093236C"/>
    <w:rsid w:val="00932B18"/>
    <w:rsid w:val="00932E05"/>
    <w:rsid w:val="00932FFB"/>
    <w:rsid w:val="009336D0"/>
    <w:rsid w:val="00933728"/>
    <w:rsid w:val="0093382D"/>
    <w:rsid w:val="00933A2A"/>
    <w:rsid w:val="009344F6"/>
    <w:rsid w:val="00934522"/>
    <w:rsid w:val="00934E9F"/>
    <w:rsid w:val="009359D9"/>
    <w:rsid w:val="0093604D"/>
    <w:rsid w:val="0093710E"/>
    <w:rsid w:val="00937CA2"/>
    <w:rsid w:val="00940190"/>
    <w:rsid w:val="00940EAF"/>
    <w:rsid w:val="0094168E"/>
    <w:rsid w:val="00941A10"/>
    <w:rsid w:val="00941A51"/>
    <w:rsid w:val="00941D86"/>
    <w:rsid w:val="00941E85"/>
    <w:rsid w:val="00942234"/>
    <w:rsid w:val="00942B7B"/>
    <w:rsid w:val="00943786"/>
    <w:rsid w:val="009444A0"/>
    <w:rsid w:val="0094452C"/>
    <w:rsid w:val="009456CD"/>
    <w:rsid w:val="00945C6C"/>
    <w:rsid w:val="00945E00"/>
    <w:rsid w:val="00947A3A"/>
    <w:rsid w:val="00947BD7"/>
    <w:rsid w:val="00950783"/>
    <w:rsid w:val="0095087B"/>
    <w:rsid w:val="009509E1"/>
    <w:rsid w:val="009511AD"/>
    <w:rsid w:val="00951ABF"/>
    <w:rsid w:val="00951EA6"/>
    <w:rsid w:val="009521B7"/>
    <w:rsid w:val="009522D1"/>
    <w:rsid w:val="00952EAC"/>
    <w:rsid w:val="00952F0D"/>
    <w:rsid w:val="00952F1C"/>
    <w:rsid w:val="00953057"/>
    <w:rsid w:val="00953162"/>
    <w:rsid w:val="009531B1"/>
    <w:rsid w:val="00953733"/>
    <w:rsid w:val="00953B33"/>
    <w:rsid w:val="00953E5E"/>
    <w:rsid w:val="00954036"/>
    <w:rsid w:val="0095432E"/>
    <w:rsid w:val="00955A08"/>
    <w:rsid w:val="00955C03"/>
    <w:rsid w:val="00956836"/>
    <w:rsid w:val="0095689A"/>
    <w:rsid w:val="009568AE"/>
    <w:rsid w:val="009569F2"/>
    <w:rsid w:val="00956AA7"/>
    <w:rsid w:val="0095773F"/>
    <w:rsid w:val="00957D20"/>
    <w:rsid w:val="009601E6"/>
    <w:rsid w:val="009603AF"/>
    <w:rsid w:val="009604AC"/>
    <w:rsid w:val="009609A9"/>
    <w:rsid w:val="00960D79"/>
    <w:rsid w:val="00960F45"/>
    <w:rsid w:val="00961094"/>
    <w:rsid w:val="00961630"/>
    <w:rsid w:val="0096213B"/>
    <w:rsid w:val="009629D6"/>
    <w:rsid w:val="00962E0E"/>
    <w:rsid w:val="009635D5"/>
    <w:rsid w:val="009639D7"/>
    <w:rsid w:val="00964692"/>
    <w:rsid w:val="00964831"/>
    <w:rsid w:val="00964CD9"/>
    <w:rsid w:val="0096544B"/>
    <w:rsid w:val="00965896"/>
    <w:rsid w:val="00966A0A"/>
    <w:rsid w:val="00966AA0"/>
    <w:rsid w:val="00966C06"/>
    <w:rsid w:val="00966E65"/>
    <w:rsid w:val="0096729F"/>
    <w:rsid w:val="009672C6"/>
    <w:rsid w:val="00967DB8"/>
    <w:rsid w:val="00967E93"/>
    <w:rsid w:val="00970484"/>
    <w:rsid w:val="0097071C"/>
    <w:rsid w:val="00970C2A"/>
    <w:rsid w:val="009725F3"/>
    <w:rsid w:val="009731CB"/>
    <w:rsid w:val="009736A2"/>
    <w:rsid w:val="00975161"/>
    <w:rsid w:val="009758E0"/>
    <w:rsid w:val="0097632C"/>
    <w:rsid w:val="009764AA"/>
    <w:rsid w:val="00976EDA"/>
    <w:rsid w:val="0097773B"/>
    <w:rsid w:val="009777ED"/>
    <w:rsid w:val="00980AAA"/>
    <w:rsid w:val="00980F37"/>
    <w:rsid w:val="00980FB2"/>
    <w:rsid w:val="00981E33"/>
    <w:rsid w:val="00982417"/>
    <w:rsid w:val="009824D5"/>
    <w:rsid w:val="009827C3"/>
    <w:rsid w:val="00982B01"/>
    <w:rsid w:val="0098342E"/>
    <w:rsid w:val="00983A5D"/>
    <w:rsid w:val="0098444D"/>
    <w:rsid w:val="009851A1"/>
    <w:rsid w:val="0098557C"/>
    <w:rsid w:val="00986354"/>
    <w:rsid w:val="00986837"/>
    <w:rsid w:val="009869AF"/>
    <w:rsid w:val="0098780C"/>
    <w:rsid w:val="00990211"/>
    <w:rsid w:val="0099092A"/>
    <w:rsid w:val="00990E13"/>
    <w:rsid w:val="00991F5D"/>
    <w:rsid w:val="00992979"/>
    <w:rsid w:val="00992EA3"/>
    <w:rsid w:val="00993C31"/>
    <w:rsid w:val="00993E99"/>
    <w:rsid w:val="00994389"/>
    <w:rsid w:val="009948D7"/>
    <w:rsid w:val="009955FD"/>
    <w:rsid w:val="00995DD3"/>
    <w:rsid w:val="00995FEC"/>
    <w:rsid w:val="009979E4"/>
    <w:rsid w:val="009A0EB0"/>
    <w:rsid w:val="009A1E12"/>
    <w:rsid w:val="009A2251"/>
    <w:rsid w:val="009A2D40"/>
    <w:rsid w:val="009A3623"/>
    <w:rsid w:val="009A36F2"/>
    <w:rsid w:val="009A3F53"/>
    <w:rsid w:val="009A4770"/>
    <w:rsid w:val="009A4EE1"/>
    <w:rsid w:val="009A55AE"/>
    <w:rsid w:val="009A5612"/>
    <w:rsid w:val="009A59F4"/>
    <w:rsid w:val="009A617C"/>
    <w:rsid w:val="009A63FC"/>
    <w:rsid w:val="009A6C08"/>
    <w:rsid w:val="009A6C15"/>
    <w:rsid w:val="009A6F1C"/>
    <w:rsid w:val="009A771A"/>
    <w:rsid w:val="009B03AC"/>
    <w:rsid w:val="009B29F5"/>
    <w:rsid w:val="009B2BEB"/>
    <w:rsid w:val="009B2E94"/>
    <w:rsid w:val="009B3167"/>
    <w:rsid w:val="009B3326"/>
    <w:rsid w:val="009B34A8"/>
    <w:rsid w:val="009B4B67"/>
    <w:rsid w:val="009B5096"/>
    <w:rsid w:val="009B52CA"/>
    <w:rsid w:val="009B5575"/>
    <w:rsid w:val="009B5700"/>
    <w:rsid w:val="009B6300"/>
    <w:rsid w:val="009B6A48"/>
    <w:rsid w:val="009B6C9A"/>
    <w:rsid w:val="009B7073"/>
    <w:rsid w:val="009B711E"/>
    <w:rsid w:val="009B7422"/>
    <w:rsid w:val="009B7EA1"/>
    <w:rsid w:val="009B7FAB"/>
    <w:rsid w:val="009C0CAC"/>
    <w:rsid w:val="009C0E67"/>
    <w:rsid w:val="009C0EF6"/>
    <w:rsid w:val="009C14B1"/>
    <w:rsid w:val="009C1F8E"/>
    <w:rsid w:val="009C3114"/>
    <w:rsid w:val="009C31DF"/>
    <w:rsid w:val="009C3773"/>
    <w:rsid w:val="009C3AC8"/>
    <w:rsid w:val="009C3E2D"/>
    <w:rsid w:val="009C51AE"/>
    <w:rsid w:val="009C545E"/>
    <w:rsid w:val="009C59D7"/>
    <w:rsid w:val="009C6171"/>
    <w:rsid w:val="009C62F5"/>
    <w:rsid w:val="009C6C2F"/>
    <w:rsid w:val="009C73FF"/>
    <w:rsid w:val="009C7421"/>
    <w:rsid w:val="009C7953"/>
    <w:rsid w:val="009D05E6"/>
    <w:rsid w:val="009D241F"/>
    <w:rsid w:val="009D2A98"/>
    <w:rsid w:val="009D439A"/>
    <w:rsid w:val="009D4C0F"/>
    <w:rsid w:val="009D526D"/>
    <w:rsid w:val="009D5DBC"/>
    <w:rsid w:val="009D5DD8"/>
    <w:rsid w:val="009D60B6"/>
    <w:rsid w:val="009D61DF"/>
    <w:rsid w:val="009D6635"/>
    <w:rsid w:val="009D67A2"/>
    <w:rsid w:val="009D67E2"/>
    <w:rsid w:val="009D6FD5"/>
    <w:rsid w:val="009D70F6"/>
    <w:rsid w:val="009D71A8"/>
    <w:rsid w:val="009E08C3"/>
    <w:rsid w:val="009E18FC"/>
    <w:rsid w:val="009E2455"/>
    <w:rsid w:val="009E2995"/>
    <w:rsid w:val="009E2D8B"/>
    <w:rsid w:val="009E4FFF"/>
    <w:rsid w:val="009E52C7"/>
    <w:rsid w:val="009E5D21"/>
    <w:rsid w:val="009E661D"/>
    <w:rsid w:val="009E7F03"/>
    <w:rsid w:val="009E7FEB"/>
    <w:rsid w:val="009F0CB7"/>
    <w:rsid w:val="009F0CCE"/>
    <w:rsid w:val="009F2DD4"/>
    <w:rsid w:val="009F2FF4"/>
    <w:rsid w:val="009F32AF"/>
    <w:rsid w:val="009F39EA"/>
    <w:rsid w:val="009F3BAF"/>
    <w:rsid w:val="009F3D8F"/>
    <w:rsid w:val="009F3E12"/>
    <w:rsid w:val="009F4C9F"/>
    <w:rsid w:val="009F5053"/>
    <w:rsid w:val="009F5764"/>
    <w:rsid w:val="009F59A0"/>
    <w:rsid w:val="009F6AF8"/>
    <w:rsid w:val="009F6BD0"/>
    <w:rsid w:val="009F6FAB"/>
    <w:rsid w:val="009F72B6"/>
    <w:rsid w:val="009F7FD9"/>
    <w:rsid w:val="00A00723"/>
    <w:rsid w:val="00A007C6"/>
    <w:rsid w:val="00A014B4"/>
    <w:rsid w:val="00A01960"/>
    <w:rsid w:val="00A01B33"/>
    <w:rsid w:val="00A02ACD"/>
    <w:rsid w:val="00A02C04"/>
    <w:rsid w:val="00A02FA4"/>
    <w:rsid w:val="00A05559"/>
    <w:rsid w:val="00A0565F"/>
    <w:rsid w:val="00A06BDE"/>
    <w:rsid w:val="00A06D7A"/>
    <w:rsid w:val="00A10063"/>
    <w:rsid w:val="00A1017A"/>
    <w:rsid w:val="00A107EE"/>
    <w:rsid w:val="00A11131"/>
    <w:rsid w:val="00A1297E"/>
    <w:rsid w:val="00A13244"/>
    <w:rsid w:val="00A15C9E"/>
    <w:rsid w:val="00A15D02"/>
    <w:rsid w:val="00A1763C"/>
    <w:rsid w:val="00A203C4"/>
    <w:rsid w:val="00A204C9"/>
    <w:rsid w:val="00A20B10"/>
    <w:rsid w:val="00A2102B"/>
    <w:rsid w:val="00A213EB"/>
    <w:rsid w:val="00A21A61"/>
    <w:rsid w:val="00A21DB4"/>
    <w:rsid w:val="00A21F8C"/>
    <w:rsid w:val="00A221DD"/>
    <w:rsid w:val="00A2255B"/>
    <w:rsid w:val="00A22970"/>
    <w:rsid w:val="00A22FCB"/>
    <w:rsid w:val="00A23295"/>
    <w:rsid w:val="00A24349"/>
    <w:rsid w:val="00A254FD"/>
    <w:rsid w:val="00A2765F"/>
    <w:rsid w:val="00A27A48"/>
    <w:rsid w:val="00A30201"/>
    <w:rsid w:val="00A303A0"/>
    <w:rsid w:val="00A308DD"/>
    <w:rsid w:val="00A31127"/>
    <w:rsid w:val="00A31D3D"/>
    <w:rsid w:val="00A329CF"/>
    <w:rsid w:val="00A32F57"/>
    <w:rsid w:val="00A33004"/>
    <w:rsid w:val="00A33487"/>
    <w:rsid w:val="00A334C3"/>
    <w:rsid w:val="00A33755"/>
    <w:rsid w:val="00A33CE7"/>
    <w:rsid w:val="00A33CF6"/>
    <w:rsid w:val="00A33FE5"/>
    <w:rsid w:val="00A34E7F"/>
    <w:rsid w:val="00A35799"/>
    <w:rsid w:val="00A35E98"/>
    <w:rsid w:val="00A4004A"/>
    <w:rsid w:val="00A404DF"/>
    <w:rsid w:val="00A40AFF"/>
    <w:rsid w:val="00A40EFF"/>
    <w:rsid w:val="00A413C4"/>
    <w:rsid w:val="00A41510"/>
    <w:rsid w:val="00A418C6"/>
    <w:rsid w:val="00A41AD4"/>
    <w:rsid w:val="00A41EFC"/>
    <w:rsid w:val="00A42678"/>
    <w:rsid w:val="00A42C23"/>
    <w:rsid w:val="00A42C41"/>
    <w:rsid w:val="00A42CE3"/>
    <w:rsid w:val="00A43399"/>
    <w:rsid w:val="00A43DE1"/>
    <w:rsid w:val="00A440F3"/>
    <w:rsid w:val="00A4540D"/>
    <w:rsid w:val="00A45FE9"/>
    <w:rsid w:val="00A46238"/>
    <w:rsid w:val="00A46F5C"/>
    <w:rsid w:val="00A4723C"/>
    <w:rsid w:val="00A50273"/>
    <w:rsid w:val="00A50D9E"/>
    <w:rsid w:val="00A51A8C"/>
    <w:rsid w:val="00A51CE6"/>
    <w:rsid w:val="00A527A3"/>
    <w:rsid w:val="00A52911"/>
    <w:rsid w:val="00A52988"/>
    <w:rsid w:val="00A53382"/>
    <w:rsid w:val="00A53529"/>
    <w:rsid w:val="00A535B3"/>
    <w:rsid w:val="00A53DCE"/>
    <w:rsid w:val="00A54816"/>
    <w:rsid w:val="00A559E6"/>
    <w:rsid w:val="00A56642"/>
    <w:rsid w:val="00A56CB0"/>
    <w:rsid w:val="00A5792D"/>
    <w:rsid w:val="00A57A1E"/>
    <w:rsid w:val="00A57C22"/>
    <w:rsid w:val="00A60785"/>
    <w:rsid w:val="00A60FFB"/>
    <w:rsid w:val="00A61824"/>
    <w:rsid w:val="00A619F3"/>
    <w:rsid w:val="00A622CF"/>
    <w:rsid w:val="00A62A5E"/>
    <w:rsid w:val="00A62B1B"/>
    <w:rsid w:val="00A648EB"/>
    <w:rsid w:val="00A64C33"/>
    <w:rsid w:val="00A652FD"/>
    <w:rsid w:val="00A65631"/>
    <w:rsid w:val="00A6567E"/>
    <w:rsid w:val="00A65C83"/>
    <w:rsid w:val="00A66AFF"/>
    <w:rsid w:val="00A66E30"/>
    <w:rsid w:val="00A67AF2"/>
    <w:rsid w:val="00A7108E"/>
    <w:rsid w:val="00A71C51"/>
    <w:rsid w:val="00A72F26"/>
    <w:rsid w:val="00A73204"/>
    <w:rsid w:val="00A73C19"/>
    <w:rsid w:val="00A73E93"/>
    <w:rsid w:val="00A74088"/>
    <w:rsid w:val="00A74409"/>
    <w:rsid w:val="00A7466E"/>
    <w:rsid w:val="00A7468A"/>
    <w:rsid w:val="00A75387"/>
    <w:rsid w:val="00A7594A"/>
    <w:rsid w:val="00A7685E"/>
    <w:rsid w:val="00A771D3"/>
    <w:rsid w:val="00A77355"/>
    <w:rsid w:val="00A77750"/>
    <w:rsid w:val="00A77CC1"/>
    <w:rsid w:val="00A77D60"/>
    <w:rsid w:val="00A77E8C"/>
    <w:rsid w:val="00A80B6F"/>
    <w:rsid w:val="00A81DAA"/>
    <w:rsid w:val="00A8201A"/>
    <w:rsid w:val="00A82594"/>
    <w:rsid w:val="00A83DF3"/>
    <w:rsid w:val="00A84924"/>
    <w:rsid w:val="00A84A1B"/>
    <w:rsid w:val="00A84A84"/>
    <w:rsid w:val="00A84AE9"/>
    <w:rsid w:val="00A84E88"/>
    <w:rsid w:val="00A85A03"/>
    <w:rsid w:val="00A86556"/>
    <w:rsid w:val="00A865E5"/>
    <w:rsid w:val="00A86F6D"/>
    <w:rsid w:val="00A870FE"/>
    <w:rsid w:val="00A90E4B"/>
    <w:rsid w:val="00A92173"/>
    <w:rsid w:val="00A92442"/>
    <w:rsid w:val="00A92752"/>
    <w:rsid w:val="00A9280D"/>
    <w:rsid w:val="00A93E3E"/>
    <w:rsid w:val="00A94CC3"/>
    <w:rsid w:val="00A94CFF"/>
    <w:rsid w:val="00A94E5B"/>
    <w:rsid w:val="00A95445"/>
    <w:rsid w:val="00A9551C"/>
    <w:rsid w:val="00A95A0B"/>
    <w:rsid w:val="00A95A71"/>
    <w:rsid w:val="00A95B12"/>
    <w:rsid w:val="00A977C6"/>
    <w:rsid w:val="00A979E9"/>
    <w:rsid w:val="00AA005B"/>
    <w:rsid w:val="00AA08E2"/>
    <w:rsid w:val="00AA09FD"/>
    <w:rsid w:val="00AA0BB4"/>
    <w:rsid w:val="00AA0CD3"/>
    <w:rsid w:val="00AA113F"/>
    <w:rsid w:val="00AA19DC"/>
    <w:rsid w:val="00AA235C"/>
    <w:rsid w:val="00AA2F62"/>
    <w:rsid w:val="00AA3898"/>
    <w:rsid w:val="00AA392F"/>
    <w:rsid w:val="00AA5AA7"/>
    <w:rsid w:val="00AA5F00"/>
    <w:rsid w:val="00AA62E2"/>
    <w:rsid w:val="00AA66E7"/>
    <w:rsid w:val="00AA6FCF"/>
    <w:rsid w:val="00AA7253"/>
    <w:rsid w:val="00AA74A5"/>
    <w:rsid w:val="00AA7CB5"/>
    <w:rsid w:val="00AA7EAE"/>
    <w:rsid w:val="00AB0442"/>
    <w:rsid w:val="00AB158E"/>
    <w:rsid w:val="00AB18F7"/>
    <w:rsid w:val="00AB1A21"/>
    <w:rsid w:val="00AB1ED5"/>
    <w:rsid w:val="00AB208F"/>
    <w:rsid w:val="00AB2580"/>
    <w:rsid w:val="00AB2B72"/>
    <w:rsid w:val="00AB2E81"/>
    <w:rsid w:val="00AB3C55"/>
    <w:rsid w:val="00AB5387"/>
    <w:rsid w:val="00AB5626"/>
    <w:rsid w:val="00AB5F3C"/>
    <w:rsid w:val="00AB5F7C"/>
    <w:rsid w:val="00AB7813"/>
    <w:rsid w:val="00AC0F05"/>
    <w:rsid w:val="00AC1880"/>
    <w:rsid w:val="00AC1E1C"/>
    <w:rsid w:val="00AC3819"/>
    <w:rsid w:val="00AC3B1C"/>
    <w:rsid w:val="00AC4666"/>
    <w:rsid w:val="00AC4952"/>
    <w:rsid w:val="00AC4B2E"/>
    <w:rsid w:val="00AC4E6D"/>
    <w:rsid w:val="00AC608D"/>
    <w:rsid w:val="00AC7399"/>
    <w:rsid w:val="00AC78B6"/>
    <w:rsid w:val="00AD0299"/>
    <w:rsid w:val="00AD0962"/>
    <w:rsid w:val="00AD1169"/>
    <w:rsid w:val="00AD19CE"/>
    <w:rsid w:val="00AD1E9E"/>
    <w:rsid w:val="00AD2AA4"/>
    <w:rsid w:val="00AD2F9B"/>
    <w:rsid w:val="00AD3AC1"/>
    <w:rsid w:val="00AD41E4"/>
    <w:rsid w:val="00AD4284"/>
    <w:rsid w:val="00AD4408"/>
    <w:rsid w:val="00AD440F"/>
    <w:rsid w:val="00AD5779"/>
    <w:rsid w:val="00AD58FE"/>
    <w:rsid w:val="00AD5AF3"/>
    <w:rsid w:val="00AD5C53"/>
    <w:rsid w:val="00AD612D"/>
    <w:rsid w:val="00AD7219"/>
    <w:rsid w:val="00AD7701"/>
    <w:rsid w:val="00AD7CD5"/>
    <w:rsid w:val="00AE07E9"/>
    <w:rsid w:val="00AE08CA"/>
    <w:rsid w:val="00AE0F1E"/>
    <w:rsid w:val="00AE1281"/>
    <w:rsid w:val="00AE1F7A"/>
    <w:rsid w:val="00AE3A66"/>
    <w:rsid w:val="00AE3D8E"/>
    <w:rsid w:val="00AE4469"/>
    <w:rsid w:val="00AE4540"/>
    <w:rsid w:val="00AE5604"/>
    <w:rsid w:val="00AE569F"/>
    <w:rsid w:val="00AE56E5"/>
    <w:rsid w:val="00AE6160"/>
    <w:rsid w:val="00AE673D"/>
    <w:rsid w:val="00AE75CC"/>
    <w:rsid w:val="00AF1B51"/>
    <w:rsid w:val="00AF1B61"/>
    <w:rsid w:val="00AF1E1F"/>
    <w:rsid w:val="00AF2860"/>
    <w:rsid w:val="00AF2A79"/>
    <w:rsid w:val="00AF3166"/>
    <w:rsid w:val="00AF41A6"/>
    <w:rsid w:val="00AF4288"/>
    <w:rsid w:val="00AF42B7"/>
    <w:rsid w:val="00AF46A2"/>
    <w:rsid w:val="00AF4749"/>
    <w:rsid w:val="00AF4DAA"/>
    <w:rsid w:val="00AF6E57"/>
    <w:rsid w:val="00AF7396"/>
    <w:rsid w:val="00AF748C"/>
    <w:rsid w:val="00B000DC"/>
    <w:rsid w:val="00B002BA"/>
    <w:rsid w:val="00B00D9C"/>
    <w:rsid w:val="00B00E1C"/>
    <w:rsid w:val="00B0113D"/>
    <w:rsid w:val="00B01306"/>
    <w:rsid w:val="00B01AC5"/>
    <w:rsid w:val="00B027D1"/>
    <w:rsid w:val="00B0297A"/>
    <w:rsid w:val="00B02C9C"/>
    <w:rsid w:val="00B03757"/>
    <w:rsid w:val="00B03B73"/>
    <w:rsid w:val="00B04B07"/>
    <w:rsid w:val="00B04D1B"/>
    <w:rsid w:val="00B0518C"/>
    <w:rsid w:val="00B05F00"/>
    <w:rsid w:val="00B05F98"/>
    <w:rsid w:val="00B06760"/>
    <w:rsid w:val="00B077C8"/>
    <w:rsid w:val="00B100F8"/>
    <w:rsid w:val="00B102FF"/>
    <w:rsid w:val="00B104DE"/>
    <w:rsid w:val="00B10A2C"/>
    <w:rsid w:val="00B10C87"/>
    <w:rsid w:val="00B10CB4"/>
    <w:rsid w:val="00B110D6"/>
    <w:rsid w:val="00B11211"/>
    <w:rsid w:val="00B124EE"/>
    <w:rsid w:val="00B12596"/>
    <w:rsid w:val="00B13217"/>
    <w:rsid w:val="00B13479"/>
    <w:rsid w:val="00B160F6"/>
    <w:rsid w:val="00B16192"/>
    <w:rsid w:val="00B1705B"/>
    <w:rsid w:val="00B17CCC"/>
    <w:rsid w:val="00B17D7F"/>
    <w:rsid w:val="00B17D8F"/>
    <w:rsid w:val="00B20B69"/>
    <w:rsid w:val="00B217ED"/>
    <w:rsid w:val="00B2189B"/>
    <w:rsid w:val="00B2275B"/>
    <w:rsid w:val="00B23123"/>
    <w:rsid w:val="00B2364B"/>
    <w:rsid w:val="00B23AED"/>
    <w:rsid w:val="00B23B79"/>
    <w:rsid w:val="00B24EC8"/>
    <w:rsid w:val="00B25292"/>
    <w:rsid w:val="00B25FA5"/>
    <w:rsid w:val="00B261B8"/>
    <w:rsid w:val="00B265D4"/>
    <w:rsid w:val="00B26623"/>
    <w:rsid w:val="00B2673A"/>
    <w:rsid w:val="00B2673C"/>
    <w:rsid w:val="00B26BB5"/>
    <w:rsid w:val="00B2718A"/>
    <w:rsid w:val="00B31FCC"/>
    <w:rsid w:val="00B3295E"/>
    <w:rsid w:val="00B33350"/>
    <w:rsid w:val="00B3364B"/>
    <w:rsid w:val="00B343B4"/>
    <w:rsid w:val="00B35C49"/>
    <w:rsid w:val="00B3722F"/>
    <w:rsid w:val="00B37837"/>
    <w:rsid w:val="00B4051A"/>
    <w:rsid w:val="00B40D3B"/>
    <w:rsid w:val="00B40E50"/>
    <w:rsid w:val="00B412A4"/>
    <w:rsid w:val="00B416DF"/>
    <w:rsid w:val="00B41BEB"/>
    <w:rsid w:val="00B41E0F"/>
    <w:rsid w:val="00B41FC1"/>
    <w:rsid w:val="00B42A45"/>
    <w:rsid w:val="00B42A98"/>
    <w:rsid w:val="00B42D28"/>
    <w:rsid w:val="00B4367A"/>
    <w:rsid w:val="00B43CCA"/>
    <w:rsid w:val="00B44E63"/>
    <w:rsid w:val="00B44EB5"/>
    <w:rsid w:val="00B45000"/>
    <w:rsid w:val="00B45A64"/>
    <w:rsid w:val="00B45EF4"/>
    <w:rsid w:val="00B50D1F"/>
    <w:rsid w:val="00B51EF6"/>
    <w:rsid w:val="00B52049"/>
    <w:rsid w:val="00B52979"/>
    <w:rsid w:val="00B52DE6"/>
    <w:rsid w:val="00B52F69"/>
    <w:rsid w:val="00B52F7B"/>
    <w:rsid w:val="00B53D15"/>
    <w:rsid w:val="00B53E71"/>
    <w:rsid w:val="00B53FC8"/>
    <w:rsid w:val="00B55E0A"/>
    <w:rsid w:val="00B561E0"/>
    <w:rsid w:val="00B566EE"/>
    <w:rsid w:val="00B57709"/>
    <w:rsid w:val="00B578F9"/>
    <w:rsid w:val="00B57CB2"/>
    <w:rsid w:val="00B61272"/>
    <w:rsid w:val="00B613B3"/>
    <w:rsid w:val="00B61676"/>
    <w:rsid w:val="00B61E0A"/>
    <w:rsid w:val="00B627A4"/>
    <w:rsid w:val="00B62F91"/>
    <w:rsid w:val="00B631DA"/>
    <w:rsid w:val="00B638F6"/>
    <w:rsid w:val="00B63A6C"/>
    <w:rsid w:val="00B642F8"/>
    <w:rsid w:val="00B65197"/>
    <w:rsid w:val="00B65BB0"/>
    <w:rsid w:val="00B65FA0"/>
    <w:rsid w:val="00B664B1"/>
    <w:rsid w:val="00B66532"/>
    <w:rsid w:val="00B66A0B"/>
    <w:rsid w:val="00B66F8F"/>
    <w:rsid w:val="00B6724E"/>
    <w:rsid w:val="00B67824"/>
    <w:rsid w:val="00B6787C"/>
    <w:rsid w:val="00B67D4E"/>
    <w:rsid w:val="00B709C9"/>
    <w:rsid w:val="00B719F5"/>
    <w:rsid w:val="00B71E05"/>
    <w:rsid w:val="00B729AC"/>
    <w:rsid w:val="00B735D2"/>
    <w:rsid w:val="00B73A9D"/>
    <w:rsid w:val="00B74527"/>
    <w:rsid w:val="00B745AE"/>
    <w:rsid w:val="00B756EF"/>
    <w:rsid w:val="00B75742"/>
    <w:rsid w:val="00B75D2B"/>
    <w:rsid w:val="00B763C9"/>
    <w:rsid w:val="00B77122"/>
    <w:rsid w:val="00B772FF"/>
    <w:rsid w:val="00B77A93"/>
    <w:rsid w:val="00B77E00"/>
    <w:rsid w:val="00B77F87"/>
    <w:rsid w:val="00B81372"/>
    <w:rsid w:val="00B82221"/>
    <w:rsid w:val="00B82298"/>
    <w:rsid w:val="00B8260B"/>
    <w:rsid w:val="00B82AC2"/>
    <w:rsid w:val="00B831C5"/>
    <w:rsid w:val="00B834BB"/>
    <w:rsid w:val="00B8397C"/>
    <w:rsid w:val="00B83C3B"/>
    <w:rsid w:val="00B84873"/>
    <w:rsid w:val="00B84FF1"/>
    <w:rsid w:val="00B8561F"/>
    <w:rsid w:val="00B867B2"/>
    <w:rsid w:val="00B86B3E"/>
    <w:rsid w:val="00B86DD4"/>
    <w:rsid w:val="00B87449"/>
    <w:rsid w:val="00B876E3"/>
    <w:rsid w:val="00B90968"/>
    <w:rsid w:val="00B9144A"/>
    <w:rsid w:val="00B91619"/>
    <w:rsid w:val="00B94BD1"/>
    <w:rsid w:val="00B94E5F"/>
    <w:rsid w:val="00B94F3C"/>
    <w:rsid w:val="00B95533"/>
    <w:rsid w:val="00B95926"/>
    <w:rsid w:val="00B95D99"/>
    <w:rsid w:val="00B96155"/>
    <w:rsid w:val="00B96382"/>
    <w:rsid w:val="00B963CB"/>
    <w:rsid w:val="00B96DB1"/>
    <w:rsid w:val="00B97495"/>
    <w:rsid w:val="00B97D42"/>
    <w:rsid w:val="00B97D57"/>
    <w:rsid w:val="00BA0A24"/>
    <w:rsid w:val="00BA0D74"/>
    <w:rsid w:val="00BA0DB7"/>
    <w:rsid w:val="00BA1155"/>
    <w:rsid w:val="00BA14D8"/>
    <w:rsid w:val="00BA194E"/>
    <w:rsid w:val="00BA2440"/>
    <w:rsid w:val="00BA2933"/>
    <w:rsid w:val="00BA2BB8"/>
    <w:rsid w:val="00BA2D7A"/>
    <w:rsid w:val="00BA31E7"/>
    <w:rsid w:val="00BA3C6C"/>
    <w:rsid w:val="00BA3E58"/>
    <w:rsid w:val="00BA3F59"/>
    <w:rsid w:val="00BA4164"/>
    <w:rsid w:val="00BA4421"/>
    <w:rsid w:val="00BA44F6"/>
    <w:rsid w:val="00BA55AC"/>
    <w:rsid w:val="00BA5DF0"/>
    <w:rsid w:val="00BA5E1C"/>
    <w:rsid w:val="00BA67DF"/>
    <w:rsid w:val="00BA68DB"/>
    <w:rsid w:val="00BA6E90"/>
    <w:rsid w:val="00BA6FB9"/>
    <w:rsid w:val="00BA70E2"/>
    <w:rsid w:val="00BA711B"/>
    <w:rsid w:val="00BA7990"/>
    <w:rsid w:val="00BB0D2C"/>
    <w:rsid w:val="00BB1D4E"/>
    <w:rsid w:val="00BB3057"/>
    <w:rsid w:val="00BB35E2"/>
    <w:rsid w:val="00BB3B5B"/>
    <w:rsid w:val="00BB427C"/>
    <w:rsid w:val="00BB45AB"/>
    <w:rsid w:val="00BB4D08"/>
    <w:rsid w:val="00BB6F9A"/>
    <w:rsid w:val="00BB757F"/>
    <w:rsid w:val="00BC118F"/>
    <w:rsid w:val="00BC17E6"/>
    <w:rsid w:val="00BC1995"/>
    <w:rsid w:val="00BC2000"/>
    <w:rsid w:val="00BC235A"/>
    <w:rsid w:val="00BC4E7B"/>
    <w:rsid w:val="00BC52E7"/>
    <w:rsid w:val="00BC6A89"/>
    <w:rsid w:val="00BC6BDC"/>
    <w:rsid w:val="00BC6C68"/>
    <w:rsid w:val="00BC79FB"/>
    <w:rsid w:val="00BC7ACC"/>
    <w:rsid w:val="00BD1B32"/>
    <w:rsid w:val="00BD1DFF"/>
    <w:rsid w:val="00BD25BC"/>
    <w:rsid w:val="00BD3497"/>
    <w:rsid w:val="00BD4533"/>
    <w:rsid w:val="00BD566B"/>
    <w:rsid w:val="00BD5A34"/>
    <w:rsid w:val="00BD5AEB"/>
    <w:rsid w:val="00BD5B54"/>
    <w:rsid w:val="00BD740A"/>
    <w:rsid w:val="00BD7853"/>
    <w:rsid w:val="00BD7E5F"/>
    <w:rsid w:val="00BD7E8E"/>
    <w:rsid w:val="00BE0FF1"/>
    <w:rsid w:val="00BE1AF8"/>
    <w:rsid w:val="00BE1B0E"/>
    <w:rsid w:val="00BE1CC3"/>
    <w:rsid w:val="00BE1F12"/>
    <w:rsid w:val="00BE2944"/>
    <w:rsid w:val="00BE2DB4"/>
    <w:rsid w:val="00BE32D6"/>
    <w:rsid w:val="00BE367F"/>
    <w:rsid w:val="00BE5222"/>
    <w:rsid w:val="00BE5488"/>
    <w:rsid w:val="00BE5552"/>
    <w:rsid w:val="00BE63AE"/>
    <w:rsid w:val="00BE699E"/>
    <w:rsid w:val="00BE6EA6"/>
    <w:rsid w:val="00BE7237"/>
    <w:rsid w:val="00BE7245"/>
    <w:rsid w:val="00BE7319"/>
    <w:rsid w:val="00BE79F3"/>
    <w:rsid w:val="00BE7D2B"/>
    <w:rsid w:val="00BF0138"/>
    <w:rsid w:val="00BF03DF"/>
    <w:rsid w:val="00BF0966"/>
    <w:rsid w:val="00BF104A"/>
    <w:rsid w:val="00BF16D9"/>
    <w:rsid w:val="00BF1894"/>
    <w:rsid w:val="00BF1C70"/>
    <w:rsid w:val="00BF22D7"/>
    <w:rsid w:val="00BF2E23"/>
    <w:rsid w:val="00BF54C7"/>
    <w:rsid w:val="00BF5610"/>
    <w:rsid w:val="00BF5745"/>
    <w:rsid w:val="00BF5CC8"/>
    <w:rsid w:val="00BF5E8D"/>
    <w:rsid w:val="00BF641A"/>
    <w:rsid w:val="00BF6D80"/>
    <w:rsid w:val="00BF6DBE"/>
    <w:rsid w:val="00BF7887"/>
    <w:rsid w:val="00BF7D01"/>
    <w:rsid w:val="00C00B8D"/>
    <w:rsid w:val="00C010FA"/>
    <w:rsid w:val="00C0111C"/>
    <w:rsid w:val="00C01183"/>
    <w:rsid w:val="00C01375"/>
    <w:rsid w:val="00C01394"/>
    <w:rsid w:val="00C013DF"/>
    <w:rsid w:val="00C0145E"/>
    <w:rsid w:val="00C026CC"/>
    <w:rsid w:val="00C02DF7"/>
    <w:rsid w:val="00C03953"/>
    <w:rsid w:val="00C041F7"/>
    <w:rsid w:val="00C04427"/>
    <w:rsid w:val="00C0447D"/>
    <w:rsid w:val="00C04C2A"/>
    <w:rsid w:val="00C0593D"/>
    <w:rsid w:val="00C05B17"/>
    <w:rsid w:val="00C05BB8"/>
    <w:rsid w:val="00C05FF4"/>
    <w:rsid w:val="00C065C0"/>
    <w:rsid w:val="00C06F64"/>
    <w:rsid w:val="00C078F9"/>
    <w:rsid w:val="00C07B17"/>
    <w:rsid w:val="00C1030B"/>
    <w:rsid w:val="00C10B95"/>
    <w:rsid w:val="00C10E59"/>
    <w:rsid w:val="00C111A6"/>
    <w:rsid w:val="00C11296"/>
    <w:rsid w:val="00C114E7"/>
    <w:rsid w:val="00C11512"/>
    <w:rsid w:val="00C119CD"/>
    <w:rsid w:val="00C11BBF"/>
    <w:rsid w:val="00C11D4C"/>
    <w:rsid w:val="00C1235D"/>
    <w:rsid w:val="00C12BFB"/>
    <w:rsid w:val="00C12CED"/>
    <w:rsid w:val="00C12CFD"/>
    <w:rsid w:val="00C12E22"/>
    <w:rsid w:val="00C13049"/>
    <w:rsid w:val="00C13648"/>
    <w:rsid w:val="00C138EC"/>
    <w:rsid w:val="00C139CE"/>
    <w:rsid w:val="00C14572"/>
    <w:rsid w:val="00C14BD5"/>
    <w:rsid w:val="00C15135"/>
    <w:rsid w:val="00C1557A"/>
    <w:rsid w:val="00C1589C"/>
    <w:rsid w:val="00C15D89"/>
    <w:rsid w:val="00C168D7"/>
    <w:rsid w:val="00C2009F"/>
    <w:rsid w:val="00C21F68"/>
    <w:rsid w:val="00C221C3"/>
    <w:rsid w:val="00C2225B"/>
    <w:rsid w:val="00C22934"/>
    <w:rsid w:val="00C23306"/>
    <w:rsid w:val="00C2346B"/>
    <w:rsid w:val="00C238A2"/>
    <w:rsid w:val="00C23CB7"/>
    <w:rsid w:val="00C25209"/>
    <w:rsid w:val="00C252BE"/>
    <w:rsid w:val="00C254DA"/>
    <w:rsid w:val="00C265D2"/>
    <w:rsid w:val="00C26B0A"/>
    <w:rsid w:val="00C279A5"/>
    <w:rsid w:val="00C27E0E"/>
    <w:rsid w:val="00C3010C"/>
    <w:rsid w:val="00C309C5"/>
    <w:rsid w:val="00C30AC5"/>
    <w:rsid w:val="00C310C6"/>
    <w:rsid w:val="00C3130F"/>
    <w:rsid w:val="00C315E8"/>
    <w:rsid w:val="00C31A8C"/>
    <w:rsid w:val="00C32448"/>
    <w:rsid w:val="00C329B3"/>
    <w:rsid w:val="00C32A7D"/>
    <w:rsid w:val="00C32CB2"/>
    <w:rsid w:val="00C330F5"/>
    <w:rsid w:val="00C3348F"/>
    <w:rsid w:val="00C337AC"/>
    <w:rsid w:val="00C341CF"/>
    <w:rsid w:val="00C341ED"/>
    <w:rsid w:val="00C34279"/>
    <w:rsid w:val="00C34C0A"/>
    <w:rsid w:val="00C34C75"/>
    <w:rsid w:val="00C36FEC"/>
    <w:rsid w:val="00C375D5"/>
    <w:rsid w:val="00C37DFF"/>
    <w:rsid w:val="00C40A8C"/>
    <w:rsid w:val="00C414E3"/>
    <w:rsid w:val="00C41556"/>
    <w:rsid w:val="00C41DC6"/>
    <w:rsid w:val="00C42406"/>
    <w:rsid w:val="00C42AD1"/>
    <w:rsid w:val="00C42CE3"/>
    <w:rsid w:val="00C42D37"/>
    <w:rsid w:val="00C431D9"/>
    <w:rsid w:val="00C437D2"/>
    <w:rsid w:val="00C4393E"/>
    <w:rsid w:val="00C43CE8"/>
    <w:rsid w:val="00C43F4F"/>
    <w:rsid w:val="00C44440"/>
    <w:rsid w:val="00C44D0B"/>
    <w:rsid w:val="00C4520D"/>
    <w:rsid w:val="00C4631C"/>
    <w:rsid w:val="00C50B84"/>
    <w:rsid w:val="00C5108A"/>
    <w:rsid w:val="00C512A4"/>
    <w:rsid w:val="00C522F2"/>
    <w:rsid w:val="00C52411"/>
    <w:rsid w:val="00C5246A"/>
    <w:rsid w:val="00C52E63"/>
    <w:rsid w:val="00C53802"/>
    <w:rsid w:val="00C53D8A"/>
    <w:rsid w:val="00C54840"/>
    <w:rsid w:val="00C5561D"/>
    <w:rsid w:val="00C55AE5"/>
    <w:rsid w:val="00C56496"/>
    <w:rsid w:val="00C56FFE"/>
    <w:rsid w:val="00C5702F"/>
    <w:rsid w:val="00C577B3"/>
    <w:rsid w:val="00C57FAC"/>
    <w:rsid w:val="00C60E87"/>
    <w:rsid w:val="00C6137E"/>
    <w:rsid w:val="00C613D8"/>
    <w:rsid w:val="00C61914"/>
    <w:rsid w:val="00C61C75"/>
    <w:rsid w:val="00C6299F"/>
    <w:rsid w:val="00C62F97"/>
    <w:rsid w:val="00C659AB"/>
    <w:rsid w:val="00C65C37"/>
    <w:rsid w:val="00C65E2C"/>
    <w:rsid w:val="00C6620A"/>
    <w:rsid w:val="00C662D5"/>
    <w:rsid w:val="00C668F4"/>
    <w:rsid w:val="00C6710D"/>
    <w:rsid w:val="00C672B0"/>
    <w:rsid w:val="00C67CDA"/>
    <w:rsid w:val="00C67EEC"/>
    <w:rsid w:val="00C70EBC"/>
    <w:rsid w:val="00C7126E"/>
    <w:rsid w:val="00C712E7"/>
    <w:rsid w:val="00C71B8D"/>
    <w:rsid w:val="00C728AB"/>
    <w:rsid w:val="00C735A0"/>
    <w:rsid w:val="00C743B7"/>
    <w:rsid w:val="00C745F4"/>
    <w:rsid w:val="00C74DAA"/>
    <w:rsid w:val="00C758FF"/>
    <w:rsid w:val="00C759E7"/>
    <w:rsid w:val="00C76B49"/>
    <w:rsid w:val="00C77D09"/>
    <w:rsid w:val="00C77D5F"/>
    <w:rsid w:val="00C803F1"/>
    <w:rsid w:val="00C8098E"/>
    <w:rsid w:val="00C81073"/>
    <w:rsid w:val="00C81CEB"/>
    <w:rsid w:val="00C81ED3"/>
    <w:rsid w:val="00C82437"/>
    <w:rsid w:val="00C83E9D"/>
    <w:rsid w:val="00C83F36"/>
    <w:rsid w:val="00C84176"/>
    <w:rsid w:val="00C84671"/>
    <w:rsid w:val="00C84D60"/>
    <w:rsid w:val="00C85631"/>
    <w:rsid w:val="00C85D10"/>
    <w:rsid w:val="00C86544"/>
    <w:rsid w:val="00C8717C"/>
    <w:rsid w:val="00C8748E"/>
    <w:rsid w:val="00C877E3"/>
    <w:rsid w:val="00C879A0"/>
    <w:rsid w:val="00C90947"/>
    <w:rsid w:val="00C91937"/>
    <w:rsid w:val="00C92267"/>
    <w:rsid w:val="00C926E9"/>
    <w:rsid w:val="00C935EC"/>
    <w:rsid w:val="00C9475D"/>
    <w:rsid w:val="00C948DB"/>
    <w:rsid w:val="00C94D74"/>
    <w:rsid w:val="00C951B4"/>
    <w:rsid w:val="00C9567E"/>
    <w:rsid w:val="00C95E64"/>
    <w:rsid w:val="00C964B2"/>
    <w:rsid w:val="00C96AAD"/>
    <w:rsid w:val="00C974A6"/>
    <w:rsid w:val="00CA0ED8"/>
    <w:rsid w:val="00CA14A7"/>
    <w:rsid w:val="00CA160E"/>
    <w:rsid w:val="00CA1989"/>
    <w:rsid w:val="00CA2848"/>
    <w:rsid w:val="00CA29AB"/>
    <w:rsid w:val="00CA3345"/>
    <w:rsid w:val="00CA3E56"/>
    <w:rsid w:val="00CA3F25"/>
    <w:rsid w:val="00CA4670"/>
    <w:rsid w:val="00CA49EC"/>
    <w:rsid w:val="00CA4D85"/>
    <w:rsid w:val="00CA53C4"/>
    <w:rsid w:val="00CA54B8"/>
    <w:rsid w:val="00CA556C"/>
    <w:rsid w:val="00CA60CC"/>
    <w:rsid w:val="00CB0CEB"/>
    <w:rsid w:val="00CB10E9"/>
    <w:rsid w:val="00CB13BD"/>
    <w:rsid w:val="00CB185E"/>
    <w:rsid w:val="00CB1AEE"/>
    <w:rsid w:val="00CB1BE3"/>
    <w:rsid w:val="00CB4601"/>
    <w:rsid w:val="00CB49EA"/>
    <w:rsid w:val="00CB4B0A"/>
    <w:rsid w:val="00CB4BC2"/>
    <w:rsid w:val="00CB4E5E"/>
    <w:rsid w:val="00CB77B6"/>
    <w:rsid w:val="00CB780E"/>
    <w:rsid w:val="00CB7F33"/>
    <w:rsid w:val="00CC1BC3"/>
    <w:rsid w:val="00CC1D8F"/>
    <w:rsid w:val="00CC25DD"/>
    <w:rsid w:val="00CC2A23"/>
    <w:rsid w:val="00CC2B7E"/>
    <w:rsid w:val="00CC2E40"/>
    <w:rsid w:val="00CC3856"/>
    <w:rsid w:val="00CC3B2E"/>
    <w:rsid w:val="00CC3E3A"/>
    <w:rsid w:val="00CC3F61"/>
    <w:rsid w:val="00CC4682"/>
    <w:rsid w:val="00CC46B7"/>
    <w:rsid w:val="00CC4CD3"/>
    <w:rsid w:val="00CC536B"/>
    <w:rsid w:val="00CC554E"/>
    <w:rsid w:val="00CC5657"/>
    <w:rsid w:val="00CC5B25"/>
    <w:rsid w:val="00CC5F4E"/>
    <w:rsid w:val="00CC65AA"/>
    <w:rsid w:val="00CC6D67"/>
    <w:rsid w:val="00CC7868"/>
    <w:rsid w:val="00CC7BD5"/>
    <w:rsid w:val="00CC7CD8"/>
    <w:rsid w:val="00CD063D"/>
    <w:rsid w:val="00CD09E6"/>
    <w:rsid w:val="00CD17D9"/>
    <w:rsid w:val="00CD1876"/>
    <w:rsid w:val="00CD1A4C"/>
    <w:rsid w:val="00CD2422"/>
    <w:rsid w:val="00CD2994"/>
    <w:rsid w:val="00CD30CF"/>
    <w:rsid w:val="00CD3872"/>
    <w:rsid w:val="00CD41FB"/>
    <w:rsid w:val="00CD4BD5"/>
    <w:rsid w:val="00CD4D5D"/>
    <w:rsid w:val="00CD50AB"/>
    <w:rsid w:val="00CD5501"/>
    <w:rsid w:val="00CD58A5"/>
    <w:rsid w:val="00CD5992"/>
    <w:rsid w:val="00CD62E2"/>
    <w:rsid w:val="00CD647B"/>
    <w:rsid w:val="00CD67BF"/>
    <w:rsid w:val="00CD7290"/>
    <w:rsid w:val="00CD752F"/>
    <w:rsid w:val="00CD75FE"/>
    <w:rsid w:val="00CE080E"/>
    <w:rsid w:val="00CE0A2A"/>
    <w:rsid w:val="00CE2009"/>
    <w:rsid w:val="00CE276A"/>
    <w:rsid w:val="00CE2E7C"/>
    <w:rsid w:val="00CE30EB"/>
    <w:rsid w:val="00CE3903"/>
    <w:rsid w:val="00CE4071"/>
    <w:rsid w:val="00CE4533"/>
    <w:rsid w:val="00CE523C"/>
    <w:rsid w:val="00CE5C76"/>
    <w:rsid w:val="00CE6B00"/>
    <w:rsid w:val="00CE6C4F"/>
    <w:rsid w:val="00CE7409"/>
    <w:rsid w:val="00CE7752"/>
    <w:rsid w:val="00CE7B8A"/>
    <w:rsid w:val="00CE7F29"/>
    <w:rsid w:val="00CF0800"/>
    <w:rsid w:val="00CF0930"/>
    <w:rsid w:val="00CF0D1A"/>
    <w:rsid w:val="00CF21DA"/>
    <w:rsid w:val="00CF27A8"/>
    <w:rsid w:val="00CF2DC4"/>
    <w:rsid w:val="00CF3E2E"/>
    <w:rsid w:val="00CF42B5"/>
    <w:rsid w:val="00CF4A23"/>
    <w:rsid w:val="00CF4B21"/>
    <w:rsid w:val="00CF4E91"/>
    <w:rsid w:val="00CF52CE"/>
    <w:rsid w:val="00CF578F"/>
    <w:rsid w:val="00CF57E1"/>
    <w:rsid w:val="00CF5EEB"/>
    <w:rsid w:val="00CF637D"/>
    <w:rsid w:val="00CF6915"/>
    <w:rsid w:val="00CF6BBF"/>
    <w:rsid w:val="00CF6C3E"/>
    <w:rsid w:val="00CF6DB2"/>
    <w:rsid w:val="00CF6EC5"/>
    <w:rsid w:val="00CF6F45"/>
    <w:rsid w:val="00CF7572"/>
    <w:rsid w:val="00CF7C98"/>
    <w:rsid w:val="00D00903"/>
    <w:rsid w:val="00D00D57"/>
    <w:rsid w:val="00D0124E"/>
    <w:rsid w:val="00D0143F"/>
    <w:rsid w:val="00D030A3"/>
    <w:rsid w:val="00D030E9"/>
    <w:rsid w:val="00D031F2"/>
    <w:rsid w:val="00D033AE"/>
    <w:rsid w:val="00D03B68"/>
    <w:rsid w:val="00D03CA2"/>
    <w:rsid w:val="00D048C7"/>
    <w:rsid w:val="00D05CBE"/>
    <w:rsid w:val="00D06C63"/>
    <w:rsid w:val="00D06ECE"/>
    <w:rsid w:val="00D07168"/>
    <w:rsid w:val="00D077F9"/>
    <w:rsid w:val="00D07898"/>
    <w:rsid w:val="00D106EA"/>
    <w:rsid w:val="00D10B06"/>
    <w:rsid w:val="00D10D04"/>
    <w:rsid w:val="00D10FC5"/>
    <w:rsid w:val="00D111E1"/>
    <w:rsid w:val="00D1139E"/>
    <w:rsid w:val="00D113BA"/>
    <w:rsid w:val="00D11A61"/>
    <w:rsid w:val="00D11BE3"/>
    <w:rsid w:val="00D11FA3"/>
    <w:rsid w:val="00D12945"/>
    <w:rsid w:val="00D1294F"/>
    <w:rsid w:val="00D12AD2"/>
    <w:rsid w:val="00D12DBD"/>
    <w:rsid w:val="00D12FD2"/>
    <w:rsid w:val="00D12FEA"/>
    <w:rsid w:val="00D134CB"/>
    <w:rsid w:val="00D1361A"/>
    <w:rsid w:val="00D13685"/>
    <w:rsid w:val="00D14D0C"/>
    <w:rsid w:val="00D151FD"/>
    <w:rsid w:val="00D15621"/>
    <w:rsid w:val="00D15B29"/>
    <w:rsid w:val="00D163E8"/>
    <w:rsid w:val="00D166A5"/>
    <w:rsid w:val="00D16CD9"/>
    <w:rsid w:val="00D16CF2"/>
    <w:rsid w:val="00D17355"/>
    <w:rsid w:val="00D17E07"/>
    <w:rsid w:val="00D20731"/>
    <w:rsid w:val="00D21059"/>
    <w:rsid w:val="00D2129C"/>
    <w:rsid w:val="00D2155B"/>
    <w:rsid w:val="00D21797"/>
    <w:rsid w:val="00D2196C"/>
    <w:rsid w:val="00D22125"/>
    <w:rsid w:val="00D223A1"/>
    <w:rsid w:val="00D23AD1"/>
    <w:rsid w:val="00D23ADE"/>
    <w:rsid w:val="00D24CE2"/>
    <w:rsid w:val="00D24F4B"/>
    <w:rsid w:val="00D253B8"/>
    <w:rsid w:val="00D25748"/>
    <w:rsid w:val="00D25ABF"/>
    <w:rsid w:val="00D265AC"/>
    <w:rsid w:val="00D26915"/>
    <w:rsid w:val="00D2739F"/>
    <w:rsid w:val="00D27ECE"/>
    <w:rsid w:val="00D301BB"/>
    <w:rsid w:val="00D3118D"/>
    <w:rsid w:val="00D3127C"/>
    <w:rsid w:val="00D31393"/>
    <w:rsid w:val="00D31566"/>
    <w:rsid w:val="00D3172D"/>
    <w:rsid w:val="00D31AD5"/>
    <w:rsid w:val="00D31AD9"/>
    <w:rsid w:val="00D31D4A"/>
    <w:rsid w:val="00D323D8"/>
    <w:rsid w:val="00D327BD"/>
    <w:rsid w:val="00D32AC8"/>
    <w:rsid w:val="00D34601"/>
    <w:rsid w:val="00D3469A"/>
    <w:rsid w:val="00D350F0"/>
    <w:rsid w:val="00D352E6"/>
    <w:rsid w:val="00D363CA"/>
    <w:rsid w:val="00D36FFC"/>
    <w:rsid w:val="00D371F7"/>
    <w:rsid w:val="00D3741D"/>
    <w:rsid w:val="00D37785"/>
    <w:rsid w:val="00D37795"/>
    <w:rsid w:val="00D37AB7"/>
    <w:rsid w:val="00D37FDC"/>
    <w:rsid w:val="00D40309"/>
    <w:rsid w:val="00D4052B"/>
    <w:rsid w:val="00D40808"/>
    <w:rsid w:val="00D40CB6"/>
    <w:rsid w:val="00D40F97"/>
    <w:rsid w:val="00D4151E"/>
    <w:rsid w:val="00D417F8"/>
    <w:rsid w:val="00D418CB"/>
    <w:rsid w:val="00D41EC1"/>
    <w:rsid w:val="00D42014"/>
    <w:rsid w:val="00D4282A"/>
    <w:rsid w:val="00D42EED"/>
    <w:rsid w:val="00D43FA4"/>
    <w:rsid w:val="00D43FFD"/>
    <w:rsid w:val="00D441A7"/>
    <w:rsid w:val="00D44A98"/>
    <w:rsid w:val="00D44BD6"/>
    <w:rsid w:val="00D459CB"/>
    <w:rsid w:val="00D461B4"/>
    <w:rsid w:val="00D4631C"/>
    <w:rsid w:val="00D4635D"/>
    <w:rsid w:val="00D46B77"/>
    <w:rsid w:val="00D47C51"/>
    <w:rsid w:val="00D50A8E"/>
    <w:rsid w:val="00D51BCC"/>
    <w:rsid w:val="00D52BC4"/>
    <w:rsid w:val="00D52BFF"/>
    <w:rsid w:val="00D538C0"/>
    <w:rsid w:val="00D53DE2"/>
    <w:rsid w:val="00D55279"/>
    <w:rsid w:val="00D55786"/>
    <w:rsid w:val="00D56153"/>
    <w:rsid w:val="00D565DA"/>
    <w:rsid w:val="00D56786"/>
    <w:rsid w:val="00D56BA4"/>
    <w:rsid w:val="00D5707A"/>
    <w:rsid w:val="00D600B1"/>
    <w:rsid w:val="00D60334"/>
    <w:rsid w:val="00D60957"/>
    <w:rsid w:val="00D6110C"/>
    <w:rsid w:val="00D61147"/>
    <w:rsid w:val="00D613EE"/>
    <w:rsid w:val="00D61967"/>
    <w:rsid w:val="00D61BD2"/>
    <w:rsid w:val="00D628B3"/>
    <w:rsid w:val="00D62FF3"/>
    <w:rsid w:val="00D62FF5"/>
    <w:rsid w:val="00D63436"/>
    <w:rsid w:val="00D636DE"/>
    <w:rsid w:val="00D63A02"/>
    <w:rsid w:val="00D63EA9"/>
    <w:rsid w:val="00D64B8B"/>
    <w:rsid w:val="00D6501C"/>
    <w:rsid w:val="00D654AE"/>
    <w:rsid w:val="00D65D90"/>
    <w:rsid w:val="00D65EF4"/>
    <w:rsid w:val="00D665E8"/>
    <w:rsid w:val="00D668EA"/>
    <w:rsid w:val="00D66B40"/>
    <w:rsid w:val="00D6778E"/>
    <w:rsid w:val="00D67A05"/>
    <w:rsid w:val="00D71072"/>
    <w:rsid w:val="00D71C72"/>
    <w:rsid w:val="00D737ED"/>
    <w:rsid w:val="00D73BE9"/>
    <w:rsid w:val="00D7484C"/>
    <w:rsid w:val="00D74CE3"/>
    <w:rsid w:val="00D74D5D"/>
    <w:rsid w:val="00D75058"/>
    <w:rsid w:val="00D7520C"/>
    <w:rsid w:val="00D75468"/>
    <w:rsid w:val="00D7585C"/>
    <w:rsid w:val="00D761B5"/>
    <w:rsid w:val="00D77060"/>
    <w:rsid w:val="00D77CA6"/>
    <w:rsid w:val="00D8028B"/>
    <w:rsid w:val="00D80D39"/>
    <w:rsid w:val="00D80FB6"/>
    <w:rsid w:val="00D81782"/>
    <w:rsid w:val="00D818FA"/>
    <w:rsid w:val="00D81B0D"/>
    <w:rsid w:val="00D81E08"/>
    <w:rsid w:val="00D81F51"/>
    <w:rsid w:val="00D835D6"/>
    <w:rsid w:val="00D8390A"/>
    <w:rsid w:val="00D83B33"/>
    <w:rsid w:val="00D83BEB"/>
    <w:rsid w:val="00D83CFC"/>
    <w:rsid w:val="00D845AB"/>
    <w:rsid w:val="00D84791"/>
    <w:rsid w:val="00D85686"/>
    <w:rsid w:val="00D85766"/>
    <w:rsid w:val="00D857D9"/>
    <w:rsid w:val="00D86A3C"/>
    <w:rsid w:val="00D86BC4"/>
    <w:rsid w:val="00D877EE"/>
    <w:rsid w:val="00D90123"/>
    <w:rsid w:val="00D90476"/>
    <w:rsid w:val="00D90D7F"/>
    <w:rsid w:val="00D90ED2"/>
    <w:rsid w:val="00D912E8"/>
    <w:rsid w:val="00D913EB"/>
    <w:rsid w:val="00D9158F"/>
    <w:rsid w:val="00D923EE"/>
    <w:rsid w:val="00D925DC"/>
    <w:rsid w:val="00D92695"/>
    <w:rsid w:val="00D92ACA"/>
    <w:rsid w:val="00D92FEC"/>
    <w:rsid w:val="00D94074"/>
    <w:rsid w:val="00D94B8D"/>
    <w:rsid w:val="00D94C66"/>
    <w:rsid w:val="00D96CD5"/>
    <w:rsid w:val="00D96E2F"/>
    <w:rsid w:val="00DA00D4"/>
    <w:rsid w:val="00DA0CA6"/>
    <w:rsid w:val="00DA2176"/>
    <w:rsid w:val="00DA29D1"/>
    <w:rsid w:val="00DA2A78"/>
    <w:rsid w:val="00DA2BD8"/>
    <w:rsid w:val="00DA2E23"/>
    <w:rsid w:val="00DA30BB"/>
    <w:rsid w:val="00DA352F"/>
    <w:rsid w:val="00DA3550"/>
    <w:rsid w:val="00DA3B0B"/>
    <w:rsid w:val="00DA47E1"/>
    <w:rsid w:val="00DA4946"/>
    <w:rsid w:val="00DA4C4A"/>
    <w:rsid w:val="00DA4D9C"/>
    <w:rsid w:val="00DA56E8"/>
    <w:rsid w:val="00DA59CB"/>
    <w:rsid w:val="00DA5BC4"/>
    <w:rsid w:val="00DA5CBB"/>
    <w:rsid w:val="00DA7278"/>
    <w:rsid w:val="00DA7AAD"/>
    <w:rsid w:val="00DB039C"/>
    <w:rsid w:val="00DB0442"/>
    <w:rsid w:val="00DB0978"/>
    <w:rsid w:val="00DB3275"/>
    <w:rsid w:val="00DB32FD"/>
    <w:rsid w:val="00DB3710"/>
    <w:rsid w:val="00DB4D1C"/>
    <w:rsid w:val="00DB51FF"/>
    <w:rsid w:val="00DB65AA"/>
    <w:rsid w:val="00DB6D19"/>
    <w:rsid w:val="00DB6F79"/>
    <w:rsid w:val="00DB79ED"/>
    <w:rsid w:val="00DC00C6"/>
    <w:rsid w:val="00DC0136"/>
    <w:rsid w:val="00DC136A"/>
    <w:rsid w:val="00DC2307"/>
    <w:rsid w:val="00DC2C2A"/>
    <w:rsid w:val="00DC317E"/>
    <w:rsid w:val="00DC3808"/>
    <w:rsid w:val="00DC4300"/>
    <w:rsid w:val="00DC4898"/>
    <w:rsid w:val="00DC4902"/>
    <w:rsid w:val="00DC4D95"/>
    <w:rsid w:val="00DC5096"/>
    <w:rsid w:val="00DC5343"/>
    <w:rsid w:val="00DC5E73"/>
    <w:rsid w:val="00DC628B"/>
    <w:rsid w:val="00DC6339"/>
    <w:rsid w:val="00DC6A79"/>
    <w:rsid w:val="00DC6CAA"/>
    <w:rsid w:val="00DC74BE"/>
    <w:rsid w:val="00DC7C92"/>
    <w:rsid w:val="00DC7FE8"/>
    <w:rsid w:val="00DD00CE"/>
    <w:rsid w:val="00DD05D0"/>
    <w:rsid w:val="00DD1618"/>
    <w:rsid w:val="00DD18C5"/>
    <w:rsid w:val="00DD1B74"/>
    <w:rsid w:val="00DD1F18"/>
    <w:rsid w:val="00DD2370"/>
    <w:rsid w:val="00DD291F"/>
    <w:rsid w:val="00DD2DB9"/>
    <w:rsid w:val="00DD2E95"/>
    <w:rsid w:val="00DD3C29"/>
    <w:rsid w:val="00DD44DD"/>
    <w:rsid w:val="00DD4557"/>
    <w:rsid w:val="00DD4809"/>
    <w:rsid w:val="00DD5006"/>
    <w:rsid w:val="00DD50F9"/>
    <w:rsid w:val="00DD6259"/>
    <w:rsid w:val="00DD6A9C"/>
    <w:rsid w:val="00DD7C7D"/>
    <w:rsid w:val="00DD7F34"/>
    <w:rsid w:val="00DD7F87"/>
    <w:rsid w:val="00DE04E7"/>
    <w:rsid w:val="00DE0954"/>
    <w:rsid w:val="00DE0C08"/>
    <w:rsid w:val="00DE0C96"/>
    <w:rsid w:val="00DE0C9F"/>
    <w:rsid w:val="00DE1909"/>
    <w:rsid w:val="00DE1D4A"/>
    <w:rsid w:val="00DE1E85"/>
    <w:rsid w:val="00DE2C4E"/>
    <w:rsid w:val="00DE44CE"/>
    <w:rsid w:val="00DE44DE"/>
    <w:rsid w:val="00DE4926"/>
    <w:rsid w:val="00DE4E83"/>
    <w:rsid w:val="00DE5072"/>
    <w:rsid w:val="00DE51DE"/>
    <w:rsid w:val="00DE57CF"/>
    <w:rsid w:val="00DE5C3A"/>
    <w:rsid w:val="00DE5FE1"/>
    <w:rsid w:val="00DE6596"/>
    <w:rsid w:val="00DE6F2A"/>
    <w:rsid w:val="00DE6FB7"/>
    <w:rsid w:val="00DE7EBE"/>
    <w:rsid w:val="00DF055C"/>
    <w:rsid w:val="00DF06F3"/>
    <w:rsid w:val="00DF0D1B"/>
    <w:rsid w:val="00DF0D77"/>
    <w:rsid w:val="00DF1987"/>
    <w:rsid w:val="00DF23D0"/>
    <w:rsid w:val="00DF25F9"/>
    <w:rsid w:val="00DF29F2"/>
    <w:rsid w:val="00DF3556"/>
    <w:rsid w:val="00DF3A22"/>
    <w:rsid w:val="00DF41E1"/>
    <w:rsid w:val="00DF4442"/>
    <w:rsid w:val="00DF48E7"/>
    <w:rsid w:val="00DF49DA"/>
    <w:rsid w:val="00DF4FE9"/>
    <w:rsid w:val="00DF50B7"/>
    <w:rsid w:val="00DF6B60"/>
    <w:rsid w:val="00E008F0"/>
    <w:rsid w:val="00E00C03"/>
    <w:rsid w:val="00E00E18"/>
    <w:rsid w:val="00E013CC"/>
    <w:rsid w:val="00E016FD"/>
    <w:rsid w:val="00E0251F"/>
    <w:rsid w:val="00E045BD"/>
    <w:rsid w:val="00E04850"/>
    <w:rsid w:val="00E04C1D"/>
    <w:rsid w:val="00E04DF6"/>
    <w:rsid w:val="00E05745"/>
    <w:rsid w:val="00E066C8"/>
    <w:rsid w:val="00E06815"/>
    <w:rsid w:val="00E06BD3"/>
    <w:rsid w:val="00E06D0F"/>
    <w:rsid w:val="00E07D70"/>
    <w:rsid w:val="00E1029F"/>
    <w:rsid w:val="00E10E48"/>
    <w:rsid w:val="00E11D49"/>
    <w:rsid w:val="00E12871"/>
    <w:rsid w:val="00E1291C"/>
    <w:rsid w:val="00E1318B"/>
    <w:rsid w:val="00E13510"/>
    <w:rsid w:val="00E13671"/>
    <w:rsid w:val="00E13B0E"/>
    <w:rsid w:val="00E163DF"/>
    <w:rsid w:val="00E16ED0"/>
    <w:rsid w:val="00E170ED"/>
    <w:rsid w:val="00E17DEE"/>
    <w:rsid w:val="00E20CC2"/>
    <w:rsid w:val="00E20D3B"/>
    <w:rsid w:val="00E20DD4"/>
    <w:rsid w:val="00E21330"/>
    <w:rsid w:val="00E2147D"/>
    <w:rsid w:val="00E22471"/>
    <w:rsid w:val="00E23227"/>
    <w:rsid w:val="00E23A9C"/>
    <w:rsid w:val="00E24084"/>
    <w:rsid w:val="00E24292"/>
    <w:rsid w:val="00E245F3"/>
    <w:rsid w:val="00E24C13"/>
    <w:rsid w:val="00E24C8D"/>
    <w:rsid w:val="00E24F23"/>
    <w:rsid w:val="00E27326"/>
    <w:rsid w:val="00E30488"/>
    <w:rsid w:val="00E30B8C"/>
    <w:rsid w:val="00E31417"/>
    <w:rsid w:val="00E332BE"/>
    <w:rsid w:val="00E336C0"/>
    <w:rsid w:val="00E336FF"/>
    <w:rsid w:val="00E3541C"/>
    <w:rsid w:val="00E3716D"/>
    <w:rsid w:val="00E37C87"/>
    <w:rsid w:val="00E40897"/>
    <w:rsid w:val="00E412F0"/>
    <w:rsid w:val="00E417B9"/>
    <w:rsid w:val="00E419E5"/>
    <w:rsid w:val="00E41F70"/>
    <w:rsid w:val="00E42EE8"/>
    <w:rsid w:val="00E43260"/>
    <w:rsid w:val="00E441B6"/>
    <w:rsid w:val="00E443AD"/>
    <w:rsid w:val="00E445EE"/>
    <w:rsid w:val="00E449F9"/>
    <w:rsid w:val="00E45046"/>
    <w:rsid w:val="00E45174"/>
    <w:rsid w:val="00E45FF1"/>
    <w:rsid w:val="00E474B9"/>
    <w:rsid w:val="00E47E99"/>
    <w:rsid w:val="00E50245"/>
    <w:rsid w:val="00E508B7"/>
    <w:rsid w:val="00E508C0"/>
    <w:rsid w:val="00E51A92"/>
    <w:rsid w:val="00E5229C"/>
    <w:rsid w:val="00E52521"/>
    <w:rsid w:val="00E530D5"/>
    <w:rsid w:val="00E53441"/>
    <w:rsid w:val="00E53903"/>
    <w:rsid w:val="00E53EF8"/>
    <w:rsid w:val="00E541A9"/>
    <w:rsid w:val="00E54472"/>
    <w:rsid w:val="00E55520"/>
    <w:rsid w:val="00E555BA"/>
    <w:rsid w:val="00E55D7B"/>
    <w:rsid w:val="00E55F42"/>
    <w:rsid w:val="00E56040"/>
    <w:rsid w:val="00E567D8"/>
    <w:rsid w:val="00E60252"/>
    <w:rsid w:val="00E60958"/>
    <w:rsid w:val="00E61570"/>
    <w:rsid w:val="00E619C5"/>
    <w:rsid w:val="00E6266E"/>
    <w:rsid w:val="00E62834"/>
    <w:rsid w:val="00E62F06"/>
    <w:rsid w:val="00E63C91"/>
    <w:rsid w:val="00E6460C"/>
    <w:rsid w:val="00E65B4D"/>
    <w:rsid w:val="00E65D64"/>
    <w:rsid w:val="00E667DB"/>
    <w:rsid w:val="00E670F9"/>
    <w:rsid w:val="00E672F0"/>
    <w:rsid w:val="00E67A7E"/>
    <w:rsid w:val="00E67F67"/>
    <w:rsid w:val="00E7018D"/>
    <w:rsid w:val="00E709A2"/>
    <w:rsid w:val="00E70FEC"/>
    <w:rsid w:val="00E726DC"/>
    <w:rsid w:val="00E72A0B"/>
    <w:rsid w:val="00E72BB5"/>
    <w:rsid w:val="00E72EB8"/>
    <w:rsid w:val="00E7353C"/>
    <w:rsid w:val="00E73A2E"/>
    <w:rsid w:val="00E742C0"/>
    <w:rsid w:val="00E75050"/>
    <w:rsid w:val="00E750D3"/>
    <w:rsid w:val="00E75DA3"/>
    <w:rsid w:val="00E76756"/>
    <w:rsid w:val="00E76A5C"/>
    <w:rsid w:val="00E77063"/>
    <w:rsid w:val="00E771A3"/>
    <w:rsid w:val="00E77411"/>
    <w:rsid w:val="00E77920"/>
    <w:rsid w:val="00E77D16"/>
    <w:rsid w:val="00E77F75"/>
    <w:rsid w:val="00E800C9"/>
    <w:rsid w:val="00E80C04"/>
    <w:rsid w:val="00E80DEC"/>
    <w:rsid w:val="00E81582"/>
    <w:rsid w:val="00E82FE6"/>
    <w:rsid w:val="00E83351"/>
    <w:rsid w:val="00E838E8"/>
    <w:rsid w:val="00E841C0"/>
    <w:rsid w:val="00E85225"/>
    <w:rsid w:val="00E85266"/>
    <w:rsid w:val="00E85584"/>
    <w:rsid w:val="00E86518"/>
    <w:rsid w:val="00E86B56"/>
    <w:rsid w:val="00E86CE3"/>
    <w:rsid w:val="00E86EB1"/>
    <w:rsid w:val="00E86F22"/>
    <w:rsid w:val="00E87213"/>
    <w:rsid w:val="00E8743E"/>
    <w:rsid w:val="00E87548"/>
    <w:rsid w:val="00E91DFD"/>
    <w:rsid w:val="00E9277B"/>
    <w:rsid w:val="00E92C4B"/>
    <w:rsid w:val="00E92D01"/>
    <w:rsid w:val="00E93277"/>
    <w:rsid w:val="00E9424F"/>
    <w:rsid w:val="00E94566"/>
    <w:rsid w:val="00E949DB"/>
    <w:rsid w:val="00E95144"/>
    <w:rsid w:val="00E954E9"/>
    <w:rsid w:val="00E970C8"/>
    <w:rsid w:val="00E9725D"/>
    <w:rsid w:val="00E979A3"/>
    <w:rsid w:val="00E97A68"/>
    <w:rsid w:val="00EA1898"/>
    <w:rsid w:val="00EA1ADB"/>
    <w:rsid w:val="00EA1DD0"/>
    <w:rsid w:val="00EA2129"/>
    <w:rsid w:val="00EA22C0"/>
    <w:rsid w:val="00EA2494"/>
    <w:rsid w:val="00EA2A5E"/>
    <w:rsid w:val="00EA35DF"/>
    <w:rsid w:val="00EA3966"/>
    <w:rsid w:val="00EA3B11"/>
    <w:rsid w:val="00EA4767"/>
    <w:rsid w:val="00EA4C3B"/>
    <w:rsid w:val="00EA5468"/>
    <w:rsid w:val="00EA5812"/>
    <w:rsid w:val="00EA5927"/>
    <w:rsid w:val="00EA5A3D"/>
    <w:rsid w:val="00EA61D6"/>
    <w:rsid w:val="00EA6788"/>
    <w:rsid w:val="00EB012C"/>
    <w:rsid w:val="00EB1E5E"/>
    <w:rsid w:val="00EB215F"/>
    <w:rsid w:val="00EB2DF3"/>
    <w:rsid w:val="00EB33E5"/>
    <w:rsid w:val="00EB39F5"/>
    <w:rsid w:val="00EB405D"/>
    <w:rsid w:val="00EB428A"/>
    <w:rsid w:val="00EB4331"/>
    <w:rsid w:val="00EB4D6B"/>
    <w:rsid w:val="00EB4FCB"/>
    <w:rsid w:val="00EB61A1"/>
    <w:rsid w:val="00EB7281"/>
    <w:rsid w:val="00EB7536"/>
    <w:rsid w:val="00EB7952"/>
    <w:rsid w:val="00EC0515"/>
    <w:rsid w:val="00EC0964"/>
    <w:rsid w:val="00EC0D05"/>
    <w:rsid w:val="00EC0E96"/>
    <w:rsid w:val="00EC29BC"/>
    <w:rsid w:val="00EC2B52"/>
    <w:rsid w:val="00EC2BA8"/>
    <w:rsid w:val="00EC2EDC"/>
    <w:rsid w:val="00EC36EB"/>
    <w:rsid w:val="00EC3CE4"/>
    <w:rsid w:val="00EC5194"/>
    <w:rsid w:val="00EC5A2A"/>
    <w:rsid w:val="00EC5EC1"/>
    <w:rsid w:val="00EC62FC"/>
    <w:rsid w:val="00EC6D4C"/>
    <w:rsid w:val="00EC737D"/>
    <w:rsid w:val="00EC7590"/>
    <w:rsid w:val="00EC7C09"/>
    <w:rsid w:val="00EC7D3B"/>
    <w:rsid w:val="00ED0BC0"/>
    <w:rsid w:val="00ED0D84"/>
    <w:rsid w:val="00ED0DF8"/>
    <w:rsid w:val="00ED13AD"/>
    <w:rsid w:val="00ED1776"/>
    <w:rsid w:val="00ED1BA6"/>
    <w:rsid w:val="00ED2121"/>
    <w:rsid w:val="00ED2735"/>
    <w:rsid w:val="00ED2975"/>
    <w:rsid w:val="00ED2CE0"/>
    <w:rsid w:val="00ED3016"/>
    <w:rsid w:val="00ED47E1"/>
    <w:rsid w:val="00ED48D9"/>
    <w:rsid w:val="00ED4CD3"/>
    <w:rsid w:val="00ED4D40"/>
    <w:rsid w:val="00ED50CC"/>
    <w:rsid w:val="00ED6865"/>
    <w:rsid w:val="00ED6DD5"/>
    <w:rsid w:val="00EE03EE"/>
    <w:rsid w:val="00EE0608"/>
    <w:rsid w:val="00EE0BF7"/>
    <w:rsid w:val="00EE0E48"/>
    <w:rsid w:val="00EE1533"/>
    <w:rsid w:val="00EE1C3C"/>
    <w:rsid w:val="00EE1D82"/>
    <w:rsid w:val="00EE1E37"/>
    <w:rsid w:val="00EE235E"/>
    <w:rsid w:val="00EE23CD"/>
    <w:rsid w:val="00EE2ACF"/>
    <w:rsid w:val="00EE351C"/>
    <w:rsid w:val="00EE3D5B"/>
    <w:rsid w:val="00EE3F83"/>
    <w:rsid w:val="00EE4151"/>
    <w:rsid w:val="00EE434F"/>
    <w:rsid w:val="00EE45E6"/>
    <w:rsid w:val="00EE48BE"/>
    <w:rsid w:val="00EE502A"/>
    <w:rsid w:val="00EE50A0"/>
    <w:rsid w:val="00EE50CC"/>
    <w:rsid w:val="00EE5D8E"/>
    <w:rsid w:val="00EE5F87"/>
    <w:rsid w:val="00EE63CB"/>
    <w:rsid w:val="00EE684D"/>
    <w:rsid w:val="00EE6D06"/>
    <w:rsid w:val="00EE72BB"/>
    <w:rsid w:val="00EE7556"/>
    <w:rsid w:val="00EE7AAB"/>
    <w:rsid w:val="00EE7DE6"/>
    <w:rsid w:val="00EE7F4F"/>
    <w:rsid w:val="00EF079A"/>
    <w:rsid w:val="00EF0FB8"/>
    <w:rsid w:val="00EF1A28"/>
    <w:rsid w:val="00EF1FD8"/>
    <w:rsid w:val="00EF22E1"/>
    <w:rsid w:val="00EF259B"/>
    <w:rsid w:val="00EF291E"/>
    <w:rsid w:val="00EF2C61"/>
    <w:rsid w:val="00EF336F"/>
    <w:rsid w:val="00EF3687"/>
    <w:rsid w:val="00EF3B9C"/>
    <w:rsid w:val="00EF3C26"/>
    <w:rsid w:val="00EF3CAC"/>
    <w:rsid w:val="00EF3E22"/>
    <w:rsid w:val="00EF408B"/>
    <w:rsid w:val="00EF4107"/>
    <w:rsid w:val="00EF43B6"/>
    <w:rsid w:val="00EF449A"/>
    <w:rsid w:val="00EF5E9A"/>
    <w:rsid w:val="00EF5F34"/>
    <w:rsid w:val="00EF7234"/>
    <w:rsid w:val="00EF7380"/>
    <w:rsid w:val="00F006F3"/>
    <w:rsid w:val="00F00B39"/>
    <w:rsid w:val="00F010C6"/>
    <w:rsid w:val="00F01384"/>
    <w:rsid w:val="00F0165D"/>
    <w:rsid w:val="00F017FC"/>
    <w:rsid w:val="00F028DB"/>
    <w:rsid w:val="00F02BC5"/>
    <w:rsid w:val="00F02C47"/>
    <w:rsid w:val="00F02CE4"/>
    <w:rsid w:val="00F02D08"/>
    <w:rsid w:val="00F0344C"/>
    <w:rsid w:val="00F0496B"/>
    <w:rsid w:val="00F04D7A"/>
    <w:rsid w:val="00F053B5"/>
    <w:rsid w:val="00F05456"/>
    <w:rsid w:val="00F056D9"/>
    <w:rsid w:val="00F05B02"/>
    <w:rsid w:val="00F06F4B"/>
    <w:rsid w:val="00F07842"/>
    <w:rsid w:val="00F07D99"/>
    <w:rsid w:val="00F102FB"/>
    <w:rsid w:val="00F10855"/>
    <w:rsid w:val="00F109FE"/>
    <w:rsid w:val="00F10B7E"/>
    <w:rsid w:val="00F112B2"/>
    <w:rsid w:val="00F121B8"/>
    <w:rsid w:val="00F12C42"/>
    <w:rsid w:val="00F14347"/>
    <w:rsid w:val="00F15F39"/>
    <w:rsid w:val="00F16422"/>
    <w:rsid w:val="00F16610"/>
    <w:rsid w:val="00F16734"/>
    <w:rsid w:val="00F174DE"/>
    <w:rsid w:val="00F179A3"/>
    <w:rsid w:val="00F20005"/>
    <w:rsid w:val="00F20820"/>
    <w:rsid w:val="00F20DE4"/>
    <w:rsid w:val="00F21185"/>
    <w:rsid w:val="00F21C1C"/>
    <w:rsid w:val="00F21CFB"/>
    <w:rsid w:val="00F22764"/>
    <w:rsid w:val="00F22B3E"/>
    <w:rsid w:val="00F234D7"/>
    <w:rsid w:val="00F23A7B"/>
    <w:rsid w:val="00F23C57"/>
    <w:rsid w:val="00F23CBE"/>
    <w:rsid w:val="00F24153"/>
    <w:rsid w:val="00F244D7"/>
    <w:rsid w:val="00F246A9"/>
    <w:rsid w:val="00F2474F"/>
    <w:rsid w:val="00F257B5"/>
    <w:rsid w:val="00F25934"/>
    <w:rsid w:val="00F25AF8"/>
    <w:rsid w:val="00F25BC9"/>
    <w:rsid w:val="00F261E3"/>
    <w:rsid w:val="00F26803"/>
    <w:rsid w:val="00F2697E"/>
    <w:rsid w:val="00F26B48"/>
    <w:rsid w:val="00F279F9"/>
    <w:rsid w:val="00F27B59"/>
    <w:rsid w:val="00F27E03"/>
    <w:rsid w:val="00F27F2E"/>
    <w:rsid w:val="00F30019"/>
    <w:rsid w:val="00F308C0"/>
    <w:rsid w:val="00F30925"/>
    <w:rsid w:val="00F30C44"/>
    <w:rsid w:val="00F31060"/>
    <w:rsid w:val="00F318E1"/>
    <w:rsid w:val="00F31DD2"/>
    <w:rsid w:val="00F3240F"/>
    <w:rsid w:val="00F32907"/>
    <w:rsid w:val="00F33D23"/>
    <w:rsid w:val="00F34072"/>
    <w:rsid w:val="00F34AEA"/>
    <w:rsid w:val="00F34BD7"/>
    <w:rsid w:val="00F34DF4"/>
    <w:rsid w:val="00F350DF"/>
    <w:rsid w:val="00F3667B"/>
    <w:rsid w:val="00F37397"/>
    <w:rsid w:val="00F377AB"/>
    <w:rsid w:val="00F402BF"/>
    <w:rsid w:val="00F4058A"/>
    <w:rsid w:val="00F4122B"/>
    <w:rsid w:val="00F419C6"/>
    <w:rsid w:val="00F41AC6"/>
    <w:rsid w:val="00F42A11"/>
    <w:rsid w:val="00F42A36"/>
    <w:rsid w:val="00F42A49"/>
    <w:rsid w:val="00F42C20"/>
    <w:rsid w:val="00F43419"/>
    <w:rsid w:val="00F44774"/>
    <w:rsid w:val="00F44A9D"/>
    <w:rsid w:val="00F44B2A"/>
    <w:rsid w:val="00F4527C"/>
    <w:rsid w:val="00F458FB"/>
    <w:rsid w:val="00F461A4"/>
    <w:rsid w:val="00F463CF"/>
    <w:rsid w:val="00F46862"/>
    <w:rsid w:val="00F51351"/>
    <w:rsid w:val="00F51475"/>
    <w:rsid w:val="00F51532"/>
    <w:rsid w:val="00F51576"/>
    <w:rsid w:val="00F51DBA"/>
    <w:rsid w:val="00F51E87"/>
    <w:rsid w:val="00F51EC9"/>
    <w:rsid w:val="00F52819"/>
    <w:rsid w:val="00F53098"/>
    <w:rsid w:val="00F54485"/>
    <w:rsid w:val="00F5458F"/>
    <w:rsid w:val="00F5480D"/>
    <w:rsid w:val="00F548A3"/>
    <w:rsid w:val="00F54936"/>
    <w:rsid w:val="00F54C5F"/>
    <w:rsid w:val="00F55169"/>
    <w:rsid w:val="00F55B6F"/>
    <w:rsid w:val="00F56C65"/>
    <w:rsid w:val="00F5756B"/>
    <w:rsid w:val="00F575D3"/>
    <w:rsid w:val="00F57C44"/>
    <w:rsid w:val="00F57D80"/>
    <w:rsid w:val="00F607C3"/>
    <w:rsid w:val="00F60C30"/>
    <w:rsid w:val="00F60F3C"/>
    <w:rsid w:val="00F61352"/>
    <w:rsid w:val="00F61AA6"/>
    <w:rsid w:val="00F622ED"/>
    <w:rsid w:val="00F623E9"/>
    <w:rsid w:val="00F624AA"/>
    <w:rsid w:val="00F624E6"/>
    <w:rsid w:val="00F62A68"/>
    <w:rsid w:val="00F6361A"/>
    <w:rsid w:val="00F639F8"/>
    <w:rsid w:val="00F63B07"/>
    <w:rsid w:val="00F63D51"/>
    <w:rsid w:val="00F64B4D"/>
    <w:rsid w:val="00F6556E"/>
    <w:rsid w:val="00F65884"/>
    <w:rsid w:val="00F6602A"/>
    <w:rsid w:val="00F66892"/>
    <w:rsid w:val="00F66AC4"/>
    <w:rsid w:val="00F66DF2"/>
    <w:rsid w:val="00F6748D"/>
    <w:rsid w:val="00F67C74"/>
    <w:rsid w:val="00F701C2"/>
    <w:rsid w:val="00F702F7"/>
    <w:rsid w:val="00F70529"/>
    <w:rsid w:val="00F71445"/>
    <w:rsid w:val="00F7148D"/>
    <w:rsid w:val="00F71763"/>
    <w:rsid w:val="00F72FF1"/>
    <w:rsid w:val="00F7345A"/>
    <w:rsid w:val="00F74E8D"/>
    <w:rsid w:val="00F7543A"/>
    <w:rsid w:val="00F76347"/>
    <w:rsid w:val="00F76980"/>
    <w:rsid w:val="00F77FD7"/>
    <w:rsid w:val="00F81155"/>
    <w:rsid w:val="00F81EA8"/>
    <w:rsid w:val="00F82356"/>
    <w:rsid w:val="00F827CC"/>
    <w:rsid w:val="00F82B11"/>
    <w:rsid w:val="00F82F38"/>
    <w:rsid w:val="00F83165"/>
    <w:rsid w:val="00F83EF5"/>
    <w:rsid w:val="00F83F0A"/>
    <w:rsid w:val="00F85309"/>
    <w:rsid w:val="00F85CA7"/>
    <w:rsid w:val="00F85D0C"/>
    <w:rsid w:val="00F85EC3"/>
    <w:rsid w:val="00F860F1"/>
    <w:rsid w:val="00F865C2"/>
    <w:rsid w:val="00F86A28"/>
    <w:rsid w:val="00F86A40"/>
    <w:rsid w:val="00F86A5B"/>
    <w:rsid w:val="00F86F0D"/>
    <w:rsid w:val="00F87AB0"/>
    <w:rsid w:val="00F9084B"/>
    <w:rsid w:val="00F90CA7"/>
    <w:rsid w:val="00F91588"/>
    <w:rsid w:val="00F9172A"/>
    <w:rsid w:val="00F9183E"/>
    <w:rsid w:val="00F91BC6"/>
    <w:rsid w:val="00F92B5A"/>
    <w:rsid w:val="00F92D14"/>
    <w:rsid w:val="00F92FE1"/>
    <w:rsid w:val="00F93479"/>
    <w:rsid w:val="00F93A30"/>
    <w:rsid w:val="00F94934"/>
    <w:rsid w:val="00F94BEB"/>
    <w:rsid w:val="00F9545F"/>
    <w:rsid w:val="00F9596C"/>
    <w:rsid w:val="00F95FEE"/>
    <w:rsid w:val="00F96478"/>
    <w:rsid w:val="00F965E5"/>
    <w:rsid w:val="00F967F8"/>
    <w:rsid w:val="00F96C1E"/>
    <w:rsid w:val="00F96D07"/>
    <w:rsid w:val="00F9725D"/>
    <w:rsid w:val="00F974C5"/>
    <w:rsid w:val="00FA0174"/>
    <w:rsid w:val="00FA1802"/>
    <w:rsid w:val="00FA18F1"/>
    <w:rsid w:val="00FA2046"/>
    <w:rsid w:val="00FA2F0D"/>
    <w:rsid w:val="00FA3241"/>
    <w:rsid w:val="00FA3829"/>
    <w:rsid w:val="00FA4C7E"/>
    <w:rsid w:val="00FA4DDE"/>
    <w:rsid w:val="00FA52BA"/>
    <w:rsid w:val="00FA577D"/>
    <w:rsid w:val="00FA58D7"/>
    <w:rsid w:val="00FA5C3B"/>
    <w:rsid w:val="00FA6774"/>
    <w:rsid w:val="00FA6825"/>
    <w:rsid w:val="00FA6B15"/>
    <w:rsid w:val="00FA6D42"/>
    <w:rsid w:val="00FA77D9"/>
    <w:rsid w:val="00FA797E"/>
    <w:rsid w:val="00FA79D6"/>
    <w:rsid w:val="00FB02E2"/>
    <w:rsid w:val="00FB074D"/>
    <w:rsid w:val="00FB11EC"/>
    <w:rsid w:val="00FB13E4"/>
    <w:rsid w:val="00FB1909"/>
    <w:rsid w:val="00FB19BB"/>
    <w:rsid w:val="00FB1D45"/>
    <w:rsid w:val="00FB282C"/>
    <w:rsid w:val="00FB28EE"/>
    <w:rsid w:val="00FB2D28"/>
    <w:rsid w:val="00FB3A6F"/>
    <w:rsid w:val="00FB3ECD"/>
    <w:rsid w:val="00FB42C4"/>
    <w:rsid w:val="00FB54DA"/>
    <w:rsid w:val="00FB5ACA"/>
    <w:rsid w:val="00FB6B5C"/>
    <w:rsid w:val="00FB7E27"/>
    <w:rsid w:val="00FC0AD0"/>
    <w:rsid w:val="00FC0F91"/>
    <w:rsid w:val="00FC118D"/>
    <w:rsid w:val="00FC1950"/>
    <w:rsid w:val="00FC1CA0"/>
    <w:rsid w:val="00FC2DD3"/>
    <w:rsid w:val="00FC37C3"/>
    <w:rsid w:val="00FC3803"/>
    <w:rsid w:val="00FC383E"/>
    <w:rsid w:val="00FC3D2B"/>
    <w:rsid w:val="00FC3E25"/>
    <w:rsid w:val="00FC4BBE"/>
    <w:rsid w:val="00FC4BC8"/>
    <w:rsid w:val="00FC4FD8"/>
    <w:rsid w:val="00FC58E7"/>
    <w:rsid w:val="00FC5C2B"/>
    <w:rsid w:val="00FC5EA2"/>
    <w:rsid w:val="00FC6765"/>
    <w:rsid w:val="00FC749E"/>
    <w:rsid w:val="00FC7AD0"/>
    <w:rsid w:val="00FC7AD8"/>
    <w:rsid w:val="00FC7E8E"/>
    <w:rsid w:val="00FD04A5"/>
    <w:rsid w:val="00FD04C7"/>
    <w:rsid w:val="00FD077F"/>
    <w:rsid w:val="00FD0DF2"/>
    <w:rsid w:val="00FD1130"/>
    <w:rsid w:val="00FD1675"/>
    <w:rsid w:val="00FD1C7B"/>
    <w:rsid w:val="00FD2B51"/>
    <w:rsid w:val="00FD3086"/>
    <w:rsid w:val="00FD40DF"/>
    <w:rsid w:val="00FD4E9F"/>
    <w:rsid w:val="00FD6343"/>
    <w:rsid w:val="00FD6AA1"/>
    <w:rsid w:val="00FD743A"/>
    <w:rsid w:val="00FD7539"/>
    <w:rsid w:val="00FD7902"/>
    <w:rsid w:val="00FD7B68"/>
    <w:rsid w:val="00FD7BEE"/>
    <w:rsid w:val="00FE0760"/>
    <w:rsid w:val="00FE2967"/>
    <w:rsid w:val="00FE2DA0"/>
    <w:rsid w:val="00FE3184"/>
    <w:rsid w:val="00FE5D62"/>
    <w:rsid w:val="00FE6B07"/>
    <w:rsid w:val="00FE6B97"/>
    <w:rsid w:val="00FE7289"/>
    <w:rsid w:val="00FE7B57"/>
    <w:rsid w:val="00FF0924"/>
    <w:rsid w:val="00FF0E46"/>
    <w:rsid w:val="00FF0FCE"/>
    <w:rsid w:val="00FF1628"/>
    <w:rsid w:val="00FF1717"/>
    <w:rsid w:val="00FF1755"/>
    <w:rsid w:val="00FF1CA2"/>
    <w:rsid w:val="00FF2189"/>
    <w:rsid w:val="00FF21BD"/>
    <w:rsid w:val="00FF24F6"/>
    <w:rsid w:val="00FF4D25"/>
    <w:rsid w:val="00FF56BC"/>
    <w:rsid w:val="00FF6A3A"/>
    <w:rsid w:val="00FF6F07"/>
    <w:rsid w:val="00FF7655"/>
    <w:rsid w:val="01F164E1"/>
    <w:rsid w:val="02777BFD"/>
    <w:rsid w:val="02D70BBC"/>
    <w:rsid w:val="04342FEA"/>
    <w:rsid w:val="046A2609"/>
    <w:rsid w:val="04C35BB6"/>
    <w:rsid w:val="05812B41"/>
    <w:rsid w:val="06394017"/>
    <w:rsid w:val="06910EAC"/>
    <w:rsid w:val="07043363"/>
    <w:rsid w:val="077227F5"/>
    <w:rsid w:val="083A7CC8"/>
    <w:rsid w:val="08962DA7"/>
    <w:rsid w:val="09B94F9F"/>
    <w:rsid w:val="0A4F4DA1"/>
    <w:rsid w:val="0A7635CD"/>
    <w:rsid w:val="0BDC13D1"/>
    <w:rsid w:val="0C50326D"/>
    <w:rsid w:val="0C554FCB"/>
    <w:rsid w:val="0C6108A9"/>
    <w:rsid w:val="0D08134E"/>
    <w:rsid w:val="0D424F63"/>
    <w:rsid w:val="0DC844B2"/>
    <w:rsid w:val="0E2520B0"/>
    <w:rsid w:val="0E664FCA"/>
    <w:rsid w:val="0E782A0F"/>
    <w:rsid w:val="0EF435C5"/>
    <w:rsid w:val="0F0C5B71"/>
    <w:rsid w:val="0FB16E61"/>
    <w:rsid w:val="0FCA693E"/>
    <w:rsid w:val="103C4234"/>
    <w:rsid w:val="11737CC0"/>
    <w:rsid w:val="12B05511"/>
    <w:rsid w:val="133F2C82"/>
    <w:rsid w:val="1356059D"/>
    <w:rsid w:val="14702D3A"/>
    <w:rsid w:val="148E0471"/>
    <w:rsid w:val="14C8487A"/>
    <w:rsid w:val="15A03E6A"/>
    <w:rsid w:val="166C19E7"/>
    <w:rsid w:val="16923B57"/>
    <w:rsid w:val="17795D6E"/>
    <w:rsid w:val="1844012A"/>
    <w:rsid w:val="1881312C"/>
    <w:rsid w:val="1968609A"/>
    <w:rsid w:val="19CE5AE6"/>
    <w:rsid w:val="1AB23A71"/>
    <w:rsid w:val="1AC063DE"/>
    <w:rsid w:val="1AD559B1"/>
    <w:rsid w:val="1C0C5329"/>
    <w:rsid w:val="1CA5565B"/>
    <w:rsid w:val="1CF06FD5"/>
    <w:rsid w:val="1DB337A5"/>
    <w:rsid w:val="1DFA5B93"/>
    <w:rsid w:val="1E35555F"/>
    <w:rsid w:val="1EBE473D"/>
    <w:rsid w:val="201C373B"/>
    <w:rsid w:val="207506CD"/>
    <w:rsid w:val="20D53C01"/>
    <w:rsid w:val="219532E5"/>
    <w:rsid w:val="2254749D"/>
    <w:rsid w:val="232B5651"/>
    <w:rsid w:val="23681054"/>
    <w:rsid w:val="24212E47"/>
    <w:rsid w:val="24475657"/>
    <w:rsid w:val="246758CC"/>
    <w:rsid w:val="25971AB4"/>
    <w:rsid w:val="26215C0B"/>
    <w:rsid w:val="276E0D2B"/>
    <w:rsid w:val="27A61EA5"/>
    <w:rsid w:val="27D37F32"/>
    <w:rsid w:val="27DD5EA5"/>
    <w:rsid w:val="2976468E"/>
    <w:rsid w:val="2A0548AB"/>
    <w:rsid w:val="2A56543D"/>
    <w:rsid w:val="2A7340D0"/>
    <w:rsid w:val="2B8966F6"/>
    <w:rsid w:val="2C2033C2"/>
    <w:rsid w:val="2C9D5669"/>
    <w:rsid w:val="2CA205C0"/>
    <w:rsid w:val="2E232138"/>
    <w:rsid w:val="2E4E3407"/>
    <w:rsid w:val="2EF0415C"/>
    <w:rsid w:val="2FA8162C"/>
    <w:rsid w:val="30D10DD3"/>
    <w:rsid w:val="31FC33CC"/>
    <w:rsid w:val="32087FC3"/>
    <w:rsid w:val="32265FD5"/>
    <w:rsid w:val="329F26D5"/>
    <w:rsid w:val="32BA750F"/>
    <w:rsid w:val="32D56359"/>
    <w:rsid w:val="330459DB"/>
    <w:rsid w:val="345D2A1D"/>
    <w:rsid w:val="345E211C"/>
    <w:rsid w:val="34817CEF"/>
    <w:rsid w:val="348441CE"/>
    <w:rsid w:val="34880F47"/>
    <w:rsid w:val="357455F1"/>
    <w:rsid w:val="35DD092B"/>
    <w:rsid w:val="36582A9C"/>
    <w:rsid w:val="36993545"/>
    <w:rsid w:val="369F4384"/>
    <w:rsid w:val="379E73FF"/>
    <w:rsid w:val="37CC3809"/>
    <w:rsid w:val="37CD3840"/>
    <w:rsid w:val="39203E44"/>
    <w:rsid w:val="39730401"/>
    <w:rsid w:val="3B0B75E8"/>
    <w:rsid w:val="3B7C7A57"/>
    <w:rsid w:val="3C5462DE"/>
    <w:rsid w:val="3D5061A6"/>
    <w:rsid w:val="3DF14E3C"/>
    <w:rsid w:val="3DFC2627"/>
    <w:rsid w:val="3EE945C3"/>
    <w:rsid w:val="3F3C6A4D"/>
    <w:rsid w:val="3FCF3ED9"/>
    <w:rsid w:val="3FD140EA"/>
    <w:rsid w:val="3FE411B1"/>
    <w:rsid w:val="4015635A"/>
    <w:rsid w:val="4089760D"/>
    <w:rsid w:val="42D65F34"/>
    <w:rsid w:val="44365AE6"/>
    <w:rsid w:val="445B08A3"/>
    <w:rsid w:val="45693886"/>
    <w:rsid w:val="460F1C96"/>
    <w:rsid w:val="473F5DDD"/>
    <w:rsid w:val="47745A86"/>
    <w:rsid w:val="47B15066"/>
    <w:rsid w:val="47C359F1"/>
    <w:rsid w:val="47CA1B4A"/>
    <w:rsid w:val="47F941DE"/>
    <w:rsid w:val="48C04CFB"/>
    <w:rsid w:val="497B3F13"/>
    <w:rsid w:val="49D35818"/>
    <w:rsid w:val="49E411F4"/>
    <w:rsid w:val="4A1C2405"/>
    <w:rsid w:val="4A613290"/>
    <w:rsid w:val="4AF122FD"/>
    <w:rsid w:val="4B991F60"/>
    <w:rsid w:val="4C685FF5"/>
    <w:rsid w:val="4C6C1422"/>
    <w:rsid w:val="4CEB1255"/>
    <w:rsid w:val="4D4702FD"/>
    <w:rsid w:val="4D577C4A"/>
    <w:rsid w:val="4DBA3214"/>
    <w:rsid w:val="4E173610"/>
    <w:rsid w:val="4E321D7A"/>
    <w:rsid w:val="4F7E481F"/>
    <w:rsid w:val="4F953D47"/>
    <w:rsid w:val="5026588C"/>
    <w:rsid w:val="504C2DF0"/>
    <w:rsid w:val="50A85454"/>
    <w:rsid w:val="50BE4F60"/>
    <w:rsid w:val="51B80C66"/>
    <w:rsid w:val="52BE04FE"/>
    <w:rsid w:val="54492049"/>
    <w:rsid w:val="547D0BAA"/>
    <w:rsid w:val="54A67298"/>
    <w:rsid w:val="56206DD9"/>
    <w:rsid w:val="564407D3"/>
    <w:rsid w:val="56D3300B"/>
    <w:rsid w:val="57662666"/>
    <w:rsid w:val="581D7A74"/>
    <w:rsid w:val="58807673"/>
    <w:rsid w:val="58F55A17"/>
    <w:rsid w:val="59A43A02"/>
    <w:rsid w:val="5A940ED3"/>
    <w:rsid w:val="5B266C40"/>
    <w:rsid w:val="5B692A0A"/>
    <w:rsid w:val="5BD8454B"/>
    <w:rsid w:val="5C891B7C"/>
    <w:rsid w:val="5E0F7E5F"/>
    <w:rsid w:val="5F287C61"/>
    <w:rsid w:val="5FA82844"/>
    <w:rsid w:val="5FCC080D"/>
    <w:rsid w:val="60146F80"/>
    <w:rsid w:val="6159451E"/>
    <w:rsid w:val="62A40365"/>
    <w:rsid w:val="63337752"/>
    <w:rsid w:val="648D6791"/>
    <w:rsid w:val="671465AA"/>
    <w:rsid w:val="672A5D0A"/>
    <w:rsid w:val="67352362"/>
    <w:rsid w:val="67B73C13"/>
    <w:rsid w:val="68115500"/>
    <w:rsid w:val="685B7298"/>
    <w:rsid w:val="6AA302AD"/>
    <w:rsid w:val="6AB74CCC"/>
    <w:rsid w:val="6C9F4AA4"/>
    <w:rsid w:val="6D817B44"/>
    <w:rsid w:val="6DB77BCC"/>
    <w:rsid w:val="6E603D3C"/>
    <w:rsid w:val="6E786414"/>
    <w:rsid w:val="70AA28E3"/>
    <w:rsid w:val="71E33685"/>
    <w:rsid w:val="725635DD"/>
    <w:rsid w:val="72AE5598"/>
    <w:rsid w:val="72B66F8B"/>
    <w:rsid w:val="72D37256"/>
    <w:rsid w:val="7346211D"/>
    <w:rsid w:val="735E614C"/>
    <w:rsid w:val="738564EC"/>
    <w:rsid w:val="74192FC4"/>
    <w:rsid w:val="74542618"/>
    <w:rsid w:val="748E25CA"/>
    <w:rsid w:val="74A70471"/>
    <w:rsid w:val="74AB66DC"/>
    <w:rsid w:val="74CC256E"/>
    <w:rsid w:val="75081759"/>
    <w:rsid w:val="751F29F5"/>
    <w:rsid w:val="774B7FC3"/>
    <w:rsid w:val="777547E2"/>
    <w:rsid w:val="787D0AF9"/>
    <w:rsid w:val="79030169"/>
    <w:rsid w:val="797A042B"/>
    <w:rsid w:val="79E1494E"/>
    <w:rsid w:val="7A135711"/>
    <w:rsid w:val="7AE63EBE"/>
    <w:rsid w:val="7B0C77A9"/>
    <w:rsid w:val="7C5E4916"/>
    <w:rsid w:val="7CD159DE"/>
    <w:rsid w:val="7E5908C8"/>
    <w:rsid w:val="7E851D4C"/>
    <w:rsid w:val="7EFE38AC"/>
    <w:rsid w:val="7FFF3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9"/>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semiHidden/>
    <w:unhideWhenUsed/>
    <w:qFormat/>
    <w:uiPriority w:val="99"/>
    <w:pPr>
      <w:jc w:val="left"/>
    </w:pPr>
  </w:style>
  <w:style w:type="paragraph" w:styleId="5">
    <w:name w:val="Plain Text"/>
    <w:basedOn w:val="1"/>
    <w:link w:val="15"/>
    <w:unhideWhenUsed/>
    <w:qFormat/>
    <w:uiPriority w:val="99"/>
    <w:rPr>
      <w:rFonts w:ascii="宋体" w:hAnsi="Courier New" w:eastAsia="宋体" w:cs="Courier New"/>
      <w:szCs w:val="21"/>
    </w:rPr>
  </w:style>
  <w:style w:type="paragraph" w:styleId="6">
    <w:name w:val="Balloon Text"/>
    <w:basedOn w:val="1"/>
    <w:link w:val="25"/>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4"/>
    <w:semiHidden/>
    <w:unhideWhenUsed/>
    <w:qFormat/>
    <w:uiPriority w:val="99"/>
    <w:rPr>
      <w:b/>
      <w:bCs/>
    </w:rPr>
  </w:style>
  <w:style w:type="character" w:styleId="12">
    <w:name w:val="FollowedHyperlink"/>
    <w:basedOn w:val="11"/>
    <w:semiHidden/>
    <w:unhideWhenUsed/>
    <w:qFormat/>
    <w:uiPriority w:val="99"/>
    <w:rPr>
      <w:color w:val="954F72" w:themeColor="followedHyperlink"/>
      <w:u w:val="single"/>
      <w14:textFill>
        <w14:solidFill>
          <w14:schemeClr w14:val="folHlink"/>
        </w14:solidFill>
      </w14:textFill>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annotation reference"/>
    <w:basedOn w:val="11"/>
    <w:semiHidden/>
    <w:unhideWhenUsed/>
    <w:qFormat/>
    <w:uiPriority w:val="99"/>
    <w:rPr>
      <w:sz w:val="21"/>
      <w:szCs w:val="21"/>
    </w:rPr>
  </w:style>
  <w:style w:type="character" w:customStyle="1" w:styleId="15">
    <w:name w:val="纯文本 Char"/>
    <w:basedOn w:val="11"/>
    <w:link w:val="5"/>
    <w:qFormat/>
    <w:uiPriority w:val="99"/>
    <w:rPr>
      <w:rFonts w:ascii="宋体" w:hAnsi="Courier New" w:eastAsia="宋体" w:cs="Courier New"/>
      <w:szCs w:val="21"/>
    </w:rPr>
  </w:style>
  <w:style w:type="character" w:customStyle="1" w:styleId="16">
    <w:name w:val="页眉 Char"/>
    <w:basedOn w:val="11"/>
    <w:link w:val="8"/>
    <w:qFormat/>
    <w:uiPriority w:val="99"/>
    <w:rPr>
      <w:sz w:val="18"/>
      <w:szCs w:val="18"/>
    </w:rPr>
  </w:style>
  <w:style w:type="character" w:customStyle="1" w:styleId="17">
    <w:name w:val="页脚 Char"/>
    <w:basedOn w:val="11"/>
    <w:link w:val="7"/>
    <w:qFormat/>
    <w:uiPriority w:val="99"/>
    <w:rPr>
      <w:sz w:val="18"/>
      <w:szCs w:val="18"/>
    </w:rPr>
  </w:style>
  <w:style w:type="character" w:customStyle="1" w:styleId="18">
    <w:name w:val="conrtib-corresp"/>
    <w:basedOn w:val="11"/>
    <w:qFormat/>
    <w:uiPriority w:val="0"/>
  </w:style>
  <w:style w:type="character" w:customStyle="1" w:styleId="19">
    <w:name w:val="标题 3 Char"/>
    <w:basedOn w:val="11"/>
    <w:link w:val="3"/>
    <w:semiHidden/>
    <w:qFormat/>
    <w:uiPriority w:val="9"/>
    <w:rPr>
      <w:b/>
      <w:bCs/>
      <w:sz w:val="32"/>
      <w:szCs w:val="32"/>
    </w:rPr>
  </w:style>
  <w:style w:type="character" w:customStyle="1" w:styleId="20">
    <w:name w:val="标题 2 Char"/>
    <w:basedOn w:val="11"/>
    <w:link w:val="2"/>
    <w:semiHidden/>
    <w:qFormat/>
    <w:uiPriority w:val="9"/>
    <w:rPr>
      <w:rFonts w:asciiTheme="majorHAnsi" w:hAnsiTheme="majorHAnsi" w:eastAsiaTheme="majorEastAsia" w:cstheme="majorBidi"/>
      <w:b/>
      <w:bCs/>
      <w:sz w:val="32"/>
      <w:szCs w:val="32"/>
    </w:rPr>
  </w:style>
  <w:style w:type="paragraph" w:customStyle="1" w:styleId="21">
    <w:name w:val="author-typ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2">
    <w:name w:val="author-nam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3">
    <w:name w:val="批注文字 Char"/>
    <w:basedOn w:val="11"/>
    <w:link w:val="4"/>
    <w:semiHidden/>
    <w:qFormat/>
    <w:uiPriority w:val="99"/>
  </w:style>
  <w:style w:type="character" w:customStyle="1" w:styleId="24">
    <w:name w:val="批注主题 Char"/>
    <w:basedOn w:val="23"/>
    <w:link w:val="9"/>
    <w:semiHidden/>
    <w:qFormat/>
    <w:uiPriority w:val="99"/>
    <w:rPr>
      <w:b/>
      <w:bCs/>
    </w:rPr>
  </w:style>
  <w:style w:type="character" w:customStyle="1" w:styleId="25">
    <w:name w:val="批注框文本 Char"/>
    <w:basedOn w:val="11"/>
    <w:link w:val="6"/>
    <w:semiHidden/>
    <w:qFormat/>
    <w:uiPriority w:val="99"/>
    <w:rPr>
      <w:sz w:val="18"/>
      <w:szCs w:val="18"/>
    </w:rPr>
  </w:style>
  <w:style w:type="paragraph" w:styleId="2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6B772-4990-47B6-95DB-C25F7D09A9B2}">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10422</Words>
  <Characters>70362</Characters>
  <Lines>1</Lines>
  <Paragraphs>1</Paragraphs>
  <TotalTime>2</TotalTime>
  <ScaleCrop>false</ScaleCrop>
  <LinksUpToDate>false</LinksUpToDate>
  <CharactersWithSpaces>80302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2026-04-20T01:10:00Z</dcterms:created>
  <dc:creator>bnds</dc:creator>
  <cp:lastModifiedBy>朱晓丽</cp:lastModifiedBy>
  <dcterms:modified xsi:type="dcterms:W3CDTF">2026-09-07T08:03:41Z</dcterms:modified>
  <cp:revision>347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eyJoZGlkIjoiMzYwOTRkYTgyYmFkYWY1OGIzMTE1N2NiY2ZlNjY2NzMiLCJ1c2VySWQiOiI1NDAxMTY4MjQifQ==</vt:lpwstr>
  </property>
  <property fmtid="{D5CDD505-2E9C-101B-9397-08002B2CF9AE}" pid="3" name="KSOProductBuildVer">
    <vt:lpwstr>2052-12.1.0.28043</vt:lpwstr>
  </property>
  <property fmtid="{D5CDD505-2E9C-101B-9397-08002B2CF9AE}" pid="4" name="ICV">
    <vt:lpwstr>C508DD65B27542B4AB085974D6D2E0DB_12</vt:lpwstr>
  </property>
</Properties>
</file>