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13816">
      <w:pPr>
        <w:spacing w:line="360" w:lineRule="auto"/>
        <w:jc w:val="center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202</w:t>
      </w:r>
      <w:r>
        <w:rPr>
          <w:rFonts w:ascii="宋体" w:hAnsi="宋体" w:eastAsia="宋体" w:cs="宋体"/>
          <w:b/>
          <w:sz w:val="28"/>
          <w:szCs w:val="28"/>
        </w:rPr>
        <w:t>6</w:t>
      </w:r>
      <w:r>
        <w:rPr>
          <w:rFonts w:hint="eastAsia" w:ascii="宋体" w:hAnsi="宋体" w:eastAsia="宋体" w:cs="宋体"/>
          <w:b/>
          <w:sz w:val="28"/>
          <w:szCs w:val="28"/>
        </w:rPr>
        <w:t>年第</w:t>
      </w:r>
      <w:r>
        <w:rPr>
          <w:rFonts w:ascii="宋体" w:hAnsi="宋体" w:eastAsia="宋体" w:cs="宋体"/>
          <w:b/>
          <w:sz w:val="28"/>
          <w:szCs w:val="28"/>
        </w:rPr>
        <w:t>35</w:t>
      </w:r>
      <w:r>
        <w:rPr>
          <w:rFonts w:hint="eastAsia" w:ascii="宋体" w:hAnsi="宋体" w:eastAsia="宋体" w:cs="宋体"/>
          <w:b/>
          <w:sz w:val="28"/>
          <w:szCs w:val="28"/>
        </w:rPr>
        <w:t>周</w:t>
      </w:r>
    </w:p>
    <w:p w14:paraId="33BD876F">
      <w:pPr>
        <w:spacing w:line="360" w:lineRule="auto"/>
        <w:jc w:val="center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中国大陆学者发表的结核病英文文章摘要</w:t>
      </w:r>
    </w:p>
    <w:p w14:paraId="3B010A26">
      <w:pPr>
        <w:spacing w:line="360" w:lineRule="auto"/>
        <w:jc w:val="center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（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33</w:t>
      </w:r>
      <w:r>
        <w:rPr>
          <w:rFonts w:hint="eastAsia" w:ascii="宋体" w:hAnsi="宋体" w:eastAsia="宋体" w:cs="宋体"/>
          <w:b/>
          <w:sz w:val="28"/>
          <w:szCs w:val="28"/>
        </w:rPr>
        <w:t>篇）</w:t>
      </w:r>
    </w:p>
    <w:p w14:paraId="21046732">
      <w:pPr>
        <w:jc w:val="left"/>
        <w:rPr>
          <w:rFonts w:ascii="宋体" w:hAnsi="宋体" w:eastAsia="宋体" w:cs="宋体"/>
          <w:szCs w:val="24"/>
        </w:rPr>
      </w:pPr>
    </w:p>
    <w:p w14:paraId="7C13C355">
      <w:pPr>
        <w:jc w:val="left"/>
        <w:rPr>
          <w:rFonts w:ascii="宋体" w:hAnsi="宋体" w:eastAsia="宋体" w:cs="宋体"/>
          <w:b/>
          <w:color w:val="FF0000"/>
          <w:szCs w:val="24"/>
        </w:rPr>
      </w:pPr>
      <w:r>
        <w:rPr>
          <w:rFonts w:hint="eastAsia" w:ascii="宋体" w:hAnsi="宋体" w:eastAsia="宋体" w:cs="宋体"/>
          <w:b/>
          <w:color w:val="FF0000"/>
          <w:szCs w:val="24"/>
        </w:rPr>
        <w:t>PubMed  Publication date: 202</w:t>
      </w:r>
      <w:r>
        <w:rPr>
          <w:rFonts w:ascii="宋体" w:hAnsi="宋体" w:eastAsia="宋体" w:cs="宋体"/>
          <w:b/>
          <w:color w:val="FF0000"/>
          <w:szCs w:val="24"/>
        </w:rPr>
        <w:t>6</w:t>
      </w:r>
      <w:r>
        <w:rPr>
          <w:rFonts w:hint="eastAsia" w:ascii="宋体" w:hAnsi="宋体" w:eastAsia="宋体" w:cs="宋体"/>
          <w:b/>
          <w:color w:val="FF0000"/>
          <w:szCs w:val="24"/>
        </w:rPr>
        <w:t>/</w:t>
      </w:r>
      <w:r>
        <w:rPr>
          <w:rFonts w:ascii="宋体" w:hAnsi="宋体" w:eastAsia="宋体" w:cs="宋体"/>
          <w:b/>
          <w:color w:val="FF0000"/>
          <w:szCs w:val="24"/>
        </w:rPr>
        <w:t>8</w:t>
      </w:r>
      <w:r>
        <w:rPr>
          <w:rFonts w:hint="eastAsia" w:ascii="宋体" w:hAnsi="宋体" w:eastAsia="宋体" w:cs="宋体"/>
          <w:b/>
          <w:color w:val="FF0000"/>
          <w:szCs w:val="24"/>
        </w:rPr>
        <w:t>/</w:t>
      </w:r>
      <w:r>
        <w:rPr>
          <w:rFonts w:ascii="宋体" w:hAnsi="宋体" w:eastAsia="宋体" w:cs="宋体"/>
          <w:b/>
          <w:color w:val="FF0000"/>
          <w:szCs w:val="24"/>
        </w:rPr>
        <w:t>24</w:t>
      </w:r>
      <w:r>
        <w:rPr>
          <w:rFonts w:hint="eastAsia" w:ascii="宋体" w:hAnsi="宋体" w:eastAsia="宋体" w:cs="宋体"/>
          <w:b/>
          <w:color w:val="FF0000"/>
          <w:szCs w:val="24"/>
        </w:rPr>
        <w:t>---202</w:t>
      </w:r>
      <w:r>
        <w:rPr>
          <w:rFonts w:ascii="宋体" w:hAnsi="宋体" w:eastAsia="宋体" w:cs="宋体"/>
          <w:b/>
          <w:color w:val="FF0000"/>
          <w:szCs w:val="24"/>
        </w:rPr>
        <w:t>6</w:t>
      </w:r>
      <w:r>
        <w:rPr>
          <w:rFonts w:hint="eastAsia" w:ascii="宋体" w:hAnsi="宋体" w:eastAsia="宋体" w:cs="宋体"/>
          <w:b/>
          <w:color w:val="FF0000"/>
          <w:szCs w:val="24"/>
        </w:rPr>
        <w:t>/</w:t>
      </w:r>
      <w:r>
        <w:rPr>
          <w:rFonts w:ascii="宋体" w:hAnsi="宋体" w:eastAsia="宋体" w:cs="宋体"/>
          <w:b/>
          <w:color w:val="FF0000"/>
          <w:szCs w:val="24"/>
        </w:rPr>
        <w:t>8</w:t>
      </w:r>
      <w:r>
        <w:rPr>
          <w:rFonts w:hint="eastAsia" w:ascii="宋体" w:hAnsi="宋体" w:eastAsia="宋体" w:cs="宋体"/>
          <w:b/>
          <w:color w:val="FF0000"/>
          <w:szCs w:val="24"/>
        </w:rPr>
        <w:t>/</w:t>
      </w:r>
      <w:r>
        <w:rPr>
          <w:rFonts w:ascii="宋体" w:hAnsi="宋体" w:eastAsia="宋体" w:cs="宋体"/>
          <w:b/>
          <w:color w:val="FF0000"/>
          <w:szCs w:val="24"/>
        </w:rPr>
        <w:t>30</w:t>
      </w:r>
    </w:p>
    <w:p w14:paraId="50A50AAA">
      <w:pPr>
        <w:jc w:val="left"/>
        <w:rPr>
          <w:rFonts w:ascii="宋体" w:hAnsi="宋体" w:eastAsia="宋体" w:cs="宋体"/>
          <w:b/>
          <w:color w:val="FF0000"/>
          <w:szCs w:val="21"/>
        </w:rPr>
      </w:pPr>
      <w:r>
        <w:rPr>
          <w:rFonts w:hint="eastAsia" w:ascii="宋体" w:hAnsi="宋体" w:eastAsia="宋体" w:cs="宋体"/>
          <w:b/>
          <w:color w:val="FF0000"/>
          <w:szCs w:val="21"/>
        </w:rPr>
        <w:t>(tuberculosis[Title/Abstract]) AND (English[Language]) AND</w:t>
      </w:r>
      <w:r>
        <w:rPr>
          <w:rFonts w:ascii="宋体" w:hAnsi="宋体" w:eastAsia="宋体" w:cs="宋体"/>
          <w:b/>
          <w:color w:val="FF0000"/>
          <w:szCs w:val="21"/>
        </w:rPr>
        <w:t xml:space="preserve"> </w:t>
      </w:r>
      <w:r>
        <w:rPr>
          <w:rFonts w:hint="eastAsia" w:ascii="宋体" w:hAnsi="宋体" w:eastAsia="宋体" w:cs="宋体"/>
          <w:b/>
          <w:color w:val="FF0000"/>
          <w:szCs w:val="21"/>
        </w:rPr>
        <w:t>(China[Affiliation])</w:t>
      </w:r>
    </w:p>
    <w:p w14:paraId="551812EB">
      <w:pPr>
        <w:jc w:val="left"/>
        <w:rPr>
          <w:rFonts w:ascii="宋体" w:hAnsi="宋体" w:eastAsia="宋体" w:cs="宋体"/>
          <w:b/>
          <w:color w:val="FF0000"/>
          <w:szCs w:val="21"/>
        </w:rPr>
      </w:pPr>
    </w:p>
    <w:p w14:paraId="41C34BC4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1. Talanta. 2026 Aug 28;312(Pt B):130531. doi: 10.1016/j.talanta.2026.130531. </w:t>
      </w:r>
    </w:p>
    <w:p w14:paraId="37FD0EC3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Online ahead of print.</w:t>
      </w:r>
    </w:p>
    <w:p w14:paraId="1854138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F4D365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In(2)O(3)/CdS heterojunction-based photoelectrochemical sensor for therapeutic </w:t>
      </w:r>
    </w:p>
    <w:p w14:paraId="7068517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drug monitoring of rifampicin in clinical samples.</w:t>
      </w:r>
    </w:p>
    <w:p w14:paraId="0E87646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376C6C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Sun Y(1), Zhang Y(1), Zhuge W(2), Liu Y(2), Yu Z(2), Peng J(3).</w:t>
      </w:r>
    </w:p>
    <w:p w14:paraId="24356FC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064CBF4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Yuanjing Sun,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Yanli Zhang,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Wenfeng Zhuge,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Yuxia Liu,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Zhiying Yu,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Jinyun Peng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53D16C89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Corresponding author. E-mail address: pengjinyun@yeah.net (Jinyun Peng).</w:t>
      </w:r>
    </w:p>
    <w:p w14:paraId="5564DD8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042941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64731A5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(1)School of Chemistry and Chemical Engineering, Guangxi University, Nanning, </w:t>
      </w:r>
    </w:p>
    <w:p w14:paraId="774A0F6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530004, China.</w:t>
      </w:r>
    </w:p>
    <w:p w14:paraId="2C9A055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(2)College of Chemical and Material, Guangxi Minzu Normal University, Chongzuo, </w:t>
      </w:r>
    </w:p>
    <w:p w14:paraId="6C3B213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532200, China.</w:t>
      </w:r>
    </w:p>
    <w:p w14:paraId="25A5DEB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(3)College of Chemical and Material, Guangxi Minzu Normal University, Chongzuo, </w:t>
      </w:r>
    </w:p>
    <w:p w14:paraId="0E88799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532200, China. Electronic address: pengjinyun@yeah.net.</w:t>
      </w:r>
    </w:p>
    <w:p w14:paraId="0D72A35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51537A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Rapid and reliable determination of rifampicin (RIF) is important for dose </w:t>
      </w:r>
    </w:p>
    <w:p w14:paraId="74E5BA1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optimization and therapeutic drug monitoring during tuberculosis treatment. </w:t>
      </w:r>
    </w:p>
    <w:p w14:paraId="22D5C12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Herein, In2O3/CdS heterojunctions were fabricated through calcination followed </w:t>
      </w:r>
    </w:p>
    <w:p w14:paraId="5141B0A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by in situ CdS growth and employed as an efficient photoactive interface for </w:t>
      </w:r>
    </w:p>
    <w:p w14:paraId="6A5B46C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photoelectrochemical RIF sensing. The In2O3/CdS heterojunction enhanced </w:t>
      </w:r>
    </w:p>
    <w:p w14:paraId="2407CC9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photoinduced charge separation and provided an amplified photocurrent </w:t>
      </w:r>
    </w:p>
    <w:p w14:paraId="2956F1E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background, while RIF induced a concentration-dependent photocurrent quenching </w:t>
      </w:r>
    </w:p>
    <w:p w14:paraId="0A5E838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response for signal-off PEC quantification. Under optimized conditions, the </w:t>
      </w:r>
    </w:p>
    <w:p w14:paraId="0279E0B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proposed sensor showed a linear response to RIF over the concentration range of </w:t>
      </w:r>
    </w:p>
    <w:p w14:paraId="38B62CA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0.010-75 μM, with a detection limit of 1.45 nM (S/N = 3). The sensor exhibited </w:t>
      </w:r>
    </w:p>
    <w:p w14:paraId="3203EFF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satisfactory selectivity against common coexisting substances, as well as good </w:t>
      </w:r>
    </w:p>
    <w:p w14:paraId="7767146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repeatability and storage stability. Accurate RIF quantification was further </w:t>
      </w:r>
    </w:p>
    <w:p w14:paraId="3262A26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achieved in spiked human serum, urine, and pharmaceutical capsule samples, </w:t>
      </w:r>
    </w:p>
    <w:p w14:paraId="682D1E1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affording recoveries of 97.73% and 103.49% with relative standard deviations </w:t>
      </w:r>
    </w:p>
    <w:p w14:paraId="08B323D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below 4.1%. This work provides a sensitive and reliable PEC platform for RIF </w:t>
      </w:r>
    </w:p>
    <w:p w14:paraId="568C6B8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determination in complex biological and pharmaceutical matrices.</w:t>
      </w:r>
    </w:p>
    <w:p w14:paraId="1F2EEE9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1C7073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Copyright © 2026. Published by Elsevier B.V.</w:t>
      </w:r>
    </w:p>
    <w:p w14:paraId="6CB9AFA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C58AC6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10.1016/j.talanta.2026.130531</w:t>
      </w:r>
    </w:p>
    <w:p w14:paraId="018BE72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42667843</w:t>
      </w:r>
    </w:p>
    <w:p w14:paraId="0D52B04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A2FB5D5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2. Arch Microbiol. 2026 Aug 29;208(12):601. doi: 10.1007/s00203-026-05143-7.</w:t>
      </w:r>
    </w:p>
    <w:p w14:paraId="244B999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878CFC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MEG3/miR-133b regulatory axis in exosomes influences macrophage responses to </w:t>
      </w:r>
    </w:p>
    <w:p w14:paraId="61F0E40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drug-resistant mycobacterium tuberculosis.</w:t>
      </w:r>
    </w:p>
    <w:p w14:paraId="42435D9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A0A08E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Zou C(1), Wang B(1), Wang C(1), Ma J(1), Yang X(1), Chen J(1), Quan Z(2), Wu </w:t>
      </w:r>
    </w:p>
    <w:p w14:paraId="458406B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W(3).</w:t>
      </w:r>
    </w:p>
    <w:p w14:paraId="2552D07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74CDFA8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Chuanqi Zou,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Boxin Wang,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Chengguang Wang,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Jingjin Ma,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Xinyu Yang,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Junhong Chen,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Zhengxue Quan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Wenjie Wu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26857DF9">
      <w:pPr>
        <w:jc w:val="left"/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Zhengxue Quan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 xml:space="preserve">quanzx18@126.com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；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Wenjie Wu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Wenjie.wu1200@gmail.com; spine12345678@126.com</w:t>
      </w:r>
    </w:p>
    <w:p w14:paraId="11D5534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8E0E2E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3F11331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(1)Department of Orthopaedic Surgery, The First Affiliated Hospital of Chongqing </w:t>
      </w:r>
    </w:p>
    <w:p w14:paraId="0E82454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Medical University, Chongqing, 400000, China.</w:t>
      </w:r>
    </w:p>
    <w:p w14:paraId="45979D2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(2)Department of Orthopaedic Surgery, The First Affiliated Hospital of Chongqing </w:t>
      </w:r>
    </w:p>
    <w:p w14:paraId="2DBDD5F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Medical University, Chongqing, 400000, China. quanzx18@126.com.</w:t>
      </w:r>
    </w:p>
    <w:p w14:paraId="3A5156C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(3)Department of Orthopaedic Surgery, Banan Hospital of Chongqing Medical </w:t>
      </w:r>
    </w:p>
    <w:p w14:paraId="281969A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University, Chongqing, 400000, China. Wenjie.wu1200@gmail.com.</w:t>
      </w:r>
    </w:p>
    <w:p w14:paraId="03B74A9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DF8757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Drug-resistant tuberculosis remains a major global health challenge, with spinal </w:t>
      </w:r>
    </w:p>
    <w:p w14:paraId="022B9BC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involvement causing substantial morbidity. Exosomes and non-coding RNAs (lncRNAs </w:t>
      </w:r>
    </w:p>
    <w:p w14:paraId="33D6C4D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miRNAs) are increasingly recognized as mediators of intercellular </w:t>
      </w:r>
    </w:p>
    <w:p w14:paraId="3CE5B02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communication and immune modulation during mycobacterial infection, yet their </w:t>
      </w:r>
    </w:p>
    <w:p w14:paraId="23DA71C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specific roles in drug-resistant contexts are incompletely understood. To </w:t>
      </w:r>
    </w:p>
    <w:p w14:paraId="5C79E73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investigate the potential interaction between exosomal lncRNA MEG3 and miR-133b </w:t>
      </w:r>
    </w:p>
    <w:p w14:paraId="7F69396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its influence on macrophage proliferation and apoptosis in an in vitro model </w:t>
      </w:r>
    </w:p>
    <w:p w14:paraId="746AF87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of drug-resistant Mycobacterium tuberculosis (MTB) infection. High-throughput </w:t>
      </w:r>
    </w:p>
    <w:p w14:paraId="384D597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miRNA sequencing was performed on serum from 15 patients with spinal </w:t>
      </w:r>
    </w:p>
    <w:p w14:paraId="2FAB4AD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tuberculosis (8 drug-resistant, 7 drug-sensitive). Differential expression </w:t>
      </w:r>
    </w:p>
    <w:p w14:paraId="659CD12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analysis used DESeq2 with Benjamini-Hochberg FDR correction; GO and KEGG </w:t>
      </w:r>
    </w:p>
    <w:p w14:paraId="2D25A87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enrichment were assessed via clusterProfiler. Exosomes were isolated from </w:t>
      </w:r>
    </w:p>
    <w:p w14:paraId="4F127C4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RAW264.7 macrophages infected with drug-sensitive or drug-resistant MTB </w:t>
      </w:r>
    </w:p>
    <w:p w14:paraId="6419B73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(MOI = 5) by differential ultracentrifugation and characterized by transmission </w:t>
      </w:r>
    </w:p>
    <w:p w14:paraId="007A0B1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electron microscopy and Western blotting for CD9/CD63. MEG3 levels in exosomes </w:t>
      </w:r>
    </w:p>
    <w:p w14:paraId="1948BC5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were quantified by RT-qPCR. Exosome uptake was evaluated with PKH67 labeling and </w:t>
      </w:r>
    </w:p>
    <w:p w14:paraId="5A5C29F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fluorescence microscopy. Stable miR-133b overexpression or silencing lines were </w:t>
      </w:r>
    </w:p>
    <w:p w14:paraId="6FE678D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infected with MTB strains and analyzed by MTT assay (proliferation), TUNEL/flow </w:t>
      </w:r>
    </w:p>
    <w:p w14:paraId="69BB583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cytometry (apoptosis), Western blot/RT-qPCR (Bcl-2/Bax), and dual-luciferase </w:t>
      </w:r>
    </w:p>
    <w:p w14:paraId="24B6F4E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reporter assay (MEG3-miR-133b binding). miR-133b was significantly downregulated </w:t>
      </w:r>
    </w:p>
    <w:p w14:paraId="1D5F4CE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 drug-resistant versus drug-sensitive serum (adjusted P = 0.0008, log₂ fold </w:t>
      </w:r>
    </w:p>
    <w:p w14:paraId="0F34827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change =  - 2.13) and enriched in pathways involving enzyme activity, binding, </w:t>
      </w:r>
    </w:p>
    <w:p w14:paraId="0345EBA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metabolism, signal transduction, and immunity. Exosomes from drug-resistant </w:t>
      </w:r>
    </w:p>
    <w:p w14:paraId="4019532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MTB-infected macrophages contained higher MEG3 levels and were internalized by </w:t>
      </w:r>
    </w:p>
    <w:p w14:paraId="33C14B0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recipient macrophages. In infected cells, miR-133b overexpression inhibited </w:t>
      </w:r>
    </w:p>
    <w:p w14:paraId="49B597C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proliferation, increased apoptosis, decreased Bcl-2, and increased Bax; </w:t>
      </w:r>
    </w:p>
    <w:p w14:paraId="4B766EE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silencing produced opposite effects. Luciferase assays confirmed direct binding </w:t>
      </w:r>
    </w:p>
    <w:p w14:paraId="04CCE94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of miR-133b to MEG3, while qPCR indicated a complex, </w:t>
      </w:r>
    </w:p>
    <w:p w14:paraId="764E06E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drug-resistance-context-dependent regulatory relationship. These exploratory </w:t>
      </w:r>
    </w:p>
    <w:p w14:paraId="36A544F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findings support a potential regulatory interaction between exosomal MEG3 and </w:t>
      </w:r>
    </w:p>
    <w:p w14:paraId="283B96B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miR-133b that influences macrophage proliferation and apoptosis during </w:t>
      </w:r>
    </w:p>
    <w:p w14:paraId="3A7EFBD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drug-resistant MTB infection in vitro. Although the results provide preliminary </w:t>
      </w:r>
    </w:p>
    <w:p w14:paraId="784E041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mechanistic evidence, additional biochemical, cellular, and in vivo validation </w:t>
      </w:r>
    </w:p>
    <w:p w14:paraId="40A9255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will be required before definitive mechanistic conclusions or therapeutic </w:t>
      </w:r>
    </w:p>
    <w:p w14:paraId="3C2D3DD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implications can be established. These exploratory findings support a potential </w:t>
      </w:r>
    </w:p>
    <w:p w14:paraId="24BCEDD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regulatory interaction between exosomal MEG3 and miR-133b that modulates </w:t>
      </w:r>
    </w:p>
    <w:p w14:paraId="490E196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macrophage fate in drug-resistant MTB infection in vitro. The axis appears </w:t>
      </w:r>
    </w:p>
    <w:p w14:paraId="509E333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context-specific. Validation in primary human macrophages, animal models, and </w:t>
      </w:r>
    </w:p>
    <w:p w14:paraId="2BA0513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larger clinical cohorts is required before any biomarker or therapeutic </w:t>
      </w:r>
    </w:p>
    <w:p w14:paraId="06EE6E7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implications can be considered.</w:t>
      </w:r>
    </w:p>
    <w:p w14:paraId="4D9F104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6CBA30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© 2026. The Author(s), under exclusive licence to Springer-Verlag GmbH Germany, </w:t>
      </w:r>
    </w:p>
    <w:p w14:paraId="6D73F32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part of Springer Nature.</w:t>
      </w:r>
    </w:p>
    <w:p w14:paraId="6031E69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FEC56F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10.1007/s00203-026-05143-7</w:t>
      </w:r>
    </w:p>
    <w:p w14:paraId="574323B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42667409 [Indexed for MEDLINE]</w:t>
      </w:r>
    </w:p>
    <w:p w14:paraId="01DB359B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</w:p>
    <w:p w14:paraId="386F598D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3. Biochem Pharmacol. 2026 Aug 28:118408. doi: 10.1016/j.bcp.2026.118408. Online </w:t>
      </w:r>
    </w:p>
    <w:p w14:paraId="425F8320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ahead of print.</w:t>
      </w:r>
    </w:p>
    <w:p w14:paraId="073DD0C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1F697C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Targeting macrophage mitochondrial metabolism in tuberculosis: from </w:t>
      </w:r>
    </w:p>
    <w:p w14:paraId="44F5995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pathogen-driven biochemical reprogramming to host-directed pharmacotherapy.</w:t>
      </w:r>
    </w:p>
    <w:p w14:paraId="3B7E4C8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5AFD0F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Xu J(1), Ding X(2), Tang J(2), Qin Y(3).</w:t>
      </w:r>
    </w:p>
    <w:p w14:paraId="0970B13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1806542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Jianhao Xu,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Xinran Ding,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Jiahui Tang,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Yongwei Qin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66CD5BFD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corresponding author. E-mail address: yw_qin@ntu.edu.cn (Yongwei Qin)</w:t>
      </w:r>
    </w:p>
    <w:p w14:paraId="66B53DC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49BAB2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0AACBD5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(1)Affiliated Jianhu Hospital of Xinglin College, Nantong University, Jianhu, </w:t>
      </w:r>
    </w:p>
    <w:p w14:paraId="6EB4D5E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</w:t>
      </w:r>
    </w:p>
    <w:p w14:paraId="54CBB31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(2)Department of Pathogen Biology, Medical College, Nantong University, No. 19 </w:t>
      </w:r>
    </w:p>
    <w:p w14:paraId="786AA2E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Qixiu Road, Nantong 226001, China.</w:t>
      </w:r>
    </w:p>
    <w:p w14:paraId="31A7E67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(3)Department of Pathogen Biology, Medical College, Nantong University, No. 19 </w:t>
      </w:r>
    </w:p>
    <w:p w14:paraId="29153F4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Qixiu Road, Nantong 226001, China. Electronic address: yw_qin@ntu.edu.cn.</w:t>
      </w:r>
    </w:p>
    <w:p w14:paraId="4DAA9C9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9C8A2A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Mycobacterium tuberculosis (Mtb) remains a leading global health threat. The </w:t>
      </w:r>
    </w:p>
    <w:p w14:paraId="4310C62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fate of the Mtb-infected macrophage is critically governed by host mitochondrial </w:t>
      </w:r>
    </w:p>
    <w:p w14:paraId="666B333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metabolism. In this review, we propose a unifying biochemical "threshold model" </w:t>
      </w:r>
    </w:p>
    <w:p w14:paraId="38DD373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of tuberculosis pathogenesis: Mtb functions as an intracellular "mitochondrial </w:t>
      </w:r>
    </w:p>
    <w:p w14:paraId="34AD95B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parasite," deploying multiple effectors-including ESAT-6, PtpA, and TNT-that </w:t>
      </w:r>
    </w:p>
    <w:p w14:paraId="4E5F0E3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perturb host mitochondrial or mitochondria-linked metabolic pathways, spanning </w:t>
      </w:r>
    </w:p>
    <w:p w14:paraId="6B02C2C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oxidative phosphorylation, NAD+ homeostasis, TCA cycle remodeling, and ATP </w:t>
      </w:r>
    </w:p>
    <w:p w14:paraId="10332A8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synthesis. This cumulative biochemical damage is predicted to progressively </w:t>
      </w:r>
    </w:p>
    <w:p w14:paraId="58F2C0B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lower the macrophage threshold for TNF-induced programmed necrosis, a cell death </w:t>
      </w:r>
    </w:p>
    <w:p w14:paraId="1A63645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modality executed through reverse electron transport (RET) and reactive oxygen </w:t>
      </w:r>
    </w:p>
    <w:p w14:paraId="48ECCB8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species (ROS) generation at mitochondrial complex I. This metabolic-necrotic </w:t>
      </w:r>
    </w:p>
    <w:p w14:paraId="7114DA7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axis may therefore present druggable vulnerabilities. We evaluate emerging </w:t>
      </w:r>
    </w:p>
    <w:p w14:paraId="3B76023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small-molecule host-directed therapies (HDTs) that counter these pathogenic </w:t>
      </w:r>
    </w:p>
    <w:p w14:paraId="19E5BC6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mechanisms by targeting specific mitochondrial nodes, including succinate </w:t>
      </w:r>
    </w:p>
    <w:p w14:paraId="1F6FB28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dehydrogenase (SDH), mitochondrial complex I, pyruvate dehydrogenase kinase </w:t>
      </w:r>
    </w:p>
    <w:p w14:paraId="0F3F750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(PDK), SIRT3, and the ACOD1/itaconate axis. For each pharmacological class, we </w:t>
      </w:r>
    </w:p>
    <w:p w14:paraId="1AFCFF3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discuss its biochemical mechanism of action and translational potential. Our </w:t>
      </w:r>
    </w:p>
    <w:p w14:paraId="66369CA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threshold model predicts that restoring selected mitochondrial functions may </w:t>
      </w:r>
    </w:p>
    <w:p w14:paraId="5950DB4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reduce macrophage susceptibility to lytic death and bacterial dissemination; </w:t>
      </w:r>
    </w:p>
    <w:p w14:paraId="0721FB2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whether individual interventions actively redirect infected macrophages toward </w:t>
      </w:r>
    </w:p>
    <w:p w14:paraId="7EE693E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apoptosis, rather than simply preserving cell viability, requires direct </w:t>
      </w:r>
    </w:p>
    <w:p w14:paraId="0170DD2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experimental testing.</w:t>
      </w:r>
    </w:p>
    <w:p w14:paraId="19C4926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F43E1A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Copyright © 2026. Published by Elsevier Inc.</w:t>
      </w:r>
    </w:p>
    <w:p w14:paraId="53EB3F3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DAC7FD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10.1016/j.bcp.2026.118408</w:t>
      </w:r>
    </w:p>
    <w:p w14:paraId="1FA42A5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42665100</w:t>
      </w:r>
    </w:p>
    <w:p w14:paraId="769F518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EF8F5B8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4. Diagn Microbiol Infect Dis. 2026 Aug 26;116(4):117631. doi: </w:t>
      </w:r>
    </w:p>
    <w:p w14:paraId="73B8F774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10.1016/j.diagmicrobio.2026.117631. Online ahead of print.</w:t>
      </w:r>
    </w:p>
    <w:p w14:paraId="0630C9D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9ADFF8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Research progress of lipoarabinomannan in the diagnosis of mycobacterium </w:t>
      </w:r>
    </w:p>
    <w:p w14:paraId="5414CB5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tuberculosis: diagnostic potential and new highlights of quantum dot technology.</w:t>
      </w:r>
    </w:p>
    <w:p w14:paraId="7C27A20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70AD3D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Yu Y(1), Gao S(2), Peng A(2), Zhang X(3), Jiang X(2), Zhang Z(2), Li L(4), Liu </w:t>
      </w:r>
    </w:p>
    <w:p w14:paraId="6C3E0E4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Y(3), Wang X(5), Shen Y(6).</w:t>
      </w:r>
    </w:p>
    <w:p w14:paraId="1A35E60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17EC7F4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Yuxia Yu,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Shan Gao,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Aohui Peng,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Xiaoli Zhang,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Xinyu Jiang,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Zihong Zhang,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Liang Li,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Yang Liu,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Xuejing Wang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Yaojie Shen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733B5DED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Corresponding authors.E-mail addresses: xjwang@must.edu.mo (Xuejing Wang), shenyaojie2024@163.com (Yaojie Shen).</w:t>
      </w:r>
    </w:p>
    <w:p w14:paraId="18E9B19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3A0A2C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2E9E534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(1)The Second Clinical Medical College, Zhejiang Chinese Medical University, </w:t>
      </w:r>
    </w:p>
    <w:p w14:paraId="64F83E1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Hangzhou 310003, China.</w:t>
      </w:r>
    </w:p>
    <w:p w14:paraId="2EE7CD4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(2)Clinical Experimental Center, Zhejiang Hospital of Integrated Traditional </w:t>
      </w:r>
    </w:p>
    <w:p w14:paraId="658F682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Chinese and Western Medicine, Hangzhou 310003, China.</w:t>
      </w:r>
    </w:p>
    <w:p w14:paraId="5A7AD74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(3)Hangzhou Gaumilab Co., Ltd, Hangzhou 311400, China.</w:t>
      </w:r>
    </w:p>
    <w:p w14:paraId="7B70170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(4)Macao Institute of Materials Science and Engineering (MIMSE), Macau </w:t>
      </w:r>
    </w:p>
    <w:p w14:paraId="3AE5E99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university of Science and Technology, Taipa, Macau 999078, China.</w:t>
      </w:r>
    </w:p>
    <w:p w14:paraId="23039D4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(5)Macao Institute of Materials Science and Engineering (MIMSE), Macau </w:t>
      </w:r>
    </w:p>
    <w:p w14:paraId="55BFA36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university of Science and Technology, Taipa, Macau 999078, China. Electronic </w:t>
      </w:r>
    </w:p>
    <w:p w14:paraId="1B0B65C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address: xjwang@must.edu.mo.</w:t>
      </w:r>
    </w:p>
    <w:p w14:paraId="2E01FFD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(6)Clinical Experimental Center, Zhejiang Hospital of Integrated Traditional </w:t>
      </w:r>
    </w:p>
    <w:p w14:paraId="3CF6CF7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Chinese and Western Medicine, Hangzhou 310003, China. Electronic address: </w:t>
      </w:r>
    </w:p>
    <w:p w14:paraId="536674D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shenyaojie2024@163.com.</w:t>
      </w:r>
    </w:p>
    <w:p w14:paraId="4A7EDE0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0AEE78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Lipoarabinomannan (LAM), recognized as a characteristic antigen within the cell </w:t>
      </w:r>
    </w:p>
    <w:p w14:paraId="5D73ADB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wall of Mycobacterium tuberculosis (MTB), can be detected in the urine of </w:t>
      </w:r>
    </w:p>
    <w:p w14:paraId="181EEA3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patients suffering from active tuberculosis, which provides an important </w:t>
      </w:r>
    </w:p>
    <w:p w14:paraId="4312CF9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biomarker for non-invasive diagnosis of tuberculosis. This paper systematically </w:t>
      </w:r>
    </w:p>
    <w:p w14:paraId="6EF3CC1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reviews the structure, immunomodulatory function and application value of LAM in </w:t>
      </w:r>
    </w:p>
    <w:p w14:paraId="388D206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diagnosis of tuberculosis, focusing on the progress and performance </w:t>
      </w:r>
    </w:p>
    <w:p w14:paraId="33E0020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comparison of various detection methods from traditional ELISA to emerging </w:t>
      </w:r>
    </w:p>
    <w:p w14:paraId="13B7645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quantum dot microsphere technology. Studies have indicated that LAM test has </w:t>
      </w:r>
    </w:p>
    <w:p w14:paraId="3D6E029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high sensitivity and specificity in HIV-positive patients, especially in CD4 low </w:t>
      </w:r>
    </w:p>
    <w:p w14:paraId="474ED92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patients, but the diagnostic efficiency in HIV-negative people still needs to be </w:t>
      </w:r>
    </w:p>
    <w:p w14:paraId="0BDAB56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improved. Nanotechnology such as quantum dots has significantly improved the </w:t>
      </w:r>
    </w:p>
    <w:p w14:paraId="6081A09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detection sensitivity (up to fg/mL) through signal amplification and multimodal </w:t>
      </w:r>
    </w:p>
    <w:p w14:paraId="7C1510E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output, and has shown good potential for point-of-care application. In the </w:t>
      </w:r>
    </w:p>
    <w:p w14:paraId="04525D6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future, the development of LAM detection technology should focus on platform </w:t>
      </w:r>
    </w:p>
    <w:p w14:paraId="48E78D3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integration and intelligence, joint detection of multiple markers, population </w:t>
      </w:r>
    </w:p>
    <w:p w14:paraId="2D44168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stratification optimization and standardization system construction. Together, </w:t>
      </w:r>
    </w:p>
    <w:p w14:paraId="1DB98E6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these efforts will make it an important diagnostic tool in the global TB system.</w:t>
      </w:r>
    </w:p>
    <w:p w14:paraId="4E21437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36698D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Copyright © 2026. Published by Elsevier Inc.</w:t>
      </w:r>
    </w:p>
    <w:p w14:paraId="4A6408A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B3E794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10.1016/j.diagmicrobio.2026.117631</w:t>
      </w:r>
    </w:p>
    <w:p w14:paraId="468E20C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42664862</w:t>
      </w:r>
    </w:p>
    <w:p w14:paraId="371492E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4156D90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5. Microbiol Spectr. 2026 Aug 28:e0090726. doi: 10.1128/spectrum.00907-26. Online </w:t>
      </w:r>
    </w:p>
    <w:p w14:paraId="36914B69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ahead of print.</w:t>
      </w:r>
    </w:p>
    <w:p w14:paraId="7358C1B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3E88C4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 adenovirus-based multiantigen vaccine protects against tuberculosis by </w:t>
      </w:r>
    </w:p>
    <w:p w14:paraId="18CB4D5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coordinating adaptive immunity and curbing immunosuppressive mechanisms.</w:t>
      </w:r>
    </w:p>
    <w:p w14:paraId="34A5EA9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AF80B6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Wei L(1), Wang P(1), Li Y(1), Li X(1), Shen X(1), He F(1), Guo Y(1), Xing M(1), </w:t>
      </w:r>
    </w:p>
    <w:p w14:paraId="6A9B521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Zhou D(1)(2).</w:t>
      </w:r>
    </w:p>
    <w:p w14:paraId="17BE4E9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D698AA7">
      <w:pPr>
        <w:rPr>
          <w:rFonts w:hint="default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Liqun Wei,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Peng Wang,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Ying Li,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Xuejun Li,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Xiaoling Shen,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Furong He,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Yingying Guo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Man Xing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Dongming Zho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u*</w:t>
      </w:r>
    </w:p>
    <w:p w14:paraId="46A551E7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Address correspondence to Yingying Guo, yingyingguo0228@tmu.edu.cn, Man Xing, xingman@tmu.edu.cn, or Dongming Zhou, zhoudongming@tmu.edu.cn.</w:t>
      </w:r>
    </w:p>
    <w:p w14:paraId="7C4FADC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ABB7D7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7FF4F6A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(1)Department of Pathogen Biology, School of Basic Medical Sciences, Tianjin </w:t>
      </w:r>
    </w:p>
    <w:p w14:paraId="366D46A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Medical University, Tianjin, China.</w:t>
      </w:r>
    </w:p>
    <w:p w14:paraId="5B1FF35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(2)Shanghai Public Health Clinical Center, Fudan University, Shanghai, China.</w:t>
      </w:r>
    </w:p>
    <w:p w14:paraId="6CAA326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77F6C2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Given that tuberculosis (TB) remains the leading cause of death from a single </w:t>
      </w:r>
    </w:p>
    <w:p w14:paraId="56C9A9B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infectious agent, and that vaccination is the most effective control strategy, </w:t>
      </w:r>
    </w:p>
    <w:p w14:paraId="347949D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we systematically compared several vaccine construction strategies using a </w:t>
      </w:r>
    </w:p>
    <w:p w14:paraId="5BC17DA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chimpanzee adenovirus vector platform. This led to the identification of a </w:t>
      </w:r>
    </w:p>
    <w:p w14:paraId="2C7D1EF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multi-antigen vaccine candidate, Ad-8CPR2, as the most immunogenic construct. </w:t>
      </w:r>
    </w:p>
    <w:p w14:paraId="2B2AB14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This candidate incorporates M. tuberculosis Ag85B, RpiB, and Rv2628 fused with </w:t>
      </w:r>
    </w:p>
    <w:p w14:paraId="61ED7A0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autophagy-inducing peptide C5 and Pan DR-binding epitope (PADRE) peptide. </w:t>
      </w:r>
    </w:p>
    <w:p w14:paraId="1CACC29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C5 peptide in Ad-8CPR2 vaccine enhanced the autophagic activity of </w:t>
      </w:r>
    </w:p>
    <w:p w14:paraId="1FF1C1A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antigen-presenting cells, thereby enhancing antigen presentation via the MHCI </w:t>
      </w:r>
    </w:p>
    <w:p w14:paraId="375C281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pathway and eliciting broad, multidimensional T-cell responses. Notably, </w:t>
      </w:r>
    </w:p>
    <w:p w14:paraId="30CA96B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Ad-8CPR2 promoted the enrichment of tissue-resident memory T cells in the lungs, </w:t>
      </w:r>
    </w:p>
    <w:p w14:paraId="52586B4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establishing local mucosal immunity that may restrict M. tuberculosis </w:t>
      </w:r>
    </w:p>
    <w:p w14:paraId="3AC12EC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dissemination, while also generating antibodies capable of preventing M. </w:t>
      </w:r>
    </w:p>
    <w:p w14:paraId="46593A0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tuberculosis infection. Furthermore, Ad-8CPR2 limited the accumulation of </w:t>
      </w:r>
    </w:p>
    <w:p w14:paraId="17230E8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myeloid-derived suppressor cells and alleviated T-cell exhaustion, thereby </w:t>
      </w:r>
    </w:p>
    <w:p w14:paraId="2874128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preserving adaptive immune function during chronic infection. Ultimately, we </w:t>
      </w:r>
    </w:p>
    <w:p w14:paraId="1BB9937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identified Th1 and Th17 responses, alongside functionally relevant antibodies, </w:t>
      </w:r>
    </w:p>
    <w:p w14:paraId="1E714BE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as key correlates of vaccine-induced protection.IMPORTANCECurrent efforts in </w:t>
      </w:r>
    </w:p>
    <w:p w14:paraId="74E97A6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developing novel tuberculosis vaccines are to enhance the protective efficacy of </w:t>
      </w:r>
    </w:p>
    <w:p w14:paraId="7B9E850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vaccine candidates, with research primarily centered on rational vaccine design </w:t>
      </w:r>
    </w:p>
    <w:p w14:paraId="004D85E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strategies for the generation of multivalent antigen constructs. In this </w:t>
      </w:r>
    </w:p>
    <w:p w14:paraId="574053D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context, we propose an approach involving the selection of M. tuberculosis </w:t>
      </w:r>
    </w:p>
    <w:p w14:paraId="2386D95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antigenic proteins with strong immunogenicity and functional properties, which </w:t>
      </w:r>
    </w:p>
    <w:p w14:paraId="2803E87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are then fused with peptide segments capable of augmenting antigen-specific </w:t>
      </w:r>
    </w:p>
    <w:p w14:paraId="4CD707E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immune responses. Delivery of these constructs via viral vector platforms </w:t>
      </w:r>
    </w:p>
    <w:p w14:paraId="5E5994D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induces robust and durable adaptive immunity. Such a strategy may further </w:t>
      </w:r>
    </w:p>
    <w:p w14:paraId="15EF795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improve vaccine-mediated protection and could provide a theoretical foundation </w:t>
      </w:r>
    </w:p>
    <w:p w14:paraId="4FE577C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for developing next-generation tuberculosis vaccine candidates.</w:t>
      </w:r>
    </w:p>
    <w:p w14:paraId="658E2DE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55088A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10.1128/spectrum.00907-26</w:t>
      </w:r>
    </w:p>
    <w:p w14:paraId="2363462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42663486</w:t>
      </w:r>
    </w:p>
    <w:p w14:paraId="3B7FCD1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2AB335E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6. Microbiol Spectr. 2026 Aug 28:e0063826. doi: 10.1128/spectrum.00638-26. Online </w:t>
      </w:r>
    </w:p>
    <w:p w14:paraId="694F8DB7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ahead of print.</w:t>
      </w:r>
    </w:p>
    <w:p w14:paraId="3F441044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</w:p>
    <w:p w14:paraId="72C43A1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Identification and characterization of ethR and ethA genes impacting the </w:t>
      </w:r>
    </w:p>
    <w:p w14:paraId="37F6335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sensitivity of Mycobacterium abscessus to ethionamide.</w:t>
      </w:r>
    </w:p>
    <w:p w14:paraId="1B06B1A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835479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Zhang X(1)(2)(3)(4), Li L(1)(5), Lu Z(1)(2)(4), Duan C(3), Hameed HMA(1)(2)(4), </w:t>
      </w:r>
    </w:p>
    <w:p w14:paraId="3167166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Belachew AM(1)(2)(4), Fang C(1)(4)(6)(7)(8), Tian X(1)(4)(6)(8), Wang X(7)(8), </w:t>
      </w:r>
    </w:p>
    <w:p w14:paraId="13BD33A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Chen H(9), Feng L(2)(4), McNeil MB(10)(11), Liu D(12), Wang S(4), Zhang </w:t>
      </w:r>
    </w:p>
    <w:p w14:paraId="117B3F4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T(1)(2)(4)(6)(7)(8).</w:t>
      </w:r>
    </w:p>
    <w:p w14:paraId="6BE8394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B163077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Xiaofan Zhang,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Lijie Li,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Ziwen Lu,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Chaohui Duan,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 M Adnan Hameed,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Aweke Mulu Belachew,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Cuiting Fang,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Xirong Tian,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Xinyue Wang,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Hongyi Chen,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Liqiang Feng,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Matthew B McNeil,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Dongxin Liu,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Shuai Wang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Tianyu Zhang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2081E4FA">
      <w:pPr>
        <w:jc w:val="left"/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Address correspondence to Shuai Wang, wshuai1@163.com, or Tianyu Zhang, zhang_tianyu@gibh.ac.cn.</w:t>
      </w:r>
    </w:p>
    <w:p w14:paraId="20F546F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EA82A1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3CC9FAA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(1)State Key Laboratory of Respiratory Disease, Guangzhou Institutes of </w:t>
      </w:r>
    </w:p>
    <w:p w14:paraId="7AA30E6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Biomedicine and Health, Chinese Academy of Sciences, Guangzhou, China.</w:t>
      </w:r>
    </w:p>
    <w:p w14:paraId="6089282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(2)University of Chinese Academy of Sciences, Beijing, China.</w:t>
      </w:r>
    </w:p>
    <w:p w14:paraId="5C0D9B5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(3)Department of Clinical Laboratory, Sun Yat-sen Memorial Hospital of Sun </w:t>
      </w:r>
    </w:p>
    <w:p w14:paraId="010C911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Yat-sen University, Guangzhou, China.</w:t>
      </w:r>
    </w:p>
    <w:p w14:paraId="157BF7D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(4)Guangdong-Hong Kong-Macao Joint Laboratory of Respiratory Infectious </w:t>
      </w:r>
    </w:p>
    <w:p w14:paraId="235F48D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Diseases, Guangzhou Institutes of Biomedicine and Health, Chinese Academy of </w:t>
      </w:r>
    </w:p>
    <w:p w14:paraId="53FD6C5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Sciences, Guangzhou, China.</w:t>
      </w:r>
    </w:p>
    <w:p w14:paraId="1A37CD5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(5)School of Life Sciences, University of Science and Technology of China, </w:t>
      </w:r>
    </w:p>
    <w:p w14:paraId="754FE09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Hefei, China.</w:t>
      </w:r>
    </w:p>
    <w:p w14:paraId="16FA50A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(6)Guangzhou Medical University-Guangzhou Institutes of Biomedicine and Health </w:t>
      </w:r>
    </w:p>
    <w:p w14:paraId="2B9902B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Joint School of Life Sciences, Guangzhou Medical University, Guangzhou, China.</w:t>
      </w:r>
    </w:p>
    <w:p w14:paraId="2CEAAA8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(7)State Key Laboratory of Respiratory Disease, Guangzhou Chest Hospital, </w:t>
      </w:r>
    </w:p>
    <w:p w14:paraId="7E451E4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Guangzhou, China.</w:t>
      </w:r>
    </w:p>
    <w:p w14:paraId="11347FA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(8)Guangzhou National Laboratory, Guangzhou, China.</w:t>
      </w:r>
    </w:p>
    <w:p w14:paraId="17B1B7F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(9)West China School of Public Health, Sichuan University, Chengdu, China.</w:t>
      </w:r>
    </w:p>
    <w:p w14:paraId="5B8C7AD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(10)Department of Microbiology and Immunology, School of Biomedical Sciences, </w:t>
      </w:r>
    </w:p>
    <w:p w14:paraId="36199A8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University of Otago, Dunedin, New Zealand.</w:t>
      </w:r>
    </w:p>
    <w:p w14:paraId="76C84E7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(11)Maurice Wilkins Centre for Molecular Biodiscovery, University of Auckland, </w:t>
      </w:r>
    </w:p>
    <w:p w14:paraId="15A1F2E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Auckland, New Zealand.</w:t>
      </w:r>
    </w:p>
    <w:p w14:paraId="1C8CEB0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(12)Chinese Center for Disease Control and Prevention, National Pathogen </w:t>
      </w:r>
    </w:p>
    <w:p w14:paraId="45C153C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Resource Center, Beijing, China.</w:t>
      </w:r>
    </w:p>
    <w:p w14:paraId="64C9304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F68F0F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Mycobacterium abscessus is a rapidly growing non-tuberculous mycobacterium with </w:t>
      </w:r>
    </w:p>
    <w:p w14:paraId="1B03C5D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rising global incidence. This pathogen exhibits intrinsic resistance to most </w:t>
      </w:r>
    </w:p>
    <w:p w14:paraId="671A842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antibiotics, presenting a major public health threat. Ethionamide (ETH) requires </w:t>
      </w:r>
    </w:p>
    <w:p w14:paraId="4D9C615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bioactivation by monooxygenase EthA to form the active ETH-NAD adduct. We </w:t>
      </w:r>
    </w:p>
    <w:p w14:paraId="262D50D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previously identified MAB_3513 (NudC) as a phosphohydrolase that confers </w:t>
      </w:r>
    </w:p>
    <w:p w14:paraId="2DB7E28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intrinsic resistance to M. abscessus by hydrolyzing this adduct. However, </w:t>
      </w:r>
    </w:p>
    <w:p w14:paraId="1480BA0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deletion of nudC results in only partial susceptibility to ETH, indicating the </w:t>
      </w:r>
    </w:p>
    <w:p w14:paraId="3DCB402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existence of additional resistance mechanisms. This study identified MAB_0984 as </w:t>
      </w:r>
    </w:p>
    <w:p w14:paraId="3A84D86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EthR regulator in M. abscessus. Deletion of ethR in a nudC knockout </w:t>
      </w:r>
    </w:p>
    <w:p w14:paraId="1EA3FB7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background (ΔΔethR) significantly enhanced ETH-NAD adduct accumulation, leading </w:t>
      </w:r>
    </w:p>
    <w:p w14:paraId="0F8975E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to hypersusceptibility to ETH. Notably, the ΔethR mutant exhibited higher </w:t>
      </w:r>
    </w:p>
    <w:p w14:paraId="77352D0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susceptibility than ΔnudC, demonstrating that EthR is a more dominant mediator </w:t>
      </w:r>
    </w:p>
    <w:p w14:paraId="7DE4ABA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of ETH resistance than NudC. Furthermore, MAB_0985 (EthA1) and MAB_0103 (EthA2) </w:t>
      </w:r>
    </w:p>
    <w:p w14:paraId="73C05EB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are the principal ETH-activating monooxygenases in M. abscessus. Deletion of </w:t>
      </w:r>
    </w:p>
    <w:p w14:paraId="2F0B183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either gene alone or in combination in the ΔnudC reduced adduct formation and </w:t>
      </w:r>
    </w:p>
    <w:p w14:paraId="2CFA61C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increased resistance, while the triple mutant ΔΔethA1ΔethA2 restored wild-type </w:t>
      </w:r>
    </w:p>
    <w:p w14:paraId="724952E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resistance. Using an intergenic region-enhanced green fluorescent protein </w:t>
      </w:r>
    </w:p>
    <w:p w14:paraId="6AE951C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reporter system and quantitative reverse transcription-PCR, we demonstrated that </w:t>
      </w:r>
    </w:p>
    <w:p w14:paraId="4A9A419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EthR confers resistance by specifically suppressing ethA1 expression in M. </w:t>
      </w:r>
    </w:p>
    <w:p w14:paraId="7980D58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abscessus. The Mycobacterium tuberculosis EthR inhibitor BDM31343 could boost </w:t>
      </w:r>
    </w:p>
    <w:p w14:paraId="6006E6D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efficacy of ETH against M. abscessus by inhibiting EthR. Collectively, this </w:t>
      </w:r>
    </w:p>
    <w:p w14:paraId="3861DA7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study identified the ethR and ethA genes in M. abscessus for the first time and </w:t>
      </w:r>
    </w:p>
    <w:p w14:paraId="2AEA07F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elucidated their role in mediating resistance to ETH. Therefore, EthR is a </w:t>
      </w:r>
    </w:p>
    <w:p w14:paraId="6610527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promising target for potentiating the efficacy of ETH against M. </w:t>
      </w:r>
    </w:p>
    <w:p w14:paraId="2C1550C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abscessus.</w:t>
      </w:r>
    </w:p>
    <w:p w14:paraId="1CB9D37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IMPORTANCE</w:t>
      </w:r>
      <w:r>
        <w:rPr>
          <w:rFonts w:hint="eastAsia" w:ascii="宋体" w:hAnsi="宋体" w:eastAsia="宋体" w:cs="宋体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Mycobacterium abscessus constitutes an escalating global </w:t>
      </w:r>
    </w:p>
    <w:p w14:paraId="6EE010D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health threat, primarily due to its intrinsic resistance to most antibiotics. </w:t>
      </w:r>
    </w:p>
    <w:p w14:paraId="50A0633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This study identifies MAB_0984 (EthR) as a dominant resistance determinant that </w:t>
      </w:r>
    </w:p>
    <w:p w14:paraId="6356804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exerts a more profound impact on ethionamide (ETH) susceptibility than the </w:t>
      </w:r>
    </w:p>
    <w:p w14:paraId="031D126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previously characterized NudC. We demonstrate that EthR mediates resistance by </w:t>
      </w:r>
    </w:p>
    <w:p w14:paraId="276B162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specifically repressing the expression of EthA1 (MAB_0985), one of the primary </w:t>
      </w:r>
    </w:p>
    <w:p w14:paraId="126D29E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monooxygenases responsible for ETH bioactivation. The Mycobacterium tuberculosis </w:t>
      </w:r>
    </w:p>
    <w:p w14:paraId="61D27F8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EthR inhibitor BDM31343 potentiated the activity of ETH against M. abscessus </w:t>
      </w:r>
    </w:p>
    <w:p w14:paraId="62ACE81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through inhibition of EthR. These findings elucidate the mechanism of ETH </w:t>
      </w:r>
    </w:p>
    <w:p w14:paraId="2EE272F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resistance in M. abscessus, identifying EthR as a promising target for boosting </w:t>
      </w:r>
    </w:p>
    <w:p w14:paraId="2794442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the efficacy of ETH against M. abscessus.</w:t>
      </w:r>
    </w:p>
    <w:p w14:paraId="7C876C3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675C59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10.1128/spectrum.00638-26</w:t>
      </w:r>
    </w:p>
    <w:p w14:paraId="4FC06CA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42663472</w:t>
      </w:r>
    </w:p>
    <w:p w14:paraId="1B92547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EE3DF3B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7. J Glob Health. 2026 Aug 28;16:04284. doi: 10.7189/jogh.16.04284.</w:t>
      </w:r>
    </w:p>
    <w:p w14:paraId="34587EA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D9B8B2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Spatial distribution, clustering patterns, and economic burden of comorbidities </w:t>
      </w:r>
    </w:p>
    <w:p w14:paraId="171FF93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among hospitalised pulmonary tuberculosis patients in Guangdong province: a </w:t>
      </w:r>
    </w:p>
    <w:p w14:paraId="2C02236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spatial epidemiological study based on inpatient big data.</w:t>
      </w:r>
    </w:p>
    <w:p w14:paraId="1D492F6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137097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Ji L(1)(2), Chen L(3), Xue Y(2), Wu Y(4), Wu H(5), Jiang X(6), Liu G(7), Wang </w:t>
      </w:r>
    </w:p>
    <w:p w14:paraId="5FBE413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X(8), Yuan S(9), Zhou L(10).</w:t>
      </w:r>
    </w:p>
    <w:p w14:paraId="1D54C03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EB9DE41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Lianrong Ji,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Liang Chen,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Yunlian Xue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Yue Wu,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Huizhong Wu,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Xue Jiang,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Guihao Liu,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Xiaowan Wang,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Shasha Yuan,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Lin Zhou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6D1BA8B4">
      <w:pPr>
        <w:jc w:val="left"/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*C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orrespondence to: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 xml:space="preserve">Yunlian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instrText xml:space="preserve"> HYPERLINK "mailto:Xue，xueyunlian@163.com" </w:instrTex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fldChar w:fldCharType="separate"/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Xue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xueyunlian@163.com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fldChar w:fldCharType="end"/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；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Lin Zhou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zhoulin_gdph@163.com</w:t>
      </w:r>
    </w:p>
    <w:p w14:paraId="5BEB2B6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4733C9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1062E68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(1)School of Health Management, Southern Medical University, Guangzhou, China.</w:t>
      </w:r>
    </w:p>
    <w:p w14:paraId="183A821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(2)Department of Medical Insurance Affairs, Guangdong Provincial People's </w:t>
      </w:r>
    </w:p>
    <w:p w14:paraId="46BF01B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Hospital, Guangdong Academy of Medical Sciences, School of Health Management, </w:t>
      </w:r>
    </w:p>
    <w:p w14:paraId="08558E9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Southern Medical University, Guangzhou, China.</w:t>
      </w:r>
    </w:p>
    <w:p w14:paraId="6738ACD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(3)State Key Laboratory of Respiratory Disease, Guangzhou Medical University </w:t>
      </w:r>
    </w:p>
    <w:p w14:paraId="1F147B9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Institute of Tuberculosis, Office of the Dean, Guangzhou Chest Hospital </w:t>
      </w:r>
    </w:p>
    <w:p w14:paraId="40E4B44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Affiliated to Guangdong Pharmaceutical University, Guangzhou, China.</w:t>
      </w:r>
    </w:p>
    <w:p w14:paraId="501FB0E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(4)Guangdong Provincial Center for Public Health Medicine, Guangzhou, China.</w:t>
      </w:r>
    </w:p>
    <w:p w14:paraId="7834098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(5)Department of Quality Control, Guangdong Provincial Center for Public Health </w:t>
      </w:r>
    </w:p>
    <w:p w14:paraId="34F2563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Medicine, Guangzhou, China.</w:t>
      </w:r>
    </w:p>
    <w:p w14:paraId="4817ED0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(6)Office of the Party Committee, Guangdong Provincial People's Hospital, </w:t>
      </w:r>
    </w:p>
    <w:p w14:paraId="3005F0A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Guangdong Academy of Medical Sciences, Southern Medical University, Guangzhou, </w:t>
      </w:r>
    </w:p>
    <w:p w14:paraId="3C01372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</w:t>
      </w:r>
    </w:p>
    <w:p w14:paraId="38006EB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(7)Department of Scientific Research, Guangdong Provincial People's Hospital, </w:t>
      </w:r>
    </w:p>
    <w:p w14:paraId="3639900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Guangdong Academy of Medical Sciences, Southern Medical University, Guangzhou, </w:t>
      </w:r>
    </w:p>
    <w:p w14:paraId="0DC62E1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</w:t>
      </w:r>
    </w:p>
    <w:p w14:paraId="2843AC8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(8)Division of Health Policy Research, Chinese Academy of Medical Sciences &amp; </w:t>
      </w:r>
    </w:p>
    <w:p w14:paraId="2DE9AB1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Peking Union Medical College, Beijing, China.</w:t>
      </w:r>
    </w:p>
    <w:p w14:paraId="562AD6B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(9)Institute of Medical Information &amp; Library, Chinese Academy of Medical </w:t>
      </w:r>
    </w:p>
    <w:p w14:paraId="59EC9EB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Sciences &amp; Peking Union Medical College, Beijing, China.</w:t>
      </w:r>
    </w:p>
    <w:p w14:paraId="5D78FA6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(10)Office of the Dean, Guangdong Provincial People's Hospital, Guangdong </w:t>
      </w:r>
    </w:p>
    <w:p w14:paraId="78F5514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Academy of Medical Sciences, Southern Medical University, Guangzhou, China.</w:t>
      </w:r>
    </w:p>
    <w:p w14:paraId="5197521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5220F6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BACKGROUND: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Comorbidities may complicate the treatment of pulmonary tuberculosis </w:t>
      </w:r>
    </w:p>
    <w:p w14:paraId="64270D3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exacerbate both the clinical and economic burden. We aimed to examine </w:t>
      </w:r>
    </w:p>
    <w:p w14:paraId="7AEF646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comorbidity patterns, spatial clustering, and economic burden in hospitalised </w:t>
      </w:r>
    </w:p>
    <w:p w14:paraId="0584370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pulmonary tuberculosis (PTB) patients in Guangdong Province, supporting targeted </w:t>
      </w:r>
    </w:p>
    <w:p w14:paraId="72F4629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prevention strategies.</w:t>
      </w:r>
    </w:p>
    <w:p w14:paraId="7F48B49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METHODS: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Based on the Hospital Discharge Records Database of Guangdong Province </w:t>
      </w:r>
    </w:p>
    <w:p w14:paraId="35D29CD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from 2016 to 2024, we collected data on hospitalised PTB patients to analyse the </w:t>
      </w:r>
    </w:p>
    <w:p w14:paraId="764F189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characteristics and temporal trends of comorbidity spectra. We used Global </w:t>
      </w:r>
    </w:p>
    <w:p w14:paraId="51551F2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Moran's I and local indicators of spatial association analyses to examine the </w:t>
      </w:r>
    </w:p>
    <w:p w14:paraId="4C3756A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spatial clustering patterns of major comorbidity pairs. Generalised linear </w:t>
      </w:r>
    </w:p>
    <w:p w14:paraId="7DB793F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models evaluated the impact of comorbidity count and spatial clustering patterns </w:t>
      </w:r>
    </w:p>
    <w:p w14:paraId="5D3DB3D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on economic burden among hospitalised PTB patients.</w:t>
      </w:r>
    </w:p>
    <w:p w14:paraId="4AA60BA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RESULTS: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 total of 646,114 hospitalised PTB patients were included from 2016 to </w:t>
      </w:r>
    </w:p>
    <w:p w14:paraId="0DBB5B5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2024, of whom 66.42% had at least one comorbidity. Hypertension (HTN), diabetes </w:t>
      </w:r>
    </w:p>
    <w:p w14:paraId="7FFB55C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mellitus (DM), and chronic obstructive pulmonary disease (COPD) were the top </w:t>
      </w:r>
    </w:p>
    <w:p w14:paraId="28C6F5D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three comorbidities among hospitalised PTB patients. Spatial analysis indicated </w:t>
      </w:r>
    </w:p>
    <w:p w14:paraId="2011635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that high-high clusters of PTB-HTN were mainly concentrated in the central Pearl </w:t>
      </w:r>
    </w:p>
    <w:p w14:paraId="19B7502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River Delta; high-high clusters of PTB-DM in eastern Guangdong and low-low </w:t>
      </w:r>
    </w:p>
    <w:p w14:paraId="7776E6F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clusters in western Guangdong. High-high clusters of PTB-COPD were primarily </w:t>
      </w:r>
    </w:p>
    <w:p w14:paraId="4AF81A5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located in eastern and northern Guangdong, while low-low clusters remained </w:t>
      </w:r>
    </w:p>
    <w:p w14:paraId="1E648E3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relatively stable in several cities of the Pearl River Delta region. Among </w:t>
      </w:r>
    </w:p>
    <w:p w14:paraId="31B11E8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hospitalised PTB patients, the number of comorbidities was significantly </w:t>
      </w:r>
    </w:p>
    <w:p w14:paraId="7135D05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positively associated with both direct and indirect economic burden (P &lt; 0.001), </w:t>
      </w:r>
    </w:p>
    <w:p w14:paraId="5D2F0EC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with economic burden progressively increasing as the number of comorbidities </w:t>
      </w:r>
    </w:p>
    <w:p w14:paraId="3ECD7E0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increased, and the impact of spatial clustering patterns on economic burden </w:t>
      </w:r>
    </w:p>
    <w:p w14:paraId="0FCBC79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exhibited heterogeneity across different comorbidity types.</w:t>
      </w:r>
    </w:p>
    <w:p w14:paraId="37ED6FC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CONCLUSIONS: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burden of comorbidities among hospitalised PTB patients in </w:t>
      </w:r>
    </w:p>
    <w:p w14:paraId="3F74787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Guangdong Province is substantial, with significant spatial clustering </w:t>
      </w:r>
    </w:p>
    <w:p w14:paraId="60292CD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characteristics closely linked to direct and indirect economic burden. It is </w:t>
      </w:r>
    </w:p>
    <w:p w14:paraId="30D7B6A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recommended to incorporate regional comorbidity epidemiological characteristics </w:t>
      </w:r>
    </w:p>
    <w:p w14:paraId="4E29F82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into PTB comorbidity management and resource allocation optimisation. In </w:t>
      </w:r>
    </w:p>
    <w:p w14:paraId="498E062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addition, both direct medical costs and productivity losses should be considered </w:t>
      </w:r>
    </w:p>
    <w:p w14:paraId="73190F9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 prevention and control strategies to reduce the socioeconomic burden </w:t>
      </w:r>
    </w:p>
    <w:p w14:paraId="20E9E6B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associated with PTB.</w:t>
      </w:r>
    </w:p>
    <w:p w14:paraId="6BD4A0B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6C483B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© 2026 The Authors.</w:t>
      </w:r>
    </w:p>
    <w:p w14:paraId="3843A83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3EDE97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10.7189/jogh.16.04284</w:t>
      </w:r>
    </w:p>
    <w:p w14:paraId="5B8654B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PMC13523040</w:t>
      </w:r>
    </w:p>
    <w:p w14:paraId="71768C6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42663079 [Indexed for MEDLINE]</w:t>
      </w:r>
    </w:p>
    <w:p w14:paraId="3DB2155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36D5814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. J Infect Public Health. 2026 Aug 24;19(10):103348. doi: </w:t>
      </w:r>
    </w:p>
    <w:p w14:paraId="129BB107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10.1016/j.jiph.2026.103348. Online ahead of print.</w:t>
      </w:r>
    </w:p>
    <w:p w14:paraId="365FB25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7F0597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Multiplex crRNAs powered CRISPRCas13a detection for rifampicin-resistant </w:t>
      </w:r>
    </w:p>
    <w:p w14:paraId="3BF695C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mycobacterium tuberculosis.</w:t>
      </w:r>
    </w:p>
    <w:p w14:paraId="367BCF0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EEA996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Huang Z(1), Li W(2), Zhang J(3), Hao H(4), Niu M(5), Dong X(6), Sun W(7), Wu </w:t>
      </w:r>
    </w:p>
    <w:p w14:paraId="1D269C4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X(8), Sun Y(9), Li H(10).</w:t>
      </w:r>
    </w:p>
    <w:p w14:paraId="03F438F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8AB4230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Zhenyang Huang,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Wenjun Li,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Junxian Zhang,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Han Hao,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Mengwei Niu,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Xue Dong,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Wenna Sun,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Xueqiong Wu,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Yansong Sun,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Hao Li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456EF16B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*Corresponding author.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lihao88663239@126.com(Hao Li).</w:t>
      </w:r>
    </w:p>
    <w:p w14:paraId="36F04B7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129E63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5295E34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(1)State Key Laboratory of Pathogen and Biosecurity, Academy of Military Medical </w:t>
      </w:r>
    </w:p>
    <w:p w14:paraId="334AFD6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Sciences, Beijing 100071, China; College of Life Sciences Fujian Agriculture and </w:t>
      </w:r>
    </w:p>
    <w:p w14:paraId="0E7E9D3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Forestry University, Fuzhou 350002, China. Electronic address: </w:t>
      </w:r>
    </w:p>
    <w:p w14:paraId="1DDEDDB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hzy112018790@126.com.</w:t>
      </w:r>
    </w:p>
    <w:p w14:paraId="5418850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(2)State Key Laboratory of Pathogen and Biosecurity, Academy of Military Medical </w:t>
      </w:r>
    </w:p>
    <w:p w14:paraId="14A7230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Sciences, Beijing 100071, China. Electronic address: </w:t>
      </w:r>
    </w:p>
    <w:p w14:paraId="19FDEF7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liwenjun181@mails.ucas.ac.cn.</w:t>
      </w:r>
    </w:p>
    <w:p w14:paraId="1CEEE43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(3)Beijing Key Laboratory of New Techniques of Tuberculosis Diagnosis and </w:t>
      </w:r>
    </w:p>
    <w:p w14:paraId="1CC5952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Treatment, Institute of Tuberculosis Research, Senior Department of </w:t>
      </w:r>
    </w:p>
    <w:p w14:paraId="5F52B91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Tuberculosis, The Eighth Medical Center of PLA General Hospital, Beijing 100091, </w:t>
      </w:r>
    </w:p>
    <w:p w14:paraId="4803B97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 Electronic address: zhangjunx309@163.com.</w:t>
      </w:r>
    </w:p>
    <w:p w14:paraId="42A1EB3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(4)State Key Laboratory of Pathogen and Biosecurity, Academy of Military Medical </w:t>
      </w:r>
    </w:p>
    <w:p w14:paraId="47747D8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Sciences, Beijing 100071, China. Electronic address: m18560817190@163.com.</w:t>
      </w:r>
    </w:p>
    <w:p w14:paraId="22A8F32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(5)State Key Laboratory of Pathogen and Biosecurity, Academy of Military Medical </w:t>
      </w:r>
    </w:p>
    <w:p w14:paraId="0893B27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Sciences, Beijing 100071, China. Electronic address: n17865312968@outlook.com.</w:t>
      </w:r>
    </w:p>
    <w:p w14:paraId="0579E8F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(6)State Key Laboratory of Pathogen and Biosecurity, Academy of Military Medical </w:t>
      </w:r>
    </w:p>
    <w:p w14:paraId="34F7D7E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Sciences, Beijing 100071, China. Electronic address: dongxue941003@163.com.</w:t>
      </w:r>
    </w:p>
    <w:p w14:paraId="775FD18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(7)Beijing Key Laboratory of New Techniques of Tuberculosis Diagnosis and </w:t>
      </w:r>
    </w:p>
    <w:p w14:paraId="1E026E7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Treatment, Institute of Tuberculosis Research, Senior Department of </w:t>
      </w:r>
    </w:p>
    <w:p w14:paraId="1923BDB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Tuberculosis, The Eighth Medical Center of PLA General Hospital, Beijing 100091, </w:t>
      </w:r>
    </w:p>
    <w:p w14:paraId="66C9556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 Electronic address: 15210125766@139.com.</w:t>
      </w:r>
    </w:p>
    <w:p w14:paraId="57FDB6B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(8)Beijing Key Laboratory of New Techniques of Tuberculosis Diagnosis and </w:t>
      </w:r>
    </w:p>
    <w:p w14:paraId="15F355A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Treatment, Institute of Tuberculosis Research, Senior Department of </w:t>
      </w:r>
    </w:p>
    <w:p w14:paraId="6A29CE6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Tuberculosis, The Eighth Medical Center of PLA General Hospital, Beijing 100091, </w:t>
      </w:r>
    </w:p>
    <w:p w14:paraId="39FDAC1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 Electronic address: xueqiongwu@139.com.</w:t>
      </w:r>
    </w:p>
    <w:p w14:paraId="5E9B977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(9)State Key Laboratory of Pathogen and Biosecurity, Academy of Military Medical </w:t>
      </w:r>
    </w:p>
    <w:p w14:paraId="481E69C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Sciences, Beijing 100071, China. Electronic address: sunys6443@126.com.</w:t>
      </w:r>
    </w:p>
    <w:p w14:paraId="030983D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(10)State Key Laboratory of Pathogen and Biosecurity, Academy of Military </w:t>
      </w:r>
    </w:p>
    <w:p w14:paraId="6775E3E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Medical Sciences, Beijing 100071, China. Electronic address: </w:t>
      </w:r>
    </w:p>
    <w:p w14:paraId="40761C4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lihao88663239@126.com.</w:t>
      </w:r>
    </w:p>
    <w:p w14:paraId="08A2433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4232FD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BACKGROUND: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Rapid and accessible detection of Mycobacterium tuberculosis (MTB) </w:t>
      </w:r>
    </w:p>
    <w:p w14:paraId="3E7A5D8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rifampicin resistance is essential for timely treatment and transmission </w:t>
      </w:r>
    </w:p>
    <w:p w14:paraId="054A8C2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control. However, widely used drug-resistance testing methods, including qPCR </w:t>
      </w:r>
    </w:p>
    <w:p w14:paraId="0E5F254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gene sequencing, are time-consuming and require specialized instrumentation, </w:t>
      </w:r>
    </w:p>
    <w:p w14:paraId="1C90145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limiting their utility for rapid testing in primary-care and resource-limited </w:t>
      </w:r>
    </w:p>
    <w:p w14:paraId="54C0095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settings. Therefore, rapid, sensitive and readily deployable assays are urgently </w:t>
      </w:r>
    </w:p>
    <w:p w14:paraId="4FBD225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needed for the simultaneous diagnosis of tuberculosis (TB) and screening for </w:t>
      </w:r>
    </w:p>
    <w:p w14:paraId="1798160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drug resistance.</w:t>
      </w:r>
    </w:p>
    <w:p w14:paraId="5B00E36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METHODS: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A multiplex crRNA system was integrated with isothermal amplification, </w:t>
      </w:r>
    </w:p>
    <w:p w14:paraId="1E2CDBC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lyophilized reagents and a lateral flow readout to enable detection of 4 common </w:t>
      </w:r>
    </w:p>
    <w:p w14:paraId="43797C5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rpoB mutation sites in a single reaction. Analytical sensitivity and specificity </w:t>
      </w:r>
    </w:p>
    <w:p w14:paraId="2225B22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were evaluated using mutant plasmids, rifampicin-resistant clinical isolates, </w:t>
      </w:r>
    </w:p>
    <w:p w14:paraId="2374CA0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clinically relevant bacterial pathogens and non-tuberculous mycobacteria (NTM). </w:t>
      </w:r>
    </w:p>
    <w:p w14:paraId="7AD2A79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Clinical performance was assessed using sputum-derived nucleic acids, with qPCR </w:t>
      </w:r>
    </w:p>
    <w:p w14:paraId="61ECAE6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and Sanger sequencing as reference methods.</w:t>
      </w:r>
    </w:p>
    <w:p w14:paraId="3B4953C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RESULTS: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This detection assay can accurately identify nucleic acids from 10 </w:t>
      </w:r>
    </w:p>
    <w:p w14:paraId="1ECE0EC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clinical rifampicin-resistant isolates carrying four types of target mutations. </w:t>
      </w:r>
    </w:p>
    <w:p w14:paraId="5896FCD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For nucleic acids extracted from 21 clinical sputum samples, the assay achieved </w:t>
      </w:r>
    </w:p>
    <w:p w14:paraId="45B42AB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 sensitivity and specificity of 100%, with detection results fully consistent </w:t>
      </w:r>
    </w:p>
    <w:p w14:paraId="7ED824A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with those of qPCR and gene sequencing. The limit of detection (LOD) of the </w:t>
      </w:r>
    </w:p>
    <w:p w14:paraId="737DB3F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assay for all mutant plasmids was 10 copies/μL. In addition, this study realized </w:t>
      </w:r>
    </w:p>
    <w:p w14:paraId="585917C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highly sensitive and specific detection of MTB, with a LOD as low as 1 copy/μL, </w:t>
      </w:r>
    </w:p>
    <w:p w14:paraId="565DFA7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successfully identified nucleic acids from 42 clinical TB samples. No </w:t>
      </w:r>
    </w:p>
    <w:p w14:paraId="72BC639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cross-reactivity was observed between this assay and 5 pathogenic bacteria with </w:t>
      </w:r>
    </w:p>
    <w:p w14:paraId="00D1BAA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clinical symptoms overlapping with MTB, as well as 8 NTM strains. Amplification </w:t>
      </w:r>
    </w:p>
    <w:p w14:paraId="30B3913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and visual lateral flow readout were completed within 1 h.</w:t>
      </w:r>
    </w:p>
    <w:p w14:paraId="2043FA1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CONCLUSIONS: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This multiplex CRISPR-Cas13a assay enables rapid, sensitive and </w:t>
      </w:r>
    </w:p>
    <w:p w14:paraId="612D096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visually interpretable detection of MTB and common rifampicin </w:t>
      </w:r>
    </w:p>
    <w:p w14:paraId="79A41BE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resistance-associated mutations with limited instrumentation, offers a novel </w:t>
      </w:r>
    </w:p>
    <w:p w14:paraId="568B789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detection method for rifampicin-resistant tuberculosis (RR-TB) and exhibits </w:t>
      </w:r>
    </w:p>
    <w:p w14:paraId="7B088F1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potential in improving TB diagnosis.</w:t>
      </w:r>
    </w:p>
    <w:p w14:paraId="2618968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23FE29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Copyright © 2026. Published by Elsevier Ltd.</w:t>
      </w:r>
    </w:p>
    <w:p w14:paraId="5769E09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AAD6FC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10.1016/j.jiph.2026.103348</w:t>
      </w:r>
    </w:p>
    <w:p w14:paraId="6D0F095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42660094</w:t>
      </w:r>
    </w:p>
    <w:p w14:paraId="21DA59C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951F36E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. Chronic Illn. 2026 Aug 26:17423953261476186. doi: 10.1177/17423953261476186. </w:t>
      </w:r>
    </w:p>
    <w:p w14:paraId="5F828F09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Online ahead of print.</w:t>
      </w:r>
    </w:p>
    <w:p w14:paraId="490671C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09D1A5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Psychometric properties of Tigrigna version medical outcomes study short Form-36 </w:t>
      </w:r>
    </w:p>
    <w:p w14:paraId="55802DA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(MOS SF-36) quality of life tool among pulmonary tuberculosis patients in Tigray </w:t>
      </w:r>
    </w:p>
    <w:p w14:paraId="0B77769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region, Northern Ethiopia. A Cross-sectional study design.</w:t>
      </w:r>
    </w:p>
    <w:p w14:paraId="01AF730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0E9E60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Haile GB(1)(2), Gu J(1), Rahman FU(1), Alam I(1), Gebrekidan Tesfay A(2), Goitom </w:t>
      </w:r>
    </w:p>
    <w:p w14:paraId="20EF929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G(2), Wang P(1)(3).</w:t>
      </w:r>
    </w:p>
    <w:p w14:paraId="4CAD04D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DB5D0AB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Gebrhud Berihu Haile,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Jinjin Gu,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Fath Ur Rahman,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Imtiaz Alam,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Abrahaley Gebrekidan Tesfay,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Gidey Goitom,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Peng Wang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068D66B2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 xml:space="preserve">Corresponding author: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Peng Wang, Email: upliz@zzu.edu.cn</w:t>
      </w:r>
    </w:p>
    <w:p w14:paraId="5E80BC6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991A41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0810083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(1)School of Nursing and Health, Zhengzhou University, Zhengzhou, Henan, China.</w:t>
      </w:r>
    </w:p>
    <w:p w14:paraId="2DE2626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(2)Faculty of Nursing and Midwifery, Mekelle University, Mekelle, Tigray region, </w:t>
      </w:r>
    </w:p>
    <w:p w14:paraId="0F7C964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Ethiopia.</w:t>
      </w:r>
    </w:p>
    <w:p w14:paraId="2097498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(3)School of Nursing, Henan Medical University, Xinxiang, Henan Province, China.</w:t>
      </w:r>
    </w:p>
    <w:p w14:paraId="1832205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AAFB88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Objective</w:t>
      </w:r>
      <w:r>
        <w:rPr>
          <w:rFonts w:hint="eastAsia" w:ascii="宋体" w:hAnsi="宋体" w:eastAsia="宋体" w:cs="宋体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To assess the psychometric properties of the Tigrigna version Medical </w:t>
      </w:r>
    </w:p>
    <w:p w14:paraId="1F12FDD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Outcomes Study Short Form-36 (MOS SF-36) tool for pulmonary tuberculosis(TB) </w:t>
      </w:r>
    </w:p>
    <w:p w14:paraId="57DF96A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patients.</w:t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Methods</w:t>
      </w:r>
      <w:r>
        <w:rPr>
          <w:rFonts w:hint="eastAsia" w:ascii="宋体" w:hAnsi="宋体" w:eastAsia="宋体" w:cs="宋体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study was conducted among pulmonary TB patients in the </w:t>
      </w:r>
    </w:p>
    <w:p w14:paraId="37B2770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Tigray region of northern Ethiopia, using a cross-sectional study design. We </w:t>
      </w:r>
    </w:p>
    <w:p w14:paraId="0561844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evaluated the ceiling and floor effects, along with various types of reliability </w:t>
      </w:r>
    </w:p>
    <w:p w14:paraId="11D5118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validity for the questionnaire. Additionally, model fit for the item </w:t>
      </w:r>
    </w:p>
    <w:p w14:paraId="39B6B2A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structure was assessed through confirmatory factor analysis (CFA).</w:t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Results</w:t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</w:t>
      </w:r>
    </w:p>
    <w:p w14:paraId="7306696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internal consistency reliability (Cronbach's α) of the MOS SF-36 Tigrigna </w:t>
      </w:r>
    </w:p>
    <w:p w14:paraId="448F615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version tool was 0.86. The Intra-class Correlation Coefficient(ICC) varied from </w:t>
      </w:r>
    </w:p>
    <w:p w14:paraId="529F966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0.62 to 0.89, while test-retest reliability was 0.725. The Item-Content Validity </w:t>
      </w:r>
    </w:p>
    <w:p w14:paraId="1E63FDD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Index(I-CVI) varied between 0.86 and 1, with an average Scale-Content Validity </w:t>
      </w:r>
    </w:p>
    <w:p w14:paraId="4E1CB36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Index(S-CVI/Ave) of 0.93. No ceiling or floor effects were observed. CFA </w:t>
      </w:r>
    </w:p>
    <w:p w14:paraId="1C9C9B2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demonstrated a well-fitting model with the following results: </w:t>
      </w:r>
    </w:p>
    <w:p w14:paraId="5DA96C1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Chi-square/df = 2.1(p &lt; 0.001), Comparative Fit Index (CFI) = 0.98, Goodness of </w:t>
      </w:r>
    </w:p>
    <w:p w14:paraId="779DD84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Fit Index(GFI) = 0.96, Root Mean Square Error of Approximation (RMSEA) = 0.04, </w:t>
      </w:r>
    </w:p>
    <w:p w14:paraId="1C9F29D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and Standardized Root Mean Square Residuals (SRMR) = 0.06.</w:t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Conclusion</w:t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This study </w:t>
      </w:r>
    </w:p>
    <w:p w14:paraId="07AFF05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indicated that the Tigrigna form of the MOS SF-36 QOL tool exhibited good </w:t>
      </w:r>
    </w:p>
    <w:p w14:paraId="0684D83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reliability and validity properties among patients with pulmonary tuberculosis. </w:t>
      </w:r>
    </w:p>
    <w:p w14:paraId="7771C21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instrument can be utilized in research and medical practices in Ethiopia's </w:t>
      </w:r>
    </w:p>
    <w:p w14:paraId="4755585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TB population.</w:t>
      </w:r>
    </w:p>
    <w:p w14:paraId="1C88403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6D209D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10.1177/17423953261476186</w:t>
      </w:r>
    </w:p>
    <w:p w14:paraId="6189E52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42647576</w:t>
      </w:r>
    </w:p>
    <w:p w14:paraId="229D82F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5A0879B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. Public Health Action. 2026 Aug 24;16(3):281-287. doi: 10.5588/pha.26.0020. </w:t>
      </w:r>
    </w:p>
    <w:p w14:paraId="3E06D54C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eCollection 2026 Aug.</w:t>
      </w:r>
    </w:p>
    <w:p w14:paraId="2BA0F14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593501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Whole-transcriptome sequencing analysis to identify key non-coding RNAs in the </w:t>
      </w:r>
    </w:p>
    <w:p w14:paraId="23ACEF6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pathogenesis of pulmonary tuberculosis.</w:t>
      </w:r>
    </w:p>
    <w:p w14:paraId="1BBF31F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B4318E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Liu MB(1), Guo YL(2), Wu DJ(1), Ma QQ(1), Jiang T(3), Lin M(1).</w:t>
      </w:r>
    </w:p>
    <w:p w14:paraId="36E2107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C87C324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M-B Liu,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Y-L Guo,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D-J Wu,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Q-Q Ma,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T Jiang,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M Lin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03609053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Correspondence to: Mu Lin, Email: linmu1007@126.com</w:t>
      </w:r>
    </w:p>
    <w:p w14:paraId="5669270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0A85FF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415C91D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(1)The central laboratory of Guizhou aerospace hospital, Zunyi, China.</w:t>
      </w:r>
    </w:p>
    <w:p w14:paraId="03040D6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(2)Department of Pharmacy Guizhou aerospace hospital, Zunyi, China.</w:t>
      </w:r>
    </w:p>
    <w:p w14:paraId="673C6D1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(3)Department of Respiratory Guizhou aerospace hospital, Zunyi, China.</w:t>
      </w:r>
    </w:p>
    <w:p w14:paraId="2D82B62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649DC4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BACKGROUND: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Non-coding RNAs (ncRNAs) have been shown to play essential roles in </w:t>
      </w:r>
    </w:p>
    <w:p w14:paraId="636C65D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various human diseases, including pulmonary tuberculosis (TB). This study aims </w:t>
      </w:r>
    </w:p>
    <w:p w14:paraId="1CA1D3B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to investigate differentially expressed ncRNAs, explore their potential </w:t>
      </w:r>
    </w:p>
    <w:p w14:paraId="05E9E89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biological functions, and determine whether they can serve as biomarkers and </w:t>
      </w:r>
    </w:p>
    <w:p w14:paraId="310B523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therapeutic targets in TB.</w:t>
      </w:r>
    </w:p>
    <w:p w14:paraId="4F32412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METHODS: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Whole-transcriptome RNA sequencing was performed on blood samples from </w:t>
      </w:r>
    </w:p>
    <w:p w14:paraId="1D3556C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TB patients and healthy controls (n = 3 per group). Differentially expressed </w:t>
      </w:r>
    </w:p>
    <w:p w14:paraId="584BFA0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mRNAs, long non-coding RNAs (lncRNAs), circular RNAs (circRNAs), and microRNAs </w:t>
      </w:r>
    </w:p>
    <w:p w14:paraId="6A9B00B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(miRNAs) were identified, followed by Gene Ontology and Kyoto Encyclopedia of </w:t>
      </w:r>
    </w:p>
    <w:p w14:paraId="6B06F54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Genes and Genomes enrichment analyses. A competing endogenous RNA (ceRNA) </w:t>
      </w:r>
    </w:p>
    <w:p w14:paraId="41AEC47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network was constructed, and hub genes were identified via protein-protein </w:t>
      </w:r>
    </w:p>
    <w:p w14:paraId="3E7F70E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interaction network analysis using Cytoscape.</w:t>
      </w:r>
    </w:p>
    <w:p w14:paraId="10A6C2C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RESULTS: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A total of 507 differentially expressed mRNAs, 107 differentially </w:t>
      </w:r>
    </w:p>
    <w:p w14:paraId="624585F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expressed lncRNAs, 253 differentially expressed circRNAs, and 38 differentially </w:t>
      </w:r>
    </w:p>
    <w:p w14:paraId="001685B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expressed miRNAs were identified. Functional enrichment revealed involvement in </w:t>
      </w:r>
    </w:p>
    <w:p w14:paraId="57C1002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pathways related to cellular processes, mTOR signalling, and endocytosis. A </w:t>
      </w:r>
    </w:p>
    <w:p w14:paraId="4CEDF4D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circRNA-miRNA-mRNA ceRNA network was constructed, and hub mRNAs including RACK1, </w:t>
      </w:r>
    </w:p>
    <w:p w14:paraId="1ACF22C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EIF3G, and RPS15 were identified.</w:t>
      </w:r>
    </w:p>
    <w:p w14:paraId="0BA3EB8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CONCLUSION: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It is suggested that differentially expressed ncRNAs may play a role </w:t>
      </w:r>
    </w:p>
    <w:p w14:paraId="79A6BB7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 the pathogenesis of TB. The circRNA (hsa_circ_0003340) and the hub mRNA </w:t>
      </w:r>
    </w:p>
    <w:p w14:paraId="28A03D1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(RACK1) are potential candidates for further exploration as biomarkers for TB </w:t>
      </w:r>
    </w:p>
    <w:p w14:paraId="51B2D2A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infection. Moreover, the ceRNA network constructed in this study may provide new </w:t>
      </w:r>
    </w:p>
    <w:p w14:paraId="175ECB2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insights into the regulatory mechanisms of TB.</w:t>
      </w:r>
    </w:p>
    <w:p w14:paraId="635FA4F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2DD6E8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© 2026 The Authors.</w:t>
      </w:r>
    </w:p>
    <w:p w14:paraId="1D27255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AD6332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10.5588/pha.26.0020</w:t>
      </w:r>
    </w:p>
    <w:p w14:paraId="1575433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PMC13502504</w:t>
      </w:r>
    </w:p>
    <w:p w14:paraId="77CA926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42639598</w:t>
      </w:r>
    </w:p>
    <w:p w14:paraId="61D807E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0EC3D63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. Open Life Sci. 2026 Aug 31;21(1):20251369. doi: 10.1515/biol-2025-1369. </w:t>
      </w:r>
    </w:p>
    <w:p w14:paraId="32BE4208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eCollection 2026 Jan.</w:t>
      </w:r>
    </w:p>
    <w:p w14:paraId="53C79AF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F59E80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Myeloid sarcoma as EM blast crisis in BCR-ABL1 e6a2+ CML with myelofibrosis and </w:t>
      </w:r>
    </w:p>
    <w:p w14:paraId="513B158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TB: a case report.</w:t>
      </w:r>
    </w:p>
    <w:p w14:paraId="473EB4C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834969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Gu C(1), Lu R(1), Kang Y(2), Chen W(3), Zhang Y(4), Yang S(4).</w:t>
      </w:r>
    </w:p>
    <w:p w14:paraId="6C0697F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4DDC628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Chunling Gu,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Rui Lu,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Yixin Kang,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Wen Chen,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Yongqing Zhang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Sainan Yang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3F5C79A8">
      <w:pPr>
        <w:jc w:val="left"/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*Corresponding authors: Yongqing Zhang and Sainan Yang, E-mail: 13811869793@163.com (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Yongqing Zhang), 8744930@qq.com (Sainan Yang)</w:t>
      </w:r>
    </w:p>
    <w:p w14:paraId="08A001C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8E2BFE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0EC11FA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(1)Graduate School, Hebei North University, Zhangjiakou, Hebei Province, 075000, </w:t>
      </w:r>
    </w:p>
    <w:p w14:paraId="78DDA09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</w:t>
      </w:r>
    </w:p>
    <w:p w14:paraId="49D595A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(2)The Eighth Medical Center, Chinese PLA General Hospital, Beijing, 100089, </w:t>
      </w:r>
    </w:p>
    <w:p w14:paraId="77BCB5C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</w:t>
      </w:r>
    </w:p>
    <w:p w14:paraId="3B716FF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(3)Department of Pathology, The Eighth Medical Center, Chinese People's </w:t>
      </w:r>
    </w:p>
    <w:p w14:paraId="6A684DD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Liberation Army (PLA) General Hospital, Beijing, China.</w:t>
      </w:r>
    </w:p>
    <w:p w14:paraId="017FE02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(4)Department of Hematology, The Eighth Medical Center of Chinese PLA General </w:t>
      </w:r>
    </w:p>
    <w:p w14:paraId="721B203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Hospital, Beijing, China.</w:t>
      </w:r>
    </w:p>
    <w:p w14:paraId="623D943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6E644E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BCR-ABL1 e6a2-positive chronic myeloid leukemia (CML) is a rare molecular </w:t>
      </w:r>
    </w:p>
    <w:p w14:paraId="047233F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subtype of CML, accounting for less than 1 % of CML cases. It was shown to be </w:t>
      </w:r>
    </w:p>
    <w:p w14:paraId="467E523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associated with aggressive clinical behavior and a tendency toward disease </w:t>
      </w:r>
    </w:p>
    <w:p w14:paraId="73BA195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progression. Here, we report a 56-year-old man who presented with pancytopenia, </w:t>
      </w:r>
    </w:p>
    <w:p w14:paraId="5C56421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cervical lymphadenopathy, and severe myelofibrosis, without the typical </w:t>
      </w:r>
    </w:p>
    <w:p w14:paraId="2CD6F4E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leukocytosis observed in classic CML. Concurrent active pulmonary tuberculosis </w:t>
      </w:r>
    </w:p>
    <w:p w14:paraId="791B700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further complicated the diagnostic process. Hyperuricemia and elevated levels of </w:t>
      </w:r>
    </w:p>
    <w:p w14:paraId="77E8B02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lactate dehydrogenase (LDH) suggested a high cell-turnover state, and cervical </w:t>
      </w:r>
    </w:p>
    <w:p w14:paraId="28012DF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lymph node biopsy confirmed myeloid sarcoma. Cytogenetic analysis revealed </w:t>
      </w:r>
    </w:p>
    <w:p w14:paraId="024C8CC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t(9;22)(q34;q11.2) with trisomy 8. Real-time quantitative polymerase chain </w:t>
      </w:r>
    </w:p>
    <w:p w14:paraId="33A0B03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reaction (RT-qPCR) identified the rare BCR-ABL1 e6a2 transcript. The patient </w:t>
      </w:r>
    </w:p>
    <w:p w14:paraId="323FE95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received second- and third-generation tyrosine kinase inhibitor (TKI)-based </w:t>
      </w:r>
    </w:p>
    <w:p w14:paraId="41561DC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therapy combined with chemotherapy. An individualized rifamycin-sparing </w:t>
      </w:r>
    </w:p>
    <w:p w14:paraId="0A68760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anti-tuberculosis regimen was also prescribed. The patient achieved complete </w:t>
      </w:r>
    </w:p>
    <w:p w14:paraId="0C949B6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remission with marked regression of myelofibrosis. This case suggests that </w:t>
      </w:r>
    </w:p>
    <w:p w14:paraId="4A6CC48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e6a2-positive CML may present with atypical features, including pancytopenia, </w:t>
      </w:r>
    </w:p>
    <w:p w14:paraId="3A74975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severe myelofibrosis, and extramedullary blast crisis. In patients with </w:t>
      </w:r>
    </w:p>
    <w:p w14:paraId="73F921B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concurrent tuberculosis, timely tissue biopsy and molecular testing are </w:t>
      </w:r>
    </w:p>
    <w:p w14:paraId="57F8676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essential to accelerate diagnosis.</w:t>
      </w:r>
    </w:p>
    <w:p w14:paraId="35CDD9E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6AF9E6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© 2026 the author(s), published by De Gruyter, Berlin/Boston.</w:t>
      </w:r>
    </w:p>
    <w:p w14:paraId="6A7F5DB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370FDA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10.1515/biol-2025-1369</w:t>
      </w:r>
    </w:p>
    <w:p w14:paraId="5C38198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PMC13524128</w:t>
      </w:r>
    </w:p>
    <w:p w14:paraId="40FD5C1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42667003</w:t>
      </w:r>
    </w:p>
    <w:p w14:paraId="0BB3A0D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D38A1C0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2. Front Cell Infect Microbiol. 2026 Aug 14;16:1836144. doi: </w:t>
      </w:r>
    </w:p>
    <w:p w14:paraId="47CCB6A9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10.3389/fcimb.2026.1836144. eCollection 2026.</w:t>
      </w:r>
    </w:p>
    <w:p w14:paraId="72D4F45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B9DA63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Red blood cell distribution width is associated with coronary artery disease in </w:t>
      </w:r>
    </w:p>
    <w:p w14:paraId="4D602CA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latent tuberculosis infection: a machine learning-based study.</w:t>
      </w:r>
    </w:p>
    <w:p w14:paraId="1C2EB67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D64F2D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Sun F(1), Zhou Y(2), Ma H(3), Ye M(4), Yang Y(5)(6).</w:t>
      </w:r>
    </w:p>
    <w:p w14:paraId="6338D36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8D66F2F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Feng Sun,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Yuqiang Zhou,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Haiping Ma,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Mei Ye,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Yining Yang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44880AEF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*CORRESPONDENCE Yining Yang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yangyn5126@163.com</w:t>
      </w:r>
    </w:p>
    <w:p w14:paraId="42BD675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745EFD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1C231D5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(1)Department of Respiratory Medicine, The First Affiliated Hospital of Xinjiang </w:t>
      </w:r>
    </w:p>
    <w:p w14:paraId="3C8200D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Medical University, Urumqi, China.</w:t>
      </w:r>
    </w:p>
    <w:p w14:paraId="1A95923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(2)Department of Cardiology, The Fifth Affiliated Hospital of Xinjiang Medical </w:t>
      </w:r>
    </w:p>
    <w:p w14:paraId="7EDB627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University, Urumqi, China.</w:t>
      </w:r>
    </w:p>
    <w:p w14:paraId="59A7505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(3)First Clinical Medical College, Xinjiang Medical University, Urumqi, China.</w:t>
      </w:r>
    </w:p>
    <w:p w14:paraId="2E11AC2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(4)Imaging Center, The First Affiliated Hospital of Xinjiang Medical University, </w:t>
      </w:r>
    </w:p>
    <w:p w14:paraId="0828D99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Urumqi, China.</w:t>
      </w:r>
    </w:p>
    <w:p w14:paraId="4DB35FE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(5)Department of Cardiology, People's Hospital of Xinjiang Uyghur Autonomous </w:t>
      </w:r>
    </w:p>
    <w:p w14:paraId="2C4338D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Region, Urumqi, China.</w:t>
      </w:r>
    </w:p>
    <w:p w14:paraId="67843C2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(6)Xinjiang Key Laboratory of Cardiovascular Homeostasis and Regeneration </w:t>
      </w:r>
    </w:p>
    <w:p w14:paraId="35AA817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Research, Urumqi, China.</w:t>
      </w:r>
    </w:p>
    <w:p w14:paraId="5881A44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90153F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BACKGROUND: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Latent tuberculosis infection (LTBI) is associated with an increased </w:t>
      </w:r>
    </w:p>
    <w:p w14:paraId="1DACA2F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risk of coronary artery disease (CAD), potentially mediated by systemic </w:t>
      </w:r>
    </w:p>
    <w:p w14:paraId="2210A74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inflammation. Traditional lipid-based risk models may have limited predictive </w:t>
      </w:r>
    </w:p>
    <w:p w14:paraId="2DAA88A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performance in tuberculosis-affected populations.</w:t>
      </w:r>
    </w:p>
    <w:p w14:paraId="5DD6D71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OBJECTIVES: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This study aimed to identify CAD risk factors in individuals with </w:t>
      </w:r>
    </w:p>
    <w:p w14:paraId="4AA495B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LTBI and to develop and externally validate a predictive model using a </w:t>
      </w:r>
    </w:p>
    <w:p w14:paraId="6776BB9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Boruta-LASSO machine learning approach.</w:t>
      </w:r>
    </w:p>
    <w:p w14:paraId="416B62E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METHODS: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 this dual-center retrospective case-control study, patients who </w:t>
      </w:r>
    </w:p>
    <w:p w14:paraId="1110AF3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underwent both coronary CT angiography (CCTA) and interferon-γ release assay </w:t>
      </w:r>
    </w:p>
    <w:p w14:paraId="3A4C2B7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(IGRA) were enrolled. Cases were patients with CAD diagnosed by CCTA; controls </w:t>
      </w:r>
    </w:p>
    <w:p w14:paraId="71CC6EF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were those without CAD. Candidate predictors were selected using Boruta and </w:t>
      </w:r>
    </w:p>
    <w:p w14:paraId="44E69BA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LASSO regression, then incorporated into a multivariable logistic regression </w:t>
      </w:r>
    </w:p>
    <w:p w14:paraId="0C8F295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model to construct a nomogram, which was externally validated.</w:t>
      </w:r>
    </w:p>
    <w:p w14:paraId="0A37C60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RESULTS: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Among 862 screened records, 616 participants were enrolled (derivation </w:t>
      </w:r>
    </w:p>
    <w:p w14:paraId="285F248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cohort, n = 453; validation cohort, n = 163). Age, red blood cell distribution </w:t>
      </w:r>
    </w:p>
    <w:p w14:paraId="064AB46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width (RDW), and hemoglobin A1c (HbA1c) were identified as independent </w:t>
      </w:r>
    </w:p>
    <w:p w14:paraId="7A9FC96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predictors and incorporated into the nomogram. The model achieved an area under </w:t>
      </w:r>
    </w:p>
    <w:p w14:paraId="0F5934F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receiver operating characteristic curve (AUC) of 0.783 (MAE 0.285) in the </w:t>
      </w:r>
    </w:p>
    <w:p w14:paraId="0D46FD1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derivation cohort and 0.738 (MAE 0.303) in the external validation cohort, with </w:t>
      </w:r>
    </w:p>
    <w:p w14:paraId="585895C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favorable net clinical benefit. A significant RDW-LTBI interaction was </w:t>
      </w:r>
    </w:p>
    <w:p w14:paraId="00D92FB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associated with a 1.737-fold (95% CI 1.092-2.877, P = 0.025) increase in CAD </w:t>
      </w:r>
    </w:p>
    <w:p w14:paraId="7AB24A1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risk. After Benjamini-Hochberg correction (FDR &lt; 0.05), RDW was positively </w:t>
      </w:r>
    </w:p>
    <w:p w14:paraId="1094498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correlated with interleukin-6 (IL-6; r = 0.345), C-reactive protein (CRP; </w:t>
      </w:r>
    </w:p>
    <w:p w14:paraId="22B8015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 = 0.251), serum amyloid A (SAA; r = 0.238), and monocyte-to-lymphocyte ratio </w:t>
      </w:r>
    </w:p>
    <w:p w14:paraId="2F14C23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(MLR; r = 0.214).</w:t>
      </w:r>
    </w:p>
    <w:p w14:paraId="53F5C4C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CONCLUSION: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A nomogram for predicting CAD risk in LTBI-positive individuals was </w:t>
      </w:r>
    </w:p>
    <w:p w14:paraId="4E7327E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developed and externally validated using three routine clinical variables. A </w:t>
      </w:r>
    </w:p>
    <w:p w14:paraId="5F881D0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significant multiplicative interaction between RDW and LTBI was identified, and </w:t>
      </w:r>
    </w:p>
    <w:p w14:paraId="1850D39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positive correlations between RDW and pro-inflammatory markers were observed </w:t>
      </w:r>
    </w:p>
    <w:p w14:paraId="7449FEB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specifically in LTBI-positive patients. These findings are consistent with the </w:t>
      </w:r>
    </w:p>
    <w:p w14:paraId="6B59ED7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hypothesis that LTBI-associated chronic inflammation may contribute to CAD risk </w:t>
      </w:r>
    </w:p>
    <w:p w14:paraId="6C031B5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that this low-cost tool may facilitate early risk stratification in </w:t>
      </w:r>
    </w:p>
    <w:p w14:paraId="03EA591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resource-limited settings.</w:t>
      </w:r>
    </w:p>
    <w:p w14:paraId="239EC9C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8005B5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Copyright © 2026 Sun, Zhou, Ma, Ye and Yang.</w:t>
      </w:r>
    </w:p>
    <w:p w14:paraId="5DC0900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300273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10.3389/fcimb.2026.1836144</w:t>
      </w:r>
    </w:p>
    <w:p w14:paraId="098AD1B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PMC13522151</w:t>
      </w:r>
    </w:p>
    <w:p w14:paraId="4D26F05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42666300 [Indexed for MEDLINE]</w:t>
      </w:r>
    </w:p>
    <w:p w14:paraId="3C62288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A9DCE8B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3. Front Neurol. 2026 Aug 14;17:1820517. doi: 10.3389/fneur.2026.1820517. </w:t>
      </w:r>
    </w:p>
    <w:p w14:paraId="3903D3C3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eCollection 2026.</w:t>
      </w:r>
    </w:p>
    <w:p w14:paraId="7757559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E14E71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PPD skin test positivity and in-hospital mortality across age groups in non-HIV </w:t>
      </w:r>
    </w:p>
    <w:p w14:paraId="7C11A48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tuberculous meningitis: a retrospective cohort study.</w:t>
      </w:r>
    </w:p>
    <w:p w14:paraId="0F71FD5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B1E3AA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Zeng W(1), Xiao X(1), Liu Q(1), Zhou H(2), Chen L(1), Ouyang Y(1), Wang Z(3), </w:t>
      </w:r>
    </w:p>
    <w:p w14:paraId="43870C5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Chen S(3), Hu J(3), Zhou Y(4), Wu Q(5).</w:t>
      </w:r>
    </w:p>
    <w:p w14:paraId="446E094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40AF2B4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Wengao Zeng,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Xiangzhi Xiao,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Qing Liu,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Huashan Zhou,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Liu Chen,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Yan Ouyang,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Zhen Wang,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Sufen Chen,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Jue Hu,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Yanhua Zhou,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Qiong Wu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3CA5FE3D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*CORRESPONDENCE Qiong Wu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wgz9988@163.co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m</w:t>
      </w:r>
    </w:p>
    <w:p w14:paraId="75C9DE9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9BDC03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3472058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(1)Department of Neurology, The Second Hospital of Changsha (West Branch of </w:t>
      </w:r>
    </w:p>
    <w:p w14:paraId="5EE1C6E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Changsha Hospital for Maternal &amp; Child Health Care), Changsha, Hunan, China.</w:t>
      </w:r>
    </w:p>
    <w:p w14:paraId="322F07E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(2)Department of Pathology, The Second Hospital of Changsha (West Branch of </w:t>
      </w:r>
    </w:p>
    <w:p w14:paraId="44F085B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Changsha Hospital for Maternal &amp; Child Health Care), Changsha, Hunan, China.</w:t>
      </w:r>
    </w:p>
    <w:p w14:paraId="521669E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(3)Department of Neurology, The Affiliated Changsha Central Hospital, Hengyang </w:t>
      </w:r>
    </w:p>
    <w:p w14:paraId="2EB3962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Medical School, University of South China, Changsha, Hunan, China.</w:t>
      </w:r>
    </w:p>
    <w:p w14:paraId="7F70B13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(4)Department of Otolaryngology, The Second Hospital of Changsha (West Branch of </w:t>
      </w:r>
    </w:p>
    <w:p w14:paraId="230702E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Changsha Hospital for Maternal &amp; Child Health Care), Changsha, Hunan, China.</w:t>
      </w:r>
    </w:p>
    <w:p w14:paraId="65C77E4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(5)Department of Neurosurgery, The Affiliated Changsha Central Hospital, </w:t>
      </w:r>
    </w:p>
    <w:p w14:paraId="5490594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Hengyang Medical School, University of South China, Changsha, Hunan, China.</w:t>
      </w:r>
    </w:p>
    <w:p w14:paraId="074A488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FEBDCE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BACKGROUND: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Purified Protein Derivative (PPD) skin test reactivity reflects </w:t>
      </w:r>
    </w:p>
    <w:p w14:paraId="6C84AD2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cell-mediated immune response to Mycobacterium tuberculosis. Evidence regarding </w:t>
      </w:r>
    </w:p>
    <w:p w14:paraId="2781B34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prognostic association of PPD reactivity in TBM, particularly its variation </w:t>
      </w:r>
    </w:p>
    <w:p w14:paraId="1F49BCE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across age groups, remains limited.</w:t>
      </w:r>
    </w:p>
    <w:p w14:paraId="05A4C4E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METHODS: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We conducted a single-center retrospective cohort study of consecutive </w:t>
      </w:r>
    </w:p>
    <w:p w14:paraId="16173E6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non-HIV TBM patients. Firth's penalized logistic regression was used to estimate </w:t>
      </w:r>
    </w:p>
    <w:p w14:paraId="30C0866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association between PPD status and in-hospital mortality using fixed </w:t>
      </w:r>
    </w:p>
    <w:p w14:paraId="114907C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covariate sets selected on clinical grounds. Entropy balancing was used as a </w:t>
      </w:r>
    </w:p>
    <w:p w14:paraId="32682B5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complementary covariate-balancing analysis. Age-related heterogeneity in the </w:t>
      </w:r>
    </w:p>
    <w:p w14:paraId="7F51794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PPD-mortality association was evaluated on multiplicative and additive scales </w:t>
      </w:r>
    </w:p>
    <w:p w14:paraId="30E6772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explored using restricted cubic splines (RCS). Discrimination, calibration, </w:t>
      </w:r>
    </w:p>
    <w:p w14:paraId="04BA526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exploratory decision-curve net benefit were summarized using the area under </w:t>
      </w:r>
    </w:p>
    <w:p w14:paraId="62BDD69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receiver operating characteristic curve (AUC), optimism-corrected AUC, Brier </w:t>
      </w:r>
    </w:p>
    <w:p w14:paraId="2083E8A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score, calibration intercept and slope, and decision curve analysis.</w:t>
      </w:r>
    </w:p>
    <w:p w14:paraId="555CF97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RESULTS: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Among 1,574 patients, 187 (11.9%) died during hospitalization. In the </w:t>
      </w:r>
    </w:p>
    <w:p w14:paraId="034415E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fixed clinical model, there was no clear evidence that PPD positivity was </w:t>
      </w:r>
    </w:p>
    <w:p w14:paraId="601CB1A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associated with mortality in the full cohort (OR 1.30, 95% CI 0.74-2.19) or </w:t>
      </w:r>
    </w:p>
    <w:p w14:paraId="6E49546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among adults (OR 0.68, 95% CI 0.31-1.34). Among 211 children, 9 of 25 </w:t>
      </w:r>
    </w:p>
    <w:p w14:paraId="6C5BD6D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PPD-positive children and 13 of 186 PPD-negative children died. The age- and </w:t>
      </w:r>
    </w:p>
    <w:p w14:paraId="25ECA4D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diagnostic-category-adjusted pediatric estimate was OR 7.20, 95% CI 2.70-18.94; </w:t>
      </w:r>
    </w:p>
    <w:p w14:paraId="16BB02E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however, it was based on only 22 pediatric deaths and should be considered </w:t>
      </w:r>
    </w:p>
    <w:p w14:paraId="1EADC6E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hypothesis-generating. The multiplicative interaction OR for adults versus </w:t>
      </w:r>
    </w:p>
    <w:p w14:paraId="24D0E1F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children was 0.08 (95% CI 0.02-0.28), and the pediatric-minus-adult difference </w:t>
      </w:r>
    </w:p>
    <w:p w14:paraId="3E85EE1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 standardized mortality-probability contrasts was 0.321 (95% CI 0.158-0.510). </w:t>
      </w:r>
    </w:p>
    <w:p w14:paraId="5F24A59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Full-cohort model performance was modest (AUC 0.673; optimism-corrected AUC </w:t>
      </w:r>
    </w:p>
    <w:p w14:paraId="06B00B2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0.647; Brier score 0.0994). For the primary pediatric model, the E-value was </w:t>
      </w:r>
    </w:p>
    <w:p w14:paraId="4F5155D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4.81 for the point estimate and 2.67 for the lower confidence-limit bound after </w:t>
      </w:r>
    </w:p>
    <w:p w14:paraId="744E30D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approximate OR-to-RR conversion.</w:t>
      </w:r>
    </w:p>
    <w:p w14:paraId="2739C0F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CONCLUSION: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We found no clear evidence that PPD positivity was associated with </w:t>
      </w:r>
    </w:p>
    <w:p w14:paraId="0E387C6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in-hospital mortality in the full cohort. The pediatric association was large </w:t>
      </w:r>
    </w:p>
    <w:p w14:paraId="3E73444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but imprecise and depended on nine deaths among PPD-positive children; it should </w:t>
      </w:r>
    </w:p>
    <w:p w14:paraId="13C3703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be treated as an exploratory signal rather than an established age-dependent </w:t>
      </w:r>
    </w:p>
    <w:p w14:paraId="368F009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prognostic association. Multicenter studies using standardized PPD procedures, </w:t>
      </w:r>
    </w:p>
    <w:p w14:paraId="1992236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quantitative induration and testing-time data, and detailed baseline severity </w:t>
      </w:r>
    </w:p>
    <w:p w14:paraId="68DC722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measures are needed to independently replicate the pediatric association.</w:t>
      </w:r>
    </w:p>
    <w:p w14:paraId="322183B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21BA3E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Copyright © 2026 Zeng, Xiao, Liu, Zhou, Chen, Ouyang, Wang, Chen, Hu, Zhou and </w:t>
      </w:r>
    </w:p>
    <w:p w14:paraId="474D8C5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Wu.</w:t>
      </w:r>
    </w:p>
    <w:p w14:paraId="3CE60D8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79BBBC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10.3389/fneur.2026.1820517</w:t>
      </w:r>
    </w:p>
    <w:p w14:paraId="12A4DCC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PMC13521825</w:t>
      </w:r>
    </w:p>
    <w:p w14:paraId="10E7CE3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42666175 [Indexed for MEDLINE]</w:t>
      </w:r>
    </w:p>
    <w:p w14:paraId="33E725B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503184D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>4. J Immunol Res. 2026;2026(1):e9206625. doi: 10.1155/jimr/9206625.</w:t>
      </w:r>
    </w:p>
    <w:p w14:paraId="4FB3031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A2959E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Downregulated Plasma-Derived Extracellular Vesicle MicroRNAs as Novel Biomarkers </w:t>
      </w:r>
    </w:p>
    <w:p w14:paraId="1663717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for Enhanced Tuberculosis Diagnosis.</w:t>
      </w:r>
    </w:p>
    <w:p w14:paraId="42164C6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373D36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Liu Y(1)(2)(3)(4), Zhang L(5), Yang Y(2)(3)(4), Wu J(2)(3)(4), Wu L(2)(3)(4), </w:t>
      </w:r>
    </w:p>
    <w:p w14:paraId="5988500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Yang Y(6), Deng H(2)(3)(4), Jin W(5), Wu S(5), Guo X(5), Dang W(5), Su </w:t>
      </w:r>
    </w:p>
    <w:p w14:paraId="72C5C70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J(2)(3)(4), Wu J(5), Liu F(5), Zou X(5), He Y(2)(3)(4), Wei J(7), Wen W(1), Deng </w:t>
      </w:r>
    </w:p>
    <w:p w14:paraId="1CA7E7D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X(2)(3)(4), Liao Y(2)(3)(4), Wang L(2)(3)(4).</w:t>
      </w:r>
    </w:p>
    <w:p w14:paraId="2A389F7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4DF3AD3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Yuheng Liu,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Lei Zhang,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Yi Yang,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Junwei Wu,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Liyuan Wu,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Yilin Yang,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Haiyi Deng,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Wenxiang Jin,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Shuwen Wu,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Xiaolei Guo,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Wenqiang Dang,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Jin Su,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Junbin Wu,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Feifei Liu,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Xiaofeng Zou,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Yingxin He,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Jie Wei,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Weihong Wen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Xiaoyan Deng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Yao Liao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Lifu Wang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2A10EB0E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Correspondence: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Weihong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Wen(13416502932@163.com) | Xiaoyan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Deng(dxyzgy@163.com) | Yao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Liao(2023390084@gzhmu.edu.cn) | Lifu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Wang(wanglf@gzhmu.edu.cn)</w:t>
      </w:r>
    </w:p>
    <w:p w14:paraId="23E0AE22">
      <w:pPr>
        <w:rPr>
          <w:rFonts w:hint="eastAsia" w:ascii="宋体" w:hAnsi="宋体" w:eastAsia="宋体" w:cs="宋体"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</w:p>
    <w:p w14:paraId="0A97FD3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0CE69D9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(1)The Sixth School of Clinical Medicine, The Affiliated Qingyuan Hospital </w:t>
      </w:r>
    </w:p>
    <w:p w14:paraId="13208D3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(Qingyuan People's Hospital), Guangzhou Medical University, Qingyuan 511518, </w:t>
      </w:r>
    </w:p>
    <w:p w14:paraId="4636C87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China, gzhmc.edu.cn.</w:t>
      </w:r>
    </w:p>
    <w:p w14:paraId="064315E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(2)KingMed School of Laboratory Medicine, Guangzhou Medical University, </w:t>
      </w:r>
    </w:p>
    <w:p w14:paraId="12C4289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Guangzhou 511436, China, gzhmc.edu.cn.</w:t>
      </w:r>
    </w:p>
    <w:p w14:paraId="62C3220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(3)Engineering Technology Research Center of Intelligent Diagnosis for </w:t>
      </w:r>
    </w:p>
    <w:p w14:paraId="686DC2B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Infectious Diseases in Guangdong Province, Guangzhou 511436, China.</w:t>
      </w:r>
    </w:p>
    <w:p w14:paraId="5ABEFC7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(4)Guangzhou Key Laboratory for Clinical Rapid Diagnosis and Early Warning of </w:t>
      </w:r>
    </w:p>
    <w:p w14:paraId="6E62910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Infectious Diseases, Guangzhou 511436, China.</w:t>
      </w:r>
    </w:p>
    <w:p w14:paraId="49288EE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(5)Guangzhou Kingmed Center for Clinical Laboratory, Guangzhou 510320, China.</w:t>
      </w:r>
    </w:p>
    <w:p w14:paraId="7AAE588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(6)The First Affiliated Hospital of Guangzhou Medical University, National </w:t>
      </w:r>
    </w:p>
    <w:p w14:paraId="7D9CDEC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Center for Respiratory Medicine, National Clinical Research Center for </w:t>
      </w:r>
    </w:p>
    <w:p w14:paraId="79231A1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Respiratory Disease, State Key Laboratory of Respiratory Disease, Guangzhou </w:t>
      </w:r>
    </w:p>
    <w:p w14:paraId="1B98E92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Institute of Respiratory Health, Guangzhou 510163, China, gzhmc.edu.cn.</w:t>
      </w:r>
    </w:p>
    <w:p w14:paraId="3C48BF0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(7)The Department of Clinical Laboratory, The Second Affiliated Hospital of </w:t>
      </w:r>
    </w:p>
    <w:p w14:paraId="5E0EB9D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Guangzhou Medical University, Guangzhou 510120, China, gzhmc.edu.cn.</w:t>
      </w:r>
    </w:p>
    <w:p w14:paraId="6E0DCD7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6E8469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BACKGROUND: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Tuberculosis (TB) remains a leading global cause of infectious </w:t>
      </w:r>
    </w:p>
    <w:p w14:paraId="048F077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disease mortality, while current diagnostic methods face substantial </w:t>
      </w:r>
    </w:p>
    <w:p w14:paraId="608D539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limitations. Extracellular vesicle (EV)-encapsulated microRNAs (miRNAs) </w:t>
      </w:r>
    </w:p>
    <w:p w14:paraId="2021C6A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demonstrate significant potential as diagnostic biomarkers. This study aimed to </w:t>
      </w:r>
    </w:p>
    <w:p w14:paraId="10FCCDE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evaluate their diagnostic utility for TB by identifying expression disparities </w:t>
      </w:r>
    </w:p>
    <w:p w14:paraId="1F5DFB2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between TB patients and healthy controls (HCs) and exploring EV miRNA diagnostic </w:t>
      </w:r>
    </w:p>
    <w:p w14:paraId="15D1A3B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performance.</w:t>
      </w:r>
    </w:p>
    <w:p w14:paraId="311EAE7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METHODS: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HCs were healthy individuals excluded from pulmonary infectious </w:t>
      </w:r>
    </w:p>
    <w:p w14:paraId="15C60E1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diseases, and TB patients were clinically and laboratory-confirmed cases without </w:t>
      </w:r>
    </w:p>
    <w:p w14:paraId="45539C4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other concurrent pulmonary infections. Small RNA sequencing analysis was </w:t>
      </w:r>
    </w:p>
    <w:p w14:paraId="0D23AC3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performed on plasma EVs from a discovery cohort (n = 40) to identify </w:t>
      </w:r>
    </w:p>
    <w:p w14:paraId="3245079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differentially expressed (DE) miRNAs. Findings were validated via quantitative </w:t>
      </w:r>
    </w:p>
    <w:p w14:paraId="08D76DE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real-time PCR (qRT-PCR) in an independent cohort (n = 24). Subsequently, an EV </w:t>
      </w:r>
    </w:p>
    <w:p w14:paraId="71DE059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miRNA combinatorial diagnostic model was developed using random forest </w:t>
      </w:r>
    </w:p>
    <w:p w14:paraId="7877678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classifiers in a modeling cohort (n = 58), incorporating feature selection based </w:t>
      </w:r>
    </w:p>
    <w:p w14:paraId="7A2A185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on importance scores and correlation coefficients. Hyperparameter optimization </w:t>
      </w:r>
    </w:p>
    <w:p w14:paraId="34F2F16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model stability verification were performed via grid search with five-fold </w:t>
      </w:r>
    </w:p>
    <w:p w14:paraId="2AD83AB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cross-validation. Diagnostic performance was evaluated through receiver </w:t>
      </w:r>
    </w:p>
    <w:p w14:paraId="1A3B158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operating characteristic (ROC) analysis. Bioinformatics analysis included target </w:t>
      </w:r>
    </w:p>
    <w:p w14:paraId="02ABD59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gene prediction using miRNA databases, followed by Gene Ontology (GO) and Kyoto </w:t>
      </w:r>
    </w:p>
    <w:p w14:paraId="1629FE9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Encyclopedia of Genes and Genomes (KEGG) pathway enrichment analyses.</w:t>
      </w:r>
    </w:p>
    <w:p w14:paraId="66A55C2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RESULTS: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Sequencing revealed 67 significantly DE EV miRNAs, with 92.5% </w:t>
      </w:r>
    </w:p>
    <w:p w14:paraId="4034445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demonstrating marked downregulation in TB patients. This pattern was confirmed </w:t>
      </w:r>
    </w:p>
    <w:p w14:paraId="48A2759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by qRT-PCR validation. Eleven validated miRNAs were used for model construction. </w:t>
      </w:r>
    </w:p>
    <w:p w14:paraId="75FD4B0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Feature selection identified three optimal miRNAs (miR-19b-3p, miR-181b-5p, and </w:t>
      </w:r>
    </w:p>
    <w:p w14:paraId="19577FC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miR-98-5p), generating seven combinatorial models. Individual miRNAs exhibited </w:t>
      </w:r>
    </w:p>
    <w:p w14:paraId="44B1E1A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area under the curves (AUCs) &gt; 0.85, while combinations achieved AUCs &gt; 0.89. </w:t>
      </w:r>
    </w:p>
    <w:p w14:paraId="4B6E678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Notably, the combinatorial signature of miR-19b-3p and miR-181b-5p demonstrated </w:t>
      </w:r>
    </w:p>
    <w:p w14:paraId="0EDBCC7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outstanding diagnostic discrimination (AUC = 1.000; sensitivity and specificity </w:t>
      </w:r>
    </w:p>
    <w:p w14:paraId="055A991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both 100%), with a five-fold cross-validated score of 0.964 indicating robust </w:t>
      </w:r>
    </w:p>
    <w:p w14:paraId="07ECCA7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model stability. Bioinformatics analysis revealed that the target genes of these </w:t>
      </w:r>
    </w:p>
    <w:p w14:paraId="5AC48D6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two miRNAs were enriched in immune response pathways, including the Notch </w:t>
      </w:r>
    </w:p>
    <w:p w14:paraId="7FB1EE5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signaling pathway and the cyclic adenosine monophosphate (cAMP) signaling </w:t>
      </w:r>
    </w:p>
    <w:p w14:paraId="2C7C3D7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pathway.</w:t>
      </w:r>
    </w:p>
    <w:p w14:paraId="79E2AFD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CONCLUSION: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This EV miRNA signature demonstrates remarkable diagnostic accuracy </w:t>
      </w:r>
    </w:p>
    <w:p w14:paraId="540C1AF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for TB, offering a clinically actionable solution to diagnostic challenges.</w:t>
      </w:r>
    </w:p>
    <w:p w14:paraId="5C9229E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7BE8E0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Copyright © 2026 Yuheng Liu et al. Journal of Immunology Research published by </w:t>
      </w:r>
    </w:p>
    <w:p w14:paraId="2E72B56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John Wiley &amp; Sons Ltd.</w:t>
      </w:r>
    </w:p>
    <w:p w14:paraId="4B2436E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D8F69D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10.1155/jimr/9206625</w:t>
      </w:r>
    </w:p>
    <w:p w14:paraId="7C92C15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PMC13520784</w:t>
      </w:r>
    </w:p>
    <w:p w14:paraId="12A8276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42658038 [Indexed for MEDLINE]</w:t>
      </w:r>
    </w:p>
    <w:p w14:paraId="63DAC28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4AF78D3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5. J Res Med Sci. 2026 Jul 29;31:18. doi: 10.4103/jrms.jrms_1159_25. eCollection </w:t>
      </w:r>
    </w:p>
    <w:p w14:paraId="4001EEE7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2026.</w:t>
      </w:r>
    </w:p>
    <w:p w14:paraId="2F2575C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7AF9A9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Diagnostic value and prognostic effect of has-miR-151a-3p in tuberculosis.</w:t>
      </w:r>
    </w:p>
    <w:p w14:paraId="4608732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5FFDDF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Li J(1), Luo T(2).</w:t>
      </w:r>
    </w:p>
    <w:p w14:paraId="5E4F579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F7C7B81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Jingwen Li,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Tingru Luo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0B76B309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Address for correspondence: Prof. Tingru Luo,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E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noBreakHyphen/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mail: t7h1em84@163.com</w:t>
      </w:r>
    </w:p>
    <w:p w14:paraId="0BCFB63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06D36C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270BA1D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(1)Department of Tuberculosis Division II, Chongqing Public Health Medical </w:t>
      </w:r>
    </w:p>
    <w:p w14:paraId="728BE28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Center, Chongqing, China.</w:t>
      </w:r>
    </w:p>
    <w:p w14:paraId="45C61F2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(2)Department of Tuberculosis Division III, Chongqing Public Health Medical </w:t>
      </w:r>
    </w:p>
    <w:p w14:paraId="0F6EBF2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Center, Chongqing, China.</w:t>
      </w:r>
    </w:p>
    <w:p w14:paraId="2BA4C85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1855B5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BACKGROUND: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Tuberculosis (TB) is a widespread chronic infectious disease </w:t>
      </w:r>
    </w:p>
    <w:p w14:paraId="231D684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globally, caused by infection with Mycobacterium tuberculosis (MTB). Clinically, </w:t>
      </w:r>
    </w:p>
    <w:p w14:paraId="2A87345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it is classified into latent TB and active TB. Without timely and standardized </w:t>
      </w:r>
    </w:p>
    <w:p w14:paraId="229C682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treatment, it is prone to disease progression and even death. This research </w:t>
      </w:r>
    </w:p>
    <w:p w14:paraId="1204EB5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aimed to investigate the clinical significance of miR-151a-3p in TB and probe </w:t>
      </w:r>
    </w:p>
    <w:p w14:paraId="531F33B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into the related underlying mechanisms.</w:t>
      </w:r>
    </w:p>
    <w:p w14:paraId="6E4A0B1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MATERIALS AND METHODS: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Collectively, a total of 101 patients with latent TB, 102 </w:t>
      </w:r>
    </w:p>
    <w:p w14:paraId="26A29AE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patients with active TB, and 63 healthy individuals were enrolled in the </w:t>
      </w:r>
    </w:p>
    <w:p w14:paraId="34E277C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research. Utilized real-time quantitative polymerase chain reaction (RT-qPCR) to </w:t>
      </w:r>
    </w:p>
    <w:p w14:paraId="7F255ED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measure the relative expression level of miR-151a-3p. To examine miR-151a-3p's </w:t>
      </w:r>
    </w:p>
    <w:p w14:paraId="57655F8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diagnostic potential for TB, receiver operating characteristic curve analysis </w:t>
      </w:r>
    </w:p>
    <w:p w14:paraId="4680ED3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was performed; logistic analysis was used to assess its role as a risk factor </w:t>
      </w:r>
    </w:p>
    <w:p w14:paraId="7E6E0F8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against TB. The function of miR-151a-3p in THP-1 cells infected with MTB was </w:t>
      </w:r>
    </w:p>
    <w:p w14:paraId="45EEF56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determined using flow cytometry, Cell Counting Kit-8 assay, and enzyme-linked </w:t>
      </w:r>
    </w:p>
    <w:p w14:paraId="2BFA330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immunosorbent assay. Dual-Luciferase assay verified its interaction with TP53, </w:t>
      </w:r>
    </w:p>
    <w:p w14:paraId="0495CB1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RT-qPCR was used to analyze the expression of TP53 in different THP-1 cell </w:t>
      </w:r>
    </w:p>
    <w:p w14:paraId="0E0F755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experimental groups and among different patients, and its prognostic utility was </w:t>
      </w:r>
    </w:p>
    <w:p w14:paraId="12C18A2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analyzed through Kaplan-Meier curve and Cox model. RT-qPCR was used to analyze </w:t>
      </w:r>
    </w:p>
    <w:p w14:paraId="4FDCEAC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expression of miR-151a-3p and TP53 in patients with different treatment </w:t>
      </w:r>
    </w:p>
    <w:p w14:paraId="0A13843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outcomes.</w:t>
      </w:r>
    </w:p>
    <w:p w14:paraId="6CB6B08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RESULTS: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The expression level of miR-151a-3p gradually decreased in the latent </w:t>
      </w:r>
    </w:p>
    <w:p w14:paraId="1CA604D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TB group and the active TB group. It could well distinguish TB patients. The </w:t>
      </w:r>
    </w:p>
    <w:p w14:paraId="3E392DB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decrease in its expression serves as a significant risk factor for TB. MTB </w:t>
      </w:r>
    </w:p>
    <w:p w14:paraId="6F66537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infection triggers THP-1 cell apoptosis, impairs cell viability, and elevates </w:t>
      </w:r>
    </w:p>
    <w:p w14:paraId="02AB47A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inflammatory factors, which were partially reversed by miR-151a-3p. Through </w:t>
      </w:r>
    </w:p>
    <w:p w14:paraId="0F30A35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Dual-Luciferase assays, cell experiments, and patient TP53 expression analysis, </w:t>
      </w:r>
    </w:p>
    <w:p w14:paraId="52B91E4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miR-151a-3p is suggested to be involved in TB progression by targeting TP53.</w:t>
      </w:r>
    </w:p>
    <w:p w14:paraId="69D4B35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CONCLUSION: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miR-151a-3p can serve as a clinical indicator for diagnosing TB and </w:t>
      </w:r>
    </w:p>
    <w:p w14:paraId="71C76AC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evaluating the progression of TB. miR-151a-3p reverses the MTB infection-induced </w:t>
      </w:r>
    </w:p>
    <w:p w14:paraId="5F798C8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cellular dysfunction and inflammatory response by targeting TP53.</w:t>
      </w:r>
    </w:p>
    <w:p w14:paraId="5EC0888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7F96CB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Copyright: © 2026 Journal of Research in Medical Sciences.</w:t>
      </w:r>
    </w:p>
    <w:p w14:paraId="1A9E63C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C90804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10.4103/jrms.jrms_1159_25</w:t>
      </w:r>
    </w:p>
    <w:p w14:paraId="0B22214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PMC13516012</w:t>
      </w:r>
    </w:p>
    <w:p w14:paraId="4A9BE2A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42657381</w:t>
      </w:r>
    </w:p>
    <w:p w14:paraId="62DB865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ED5AE00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16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>. Front Surg. 2026 Aug 12;13:1889766. doi: 10.3389/fsurg.2026.1889766. eCollection 2026.</w:t>
      </w:r>
    </w:p>
    <w:p w14:paraId="5F0A768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73E23A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Case Report: Concurrent thyroid tuberculosis and tuberculous lymphadenitis </w:t>
      </w:r>
    </w:p>
    <w:p w14:paraId="56FA5E9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initially misdiagnosed as malignancy by (18)F-FDG PET/CT.</w:t>
      </w:r>
    </w:p>
    <w:p w14:paraId="27C7FBE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F29CBB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Zhang Z(1)(2), Wang H(2), Wu Y(2), Lei Y(3), Zhang C(2)(4).</w:t>
      </w:r>
    </w:p>
    <w:p w14:paraId="702EDCF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B5B6B7E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Zhenyu Zhang,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Huiling Wang,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Yaqin Wu,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Yali Lei,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Chaojie Zhang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7CE000CB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*CORRESPONDENCE Chaojie Zhang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zhangchaojie74@126.com</w:t>
      </w:r>
    </w:p>
    <w:p w14:paraId="266E285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DDD9CE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05F92A4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(1)Department of Breast and Thyroid Surgery, Hunan Normal University First </w:t>
      </w:r>
    </w:p>
    <w:p w14:paraId="6707D00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Affiliated Hospital Hunan Provincial People's Hospital, Changsha, Hunan, China.</w:t>
      </w:r>
    </w:p>
    <w:p w14:paraId="77A1078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(2)Department of Breast and Thyroid Surgery, Hunan Provincial People's Hospital </w:t>
      </w:r>
    </w:p>
    <w:p w14:paraId="4FC85C3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(The First Affiliated Hospital of Hunan Normal University), Changsha, Hunan, </w:t>
      </w:r>
    </w:p>
    <w:p w14:paraId="3CE2CCF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</w:t>
      </w:r>
    </w:p>
    <w:p w14:paraId="24B8FF0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(3)Department of Pathology, Hunan Provincial People's Hospital (The First </w:t>
      </w:r>
    </w:p>
    <w:p w14:paraId="01F8850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Affiliated Hospital of Hunan Normal University), Changsha, Hunan, China.</w:t>
      </w:r>
    </w:p>
    <w:p w14:paraId="3288004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(4)Hunan Research Institute of Geriatrics, Changsha, Hunan, China.</w:t>
      </w:r>
    </w:p>
    <w:p w14:paraId="1E7069D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52E650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BACKGROUND: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Tuberculous lymphadenitis (TBL) is a common manifestation of </w:t>
      </w:r>
    </w:p>
    <w:p w14:paraId="67191C2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extrapulmonary tuberculosis (EPTB). However, establishing a definitive diagnosis </w:t>
      </w:r>
    </w:p>
    <w:p w14:paraId="33A4A8B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can be challenging, particularly in primary healthcare settings, when the </w:t>
      </w:r>
    </w:p>
    <w:p w14:paraId="1060DF7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clinical presentation is atypical or when TBL coexists with another rare form of </w:t>
      </w:r>
    </w:p>
    <w:p w14:paraId="2F5BDC4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EPTB-thyroid tuberculosis (TB). Whether primary or secondary, TB remains an </w:t>
      </w:r>
    </w:p>
    <w:p w14:paraId="18147AF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exceedingly uncommon clinical entity, even in the context of the persistently </w:t>
      </w:r>
    </w:p>
    <w:p w14:paraId="7554D19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high overall prevalence of tuberculosis in China. Thyroid tuberculosis accounts </w:t>
      </w:r>
    </w:p>
    <w:p w14:paraId="2A83C0C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for approximately 0.1%-0.4% of all thyroid diseases, with an even lower </w:t>
      </w:r>
    </w:p>
    <w:p w14:paraId="5C95EA0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incidence of primary thyroid involvement. Herein, we report a case in which </w:t>
      </w:r>
    </w:p>
    <w:p w14:paraId="469AE5E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1⁸F-FDG PET/CT imaging initially suggested malignant lesions involving thyroid </w:t>
      </w:r>
    </w:p>
    <w:p w14:paraId="6FAE9F4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nodules and cervical lymph nodes; however, the final histopathological </w:t>
      </w:r>
    </w:p>
    <w:p w14:paraId="76A500A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assessment and subsequent favorable response to diagnostic anti-tubercular </w:t>
      </w:r>
    </w:p>
    <w:p w14:paraId="1076D8A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therapy confirmed the diagnosis of concurrent thyroid tuberculosis and </w:t>
      </w:r>
    </w:p>
    <w:p w14:paraId="33E277F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tuberculous lymphadenitis.</w:t>
      </w:r>
    </w:p>
    <w:p w14:paraId="64164E1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CASE DESCRIPTION: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patient was a 68-year-old male presenting with a 10-day </w:t>
      </w:r>
    </w:p>
    <w:p w14:paraId="484C404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history of a palpable neck mass. Thyroid ultrasonography revealed multiple </w:t>
      </w:r>
    </w:p>
    <w:p w14:paraId="21E4796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bilateral thyroid nodules classified as TI-RADS category 4b, accompanied by </w:t>
      </w:r>
    </w:p>
    <w:p w14:paraId="4576E6C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markedly elevated serum anti-thyroglobulin antibody (TGAb) and anti-thyroid </w:t>
      </w:r>
    </w:p>
    <w:p w14:paraId="6A138FE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peroxidase antibody (TPOAb) levels. An enlarged lymph node was detected in the </w:t>
      </w:r>
    </w:p>
    <w:p w14:paraId="1DD7761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right cervical region. An 1⁸F-FDG PET/CT scan performed at an external </w:t>
      </w:r>
    </w:p>
    <w:p w14:paraId="4615F25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institution demonstrated lesions with increased FDG uptake involving the thyroid </w:t>
      </w:r>
    </w:p>
    <w:p w14:paraId="34DAA34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gland, multiple systemic lymph nodes, and the lungs. To clarify the diagnosis, </w:t>
      </w:r>
    </w:p>
    <w:p w14:paraId="6F42195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ultrasound-guided core needle biopsy (CNB) was performed on the bilateral </w:t>
      </w:r>
    </w:p>
    <w:p w14:paraId="104DB3A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thyroid nodules and the right cervical lymph node. Histopathological examination </w:t>
      </w:r>
    </w:p>
    <w:p w14:paraId="033BF09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revealed granulomatous inflammation, and tuberculosis could not be excluded. </w:t>
      </w:r>
    </w:p>
    <w:p w14:paraId="6E0810D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Polymerase chain reaction (PCR) testing and fungal polysaccharide </w:t>
      </w:r>
    </w:p>
    <w:p w14:paraId="33724DD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immunofluorescence (IF) staining were both negative, while acid-fast bacilli </w:t>
      </w:r>
    </w:p>
    <w:p w14:paraId="6BAF8F7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staining showed suspicious positive results. The patient exhibited no specific </w:t>
      </w:r>
    </w:p>
    <w:p w14:paraId="2F92AF0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clinical symptoms and denied a history of exposure to tuberculosis-endemic </w:t>
      </w:r>
    </w:p>
    <w:p w14:paraId="63AC48B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areas. Based on these findings, diagnostic anti-tubercular therapy was </w:t>
      </w:r>
    </w:p>
    <w:p w14:paraId="025A3E7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initiated. A limited initial follow-up assessment demonstrated a favorable </w:t>
      </w:r>
    </w:p>
    <w:p w14:paraId="2A44432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therapeutic response, supporting the diagnosis, although the patient was </w:t>
      </w:r>
    </w:p>
    <w:p w14:paraId="1EAFE4C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subsequently lost to long-term follow-up due to financial and adherence issues.</w:t>
      </w:r>
    </w:p>
    <w:p w14:paraId="4D381E2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CONCLUSION: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This case highlights the importance of considering the possibility </w:t>
      </w:r>
    </w:p>
    <w:p w14:paraId="03FEA99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of thyroid tuberculosis in clinical practice. With the increasing detection of </w:t>
      </w:r>
    </w:p>
    <w:p w14:paraId="7AFB55D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thyroid nodules during routine examinations, accurate differentiation between </w:t>
      </w:r>
    </w:p>
    <w:p w14:paraId="77DECC7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benign and malignant etiologies is crucial. Incorporating tuberculosis infection </w:t>
      </w:r>
    </w:p>
    <w:p w14:paraId="074B848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into the differential diagnosis may help prevent unnecessary surgical </w:t>
      </w:r>
    </w:p>
    <w:p w14:paraId="77946BF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interventions for suspected thyroid malignancy.</w:t>
      </w:r>
    </w:p>
    <w:p w14:paraId="3B32126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AAC913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© 2026 Zhang, Wang, Wu, Lei and Zhang.</w:t>
      </w:r>
    </w:p>
    <w:p w14:paraId="3DCB7EC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1FBDD8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10.3389/fsurg.2026.1889766</w:t>
      </w:r>
    </w:p>
    <w:p w14:paraId="62485F7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PMC13506876</w:t>
      </w:r>
    </w:p>
    <w:p w14:paraId="7FFEECF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42656556</w:t>
      </w:r>
    </w:p>
    <w:p w14:paraId="49061BE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C1DEDE8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17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. Front Pharmacol. 2026 Aug 12;17:1816387. doi: 10.3389/fphar.2026.1816387. </w:t>
      </w:r>
    </w:p>
    <w:p w14:paraId="6DF3E0A6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eCollection 2026.</w:t>
      </w:r>
    </w:p>
    <w:p w14:paraId="56F4D8E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F0DC53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Automated machine learning model to predict anti-tuberculosis drug-induced liver </w:t>
      </w:r>
    </w:p>
    <w:p w14:paraId="2A89442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injury in patients with tuberculous meningitis.</w:t>
      </w:r>
    </w:p>
    <w:p w14:paraId="1DCF13B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80DA87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Li P(1), Yang Y(2), Xi L(1), Li L(1), Zeng Y(1), Mao Y(1), Yan P(1).</w:t>
      </w:r>
    </w:p>
    <w:p w14:paraId="0B92974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E36B5F6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Pengyu Li,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Yang Yang,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Lanyan Xi,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Ling Li,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Ying Zeng,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Yanmei Mao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Pan Yan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2C76B5D7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 xml:space="preserve">*CORRESPONDENCE Yanmei Mao, 278111074@qq.com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；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Pan Yan, 2022050025@usc.edu.cn</w:t>
      </w:r>
    </w:p>
    <w:p w14:paraId="3619911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0F338B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585B724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(1)Department of Pharmacy, The Affiliated Changsha Central Hospital, Hengyang </w:t>
      </w:r>
    </w:p>
    <w:p w14:paraId="0B08734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Medical School, University of South China, Changsha, China.</w:t>
      </w:r>
    </w:p>
    <w:p w14:paraId="6E2FBEF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(2)College of Pharmacy, Changsha Medical University, Changsha, China.</w:t>
      </w:r>
    </w:p>
    <w:p w14:paraId="7451A87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A43C6B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BACKGROUND: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Tuberculous meningitis (TBM) is a severe central nervous system </w:t>
      </w:r>
    </w:p>
    <w:p w14:paraId="5B8028C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infection with high disability and mortality rates. However, during TBM </w:t>
      </w:r>
    </w:p>
    <w:p w14:paraId="250CFCE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treatment, anti-tuberculosis drug-induced liver injury (ATB-DILI) often </w:t>
      </w:r>
    </w:p>
    <w:p w14:paraId="78AEB43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precipitates treatment interruption and contributes to poor clinical outcomes. </w:t>
      </w:r>
    </w:p>
    <w:p w14:paraId="7570299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This study aims to develop an automatic machine learning (AutoML) model for </w:t>
      </w:r>
    </w:p>
    <w:p w14:paraId="2BB23AF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predicting the risk of ATB-DILI in TBM patients.</w:t>
      </w:r>
    </w:p>
    <w:p w14:paraId="444A640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METHODS: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A retrospective cohort study was conducted in adult TBM patients. After </w:t>
      </w:r>
    </w:p>
    <w:p w14:paraId="0D2DAAC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feature selection via least absolute shrinkage and selection operator (LASSO) </w:t>
      </w:r>
    </w:p>
    <w:p w14:paraId="51B7430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regression, AutoML was employed to construct predictive models. The bootstrap </w:t>
      </w:r>
    </w:p>
    <w:p w14:paraId="7F3C50B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resampling method was used for internal validation. Furthermore, feature </w:t>
      </w:r>
    </w:p>
    <w:p w14:paraId="7F9BFAC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importance, partial dependence plots, and SHapley Additive exPlanations (SHAP) </w:t>
      </w:r>
    </w:p>
    <w:p w14:paraId="34D8C20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analysis were utilized for model interpretation.</w:t>
      </w:r>
    </w:p>
    <w:p w14:paraId="0D99512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RESULTS: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 total of 253 TBM patients were included in this study, of whom 54 </w:t>
      </w:r>
    </w:p>
    <w:p w14:paraId="617DCD2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(21.34%) developed ATB-DILI. LASSO regression analysis identified four </w:t>
      </w:r>
    </w:p>
    <w:p w14:paraId="57B5723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characteristic factors, including cerebrospinal fluid (CSF) chloride, blood </w:t>
      </w:r>
    </w:p>
    <w:p w14:paraId="3B2BE3E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platelet, hypertension, and total bilirubin. Among the candidate models </w:t>
      </w:r>
    </w:p>
    <w:p w14:paraId="525BAFF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generated by AutoML, the optimal gradient boosting machine (GBM) model </w:t>
      </w:r>
    </w:p>
    <w:p w14:paraId="26F031E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demonstrated superior performance. It achieved an optimism-corrected area under </w:t>
      </w:r>
    </w:p>
    <w:p w14:paraId="61C7FBA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receiver operating characteristic curve (AUC) of 0.828 (95% CI: 0.794-0.861) </w:t>
      </w:r>
    </w:p>
    <w:p w14:paraId="17A5B0C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an optimism-corrected area under the precision-recall curve (PR-AUC) of </w:t>
      </w:r>
    </w:p>
    <w:p w14:paraId="4D4D180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0.711 (95% CI: 0.628-0.782). In addition, interpretability analysis revealed </w:t>
      </w:r>
    </w:p>
    <w:p w14:paraId="7AB9897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that CSF chloride was the most important variable for the optimal GBM model.</w:t>
      </w:r>
    </w:p>
    <w:p w14:paraId="2CDD320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CONCLUSION: T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he ATB-DILI prediction model, developed using AutoML technology, </w:t>
      </w:r>
    </w:p>
    <w:p w14:paraId="336B6B1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demonstrated high predictive ability and interpretability. It can assist </w:t>
      </w:r>
    </w:p>
    <w:p w14:paraId="59989D5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clinicians in identifying TBM patients at risk of ATB-DILI, thereby optimizing </w:t>
      </w:r>
    </w:p>
    <w:p w14:paraId="1AD2DE1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patient management and facilitating the formulation of personalized medication </w:t>
      </w:r>
    </w:p>
    <w:p w14:paraId="6F64B45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regimens.</w:t>
      </w:r>
    </w:p>
    <w:p w14:paraId="2D8738E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77FCD4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Copyright © 2026 Li, Yang, Xi, Li, Zeng, Mao and Yan.</w:t>
      </w:r>
    </w:p>
    <w:p w14:paraId="5127F59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F10FFE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10.3389/fphar.2026.1816387</w:t>
      </w:r>
    </w:p>
    <w:p w14:paraId="299D56E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PMC13506474</w:t>
      </w:r>
    </w:p>
    <w:p w14:paraId="0BA1A99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42656322</w:t>
      </w:r>
    </w:p>
    <w:p w14:paraId="5FD5A22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CF5E983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>. Microorganisms. 2026 Aug 18;14(8):1824. doi: 10.3390/microorganisms14081824.</w:t>
      </w:r>
    </w:p>
    <w:p w14:paraId="000A0A1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63F3EC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Algorithmic Determinants of Performance Heterogeneity in Whole-Genome </w:t>
      </w:r>
    </w:p>
    <w:p w14:paraId="2D087F4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Sequencing-Based Prediction of Drug Resistance in Mycobacterium tuberculosis: A </w:t>
      </w:r>
    </w:p>
    <w:p w14:paraId="7AA911B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Systematic Review and Meta-Analysis.</w:t>
      </w:r>
    </w:p>
    <w:p w14:paraId="70AE730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AC8B8C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Peng B(1)(2), Zhou Y(1), Li X(3), Liu H(2), Zhao B(1), Hou P(4), Ou X(1), Zhao </w:t>
      </w:r>
    </w:p>
    <w:p w14:paraId="414CB1B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Y(1).</w:t>
      </w:r>
    </w:p>
    <w:p w14:paraId="4BF4C5E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479A53E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Baozhen Peng,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Yang Zhou,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Xiangchen Li,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Huihui Liu,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Bing Zhao,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Ping Hou,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Xichao Ou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Yanlin Zhao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4828ED41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Correspondence: ouxc@chinacdc.cn (Xichao Ou); zhaoyl@chinacdc.cn (Yanlin Zhao)</w:t>
      </w:r>
    </w:p>
    <w:p w14:paraId="0FF3D2E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B6DA6C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43150BA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(1)National Key Laboratory of Intelligent Tracking and Forecasting for </w:t>
      </w:r>
    </w:p>
    <w:p w14:paraId="6458CAB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Infectious Diseases, National Center for Tuberculosis Control and Prevention, </w:t>
      </w:r>
    </w:p>
    <w:p w14:paraId="4D75BBA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Chinese Center for Disease Control and Prevention &amp; Chinese Academy of </w:t>
      </w:r>
    </w:p>
    <w:p w14:paraId="5171A26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Preventive Medicine, Beijing 102206, China.</w:t>
      </w:r>
    </w:p>
    <w:p w14:paraId="6B912FC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(2)Chinese Field Epidemiology Training Program, Chinese Center for Disease </w:t>
      </w:r>
    </w:p>
    <w:p w14:paraId="18152B5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Control and Prevention &amp; Chinese Academy of Preventive Medicine, Beijing 100050, </w:t>
      </w:r>
    </w:p>
    <w:p w14:paraId="7D7ECEE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</w:t>
      </w:r>
    </w:p>
    <w:p w14:paraId="48C4D56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(3)Cosmos Wisdom Mass Spectrometry Center, Zhejiang University Medical School, </w:t>
      </w:r>
    </w:p>
    <w:p w14:paraId="62534F2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Hangzhou 310058, China.</w:t>
      </w:r>
    </w:p>
    <w:p w14:paraId="1BF3373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(4)Tuberculosis Reference Laboratory, Hainan Provincial Center for Disease </w:t>
      </w:r>
    </w:p>
    <w:p w14:paraId="725C2D2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Control and Prevention, Haikou 570203, China.</w:t>
      </w:r>
    </w:p>
    <w:p w14:paraId="72633CB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3F6FCF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Whole-genome sequencing (WGS) is an increasingly adopted platform for predicting </w:t>
      </w:r>
    </w:p>
    <w:p w14:paraId="3497F8C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drug resistance in Mycobacterium tuberculosis; however, diagnostic accuracy </w:t>
      </w:r>
    </w:p>
    <w:p w14:paraId="36BE0D9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varies substantially across bioinformatic tools and analytical frameworks, </w:t>
      </w:r>
    </w:p>
    <w:p w14:paraId="1C9D09C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generating considerable uncertainty for clinical laboratory implementation. We </w:t>
      </w:r>
    </w:p>
    <w:p w14:paraId="64C1FC6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conducted a prospectively registered (PROSPERO: CRD420261342739), </w:t>
      </w:r>
    </w:p>
    <w:p w14:paraId="48D9ED8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PRISMA-DTA-compliant systematic review and meta-analysis of diagnostic accuracy </w:t>
      </w:r>
    </w:p>
    <w:p w14:paraId="3D176DF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studies. PubMed (MEDLINE), Embase, Web of Science, and Cochrane CENTRAL were </w:t>
      </w:r>
    </w:p>
    <w:p w14:paraId="44D23A5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searched from 1 January 2000 through 28 January 2026. Primary overall </w:t>
      </w:r>
    </w:p>
    <w:p w14:paraId="65845CB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sensitivity and specificity were estimated using a tool-level bivariate </w:t>
      </w:r>
    </w:p>
    <w:p w14:paraId="2FD0DA6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random-effects model. Exploratory subgroup analyses and meta-regression examined </w:t>
      </w:r>
    </w:p>
    <w:p w14:paraId="1148F7C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association between algorithm category and diagnostic-performance </w:t>
      </w:r>
    </w:p>
    <w:p w14:paraId="008E642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heterogeneity. Twenty-eight drug-level evaluations from seven tools (rifampicin, </w:t>
      </w:r>
    </w:p>
    <w:p w14:paraId="130DD78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isoniazid, ethambutol, and pyrazinamide for each tool) were compiled from the </w:t>
      </w:r>
    </w:p>
    <w:p w14:paraId="5C3B452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extracted 2 × 2 data. For the primary tool-level composite analysis, pooled </w:t>
      </w:r>
    </w:p>
    <w:p w14:paraId="678526C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sensitivity was 0.930 (95% CI: 0.907-0.948) and pooled specificity was 0.962 </w:t>
      </w:r>
    </w:p>
    <w:p w14:paraId="5CFA2F9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(95% CI: 0.929-0.981). In secondary drug-specific analyses, sensitivity was </w:t>
      </w:r>
    </w:p>
    <w:p w14:paraId="38E190E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highest for rifampicin (0.960, 95% CI: 0.934-0.976) and isoniazid (0.933, 95% </w:t>
      </w:r>
    </w:p>
    <w:p w14:paraId="1E31DD1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CI: 0.906-0.953), and lowest for pyrazinamide (0.860, 95% CI: 0.800-0.904). </w:t>
      </w:r>
    </w:p>
    <w:p w14:paraId="7A7BFDB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Exploratory tool-level comparisons produced pooled sensitivity estimates of </w:t>
      </w:r>
    </w:p>
    <w:p w14:paraId="6793F56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0.920 for rule-based tools, 0.899 for machine learning tools, and 0.951 for </w:t>
      </w:r>
    </w:p>
    <w:p w14:paraId="254C461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hybrid tools. These comparisons involved only seven tool-level analytic units </w:t>
      </w:r>
    </w:p>
    <w:p w14:paraId="0624D46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cannot disentangle algorithm type from individual tool identity, training </w:t>
      </w:r>
    </w:p>
    <w:p w14:paraId="334A049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data, mutation catalogue version, or validation population. WGS-based </w:t>
      </w:r>
    </w:p>
    <w:p w14:paraId="00748E1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bioinformatic tools provide highly specific and generally sensitive predictions </w:t>
      </w:r>
    </w:p>
    <w:p w14:paraId="037DE4A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of Mycobacterium tuberculosis resistance for first-line drugs across diverse </w:t>
      </w:r>
    </w:p>
    <w:p w14:paraId="0EDA7AF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clinical settings. Exploratory differences between tool categories should not be </w:t>
      </w:r>
    </w:p>
    <w:p w14:paraId="6DF86E8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interpreted as causal effects of algorithmic architecture. Future studies should </w:t>
      </w:r>
    </w:p>
    <w:p w14:paraId="09642FB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use prospective head-to-head evaluations on shared, geographically diverse </w:t>
      </w:r>
    </w:p>
    <w:p w14:paraId="0A5458A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isolate collections, alongside continued improvement of resistance catalogues </w:t>
      </w:r>
    </w:p>
    <w:p w14:paraId="182DFCA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and external validation.</w:t>
      </w:r>
    </w:p>
    <w:p w14:paraId="2C558A6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9C9A3C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10.3390/microorganisms14081824</w:t>
      </w:r>
    </w:p>
    <w:p w14:paraId="01227BE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PMC13515934</w:t>
      </w:r>
    </w:p>
    <w:p w14:paraId="01028CA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42655168</w:t>
      </w:r>
    </w:p>
    <w:p w14:paraId="642AFC6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154BCDE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1</w:t>
      </w: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>. Microorganisms. 2026 Aug 9;14(8):1750. doi: 10.3390/microorganisms14081750.</w:t>
      </w:r>
    </w:p>
    <w:p w14:paraId="397A078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09601E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Clinical Evaluation of a Tandem qPCR-CRISPR Assay for Multidrug-Resistant or </w:t>
      </w:r>
    </w:p>
    <w:p w14:paraId="2BC5738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Rifampicin-Resistant Tuberculosis: A Prospective Diagnostic Accuracy Study.</w:t>
      </w:r>
    </w:p>
    <w:p w14:paraId="478E9BD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3DAD20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Wang Y(1)(2)(3), Song Z(3), Zeng J(3)(4), Dong Y(1)(2)(3), Liu H(5), Zeng </w:t>
      </w:r>
    </w:p>
    <w:p w14:paraId="4C3EEB0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J(3)(4), Liu X(1)(2), Fu L(3)(4), Li X(3), Lu S(3)(4), Huang Z(3), Fan </w:t>
      </w:r>
    </w:p>
    <w:p w14:paraId="2CD64DD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XY(1)(2)(3).</w:t>
      </w:r>
    </w:p>
    <w:p w14:paraId="385FDB6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A196356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Ying Wang,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Zhe Song,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Jianfeng Zeng,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Yajuan Dong,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Houming Liu,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Jian Zeng,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Xuhui Liu,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Liang Fu,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Xuelin Li,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Shuihua Lu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Zhen Huang,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Xiao-Yong Fan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7B500E6E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Correspondence: lushuihua66@126.com (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Shuihua Lu); xyfan008@fudan.edu.cn (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Xiao-Yong Fan)</w:t>
      </w:r>
    </w:p>
    <w:p w14:paraId="3A4D688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CCF583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3655BBB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(1)Shanghai Institute of Infectious Disease and Biosecurity, Fudan University, </w:t>
      </w:r>
    </w:p>
    <w:p w14:paraId="6DC3826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Shanghai 200032, China.</w:t>
      </w:r>
    </w:p>
    <w:p w14:paraId="748BEB8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(2)Shanghai Public Health Clinical Center, Fudan University, Shanghai 200032, </w:t>
      </w:r>
    </w:p>
    <w:p w14:paraId="2AE7349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</w:t>
      </w:r>
    </w:p>
    <w:p w14:paraId="4BB2E87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(3)National Clinical Research Center for Infectious Disease, Shenzhen 518112, </w:t>
      </w:r>
    </w:p>
    <w:p w14:paraId="306791F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</w:t>
      </w:r>
    </w:p>
    <w:p w14:paraId="09FA2C5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(4)Pulmonary Diseases Department, Shenzhen Third People's Hospital, Shenzhen </w:t>
      </w:r>
    </w:p>
    <w:p w14:paraId="50733BE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518112, China.</w:t>
      </w:r>
    </w:p>
    <w:p w14:paraId="085DAAA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(5)Department of Clinical Laboratory, Shenzhen Third People's Hospital, Shenzhen </w:t>
      </w:r>
    </w:p>
    <w:p w14:paraId="56498E3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518112, China.</w:t>
      </w:r>
    </w:p>
    <w:p w14:paraId="4579707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A99ECA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CRISPR-based assays have shown the potential to enhance the diagnosis of </w:t>
      </w:r>
    </w:p>
    <w:p w14:paraId="0CB79AD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tuberculosis (TB), but evidence remains limited owing to scarce independent </w:t>
      </w:r>
    </w:p>
    <w:p w14:paraId="4767172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validation. We prospectively evaluated a tandem qPCR-CRISPR assay detecting </w:t>
      </w:r>
    </w:p>
    <w:p w14:paraId="1F60ABC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Mycobacterium tuberculosis (Mtb) and rifampicin resistance. Respiratory </w:t>
      </w:r>
    </w:p>
    <w:p w14:paraId="6534DF9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specimens for smear microscopy, mycobacterial culture, Xpert MTB/RIF Ultra </w:t>
      </w:r>
    </w:p>
    <w:p w14:paraId="3DC8A85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(Xpert) and the investigational assay were collected from suspected TB patients. </w:t>
      </w:r>
    </w:p>
    <w:p w14:paraId="23CB174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Phenotypic drug susceptibility testing (pDST) was carried out on </w:t>
      </w:r>
    </w:p>
    <w:p w14:paraId="6A588E1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culture-positive cases. Diagnostic performance was evaluated against the </w:t>
      </w:r>
    </w:p>
    <w:p w14:paraId="1DF3566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microbiological reference standard (MRS) and composite reference standard (CRS). </w:t>
      </w:r>
    </w:p>
    <w:p w14:paraId="0C165C4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predictive performance for drug resistance was assessed using pDST and Xpert </w:t>
      </w:r>
    </w:p>
    <w:p w14:paraId="11C6E60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as reference standards. A total of 179 adults were enrolled, including 84 </w:t>
      </w:r>
    </w:p>
    <w:p w14:paraId="3A43976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confirmed TB, 18 clinical TB, and 77 non-TB cases. The tandem qPCR-CRISPR assay </w:t>
      </w:r>
    </w:p>
    <w:p w14:paraId="72D941B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showed 84.5% (95% CI 75.0-91.5%) sensitivity and 95.8% (95% CI 89.6-98.8%) </w:t>
      </w:r>
    </w:p>
    <w:p w14:paraId="515D6F7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specificity against MRS, and 70.6% (95% CI 60.6-79.0%) sensitivity and 96.1% </w:t>
      </w:r>
    </w:p>
    <w:p w14:paraId="3C24ED3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(95% CI 88.3-99.0%) specificity against CRS. For drug resistance, the assay </w:t>
      </w:r>
    </w:p>
    <w:p w14:paraId="1E5A1DC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achieved a sensitivity of 77.5% (95% CI 61.1-88.6%) and a specificity of 90.9% </w:t>
      </w:r>
    </w:p>
    <w:p w14:paraId="2979007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(95% CI 77.4-97.0%). Sensitivity was higher in sputum than in bronchoalveolar </w:t>
      </w:r>
    </w:p>
    <w:p w14:paraId="0FDDB38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lavage fluid. The tandem qPCR-CRISPR assay showed suboptimal performance for </w:t>
      </w:r>
    </w:p>
    <w:p w14:paraId="3891EDA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detecting TB and MDR/RR-TB and requires further optimization before clinical </w:t>
      </w:r>
    </w:p>
    <w:p w14:paraId="5BF1CE6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application.</w:t>
      </w:r>
    </w:p>
    <w:p w14:paraId="4D092E4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51873D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10.3390/microorganisms14081750</w:t>
      </w:r>
    </w:p>
    <w:p w14:paraId="1654924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PMC13515032</w:t>
      </w:r>
    </w:p>
    <w:p w14:paraId="5FEA61F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42655095</w:t>
      </w:r>
    </w:p>
    <w:p w14:paraId="06C33ED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8376935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>. Microorganisms. 2026 Jul 30;14(8):1670. doi: 10.3390/microorganisms14081670.</w:t>
      </w:r>
    </w:p>
    <w:p w14:paraId="50A73C4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FD9FC0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Design, Synthesis, and Antitubercular Activity of Thiolutin-Cycloserine Hybrids: </w:t>
      </w:r>
    </w:p>
    <w:p w14:paraId="59DBF61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Reducing Cytotoxicity.</w:t>
      </w:r>
    </w:p>
    <w:p w14:paraId="2291A4A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5F4B5F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Sun Z(1), Chen X(1), Shi S(1), Mu Y(1), Wan C(1), He G(1).</w:t>
      </w:r>
    </w:p>
    <w:p w14:paraId="7AB1BB4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D917D82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Zhibin Sun,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Xiaolong Chen,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Shanfeng Shi,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Yongqi Mu,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Chuanxing Wan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Guoguo He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721837BA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Correspondence: wanchuanxing@163.com (Chuanxing Wan); hglj95@163.com (Guoguo He)</w:t>
      </w:r>
    </w:p>
    <w:p w14:paraId="4AC1F37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15CCAD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4201FD4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(1)Key Laboratory of Conservation and Utilization of Biological Resources in the </w:t>
      </w:r>
    </w:p>
    <w:p w14:paraId="50605F1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Tarim Basin, College of Life Science and Technology, Tarim University, Alaer </w:t>
      </w:r>
    </w:p>
    <w:p w14:paraId="194CE70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843300, China.</w:t>
      </w:r>
    </w:p>
    <w:p w14:paraId="14150CB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BDD72F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development of dual-acting hybrid antibiotics is a promising strategy to </w:t>
      </w:r>
    </w:p>
    <w:p w14:paraId="7400467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combat the ongoing spread of drug-resistant tuberculosis. Inspired by the </w:t>
      </w:r>
    </w:p>
    <w:p w14:paraId="6BDB06E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structure of the natural dithiolopyrrolone hybrid antibiotic thiomarinol and </w:t>
      </w:r>
    </w:p>
    <w:p w14:paraId="03981DF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based on the synergistic effects confirmed by checkerboard assays, we employed a </w:t>
      </w:r>
    </w:p>
    <w:p w14:paraId="2F4159D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molecular hybridization strategy. The dithiolopyrrolone natural product </w:t>
      </w:r>
    </w:p>
    <w:p w14:paraId="1DF99EE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thiolutin was covalently linked to the pharmacophores of four clinical </w:t>
      </w:r>
    </w:p>
    <w:p w14:paraId="46651E8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antitubercular drugs-cycloserine, linezolid, isoniazid, and pyrazinamide-through </w:t>
      </w:r>
    </w:p>
    <w:p w14:paraId="6087FFD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alkyl linkers of 7-10 carbon atoms via amide condensation, leading to the design </w:t>
      </w:r>
    </w:p>
    <w:p w14:paraId="69B1BB5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synthesis of 15 novel hybrids. In vitro antitubercular activity evaluation </w:t>
      </w:r>
    </w:p>
    <w:p w14:paraId="44FE0CC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revealed that the cycloserine series exhibited the best activity, with MIC </w:t>
      </w:r>
    </w:p>
    <w:p w14:paraId="0AC34B8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values as low as 1 μg/mL, followed by the isoniazid series. Cytotoxicity assays </w:t>
      </w:r>
    </w:p>
    <w:p w14:paraId="0EE1B81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showed that all cycloserine hybrids had IC50 values &gt; 40 μg/mL against RAW 264.7 </w:t>
      </w:r>
    </w:p>
    <w:p w14:paraId="7983F08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mouse macrophages, markedly lower than that of thiolutin alone. Among them, </w:t>
      </w:r>
    </w:p>
    <w:p w14:paraId="4B7AA29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T1-CS and T4-CS displayed the best selectivity indices, achieving an effective </w:t>
      </w:r>
    </w:p>
    <w:p w14:paraId="1CF0C20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reduction in cytotoxicity. This study successfully constructed a class of </w:t>
      </w:r>
    </w:p>
    <w:p w14:paraId="0CFF186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thiolutin-cycloserine hybrids with low cytotoxicity and high selectivity, </w:t>
      </w:r>
    </w:p>
    <w:p w14:paraId="56079FF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providing a valuable molecular template for the discovery of novel </w:t>
      </w:r>
    </w:p>
    <w:p w14:paraId="0139058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antitubercular lead compounds.</w:t>
      </w:r>
    </w:p>
    <w:p w14:paraId="332BB4C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F78D68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10.3390/microorganisms14081670</w:t>
      </w:r>
    </w:p>
    <w:p w14:paraId="6BDF95B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PMC13515660</w:t>
      </w:r>
    </w:p>
    <w:p w14:paraId="30FC017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42655015</w:t>
      </w:r>
    </w:p>
    <w:p w14:paraId="6F12C0D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B18A958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>. Pathogens. 2026 Aug 17;15(8):857. doi: 10.3390/pathogens15080857.</w:t>
      </w:r>
    </w:p>
    <w:p w14:paraId="558B140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8D4555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Construction of Recombinant Mycobacterium smegmatis Expressing the Pro-Apoptotic </w:t>
      </w:r>
    </w:p>
    <w:p w14:paraId="3B66B1D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Protein BIK and Its Impact on Macrophage Apoptosis.</w:t>
      </w:r>
    </w:p>
    <w:p w14:paraId="0E2487F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AF93D4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Pang Y(1), Bi J(1).</w:t>
      </w:r>
    </w:p>
    <w:p w14:paraId="0A45B6F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25AB41C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Yaning Pang,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Jing Bi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27897038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*Correspondence: 11210700007@fudan.edu.cn（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Jing Bi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）</w:t>
      </w:r>
    </w:p>
    <w:p w14:paraId="301E4E5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65CDCD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0563377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(1)National Clinical Research Center for Infectious Diseases, Guangdong </w:t>
      </w:r>
    </w:p>
    <w:p w14:paraId="6CE2BA3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Provincial Clinical Research Center for Tuberculosis, Shenzhen Third People's </w:t>
      </w:r>
    </w:p>
    <w:p w14:paraId="0800926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Hospital, Southern University of Science and Technology, Shenzhen 518114, China.</w:t>
      </w:r>
    </w:p>
    <w:p w14:paraId="111DE0E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BA8477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Tuberculosis (TB), caused by Mycobacterium tuberculosis, remains a major global </w:t>
      </w:r>
    </w:p>
    <w:p w14:paraId="07D5149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health threat. A key virulence mechanism involves the pathogen's ability to </w:t>
      </w:r>
    </w:p>
    <w:p w14:paraId="38420AC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inhibit apoptosis in infected macrophages, thereby facilitating immune evasion </w:t>
      </w:r>
    </w:p>
    <w:p w14:paraId="7E2FFA2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persistent infection. The pro-apoptotic protein Bcl-2-interacting killer </w:t>
      </w:r>
    </w:p>
    <w:p w14:paraId="16CD2DB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(BIK) represents a critical mediator of macrophage apoptosis. In this study, we </w:t>
      </w:r>
    </w:p>
    <w:p w14:paraId="5F1C6B9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engineered a recombinant Mycobacterium smegmatis strain (rMs-BIK) designed to </w:t>
      </w:r>
    </w:p>
    <w:p w14:paraId="3307347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secrete BIK via fusion with the Ag85B signal peptide (ASP). Secretion and </w:t>
      </w:r>
    </w:p>
    <w:p w14:paraId="30A30E2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expression of the BIK protein were confirmed by Western blotting. Quantitative </w:t>
      </w:r>
    </w:p>
    <w:p w14:paraId="4B7EF23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flow cytometric analysis revealed that rMs-BIK induced significant apoptosis in </w:t>
      </w:r>
    </w:p>
    <w:p w14:paraId="3B086CA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RAW264.7 macrophages, with rates of 14.49%, 14.22%, and 22.24% at 12, 24, and 48 </w:t>
      </w:r>
    </w:p>
    <w:p w14:paraId="649F512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 post-infection, respectively. These values were markedly higher than those </w:t>
      </w:r>
    </w:p>
    <w:p w14:paraId="006D6AE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observed in cells infected with the wild-type strain (7.68%, 9.24%, and 10.90%) </w:t>
      </w:r>
    </w:p>
    <w:p w14:paraId="05E2A2C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or the empty vector control (8.80%, 11.19%, and 14.43%). Our findings </w:t>
      </w:r>
    </w:p>
    <w:p w14:paraId="10EC69F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demonstrate the feasibility of functional pro-apoptotic protein delivery using a </w:t>
      </w:r>
    </w:p>
    <w:p w14:paraId="3AE8D31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mycobacterial vector, providing a robust foundation for the future development </w:t>
      </w:r>
    </w:p>
    <w:p w14:paraId="5527C98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of recombinant BCG-based vaccine candidates.</w:t>
      </w:r>
    </w:p>
    <w:p w14:paraId="6FC7B5E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DC9EE3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10.3390/pathogens15080857</w:t>
      </w:r>
    </w:p>
    <w:p w14:paraId="719B0F3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PMC13516371</w:t>
      </w:r>
    </w:p>
    <w:p w14:paraId="107F267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42654794 [Indexed for MEDLINE]</w:t>
      </w:r>
    </w:p>
    <w:p w14:paraId="2C5BC97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8DCD00E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22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>. Pathogens. 2026 Jul 30;15(8):805. doi: 10.3390/pathogens15080805.</w:t>
      </w:r>
    </w:p>
    <w:p w14:paraId="1FF8B80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56E861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Research on Gut Microbiota Features and Potential Biomarkers in Patients with </w:t>
      </w:r>
    </w:p>
    <w:p w14:paraId="111F554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Pulmonary Tuberculosis.</w:t>
      </w:r>
    </w:p>
    <w:p w14:paraId="6AD9E27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AC1B20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Chen ZJ(1), Liu G(1), Wang Y(1), Zhong JQ(1), Mo YJ(1), Liang DX(1), Luo </w:t>
      </w:r>
    </w:p>
    <w:p w14:paraId="29DE184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D(1)(2).</w:t>
      </w:r>
    </w:p>
    <w:p w14:paraId="21E7971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A037B29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Zi-Jie Chen,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Gang Liu,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Yuan Wang,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Jie-Qing Zhong,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Yu-Jie Mo,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Dong-Xu Liang,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Dan Luo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72450652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Correspondence: luod2017@gxtcmu.edu.cn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（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Dan Luo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）</w:t>
      </w:r>
    </w:p>
    <w:p w14:paraId="74F4FFA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EA346F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4E79E4F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(1)School of Public Health and Management, Guangxi University of Chinese </w:t>
      </w:r>
    </w:p>
    <w:p w14:paraId="121D93C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Medicine, 13 Wuhe Avenue, Qingxiu District, Nanning 530200, China.</w:t>
      </w:r>
    </w:p>
    <w:p w14:paraId="6098724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(2)Guangxi Key Laboratory of Translational Medicine for Treating High-Incidence </w:t>
      </w:r>
    </w:p>
    <w:p w14:paraId="535EF1D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Infectious Diseases with Integrative Medicine, Nanning 530021, China.</w:t>
      </w:r>
    </w:p>
    <w:p w14:paraId="58E8B9E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A67FFE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(1) Objective: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To characterize structural and functional alterations of gut </w:t>
      </w:r>
    </w:p>
    <w:p w14:paraId="29D3D28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microbiota in patients with newly diagnosed active pulmonary tuberculosis (ATB), </w:t>
      </w:r>
    </w:p>
    <w:p w14:paraId="7BE6F7E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screen differential bacterial taxa associated with Mycobacterium tuberculosis </w:t>
      </w:r>
    </w:p>
    <w:p w14:paraId="2D013D6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(MTB) infection, and explore tuberculosis-related microbial metabolic </w:t>
      </w:r>
    </w:p>
    <w:p w14:paraId="2705F31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alterations via predictive functional profiling. </w:t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 Methods: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Fresh morning </w:t>
      </w:r>
    </w:p>
    <w:p w14:paraId="3DCAF2E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fecal samples were collected from 33 treatment-naive patients with newly </w:t>
      </w:r>
    </w:p>
    <w:p w14:paraId="0DD4CA7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diagnosed ATB (ATB group) and 30 healthy controls (HC group). 16S rRNA gene </w:t>
      </w:r>
    </w:p>
    <w:p w14:paraId="49EAE27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high-throughput sequencing was performed to compare intergroup differences in </w:t>
      </w:r>
    </w:p>
    <w:p w14:paraId="7F27F0E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gut microbial α/β diversity, taxonomic composition, and predicted KEGG </w:t>
      </w:r>
    </w:p>
    <w:p w14:paraId="4BCF3BC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functional profiles. Receiver operating characteristic (ROC) curve analysis was </w:t>
      </w:r>
    </w:p>
    <w:p w14:paraId="0171698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conducted to evaluate the internal discriminative ability of candidate </w:t>
      </w:r>
    </w:p>
    <w:p w14:paraId="0C209DE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differential genera in this single small cohort.</w:t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(3) Results: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ATB group </w:t>
      </w:r>
    </w:p>
    <w:p w14:paraId="16C3DD8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showed significantly lower gut microbial α-diversity than healthy controls (all </w:t>
      </w:r>
    </w:p>
    <w:p w14:paraId="0D3258D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 &lt; 0.05). Principal coordinate analysis (PCoA) based on Bray-Curtis distances </w:t>
      </w:r>
    </w:p>
    <w:p w14:paraId="2FDF0E5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combined with permutational multivariate analysis of variance (PERMANOVA) </w:t>
      </w:r>
    </w:p>
    <w:p w14:paraId="63AA4DA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revealed significant overall dissimilarity of gut microbial community structure </w:t>
      </w:r>
    </w:p>
    <w:p w14:paraId="412BCE4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between the two groups (R2 = 0.31, p = 0.005). At the phylum level, the relative </w:t>
      </w:r>
    </w:p>
    <w:p w14:paraId="00328A9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abundances of Firmicutes and Bacteroidetes were higher, while Proteobacteria was </w:t>
      </w:r>
    </w:p>
    <w:p w14:paraId="017C100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less abundant in ATB patients relative to HC. At the genus level, Streptococcus, </w:t>
      </w:r>
    </w:p>
    <w:p w14:paraId="5A6E648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R. gnavus and Parabacteroides were significantly enriched in ATB patients, </w:t>
      </w:r>
    </w:p>
    <w:p w14:paraId="043704E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whereas Bifidobacterium, Pseudomonas, Megamonas and Faecalibacterium were </w:t>
      </w:r>
    </w:p>
    <w:p w14:paraId="182FA34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depleted. Linear discriminant analysis effect size (LEfSe) analysis uncovered </w:t>
      </w:r>
    </w:p>
    <w:p w14:paraId="215FB93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group-specific signature taxa, with pro-inflammatory genera Streptococcus and R. </w:t>
      </w:r>
    </w:p>
    <w:p w14:paraId="1A22EFC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gnavus markedly enriched in the ATB group. ROC analysis yielded area under the </w:t>
      </w:r>
    </w:p>
    <w:p w14:paraId="1613EDD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curve (AUC) values of 0.836 for Streptococcus and 0.805 for R. gnavus. </w:t>
      </w:r>
    </w:p>
    <w:p w14:paraId="2EB5561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Predictive KEGG functional analysis demonstrated obvious intergroup differences </w:t>
      </w:r>
    </w:p>
    <w:p w14:paraId="3393697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 microbial metabolism, with purine and pyrimidine nucleotide metabolism </w:t>
      </w:r>
    </w:p>
    <w:p w14:paraId="6055C73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pathways significantly upregulated in the ATB group. </w:t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(4) Conclusions: </w:t>
      </w:r>
    </w:p>
    <w:p w14:paraId="39BB70C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Treatment-naive patients with ATB exhibited reduced gut microbial diversity in </w:t>
      </w:r>
    </w:p>
    <w:p w14:paraId="6DCED97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this small cohort. The enrichment of Streptococcus and R. gnavus, as well as the </w:t>
      </w:r>
    </w:p>
    <w:p w14:paraId="46523BD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upregulation of purine and pyrimidine metabolic pathways, are all associated </w:t>
      </w:r>
    </w:p>
    <w:p w14:paraId="543AAC5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with active MTB infection.</w:t>
      </w:r>
    </w:p>
    <w:p w14:paraId="5F55219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53843D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10.3390/pathogens15080805</w:t>
      </w:r>
    </w:p>
    <w:p w14:paraId="2C0A15A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PMC13516197</w:t>
      </w:r>
    </w:p>
    <w:p w14:paraId="176CDB1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42654743 [Indexed for MEDLINE]</w:t>
      </w:r>
    </w:p>
    <w:p w14:paraId="6C90C5C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442081C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23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>. Pharmaceutics. 2026 Jul 30;18(8):937. doi: 10.3390/pharmaceutics18080937.</w:t>
      </w:r>
    </w:p>
    <w:p w14:paraId="3DB6FC6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04C4FE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Regimen-Specific Population Pharmacokinetics of Isoniazid with and Without </w:t>
      </w:r>
    </w:p>
    <w:p w14:paraId="61D3807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Rifamycin: A Bayesian Modeling Analysis of 6H, 3HR, and 3H2P2 Regimens.</w:t>
      </w:r>
    </w:p>
    <w:p w14:paraId="3879F38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4738AC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Li Z(1), Xiao X(1), Xu C(2), Liu Y(1), Gu L(3), Li X(3), Shen X(1), Hu Y(3).</w:t>
      </w:r>
    </w:p>
    <w:p w14:paraId="3141739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33E8141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Zhipeng Li,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Xiao Xiao,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Chunhua Xu,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Yiyun Liu,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Lexian Gu,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Xuliang Li,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Xin Shen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Yi Hu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57D449A7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Correspondence: shenxin@scdc.sh.cn (Xin Shen); yhu@fudan.edu.cn (Yi Hu)</w:t>
      </w:r>
    </w:p>
    <w:p w14:paraId="7103277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405333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3469EF8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(1)Shanghai Municipal Center for Disease Control and Prevention, Shanghai </w:t>
      </w:r>
    </w:p>
    <w:p w14:paraId="24A37CA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200336, China.</w:t>
      </w:r>
    </w:p>
    <w:p w14:paraId="32A8136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(2)Fengxian District Center for Disease Control and Prevention, Fengxian </w:t>
      </w:r>
    </w:p>
    <w:p w14:paraId="6C01EB7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District, Shanghai 201499, China.</w:t>
      </w:r>
    </w:p>
    <w:p w14:paraId="4638B51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(3)Department of Epidemiology, School of Public Health and Key Laboratory of </w:t>
      </w:r>
    </w:p>
    <w:p w14:paraId="7EDBD54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Public Health Safety, Fudan University, Shanghai 201203, China.</w:t>
      </w:r>
    </w:p>
    <w:p w14:paraId="5C0A5E1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7B0CE6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Background: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Isoniazid (INH) remains a cornerstone of tuberculosis (TB) </w:t>
      </w:r>
    </w:p>
    <w:p w14:paraId="0B24186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prevention and treatment, administered either as monotherapy or in combination </w:t>
      </w:r>
    </w:p>
    <w:p w14:paraId="6BB37EA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with rifamycin-containing regimens. In this study, the preventive regimens </w:t>
      </w:r>
    </w:p>
    <w:p w14:paraId="330D4E1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analyzed included 6 months of daily INH monotherapy (6H), 3 months of daily INH </w:t>
      </w:r>
    </w:p>
    <w:p w14:paraId="56F78E2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plus rifampicin (3HR), and 3 months of twice-weekly INH plus rifapentine </w:t>
      </w:r>
    </w:p>
    <w:p w14:paraId="1A6BFC6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(3H2P2). Despite the adoption of shorter-course regimens, substantial </w:t>
      </w:r>
    </w:p>
    <w:p w14:paraId="22970BC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inter-individual variability (IIV) in INH exposure persists, potentially </w:t>
      </w:r>
    </w:p>
    <w:p w14:paraId="7FA45A3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impacting both therapeutic efficacy and toxicity. A quantitative, </w:t>
      </w:r>
    </w:p>
    <w:p w14:paraId="634BFF1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regimen-specific characterization of INH pharmacokinetics is therefore critical </w:t>
      </w:r>
    </w:p>
    <w:p w14:paraId="536D9F8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to support model-informed dosing strategies. </w:t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Methods: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Population pharmacokinetic </w:t>
      </w:r>
    </w:p>
    <w:p w14:paraId="3B69F3A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models were developed separately for INH administered as 6H, 3HR, and 3H2P2. The </w:t>
      </w:r>
    </w:p>
    <w:p w14:paraId="0E15D3A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models characterized absorption, clearance, and IIV of INH, while accounting for </w:t>
      </w:r>
    </w:p>
    <w:p w14:paraId="1622724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co-administered rifamycin. The effects of N-acetyltransferase 2 (NAT2) </w:t>
      </w:r>
    </w:p>
    <w:p w14:paraId="0A75E04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acetylator phenotype and relevant clinical covariates were systematically </w:t>
      </w:r>
    </w:p>
    <w:p w14:paraId="54C4262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evaluated. Model performance was assessed using goodness-of-fit diagnostics, </w:t>
      </w:r>
    </w:p>
    <w:p w14:paraId="119866C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posterior predictive checks, and visual predictive checks. Population </w:t>
      </w:r>
    </w:p>
    <w:p w14:paraId="2CE0477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pharmacokinetic models were developed using a Bayesian nonlinear mixed-effects </w:t>
      </w:r>
    </w:p>
    <w:p w14:paraId="3D83E65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framework implemented in Stan through CmdStanR version 0.9.0, with additional </w:t>
      </w:r>
    </w:p>
    <w:p w14:paraId="5C2DB65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data processing, statistical summaries, and visualization performed using R </w:t>
      </w:r>
    </w:p>
    <w:p w14:paraId="302C419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version 4.2.3. </w:t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Results: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INH pharmacokinetics were adequately described by </w:t>
      </w:r>
    </w:p>
    <w:p w14:paraId="2502221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regimen-specific models, revealing distinct differences in absorption and </w:t>
      </w:r>
    </w:p>
    <w:p w14:paraId="47928CC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variability across regimens. Typical INH apparent oral clearance (CL/F) </w:t>
      </w:r>
    </w:p>
    <w:p w14:paraId="0B1FD50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estimates were 21.83 L/h for 6H, 26.32 L/h for 3HR, and 25.98 L/h for 3H2P2. </w:t>
      </w:r>
    </w:p>
    <w:p w14:paraId="1B46A15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NAT2 phenotype was a major determinant of INH clearance across regimens: </w:t>
      </w:r>
    </w:p>
    <w:p w14:paraId="601E58A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compared with intermediate acetylators, slow acetylators showed 35.4% lower </w:t>
      </w:r>
    </w:p>
    <w:p w14:paraId="0CD8DEC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CL/F, whereas fast acetylators showed 48.4% higher CL/F, indicating higher INH </w:t>
      </w:r>
    </w:p>
    <w:p w14:paraId="79F43A0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exposure in slow acetylators and lower exposure in fast acetylators. Body weight </w:t>
      </w:r>
    </w:p>
    <w:p w14:paraId="238CD2D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also influenced INH pharmacokinetics. Co-administration with rifampicin or </w:t>
      </w:r>
    </w:p>
    <w:p w14:paraId="28973F0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rifapentine influenced INH pharmacokinetics in a manner consistent with reduced </w:t>
      </w:r>
    </w:p>
    <w:p w14:paraId="0448304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exposure in rifamycin-containing regimens, particularly among fast acetylators. </w:t>
      </w:r>
    </w:p>
    <w:p w14:paraId="5007D97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Conclusions: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Regimen-specific population pharmacokinetic modeling elucidated </w:t>
      </w:r>
    </w:p>
    <w:p w14:paraId="2AAC195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clinically relevant differences in INH exposure across commonly used preventive </w:t>
      </w:r>
    </w:p>
    <w:p w14:paraId="1077AD4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treatment regimens. These findings highlight the importance of accounting </w:t>
      </w:r>
    </w:p>
    <w:p w14:paraId="6214858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for regimen- and genotype-specific effects when optimizing INH dosing and </w:t>
      </w:r>
    </w:p>
    <w:p w14:paraId="7D80BD4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provide a quantitative framework for future model-informed precision dosing </w:t>
      </w:r>
    </w:p>
    <w:p w14:paraId="64FE2DD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approaches in TB care.</w:t>
      </w:r>
    </w:p>
    <w:p w14:paraId="1655496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8B7FD3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10.3390/pharmaceutics18080937</w:t>
      </w:r>
    </w:p>
    <w:p w14:paraId="18B7823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PMC13516540</w:t>
      </w:r>
    </w:p>
    <w:p w14:paraId="54E2622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42654054</w:t>
      </w:r>
    </w:p>
    <w:p w14:paraId="0E1A308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679861C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24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>. Antibiotics (Basel). 2026 Aug 14;15(8):789. doi: 10.3390/antibiotics15080789.</w:t>
      </w:r>
    </w:p>
    <w:p w14:paraId="35F7A4B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82A192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Tandyukisins K-P, New Decalin Polyketides from Trichoderma longicollum 17007 </w:t>
      </w:r>
    </w:p>
    <w:p w14:paraId="5A21234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with Antitubercular Activity Against Mycobacterium tuberculosis H37Ra.</w:t>
      </w:r>
    </w:p>
    <w:p w14:paraId="3323674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3BA77B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Yu J(1), Ning S(1), Di Y(2)(3), Feng H(1), Li X(1), Wang K(1), Wang R(1), Ma </w:t>
      </w:r>
    </w:p>
    <w:p w14:paraId="4A0E619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M(1), Pan S(1), Jiang C(4), Jiang Y(4), Hsiang T(5), Chen J(2)(3), Zhang </w:t>
      </w:r>
    </w:p>
    <w:p w14:paraId="3C40B07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W(2)(3), Zhang L(1), Liu X(1), Zhang X(2)(3), Zhu G(1).</w:t>
      </w:r>
    </w:p>
    <w:p w14:paraId="0B7D23A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DFCEBCF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Junjie Yu,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Shangqian Ning,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Yuchang Di,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Hongbo Feng,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Xiaoying Li,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Kun Wang,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Rongxuan Wang,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Menghan Ma,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Sicheng Pan,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Chenglin Jiang,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Yi Jiang,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Tom Hsiang,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Jiazhen Chen,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Wenhong Zhang,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Lixin Zhang,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Xueting Liu,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Xuelian Zhang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Guoliang Zhu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032CC6EC">
      <w:pPr>
        <w:jc w:val="left"/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Correspondence: xuelianzhang@fudan.edu.cn (Xuelian Zhang); zhuguoliang@ecust.edu.cn (Guoliang Zhu)</w:t>
      </w:r>
    </w:p>
    <w:p w14:paraId="4AD09D3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FA62E9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55E5B01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(1)State Key Laboratory of Bioreactor Engineering, East China University of </w:t>
      </w:r>
    </w:p>
    <w:p w14:paraId="1F3F4F3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Science and Technology, Shanghai 200237, China.</w:t>
      </w:r>
    </w:p>
    <w:p w14:paraId="5014C3A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(2)State Key Laboratory of Genetic Engineering, School of Life Sciences, Fudan </w:t>
      </w:r>
    </w:p>
    <w:p w14:paraId="2D27E8F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University, Shanghai 200438, China.</w:t>
      </w:r>
    </w:p>
    <w:p w14:paraId="55C3333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(3)Department of Infectious Diseases, Shanghai Key Laboratory of Infectious </w:t>
      </w:r>
    </w:p>
    <w:p w14:paraId="69D493D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Diseases and Biosafety Emergency Response, National Medical Center for </w:t>
      </w:r>
    </w:p>
    <w:p w14:paraId="414055E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Infectious Diseases, Huashan Hospital, Fudan University, Shanghai 200040, China.</w:t>
      </w:r>
    </w:p>
    <w:p w14:paraId="254D698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(4)The Key Lab for Research &amp; Development of Actinomycete Resources, Yunnan </w:t>
      </w:r>
    </w:p>
    <w:p w14:paraId="6F867FE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Institute of Microbiology, Yunnan University, Chenggong District, Kunming </w:t>
      </w:r>
    </w:p>
    <w:p w14:paraId="79DBC7D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650500, China.</w:t>
      </w:r>
    </w:p>
    <w:p w14:paraId="5BA9F83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(5)School of Environmental Sciences, University of Guelph, Guelph, ON N1G 2W1, </w:t>
      </w:r>
    </w:p>
    <w:p w14:paraId="69D38F2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Canada.</w:t>
      </w:r>
    </w:p>
    <w:p w14:paraId="1B242C8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DE2F2A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Background: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Endophytic fungi are important sources of structurally diverse </w:t>
      </w:r>
    </w:p>
    <w:p w14:paraId="69170B4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antimicrobial natural products, but their potential to yield antitubercular </w:t>
      </w:r>
    </w:p>
    <w:p w14:paraId="28BF730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scaffolds remains insufficiently explored. This study aimed to uncover new </w:t>
      </w:r>
    </w:p>
    <w:p w14:paraId="2FBBD43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decalin polyketides from the endophytic fungus, Trichoderma longicollum 17007, </w:t>
      </w:r>
    </w:p>
    <w:p w14:paraId="066F766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to evaluate their biological activity. </w:t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Methods: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Feature-based molecular </w:t>
      </w:r>
    </w:p>
    <w:p w14:paraId="746CCAC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networking (FBMN) analysis of the ethyl acetate extract from rice-based cultures </w:t>
      </w:r>
    </w:p>
    <w:p w14:paraId="4A77CE6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was performed using trichoharzin as a seed compound to guide targeted isolation. </w:t>
      </w:r>
    </w:p>
    <w:p w14:paraId="0B54583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Structures were established by HRMS, 1D and 2D NMR spectroscopy, NOESY analysis, </w:t>
      </w:r>
    </w:p>
    <w:p w14:paraId="4863D8C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quantum chemical ECD calculations. Cytotoxicity and activity against the </w:t>
      </w:r>
    </w:p>
    <w:p w14:paraId="28BF033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avirulent Mycobacterium tuberculosis H37Ra strain were evaluated, and genome </w:t>
      </w:r>
    </w:p>
    <w:p w14:paraId="3734218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mining was performed to identify a candidate biosynthetic gene cluster.</w:t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Results: </w:t>
      </w:r>
    </w:p>
    <w:p w14:paraId="15FC1B7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Six new decalin polyketides, tandyukisins K-P (1-6), and two known analogues, </w:t>
      </w:r>
    </w:p>
    <w:p w14:paraId="743BD9E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trichoharzin (7) and tandyukisin J (8), were isolated. Compounds 1-6 are </w:t>
      </w:r>
    </w:p>
    <w:p w14:paraId="7B9BE1D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C1-O-acetylated analogues bearing a 3-methylpentenedioate-type acyl side chain. </w:t>
      </w:r>
    </w:p>
    <w:p w14:paraId="6C8DC73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Comparative 13C NMR analysis revealed empirical features useful for assigning </w:t>
      </w:r>
    </w:p>
    <w:p w14:paraId="4E0BA36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side-chain attachment site, double-bond position and geometry. Tandyukisins K </w:t>
      </w:r>
    </w:p>
    <w:p w14:paraId="0B67553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 and P (6) showed moderate activity against the avirulent M. tuberculosis </w:t>
      </w:r>
    </w:p>
    <w:p w14:paraId="29F4A5E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H37Ra strain, with a MIC value of 12.5 μg/mL. </w:t>
      </w: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Conclusions: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These findings expand </w:t>
      </w:r>
    </w:p>
    <w:p w14:paraId="491665E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structural diversity of decalin polyketides and provide the first evidence </w:t>
      </w:r>
    </w:p>
    <w:p w14:paraId="29FDA09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of antitubercular activity by this compound family.</w:t>
      </w:r>
    </w:p>
    <w:p w14:paraId="5B48686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8DED85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10.3390/antibiotics15080789</w:t>
      </w:r>
    </w:p>
    <w:p w14:paraId="450852D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PMC13509314</w:t>
      </w:r>
    </w:p>
    <w:p w14:paraId="41C56A9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42650714</w:t>
      </w:r>
    </w:p>
    <w:p w14:paraId="18D9F8C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2ED3512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25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>. Adv Respir Med. 2026 Jul 27;94(4):54. doi: 10.3390/arm94040054.</w:t>
      </w:r>
    </w:p>
    <w:p w14:paraId="31951B5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2C1A01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Microglia-Mediated Ependymal Injury in Bacille Calmette-Guérin-Induced </w:t>
      </w:r>
    </w:p>
    <w:p w14:paraId="59A7F73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Meningitis Is Attenuated by Sodium Butyrate with Restoration of Hmgcs2 </w:t>
      </w:r>
    </w:p>
    <w:p w14:paraId="6BEA6FA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Expression.</w:t>
      </w:r>
    </w:p>
    <w:p w14:paraId="74FF8C2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4A1B4F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Ren Y(1), Chen D(2), Xie S(1), He Y(1), Zhuang X(1), Ye D(3), Fei Z(3), Xia </w:t>
      </w:r>
    </w:p>
    <w:p w14:paraId="7CE11A0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L(3), Wang Y(2), Li F(1)(3).</w:t>
      </w:r>
    </w:p>
    <w:p w14:paraId="31ECD22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B71F207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Yang Ren,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Danni Chen,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Shiqi Xie,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Yawen He,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Xuanru Zhuang,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Dan Ye,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Zhentao Fei,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Lu Xia,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Yongjie Wang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Feng Li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6E0560CD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Correspondence: wangyongjie@hznu.edu.cn (Yongjie Wang); dr_lif08@126.com (Feng Li)</w:t>
      </w:r>
    </w:p>
    <w:p w14:paraId="78E989F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B22169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36E55EF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(1)Department of Pulmonary and Critical Care Medicine, Shanghai Public Health </w:t>
      </w:r>
    </w:p>
    <w:p w14:paraId="60E87C9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Clinical Center, Fudan University, Shanghai 201508, China.</w:t>
      </w:r>
    </w:p>
    <w:p w14:paraId="697F41E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(2)School of Pharmacy, Hangzhou Normal University, Hangzhou 311121, China.</w:t>
      </w:r>
    </w:p>
    <w:p w14:paraId="60003B2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(3)Tuberculosis Research Center, Shanghai Public Health Clinical Center, Fudan </w:t>
      </w:r>
    </w:p>
    <w:p w14:paraId="4A92BC8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University, Shanghai 201508, China.</w:t>
      </w:r>
    </w:p>
    <w:p w14:paraId="201C30A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A3BB7B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BACKGROUND: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Tuberculous meningitis (TBM) is the most severe form of central </w:t>
      </w:r>
    </w:p>
    <w:p w14:paraId="59C81A7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nervous system tuberculosis, associated with high mortality and neurological </w:t>
      </w:r>
    </w:p>
    <w:p w14:paraId="024044F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sequelae. Microglia-driven neuroinflammation is a key contributor to TBM </w:t>
      </w:r>
    </w:p>
    <w:p w14:paraId="1D5D0AB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pathogenesis; however, its specific effects on ependymal cells-critical for </w:t>
      </w:r>
    </w:p>
    <w:p w14:paraId="68D4D7D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cerebrospinal fluid dynamics and barrier function-and potential therapeutic </w:t>
      </w:r>
    </w:p>
    <w:p w14:paraId="75E069D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strategies remain unclear.</w:t>
      </w:r>
    </w:p>
    <w:p w14:paraId="35644D5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METHODS: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 murine TBM model was established by tail vein injection of BCG. </w:t>
      </w:r>
    </w:p>
    <w:p w14:paraId="7D4E0EE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Although the virulence of BCG, an attenuated strain of Mycobacterium bovis, is </w:t>
      </w:r>
    </w:p>
    <w:p w14:paraId="535D5D9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different from that of clinically isolated human Mycobacterium tuberculosis, its </w:t>
      </w:r>
    </w:p>
    <w:p w14:paraId="023E9C9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induced phenotypes such as periventricular inflammatory infiltration, microglia </w:t>
      </w:r>
    </w:p>
    <w:p w14:paraId="6346C4E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activation, and ependymal dysfunction highly reproduce the key histopathological </w:t>
      </w:r>
    </w:p>
    <w:p w14:paraId="7133004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features of human TBM. Primary ependymal cells were cultured and treated either </w:t>
      </w:r>
    </w:p>
    <w:p w14:paraId="16C2196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directly with BCG or indirectly with conditioned medium from BCG-stimulated BV2 </w:t>
      </w:r>
    </w:p>
    <w:p w14:paraId="20AFE17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microglial cells (BCG+BV2-CM). Transcriptomic profiling was conducted via RNA </w:t>
      </w:r>
    </w:p>
    <w:p w14:paraId="49E0BDB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sequencing, with validation by qPCR and Western blot. Functional outcomes, </w:t>
      </w:r>
    </w:p>
    <w:p w14:paraId="30635B1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including ciliary morphology and apoptosis, were assessed using </w:t>
      </w:r>
    </w:p>
    <w:p w14:paraId="33B89DE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immunofluorescence and flow cytometry. The therapeutic effect of sodium butyrate </w:t>
      </w:r>
    </w:p>
    <w:p w14:paraId="6EBA43F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(NaB) was evaluated through pretreatment experiments.</w:t>
      </w:r>
    </w:p>
    <w:p w14:paraId="555F34F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RESULTS: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BCG infection induced characteristic TBM pathology, with persistent </w:t>
      </w:r>
    </w:p>
    <w:p w14:paraId="2A9945D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bacteria in the brain and lungs, ventricular inflammation, and pulmonary damage. </w:t>
      </w:r>
    </w:p>
    <w:p w14:paraId="578D4D9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Transcriptomic analysis showed that direct BCG treatment altered the expression </w:t>
      </w:r>
    </w:p>
    <w:p w14:paraId="40C9DDB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of 1036 genes in ependymal cells, whereas BCG+BV2-CM treatment induced 3558 </w:t>
      </w:r>
    </w:p>
    <w:p w14:paraId="23A6913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differentially expressed genes, highlighting microglia's role in amplifying </w:t>
      </w:r>
    </w:p>
    <w:p w14:paraId="63CB8A4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ependymal injury. Integrated analysis identified 64 consistently dysregulated </w:t>
      </w:r>
    </w:p>
    <w:p w14:paraId="6965ECF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genes across in vitro and in vivo models, enriched in immune and metabolic </w:t>
      </w:r>
    </w:p>
    <w:p w14:paraId="78616BE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pathways. BCG challenge significantly downregulated Hmgcs2, leading to ciliary </w:t>
      </w:r>
    </w:p>
    <w:p w14:paraId="2E21C92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shortening and increased apoptosis. Sodium butyrate treatment restored Hmgcs2 </w:t>
      </w:r>
    </w:p>
    <w:p w14:paraId="54D81BC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expression, preserved ciliary structure, and reduced apoptosis.</w:t>
      </w:r>
    </w:p>
    <w:p w14:paraId="4CBF1A5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CONCLUSION: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Microglia profoundly exacerbate transcriptional dysregulation in </w:t>
      </w:r>
    </w:p>
    <w:p w14:paraId="2600946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ependymal cells during TBM. Sodium butyrate confers protection against </w:t>
      </w:r>
    </w:p>
    <w:p w14:paraId="5F91E31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BCG-induced ependymal damage by upregulating Hmgcs2, revealing a novel </w:t>
      </w:r>
    </w:p>
    <w:p w14:paraId="589D560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therapeutic target for tuberculous meningitis.</w:t>
      </w:r>
    </w:p>
    <w:p w14:paraId="0C86E2B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BCFDDA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10.3390/arm94040054</w:t>
      </w:r>
    </w:p>
    <w:p w14:paraId="753BC7B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PMC13509567</w:t>
      </w:r>
    </w:p>
    <w:p w14:paraId="231A4D6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42644875 [Indexed for MEDLINE]</w:t>
      </w:r>
    </w:p>
    <w:p w14:paraId="79FDF67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37A38D1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26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. Front Vet Sci. 2026 Aug 11;13:1881898. doi: 10.3389/fvets.2026.1881898. </w:t>
      </w:r>
    </w:p>
    <w:p w14:paraId="01917AF2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eCollection 2026.</w:t>
      </w:r>
    </w:p>
    <w:p w14:paraId="2B0DCB4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65E7B3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Development of a dual fluorescent microsphere-based lateral flow immunoassays </w:t>
      </w:r>
    </w:p>
    <w:p w14:paraId="54F6513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for simultaneous detection of Brucella and Mycobacterium bovis antibodies.</w:t>
      </w:r>
    </w:p>
    <w:p w14:paraId="5163B33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0A5FCC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Meng D(#)(1)(2)(3), Mi R(#)(2), Zhu W(4), Zhang Y(5), Lu K(2), Chen Z(2), Han </w:t>
      </w:r>
    </w:p>
    <w:p w14:paraId="1E222DA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X(2), Wang Q(2), Ni J(1)(2)(3), Wu J(1)(2)(3), Guo B(6), You L(1)(3), Mu G(7).</w:t>
      </w:r>
    </w:p>
    <w:p w14:paraId="102929D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2D7E56E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Dihui Meng,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Rongsheng Mi,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Wei Zhu,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Ying Zhang,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Ke Lu,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Zhaoguo Chen,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Xiangan Han,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Quan Wang,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Jin Ni,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Jun Wu,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Baoping Guo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Lixin You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Guodong Mu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6D691370">
      <w:pPr>
        <w:jc w:val="left"/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*CORRESPONDENCE Baoping Guo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guobaopingfeng@126.com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；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 xml:space="preserve"> Lixin You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 xml:space="preserve"> youlixin1978@sina.com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；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Guodong Mu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dashaom@126.com</w:t>
      </w:r>
    </w:p>
    <w:p w14:paraId="5A5B866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A2078C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20773CD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(1)College of Food Science and Engineering, Jilin Agricultural University, </w:t>
      </w:r>
    </w:p>
    <w:p w14:paraId="1715C8F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Changchun, China.</w:t>
      </w:r>
    </w:p>
    <w:p w14:paraId="37BFA26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(2)Key Laboratory of Animal Parasitology of Ministry of Agriculture, Laboratory </w:t>
      </w:r>
    </w:p>
    <w:p w14:paraId="2A3D168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of Quality and Safety Risk Assessment for Animal Products on Biohazards </w:t>
      </w:r>
    </w:p>
    <w:p w14:paraId="7FFC832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(Shanghai) of Ministry of Agriculture, Shanghai Veterinary Research Institute, </w:t>
      </w:r>
    </w:p>
    <w:p w14:paraId="2C2DC80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Chinese Academy of Agricultural Sciences, Shanghai, China.</w:t>
      </w:r>
    </w:p>
    <w:p w14:paraId="2B49C49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(3)College of Life Sciences, Changchun Sci-Tech University, Changchun, China.</w:t>
      </w:r>
    </w:p>
    <w:p w14:paraId="77B7D2B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(4)Tengzhou Animal Disease Prevention and Control Center of Shandong Province, </w:t>
      </w:r>
    </w:p>
    <w:p w14:paraId="3041D8E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Tengzhou, China.</w:t>
      </w:r>
    </w:p>
    <w:p w14:paraId="198E82A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(5)Jinhua Key Laboratory of Genetic Breeding and Improvement on Jinhua Pig, </w:t>
      </w:r>
    </w:p>
    <w:p w14:paraId="20FD135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College of Agriculture, Jinhua University of Vocational Technology, Jinhua, </w:t>
      </w:r>
    </w:p>
    <w:p w14:paraId="2268711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</w:t>
      </w:r>
    </w:p>
    <w:p w14:paraId="295790B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(6)State Key Laboratory of Pathogenesis, Prevention and Treatment of High </w:t>
      </w:r>
    </w:p>
    <w:p w14:paraId="0F59DEE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Incidence Diseases in Central Asia, Xinjiang Medical University, and </w:t>
      </w:r>
    </w:p>
    <w:p w14:paraId="3383DAB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WHO-Collaborating Centre for Prevention and Care Management of Echinococcosis, </w:t>
      </w:r>
    </w:p>
    <w:p w14:paraId="01465D5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The First Affiliated Hospital of Xinjiang Medical University, Urumqi, China.</w:t>
      </w:r>
    </w:p>
    <w:p w14:paraId="1E6AF9C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(7)Jilin Center for Animal Disease Control and Prevention, Changchun, China.</w:t>
      </w:r>
    </w:p>
    <w:p w14:paraId="3602FF6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(#)Contributed equally</w:t>
      </w:r>
    </w:p>
    <w:p w14:paraId="49795C3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8D8AA4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INTRODUCTION: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Bovine brucellosis and bovine tuberculosis are important zoonotic </w:t>
      </w:r>
    </w:p>
    <w:p w14:paraId="1608C71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diseases that pose serious threats to human and animal health and cause </w:t>
      </w:r>
    </w:p>
    <w:p w14:paraId="11A4E4D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substantial economic losses in the livestock industry. Therefore, a rapid </w:t>
      </w:r>
    </w:p>
    <w:p w14:paraId="6573389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diagnostic method suitable for the simultaneous field detection of both diseases </w:t>
      </w:r>
    </w:p>
    <w:p w14:paraId="25E272C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is urgently needed.</w:t>
      </w:r>
    </w:p>
    <w:p w14:paraId="636B299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METHODS: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Fluorescent microspheres conjugated with recombinant streptococcal </w:t>
      </w:r>
    </w:p>
    <w:p w14:paraId="075FD47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protein G (rSPG) were prepared and used as tracers. Brucella lipopolysaccharide </w:t>
      </w:r>
    </w:p>
    <w:p w14:paraId="5B40A42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(LPS) and Mycobacterium bovis MPB70 protein were coated onto test lines 1 and 2 </w:t>
      </w:r>
    </w:p>
    <w:p w14:paraId="4F5E18D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(TL1 and TL2), respectively, whereas rSPG was coated onto the control line (CL). </w:t>
      </w:r>
    </w:p>
    <w:p w14:paraId="61ED94B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This configuration enabled the development of a dual-antibody rapid test strip </w:t>
      </w:r>
    </w:p>
    <w:p w14:paraId="2AD1454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for the simultaneous detection of Brucella spp. and M. bovis antibodies. The </w:t>
      </w:r>
    </w:p>
    <w:p w14:paraId="2730A29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optimal reaction conditions and performance characteristics of the test strip </w:t>
      </w:r>
    </w:p>
    <w:p w14:paraId="4D4077B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were systematically evaluated.</w:t>
      </w:r>
    </w:p>
    <w:p w14:paraId="3BDBA16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RESULTS AND DISCUSSION: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dual rapid test strip enabled detection to be </w:t>
      </w:r>
    </w:p>
    <w:p w14:paraId="246A871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completed within 20 min. The optimal coating concentrations were determined to </w:t>
      </w:r>
    </w:p>
    <w:p w14:paraId="29E43D4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be 0.5 mg/mL for the Brucella test line (TL1) and 1.0 mg/mL for the M. bovis </w:t>
      </w:r>
    </w:p>
    <w:p w14:paraId="177C632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test line (TL2), and the optimal conjugation concentration of fluorescent </w:t>
      </w:r>
    </w:p>
    <w:p w14:paraId="78CC25E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microspheres was 0.25 mg/mL. Using a fluorescence reader, the minimum detection </w:t>
      </w:r>
    </w:p>
    <w:p w14:paraId="10BFB13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thresholds, expressed as the ratios of the fluorescence intensity of the test </w:t>
      </w:r>
    </w:p>
    <w:p w14:paraId="5351133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line to that of the control line (T/C), were determined to be 0.04109 for </w:t>
      </w:r>
    </w:p>
    <w:p w14:paraId="6156006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Brucella and 0.0276 for M. bovis. The dual test strip showed high specificity </w:t>
      </w:r>
    </w:p>
    <w:p w14:paraId="53CB86D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without detectable cross-reactivity, higher sensitivity than commercial </w:t>
      </w:r>
    </w:p>
    <w:p w14:paraId="6BC1B20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colloidal gold test strips, and excellent intra- and inter-batch reproducibility </w:t>
      </w:r>
    </w:p>
    <w:p w14:paraId="1ED1C48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(coefficients of variation &lt;10%). Preliminary testing of 67 clinical samples </w:t>
      </w:r>
    </w:p>
    <w:p w14:paraId="4C573C7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showed that the dual test strip achieved agreement rates of 92.54% and 95.52% </w:t>
      </w:r>
    </w:p>
    <w:p w14:paraId="1F4E90A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with commercial ELISA antibody detection kits for bovine brucellosis and bovine </w:t>
      </w:r>
    </w:p>
    <w:p w14:paraId="4FB7272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tuberculosis, respectively. A fluorescent microsphere-based dual-antibody rapid </w:t>
      </w:r>
    </w:p>
    <w:p w14:paraId="3612F43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test strip was successfully developed for the simultaneous detection of </w:t>
      </w:r>
    </w:p>
    <w:p w14:paraId="2C9FBA7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antibodies against Brucella spp. and M. bovis. Exhibiting high sensitivity and </w:t>
      </w:r>
    </w:p>
    <w:p w14:paraId="3DE3D75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specificity, this test strip serves as a highly suitable tool for the rapid </w:t>
      </w:r>
    </w:p>
    <w:p w14:paraId="363D400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diagnosis of bovine brucellosis and bovine tuberculosis antibodies.</w:t>
      </w:r>
    </w:p>
    <w:p w14:paraId="21D8A72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125480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Copyright © 2026 Meng, Mi, Zhu, Zhang, Lu, Chen, Han, Wang, Ni, Wu, Guo, You and </w:t>
      </w:r>
    </w:p>
    <w:p w14:paraId="316F5C3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Mu.</w:t>
      </w:r>
    </w:p>
    <w:p w14:paraId="45F2ED8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BE9684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10.3389/fvets.2026.1881898</w:t>
      </w:r>
    </w:p>
    <w:p w14:paraId="64034BF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PMC13503215</w:t>
      </w:r>
    </w:p>
    <w:p w14:paraId="0CDE573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42643426</w:t>
      </w:r>
    </w:p>
    <w:p w14:paraId="763F104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2073F4C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2</w:t>
      </w: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. Front Public Health. 2026 Aug 11;14:1861683. doi: 10.3389/fpubh.2026.1861683. </w:t>
      </w:r>
    </w:p>
    <w:p w14:paraId="05475AC4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eCollection 2026.</w:t>
      </w:r>
    </w:p>
    <w:p w14:paraId="1151319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8D3EEF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Effects of the LEARNS model-based self-management education on short-term </w:t>
      </w:r>
    </w:p>
    <w:p w14:paraId="0D3E93E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treatment outcomes among newly diagnosed tuberculosis patients: a randomized </w:t>
      </w:r>
    </w:p>
    <w:p w14:paraId="0DC28C8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controlled trial.</w:t>
      </w:r>
    </w:p>
    <w:p w14:paraId="45950B6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57A665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Wang H(1), Yong R(1), Hao M(1), Liu X(2).</w:t>
      </w:r>
    </w:p>
    <w:p w14:paraId="3635474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99188A3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Huijuan Wang,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Rong Yong,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Meng Hao,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Xiaohui Liu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7FD2D82D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*CORRESPONDENCE Xiaohui Liu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lxhnmu@sina.com</w:t>
      </w:r>
    </w:p>
    <w:p w14:paraId="36C15F5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AF6BC8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5ECAB0B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(1)The Fourth People's Hospital of Ningxia Hui Autonomous Region, Yinchuan, </w:t>
      </w:r>
    </w:p>
    <w:p w14:paraId="2E74931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</w:t>
      </w:r>
    </w:p>
    <w:p w14:paraId="63D9DD3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(2)School of Nursing, Ningxia Medical University, Yinchuan, China.</w:t>
      </w:r>
    </w:p>
    <w:p w14:paraId="6EFFBE0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756D2A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BACKGROUND AND OBJECTIVES: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Newly diagnosed patients with pulmonary tuberculosis </w:t>
      </w:r>
    </w:p>
    <w:p w14:paraId="22500F8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usually have insufficient self-management ability. LEARNS model-based health </w:t>
      </w:r>
    </w:p>
    <w:p w14:paraId="50F6A54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education has been shown to significantly improve patients' self-management and </w:t>
      </w:r>
    </w:p>
    <w:p w14:paraId="3274052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treatment outcomes. This randomized controlled trial aimed to evaluate the </w:t>
      </w:r>
    </w:p>
    <w:p w14:paraId="5C03203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effects of the LEARNS model-based self-management intervention on six indicators </w:t>
      </w:r>
    </w:p>
    <w:p w14:paraId="1113432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among patients with newly diagnosed tuberculosis: self-management, tuberculosis </w:t>
      </w:r>
    </w:p>
    <w:p w14:paraId="6D672D1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prevention and control knowledge, anxiety, depression, social support, and </w:t>
      </w:r>
    </w:p>
    <w:p w14:paraId="53FEAF9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treatment efficacy.</w:t>
      </w:r>
    </w:p>
    <w:p w14:paraId="54A23D8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METHODS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: This prospective, two-arm, parallel-group randomized controlled trial </w:t>
      </w:r>
    </w:p>
    <w:p w14:paraId="297E130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was registered (ChiCTR2400090561). Seventy-two inpatients with newly diagnosed </w:t>
      </w:r>
    </w:p>
    <w:p w14:paraId="171D05E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pulmonary tuberculosis were enrolled from the tuberculosis department of a </w:t>
      </w:r>
    </w:p>
    <w:p w14:paraId="0312896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tertiary hospital in Ningxia between May and July 2024. Participants were </w:t>
      </w:r>
    </w:p>
    <w:p w14:paraId="0A0631B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randomly assigned to receive either routine tuberculosis self-management </w:t>
      </w:r>
    </w:p>
    <w:p w14:paraId="1CDC865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education (control group) or standardized LEARNS model-based self-management </w:t>
      </w:r>
    </w:p>
    <w:p w14:paraId="4E3F752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education (intervention group). Self-management was defined as the primary </w:t>
      </w:r>
    </w:p>
    <w:p w14:paraId="5284CFD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outcome. Secondary outcomes encompassed tuberculosis prevention and control </w:t>
      </w:r>
    </w:p>
    <w:p w14:paraId="2D9B607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knowledge, perceived social support, anxiety, depression, sputum smear and </w:t>
      </w:r>
    </w:p>
    <w:p w14:paraId="7FAD03E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culture conversion rates, and chest CT lesion improvement rates. All </w:t>
      </w:r>
    </w:p>
    <w:p w14:paraId="2110181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participants underwent a 2-month integrated intervention program involving </w:t>
      </w:r>
    </w:p>
    <w:p w14:paraId="39A0086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inpatient-based education and continuous post-discharge follow-up. All study </w:t>
      </w:r>
    </w:p>
    <w:p w14:paraId="50CFAE6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outcomes were evaluated 3 months after program completion. All </w:t>
      </w:r>
    </w:p>
    <w:p w14:paraId="0010CD3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intention-to-treat analyses were performed using generalized estimating </w:t>
      </w:r>
    </w:p>
    <w:p w14:paraId="4EB7332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equations to evaluate short-term intervention effects.</w:t>
      </w:r>
    </w:p>
    <w:p w14:paraId="20413D4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RESULTS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: At 3 months following the 2-month integrated intervention program, the </w:t>
      </w:r>
    </w:p>
    <w:p w14:paraId="2D9B5AB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intervention group showed significant improvements in self-management (β = </w:t>
      </w:r>
    </w:p>
    <w:p w14:paraId="4D1AFFF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15.51, 95% CI: 5.03-25.99, P = 0.004), tuberculosis prevention and control </w:t>
      </w:r>
    </w:p>
    <w:p w14:paraId="7D572A1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knowledge (β = 0.87,95%CI: 0.14-1.60, P = 0.019), and chest radiograph </w:t>
      </w:r>
    </w:p>
    <w:p w14:paraId="3C52D27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improvement rate (χ2 = 7.497, P = 0.024) compared with the control group. No </w:t>
      </w:r>
    </w:p>
    <w:p w14:paraId="734A029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significant between-group differences were observed in perceived social support </w:t>
      </w:r>
    </w:p>
    <w:p w14:paraId="20083B8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(β = -1.09, 95% CI: -6.26 to 4.07, P = 0.678), anxiety (β = 0.96, 95% CI: -0.36 </w:t>
      </w:r>
    </w:p>
    <w:p w14:paraId="1B235E0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to 2.27, P = 0.154), depression (β = 0.13, 95% CI: -1.36 to 1.62, P = 0.864), or </w:t>
      </w:r>
    </w:p>
    <w:p w14:paraId="03BA437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sputum smear and culture conversion rates (χ2 = 1.857, P = 0.395).</w:t>
      </w:r>
    </w:p>
    <w:p w14:paraId="129C32B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CONCLUSIONS: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LEARNS model-based self-management program benefits inpatients </w:t>
      </w:r>
    </w:p>
    <w:p w14:paraId="6413ABE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with newly diagnosed pulmonary tuberculosis. It effectively improves patients' </w:t>
      </w:r>
    </w:p>
    <w:p w14:paraId="06EAD00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self-management and tuberculosis prevention and control knowledge, and improves </w:t>
      </w:r>
    </w:p>
    <w:p w14:paraId="4F0EBE7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chest radiographic findings. However, this intervention yields no significant </w:t>
      </w:r>
    </w:p>
    <w:p w14:paraId="380ED15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effects on anxiety, depression, social support, and sputum bacteriological </w:t>
      </w:r>
    </w:p>
    <w:p w14:paraId="2A06F90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conversion.</w:t>
      </w:r>
    </w:p>
    <w:p w14:paraId="4A5850E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FB1CCA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Copyright © 2026 Wang, Yong, Hao and Liu.</w:t>
      </w:r>
    </w:p>
    <w:p w14:paraId="01D6AE5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17C7EE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10.3389/fpubh.2026.1861683</w:t>
      </w:r>
    </w:p>
    <w:p w14:paraId="5F024D3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PMC13503355</w:t>
      </w:r>
    </w:p>
    <w:p w14:paraId="0F3B00D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42643299 [Indexed for MEDLINE]</w:t>
      </w:r>
    </w:p>
    <w:p w14:paraId="308AD18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5B147D9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2</w:t>
      </w: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. Front Cell Infect Microbiol. 2026 Aug 11;16:1887961. doi: </w:t>
      </w:r>
    </w:p>
    <w:p w14:paraId="417F11E4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10.3389/fcimb.2026.1887961. eCollection 2026.</w:t>
      </w:r>
    </w:p>
    <w:p w14:paraId="74AADA1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05B831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Type 2 diabetes mellitus is associated with distinct post-treatment metabolic </w:t>
      </w:r>
    </w:p>
    <w:p w14:paraId="462F6F5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profiles in pulmonary tuberculosis.</w:t>
      </w:r>
    </w:p>
    <w:p w14:paraId="0B9EEB3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CA8A66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Li X(#)(1), He Z(#)(2), Gao Q(#)(1), Hou Z(#)(3), Zhang K(#)(3), Qin Z(4), Zheng </w:t>
      </w:r>
    </w:p>
    <w:p w14:paraId="3854666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X(3), Yu H(5), Wu J(3)(5), Chen H(1)(5).</w:t>
      </w:r>
    </w:p>
    <w:p w14:paraId="3507AF4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A19523C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Xue Li,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Zuokuan He,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Qin Gao,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Zhili Hou,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Kairu Zhang,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Zhonghua Qin,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Xingjie Zheng,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Hongzhi Yu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Junping Wu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Huaiyong Chen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1634BD6A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 xml:space="preserve">*CORRESPONDENCE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Hongzhi Yu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 xml:space="preserve"> 13512205663@163.com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；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Junping Wu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 xml:space="preserve"> wujp0618@126.com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；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Huaiyong Chen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huaiyong.chen@foxmail.com</w:t>
      </w:r>
    </w:p>
    <w:p w14:paraId="0A9B494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620316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29C28A0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(1)Tianjin Key Laboratory of Lung Regenerative Medicine, Haihe Hospital, Tianjin </w:t>
      </w:r>
    </w:p>
    <w:p w14:paraId="7B23D31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University, Tianjin, China.</w:t>
      </w:r>
    </w:p>
    <w:p w14:paraId="71DBF8D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(2)Department of Basic Medicine, Haihe Clinical College, Tianjin Medical </w:t>
      </w:r>
    </w:p>
    <w:p w14:paraId="2592DEB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University, Tianjin, China.</w:t>
      </w:r>
    </w:p>
    <w:p w14:paraId="32CD065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(3)Department of Tuberculosis, Haihe Hospital, Tianjin University, </w:t>
      </w:r>
    </w:p>
    <w:p w14:paraId="1F4090A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Tianjin, China.</w:t>
      </w:r>
    </w:p>
    <w:p w14:paraId="3F08DD6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(4)Center for Accurate Detection of Tuberculosis, Haihe Hospital, Tianjin </w:t>
      </w:r>
    </w:p>
    <w:p w14:paraId="7F204DE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University, Tianjin, China.</w:t>
      </w:r>
    </w:p>
    <w:p w14:paraId="2CC6ED1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(5)Key Research Laboratory for Infectious Disease Prevention for State </w:t>
      </w:r>
    </w:p>
    <w:p w14:paraId="4E1C709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Administration of Traditional Chinese Medicine, Tianjin Institute of Respiratory </w:t>
      </w:r>
    </w:p>
    <w:p w14:paraId="0ADDC34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Diseases, Tianjin, China.</w:t>
      </w:r>
    </w:p>
    <w:p w14:paraId="6FDA680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(#)Contributed equally</w:t>
      </w:r>
    </w:p>
    <w:p w14:paraId="633761B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06D371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BACKGROUND: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Type 2 diabetes mellitus (T2DM) is a major risk factor for pulmonary </w:t>
      </w:r>
    </w:p>
    <w:p w14:paraId="18D6CD3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tuberculosis (PTB), exacerbates disease severity and reduces the efficacy of </w:t>
      </w:r>
    </w:p>
    <w:p w14:paraId="17FDC71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anti-tuberculosis therapy. Previous studies have shown that T2DM is associated </w:t>
      </w:r>
    </w:p>
    <w:p w14:paraId="455379C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with exacerbated metabolic disturbances in patients with PTB. However, metabolic </w:t>
      </w:r>
    </w:p>
    <w:p w14:paraId="5668D7E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differences between PTB patients with comorbid T2DM (PTB-DM) and those with PTB </w:t>
      </w:r>
    </w:p>
    <w:p w14:paraId="774D4BD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after anti-TB therapy remain unclear.</w:t>
      </w:r>
    </w:p>
    <w:p w14:paraId="098AE89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METHODS: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Untargeted metabolomic analysis was conducted on plasma samples </w:t>
      </w:r>
    </w:p>
    <w:p w14:paraId="3A9AECD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collected from April 2024 to November 2025 at Tianjin Haihe Hospital, China. A </w:t>
      </w:r>
    </w:p>
    <w:p w14:paraId="5D67D81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total of 75 participants were enrolled, including healthy controls, patients </w:t>
      </w:r>
    </w:p>
    <w:p w14:paraId="2356692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with newly diagnosed drug-sensitive PTB, patients with PTB-DM, as well as two </w:t>
      </w:r>
    </w:p>
    <w:p w14:paraId="69A0310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independent post-treatment groups sampled after 6 months of standard anti-TB </w:t>
      </w:r>
    </w:p>
    <w:p w14:paraId="14BD11D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therapy: patients with PTB and patients with PTB-DM.</w:t>
      </w:r>
    </w:p>
    <w:p w14:paraId="24BD14E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RESULTS: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Patients with PTB exhibited marked metabolic disturbances, particularly </w:t>
      </w:r>
    </w:p>
    <w:p w14:paraId="364361B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 tyrosine metabolism and steroid hormone biosynthesis. Patients with PTB-DM </w:t>
      </w:r>
    </w:p>
    <w:p w14:paraId="5C3521B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showed broader metabolic reprogramming, including changes in arginine and </w:t>
      </w:r>
    </w:p>
    <w:p w14:paraId="4976506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proline metabolism, steroid hormone biosynthesis, cAMP signaling, and taurine </w:t>
      </w:r>
    </w:p>
    <w:p w14:paraId="2746A56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hypotaurine metabolism. After 6 months of standard therapy, the PTB_6M group </w:t>
      </w:r>
    </w:p>
    <w:p w14:paraId="62B52A1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showed treatment-associated metabolic differences, especially in bile acid </w:t>
      </w:r>
    </w:p>
    <w:p w14:paraId="2EA9636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metabolism, suggesting partial normalization of several metabolic features. In </w:t>
      </w:r>
    </w:p>
    <w:p w14:paraId="2B78138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contrast, patients with PTB-DM after treatment showed persistent metabolic </w:t>
      </w:r>
    </w:p>
    <w:p w14:paraId="5E907E4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abnormalities involving sphingolipid, purine and biotin metabolism. Notably, </w:t>
      </w:r>
    </w:p>
    <w:p w14:paraId="502CA91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12-HETE and 12-HHTrE showed elevated levels in active PTB, decreased levels </w:t>
      </w:r>
    </w:p>
    <w:p w14:paraId="54AE3F1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after treatment, but remained relatively higher in PTB-DM after treatment.</w:t>
      </w:r>
    </w:p>
    <w:p w14:paraId="28FD159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CONCLUSIONS: T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his study offers an integrated assessment of metabolic alterations </w:t>
      </w:r>
    </w:p>
    <w:p w14:paraId="4990235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 PTB and PTB-DM, suggesting that comorbid T2DM is associated with broader </w:t>
      </w:r>
    </w:p>
    <w:p w14:paraId="1CA49F6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metabolic dysregulation during active PTB and persistent post-treatment </w:t>
      </w:r>
    </w:p>
    <w:p w14:paraId="20DA512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metabolic abnormalities.</w:t>
      </w:r>
    </w:p>
    <w:p w14:paraId="60D71B1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FE7144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Copyright © 2026 Li, He, Gao, Hou, Zhang, Qin, Zheng, Yu, Wu and Chen.</w:t>
      </w:r>
    </w:p>
    <w:p w14:paraId="4A35C01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E6179B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10.3389/fcimb.2026.1887961</w:t>
      </w:r>
    </w:p>
    <w:p w14:paraId="6452AAC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PMC13503209</w:t>
      </w:r>
    </w:p>
    <w:p w14:paraId="7741417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42643247 [Indexed for MEDLINE]</w:t>
      </w:r>
    </w:p>
    <w:p w14:paraId="49EEBDE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67326DD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2</w:t>
      </w: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>. Phytomedicine. 2026 Aug 12;161:158711. doi: 10.1016/j.phymed.2026.158711. Online ahead of print.</w:t>
      </w:r>
    </w:p>
    <w:p w14:paraId="63B8316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38D92B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 novel natural compound from Cleistocalyx operculatus enhances the </w:t>
      </w:r>
    </w:p>
    <w:p w14:paraId="6C25C66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anti-mycobacterial response by inhibiting ferroptosis.</w:t>
      </w:r>
    </w:p>
    <w:p w14:paraId="4F16D90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415618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Wang K(1), Li X(1), Huang W(1), Song J(2), Chen Y(1), Han Z(1), Xin P(1), Wu </w:t>
      </w:r>
    </w:p>
    <w:p w14:paraId="13DD2A4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X(1), Ding Z(1), Xu M(1), Zhou X(1), Zhou C(1), Zhou L(1), Wang Y(3), Wen Q(4), </w:t>
      </w:r>
    </w:p>
    <w:p w14:paraId="2C54D37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Ye W(5), Ma L(6).</w:t>
      </w:r>
    </w:p>
    <w:p w14:paraId="0234E0F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97F8FF3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Ke Wang,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Xue Li,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Wenxin Huang,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Jianguo Song,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Yaoxin Chen,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Zhenyu Han,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Pengli Xin,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Xiao Wu,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Zhiying Ding,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Minna Xu,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Xinying Zhou,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Chaoying Zhou,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Liang Zhou,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Ying Wang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Qian Wen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Wencai Ye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Li Ma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28454FD7">
      <w:pPr>
        <w:jc w:val="left"/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*Corresponding author at: E-mail addresses: wangying_cpu@163.com(Ying Wang), wencaoxi@smu.edu.cn(Qian Wen), chywc@aliyun.com(Wencai Ye), mali_61648322@smu.edu.cn(Li Ma).</w:t>
      </w:r>
    </w:p>
    <w:p w14:paraId="02C2979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61298C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07FC422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(1)Institute of Molecular Immunology, School of Laboratory Medicine and </w:t>
      </w:r>
    </w:p>
    <w:p w14:paraId="3F2BD35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Biotechnology, Southern Medical University, Guangzhou 510515, China.</w:t>
      </w:r>
    </w:p>
    <w:p w14:paraId="6C2A6B1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(2)State Key Laboratory of Bioactive Molecules and Druggability Assessment, </w:t>
      </w:r>
    </w:p>
    <w:p w14:paraId="1A9AB91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Jinan University, Guangzhou 510632, China.</w:t>
      </w:r>
    </w:p>
    <w:p w14:paraId="472BACD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(3)State Key Laboratory of Bioactive Molecules and Druggability Assessment, </w:t>
      </w:r>
    </w:p>
    <w:p w14:paraId="7398163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Jinan University, Guangzhou 510632, China; Center for Bioactive Natural </w:t>
      </w:r>
    </w:p>
    <w:p w14:paraId="236872E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Molecules and Innovative Drugs Research, College of Pharmacy, Jinan University, </w:t>
      </w:r>
    </w:p>
    <w:p w14:paraId="5229FAF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Guangzhou 510632, China. Electronic address: wangying_cpu@163.com.</w:t>
      </w:r>
    </w:p>
    <w:p w14:paraId="0619FCA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(4)Institute of Molecular Immunology, School of Laboratory Medicine and </w:t>
      </w:r>
    </w:p>
    <w:p w14:paraId="67AB391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Biotechnology, Southern Medical University, Guangzhou 510515, China; Key </w:t>
      </w:r>
    </w:p>
    <w:p w14:paraId="21E7828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Laboratory of Infectious Diseases Research in South China, Ministry of </w:t>
      </w:r>
    </w:p>
    <w:p w14:paraId="52F0ECA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Education, Southern Medical University, Guangzhou 510515, China; State Key </w:t>
      </w:r>
    </w:p>
    <w:p w14:paraId="2CCF04F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Laboratory of Multi-organ Injury Prevention and Treatment, Southern Medical </w:t>
      </w:r>
    </w:p>
    <w:p w14:paraId="6E7B075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University, Guangzhou 510515, China. Electronic address: wencaoxi@smu.edu.cn.</w:t>
      </w:r>
    </w:p>
    <w:p w14:paraId="2935256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(5)State Key Laboratory of Bioactive Molecules and Druggability Assessment, </w:t>
      </w:r>
    </w:p>
    <w:p w14:paraId="6D4645A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Jinan University, Guangzhou 510632, China; Center for Bioactive Natural </w:t>
      </w:r>
    </w:p>
    <w:p w14:paraId="339F357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Molecules and Innovative Drugs Research, College of Pharmacy, Jinan University, </w:t>
      </w:r>
    </w:p>
    <w:p w14:paraId="37AD33E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Guangzhou 510632, China. Electronic address: chywc@aliyun.com.</w:t>
      </w:r>
    </w:p>
    <w:p w14:paraId="1E79A77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(6)Institute of Molecular Immunology, School of Laboratory Medicine and </w:t>
      </w:r>
    </w:p>
    <w:p w14:paraId="76E2E61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Biotechnology, Southern Medical University, Guangzhou 510515, China; Key </w:t>
      </w:r>
    </w:p>
    <w:p w14:paraId="778133D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Laboratory of Infectious Diseases Research in South China, Ministry of </w:t>
      </w:r>
    </w:p>
    <w:p w14:paraId="3C7EDA1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Education, Southern Medical University, Guangzhou 510515, China; State Key </w:t>
      </w:r>
    </w:p>
    <w:p w14:paraId="59CAB8E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Laboratory of Multi-organ Injury Prevention and Treatment, Southern Medical </w:t>
      </w:r>
    </w:p>
    <w:p w14:paraId="219A86A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University, Guangzhou 510515, China. Electronic address: </w:t>
      </w:r>
    </w:p>
    <w:p w14:paraId="5F6A373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mali_61648322@smu.edu.cn.</w:t>
      </w:r>
    </w:p>
    <w:p w14:paraId="3E8528C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CC18E4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BACKGROUND: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Tuberculosis is the leading cause of death among chronic infectious </w:t>
      </w:r>
    </w:p>
    <w:p w14:paraId="7AB1898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diseases caused by a single pathogen. Macrophages serve as the first line of </w:t>
      </w:r>
    </w:p>
    <w:p w14:paraId="2F1A932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immune defense, and pulmonary epithelial cells are essential for lung structural </w:t>
      </w:r>
    </w:p>
    <w:p w14:paraId="630D7A4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integrity and function. However, these cells are highly susceptible to death </w:t>
      </w:r>
    </w:p>
    <w:p w14:paraId="42A8228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following Mycobacterium tuberculosis (Mtb) infection. Preserving cell viability </w:t>
      </w:r>
    </w:p>
    <w:p w14:paraId="682AA74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has been shown to significantly enhance host anti-infective capacity.</w:t>
      </w:r>
    </w:p>
    <w:p w14:paraId="3A0653A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PURPOSE: This study aimed to screen an in-house natural product library derived </w:t>
      </w:r>
    </w:p>
    <w:p w14:paraId="5B5FEDE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from Lingnan-region herbal medicines in China for cell-protective activity in </w:t>
      </w:r>
    </w:p>
    <w:p w14:paraId="67420E2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H37Rv-infected cells and investigate the underlying mechanisms.</w:t>
      </w:r>
    </w:p>
    <w:p w14:paraId="6B51382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METHODS: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Cell viability in macrophages and epithelial cells was assessed using </w:t>
      </w:r>
    </w:p>
    <w:p w14:paraId="42C0586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CCK-8 and LDH assays. Pathways involved in cell death inhibition were explored </w:t>
      </w:r>
    </w:p>
    <w:p w14:paraId="457864D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via RNA-seq. Natural product target proteins were identified using DARTS and </w:t>
      </w:r>
    </w:p>
    <w:p w14:paraId="05B2825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LC-MS. Gene and protein expression were validated by qRT-PCR and western </w:t>
      </w:r>
    </w:p>
    <w:p w14:paraId="253FA56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blotting. Intracellular H37Rv viability was determined by CFU counting.</w:t>
      </w:r>
    </w:p>
    <w:p w14:paraId="2439B3E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RESULTS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: A novel natural compound, cleistoperlone J (CJ), was identified as a </w:t>
      </w:r>
    </w:p>
    <w:p w14:paraId="7364F30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cell viability-protective agent. CJ inhibited ferroptosis by modulating cellular </w:t>
      </w:r>
    </w:p>
    <w:p w14:paraId="1A2366C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antioxidant balance. Glucose-6-phosphate dehydrogenase (G6PD), a key enzyme in </w:t>
      </w:r>
    </w:p>
    <w:p w14:paraId="2536F2A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glutathione metabolism, acted as a critical mediator of CJ. By binding to G6PD, </w:t>
      </w:r>
    </w:p>
    <w:p w14:paraId="1B6FA68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CJ enhanced its level and activity via inhibition of ubiquitination-mediated </w:t>
      </w:r>
    </w:p>
    <w:p w14:paraId="409D989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degradation, thereby suppressing ferroptosis in Mtb-infected cells. Notably, </w:t>
      </w:r>
    </w:p>
    <w:p w14:paraId="19C2062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both CJ and the G6PD activator AG1 potentiated the antibacterial activity of </w:t>
      </w:r>
    </w:p>
    <w:p w14:paraId="47E79AE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isoniazid in Mtb-infected macrophages.</w:t>
      </w:r>
    </w:p>
    <w:p w14:paraId="490BF4A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CONCLUSION: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These findings suggest that CJ holds promise as an adjunctive </w:t>
      </w:r>
    </w:p>
    <w:p w14:paraId="15B711F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therapeutic agent for tuberculosis chemotherapy by inhibiting ferroptosis in </w:t>
      </w:r>
    </w:p>
    <w:p w14:paraId="3033C93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Mtb-infected cells.</w:t>
      </w:r>
    </w:p>
    <w:p w14:paraId="333943D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5EB0B7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Copyright © 2026 Elsevier GmbH. All rights reserved.</w:t>
      </w:r>
    </w:p>
    <w:p w14:paraId="43B887D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79CB33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10.1016/j.phymed.2026.158711</w:t>
      </w:r>
    </w:p>
    <w:p w14:paraId="43BB080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42641549</w:t>
      </w:r>
    </w:p>
    <w:p w14:paraId="465149A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A40465E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30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>. Infect Drug Resist. 2026 Aug 20;19:628064. doi: 10.2147/IDR.S628064. eCollection 2026.</w:t>
      </w:r>
    </w:p>
    <w:p w14:paraId="17238B2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D9A2A7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Drug Resistance Patterns, Temporal Trends, and Risk Factors Among Elderly </w:t>
      </w:r>
    </w:p>
    <w:p w14:paraId="1B18149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Tuberculosis Patients in Anhui, China: A Retrospective Study (2020-2024).</w:t>
      </w:r>
    </w:p>
    <w:p w14:paraId="58AF12D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E4E52A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Yu K(1), Yang Y(1), Teng X(1), Ma C(1), Liu Z(1)(2).</w:t>
      </w:r>
    </w:p>
    <w:p w14:paraId="32FECB1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E4104BF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Kexue Yu,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Yuling Yang,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Xuan Teng,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Chengcheng Ma,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Zhou Liu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588FF88C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Correspondence: Zhou Liu, Email</w:t>
      </w:r>
      <w:r>
        <w:rPr>
          <w:rFonts w:hint="default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 liuzhou0112@ahmu.edu.cn</w:t>
      </w:r>
    </w:p>
    <w:p w14:paraId="5936C3D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1E63F5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67EEC48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(1)Department of Clinical Laboratory, The Second Affiliated Hospital of Anhui </w:t>
      </w:r>
    </w:p>
    <w:p w14:paraId="0D98B7E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Medical University, Hefei, 230601, People's Republic of China.</w:t>
      </w:r>
    </w:p>
    <w:p w14:paraId="00FD413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(2)Department of Clinical Laboratory Center, Anhui Chest Hospital, Hefei, </w:t>
      </w:r>
    </w:p>
    <w:p w14:paraId="08B9C4D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230031, People's Republic of China.</w:t>
      </w:r>
    </w:p>
    <w:p w14:paraId="0664284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FFA5FA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PURPOSE: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To investigate the drug resistance profiles, epidemiological dynamics, </w:t>
      </w:r>
    </w:p>
    <w:p w14:paraId="194B3BC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risk factors of Mycobacterium tuberculosis (M. tuberculosis) clinical </w:t>
      </w:r>
    </w:p>
    <w:p w14:paraId="694E786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isolates among geriatric patients (aged ≥ 60 years) in Anhui Province. The </w:t>
      </w:r>
    </w:p>
    <w:p w14:paraId="0184D02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findings are intended to inform the formulation of targeted intervention </w:t>
      </w:r>
    </w:p>
    <w:p w14:paraId="3C87B85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strategies for drug-resistant tuberculosis (DR-TB) control in this demographic.</w:t>
      </w:r>
    </w:p>
    <w:p w14:paraId="2782167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METHODS: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 retrospective analysis was performed on the clinical records and drug </w:t>
      </w:r>
    </w:p>
    <w:p w14:paraId="7B94A9C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susceptibility testing results of M. tuberculosis strains isolated from </w:t>
      </w:r>
    </w:p>
    <w:p w14:paraId="66765C5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geriatric patients at Anhui Chest Hospital (January 2020 to December 2024). </w:t>
      </w:r>
    </w:p>
    <w:p w14:paraId="52103B4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Resistance characteristics and temporal trends regarding the overall prevalence, </w:t>
      </w:r>
    </w:p>
    <w:p w14:paraId="165293C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four distinct phenotypes, and 12 anti-TB drugs were systematically analyzed. </w:t>
      </w:r>
    </w:p>
    <w:p w14:paraId="5344D62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Independent risk factors for drug resistance were determined using univariable </w:t>
      </w:r>
    </w:p>
    <w:p w14:paraId="034F4EB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and multivariable logistic regression models.</w:t>
      </w:r>
    </w:p>
    <w:p w14:paraId="1A5D7B3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RESULTS: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Among 2752 M. tuberculosis isolates, the overall drug resistance rate </w:t>
      </w:r>
    </w:p>
    <w:p w14:paraId="4BC2D7C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was 21.91%. Rifampicin-resistant TB (RR-TB) and multidrug-resistant TB (MDR-TB) </w:t>
      </w:r>
    </w:p>
    <w:p w14:paraId="3D5E1BF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accounted for 10.17% and 6.14% of the isolates, respectively. The drug </w:t>
      </w:r>
    </w:p>
    <w:p w14:paraId="0D295C5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resistance burden was disproportionately concentrated among individuals with </w:t>
      </w:r>
    </w:p>
    <w:p w14:paraId="2D371A5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clinical comorbidities and those within the 60-69 age cohort. Ninety-three </w:t>
      </w:r>
    </w:p>
    <w:p w14:paraId="05AACB9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resistance combinations were identified, with isoniazid, rifampicin, and </w:t>
      </w:r>
    </w:p>
    <w:p w14:paraId="717FA45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streptomycin showing the highest resistance rates among the 12 tested drugs. </w:t>
      </w:r>
    </w:p>
    <w:p w14:paraId="429FB41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Longitudinally (2020-2024), rates of overall isoniazid resistance and the </w:t>
      </w:r>
    </w:p>
    <w:p w14:paraId="4F7C9AE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specific Hr-TB phenotype (isoniazid-resistant, rifampicin-susceptible) </w:t>
      </w:r>
    </w:p>
    <w:p w14:paraId="0E0AE2B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decreased. Conversely, resistance to rifabutin, moxifloxacin, levofloxacin, and </w:t>
      </w:r>
    </w:p>
    <w:p w14:paraId="3CC36F5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para-aminosalicylic acid increased (all P &lt; 0.05). Cross-resistance was observed </w:t>
      </w:r>
    </w:p>
    <w:p w14:paraId="5B56E2A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among rifamycins, fluoroquinolones, and second-line injectable drugs. </w:t>
      </w:r>
    </w:p>
    <w:p w14:paraId="33B74A8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Retreatment and concurrent chronic pulmonary disease were confirmed as </w:t>
      </w:r>
    </w:p>
    <w:p w14:paraId="476AD1B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independent risk factors for resistance, while advancing age correlated </w:t>
      </w:r>
    </w:p>
    <w:p w14:paraId="57E618D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paradoxically with a reduced risk.</w:t>
      </w:r>
    </w:p>
    <w:p w14:paraId="58A4D9A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CONCLUSION: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Drug resistance among geriatric TB patients in Anhui remains </w:t>
      </w:r>
    </w:p>
    <w:p w14:paraId="0FA2294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critical, driven independently by retreatment and chronic pulmonary disease. </w:t>
      </w:r>
    </w:p>
    <w:p w14:paraId="0694C05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Despite declining INH resistance, the rising resistance to fluoroquinolones and </w:t>
      </w:r>
    </w:p>
    <w:p w14:paraId="590CFA6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secondary agents demands vigilance. Policymakers should prioritize targeted </w:t>
      </w:r>
    </w:p>
    <w:p w14:paraId="5187670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screening for high-risk cohorts and integrated comorbidity management to </w:t>
      </w:r>
    </w:p>
    <w:p w14:paraId="4E7D4BD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optimize therapeutic outcomes and curb regional transmission.</w:t>
      </w:r>
    </w:p>
    <w:p w14:paraId="469CD51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B0FEB3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© 2026 Yu et al.</w:t>
      </w:r>
    </w:p>
    <w:p w14:paraId="6E934E1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E4456E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10.2147/IDR.S628064</w:t>
      </w:r>
    </w:p>
    <w:p w14:paraId="0C78E38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PMC13502223</w:t>
      </w:r>
    </w:p>
    <w:p w14:paraId="3EC0781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42639511</w:t>
      </w:r>
    </w:p>
    <w:p w14:paraId="3C195A9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9B93234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31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. Front Med (Lausanne). 2026 Aug 10;13:1807135. doi: 10.3389/fmed.2026.1807135. </w:t>
      </w:r>
    </w:p>
    <w:p w14:paraId="397C3090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eCollection 2026.</w:t>
      </w:r>
    </w:p>
    <w:p w14:paraId="033B0C6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902E7D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Case Report: Nephrotic syndrome with minimal change disease during </w:t>
      </w:r>
    </w:p>
    <w:p w14:paraId="6AB887F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anti-tuberculosis treatment and tiopronin use.</w:t>
      </w:r>
    </w:p>
    <w:p w14:paraId="3C765EA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5C5D5F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Liao H(1)(2), Yan F(2)(3), Liu X(4).</w:t>
      </w:r>
    </w:p>
    <w:p w14:paraId="5D7F5B5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D2CB5F9">
      <w:pP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Heng Liao,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Fei Yan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,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Xingxia Liu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</w:p>
    <w:p w14:paraId="1855EFFB">
      <w:pP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*CORRESPONDENCE Fei Yan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 xml:space="preserve">yan173542558@163.com 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；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Xingxia Liu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cupflysea@163.com</w:t>
      </w:r>
    </w:p>
    <w:p w14:paraId="4D54673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422AEF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7A4DCED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(1)Department of Pharmacy, The Fourth People's Hospital of Chengdu, Chengdu, </w:t>
      </w:r>
    </w:p>
    <w:p w14:paraId="252A8FC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</w:t>
      </w:r>
    </w:p>
    <w:p w14:paraId="5DEDA23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(2)Department of Clinical Laboratory, The Clinical Hospital of Chengdu Brain </w:t>
      </w:r>
    </w:p>
    <w:p w14:paraId="6BAA6A0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Science Institute, MOE Key Lab for Neuroinformation, University of Electronic </w:t>
      </w:r>
    </w:p>
    <w:p w14:paraId="434BC34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Science and Technology of China, Chengdu, China.</w:t>
      </w:r>
    </w:p>
    <w:p w14:paraId="327C06B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(3)Department of Clinical Laboratory, The Fourth People's Hospital of Chengdu, </w:t>
      </w:r>
    </w:p>
    <w:p w14:paraId="4EA1316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Chengdu, China.</w:t>
      </w:r>
    </w:p>
    <w:p w14:paraId="6ABAB4E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(4)Department of Pharmacy, Sichuan Provincial People's Hospital, Chengdu, China.</w:t>
      </w:r>
    </w:p>
    <w:p w14:paraId="4380D04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E5C99A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BACKGROUND: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Hepatoprotective agents are often added during prolonged </w:t>
      </w:r>
    </w:p>
    <w:p w14:paraId="13EC171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anti-tuberculosis (anti-TB) therapy, and medication-associated nephrotic </w:t>
      </w:r>
    </w:p>
    <w:p w14:paraId="5C44DFA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syndrome may be under-recognized.</w:t>
      </w:r>
    </w:p>
    <w:p w14:paraId="7F7BADF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CASE: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A 31-year-old man with pulmonary tuberculosis received long-term anti-TB </w:t>
      </w:r>
    </w:p>
    <w:p w14:paraId="56E946E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therapy (rifapentine, isoniazid, and ethambutol) and continuous tiopronin (0.2 g </w:t>
      </w:r>
    </w:p>
    <w:p w14:paraId="21E258E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three times daily). He developed edema, foamy urine, and oliguria. Pre-admission </w:t>
      </w:r>
    </w:p>
    <w:p w14:paraId="33C560F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tests showed proteinuria (3+), serum albumin 19.6 g/L, and serum creatinine </w:t>
      </w:r>
    </w:p>
    <w:p w14:paraId="625FC88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161 μmol/L. On admission, urine protein was 4+, serum albumin 20.6 g/L, serum </w:t>
      </w:r>
    </w:p>
    <w:p w14:paraId="4A45CD0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creatinine 142.9 μmol/L, and estimated glomerular filtration rate (eGFR) </w:t>
      </w:r>
    </w:p>
    <w:p w14:paraId="55DF783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58.86 mL/min, with hyperlipidemia. Kidney biopsy confirmed minimal change </w:t>
      </w:r>
    </w:p>
    <w:p w14:paraId="2648E8C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disease (MCD).</w:t>
      </w:r>
    </w:p>
    <w:p w14:paraId="12DDD12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INTERVENTIONS AND OUTCOME: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All anti-TB drugs and tiopronin were discontinued, </w:t>
      </w:r>
    </w:p>
    <w:p w14:paraId="54AEEB3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and tacrolimus was initiated after biopsy. Anti-TB therapy was reintroduced as </w:t>
      </w:r>
    </w:p>
    <w:p w14:paraId="31685B5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isoniazid monotherapy. Renal function improved rapidly (serum creatinine </w:t>
      </w:r>
    </w:p>
    <w:p w14:paraId="49BD7D0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55 μmol/L; eGFR 128.1 mL/min at discharge), and dipstick proteinuria became </w:t>
      </w:r>
    </w:p>
    <w:p w14:paraId="30AA201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negative on short-term follow-up. The tacrolimus trough concentration was </w:t>
      </w:r>
    </w:p>
    <w:p w14:paraId="1F3C1D5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3.6 ng/mL.</w:t>
      </w:r>
    </w:p>
    <w:p w14:paraId="47F24CC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CONCLUSION: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The improvement after withdrawal of multiple suspected agents and </w:t>
      </w:r>
    </w:p>
    <w:p w14:paraId="70CECA1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continued recovery after reintroduction of isoniazid alone support a </w:t>
      </w:r>
    </w:p>
    <w:p w14:paraId="4E30AD6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drug-associated etiology, but do not allow definitive attribution to a single </w:t>
      </w:r>
    </w:p>
    <w:p w14:paraId="26D6433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causative drug. Routine renal monitoring should accompany hepatoprotective </w:t>
      </w:r>
    </w:p>
    <w:p w14:paraId="4EF819E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add-on therapy during anti-TB treatment.</w:t>
      </w:r>
    </w:p>
    <w:p w14:paraId="534ED87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1E0BD1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Copyright © 2026 Liao, Yan and Liu.</w:t>
      </w:r>
    </w:p>
    <w:p w14:paraId="577F99D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6574E3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10.3389/fmed.2026.1807135</w:t>
      </w:r>
    </w:p>
    <w:p w14:paraId="2F96044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PMC13500293</w:t>
      </w:r>
    </w:p>
    <w:p w14:paraId="795FB8C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42638881</w:t>
      </w:r>
    </w:p>
    <w:p w14:paraId="727B816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4EEEC0FD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32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 xml:space="preserve">. Front Med (Lausanne). 2026 Aug 10;13:1926128. doi: 10.3389/fmed.2026.1926128. </w:t>
      </w:r>
    </w:p>
    <w:p w14:paraId="0A19115A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</w:rPr>
        <w:t>eCollection 2026.</w:t>
      </w:r>
    </w:p>
    <w:p w14:paraId="3A74601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2DB819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Association between history of pulmonary tuberculosis and chronic obstructive </w:t>
      </w:r>
    </w:p>
    <w:p w14:paraId="3DC858E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pulmonary disease: a systematic review and meta-analysis.</w:t>
      </w:r>
    </w:p>
    <w:p w14:paraId="3E92A0D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BE230E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Aken R(1), Li Y(1), Huang X(1), Abudusalamu N(1), Chen Y(2), Chen Z(3), Li Y(1).</w:t>
      </w:r>
    </w:p>
    <w:p w14:paraId="71A4E9B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C229EF3">
      <w:pPr>
        <w:rPr>
          <w:rFonts w:hint="default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Reyhangul Aken, Yanchun Li, Xia Huang, Nadire Abudusalamu, Yan Chen, Zhiping Chen, Yuanyuan Li*</w:t>
      </w:r>
    </w:p>
    <w:p w14:paraId="3FE3F43E">
      <w:pPr>
        <w:widowControl w:val="0"/>
        <w:jc w:val="both"/>
        <w:rPr>
          <w:rFonts w:hint="eastAsia" w:ascii="Segoe UI" w:hAnsi="Segoe UI" w:eastAsia="Segoe UI" w:cs="Segoe UI"/>
          <w:b/>
          <w:bCs/>
          <w:i w:val="0"/>
          <w:iCs w:val="0"/>
          <w:caps w:val="0"/>
          <w:color w:val="4472C4" w:themeColor="accent5"/>
          <w:spacing w:val="0"/>
          <w:kern w:val="2"/>
          <w:sz w:val="21"/>
          <w:szCs w:val="21"/>
          <w:lang w:val="en-US" w:eastAsia="zh-CN" w:bidi="ar-SA"/>
          <w14:textFill>
            <w14:solidFill>
              <w14:schemeClr w14:val="accent5"/>
            </w14:solidFill>
          </w14:textFill>
        </w:rPr>
      </w:pPr>
      <w:r>
        <w:rPr>
          <w:rFonts w:ascii="宋体" w:hAnsi="宋体" w:eastAsia="宋体" w:cs="宋体"/>
          <w:b/>
          <w:bCs/>
          <w:color w:val="4472C4" w:themeColor="accent5"/>
          <w:sz w:val="21"/>
          <w:szCs w:val="21"/>
          <w14:textFill>
            <w14:solidFill>
              <w14:schemeClr w14:val="accent5"/>
            </w14:solidFill>
          </w14:textFill>
        </w:rPr>
        <w:t>*CORRESPONDENCE Yuanyuan Li</w:t>
      </w:r>
      <w:r>
        <w:rPr>
          <w:rFonts w:hint="eastAsia" w:ascii="宋体" w:hAnsi="宋体" w:eastAsia="宋体" w:cs="宋体"/>
          <w:b/>
          <w:bCs/>
          <w:color w:val="4472C4" w:themeColor="accent5"/>
          <w:sz w:val="21"/>
          <w:szCs w:val="21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ascii="宋体" w:hAnsi="宋体" w:eastAsia="宋体" w:cs="宋体"/>
          <w:b/>
          <w:bCs/>
          <w:color w:val="4472C4" w:themeColor="accent5"/>
          <w:sz w:val="21"/>
          <w:szCs w:val="21"/>
          <w14:textFill>
            <w14:solidFill>
              <w14:schemeClr w14:val="accent5"/>
            </w14:solidFill>
          </w14:textFill>
        </w:rPr>
        <w:t>lyy250726@sina.com</w:t>
      </w:r>
    </w:p>
    <w:p w14:paraId="4E44141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083FE8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</w:p>
    <w:p w14:paraId="4188214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(1)Department of Tuberculosis, The Sixth People's Hospital of Xinjiang Uygur </w:t>
      </w:r>
    </w:p>
    <w:p w14:paraId="3FDD149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Autonomous Region, Ürümqi, China.</w:t>
      </w:r>
    </w:p>
    <w:p w14:paraId="62689F4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(2)Department of Respiratory and Critical Care Medicine, The Sixth People's </w:t>
      </w:r>
    </w:p>
    <w:p w14:paraId="5DAD0B0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Hospital of Xinjiang Uygur Autonomous Region, Ürümqi, China.</w:t>
      </w:r>
    </w:p>
    <w:p w14:paraId="0C1E3844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(3)The Eighth Clinical Medical College, Xinjiang Medical University, Ürümqi, </w:t>
      </w:r>
    </w:p>
    <w:p w14:paraId="02D6C6F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China.</w:t>
      </w:r>
    </w:p>
    <w:p w14:paraId="5B7BF14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BDF2DB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BACKGROUND: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Survivors of pulmonary tuberculosis (TB) frequently report chronic </w:t>
      </w:r>
    </w:p>
    <w:p w14:paraId="5F0DA79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respiratory symptoms; however, the magnitude of the association with chronic </w:t>
      </w:r>
    </w:p>
    <w:p w14:paraId="026C363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obstructive pulmonary disease (COPD) and the reciprocal burden of COPD and TB in </w:t>
      </w:r>
    </w:p>
    <w:p w14:paraId="57477FB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each population remain unclear. Hence, this review was conducted to determine </w:t>
      </w:r>
    </w:p>
    <w:p w14:paraId="16A3D32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association between a history of pulmonary tuberculosis and chronic </w:t>
      </w:r>
    </w:p>
    <w:p w14:paraId="4DDB6A8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obstructive pulmonary disease.</w:t>
      </w:r>
    </w:p>
    <w:p w14:paraId="4306896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METHODS: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Following PRISMA 2020, we searched MEDLINE, Embase, Web of Science, and </w:t>
      </w:r>
    </w:p>
    <w:p w14:paraId="340A0AF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Scopus from inception to August 2025 for analytical observational studies </w:t>
      </w:r>
    </w:p>
    <w:p w14:paraId="2F85458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comparing individuals with and without a history of pulmonary TB. Odds ratios </w:t>
      </w:r>
    </w:p>
    <w:p w14:paraId="3F40CF7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(ORs) were pooled using random-effects inverse-variance models </w:t>
      </w:r>
    </w:p>
    <w:p w14:paraId="2164B51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(DerSimonian-Laird). Heterogeneity (I 2 and τ 2) and small-study effects (using </w:t>
      </w:r>
    </w:p>
    <w:p w14:paraId="3203519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Egger's test) were assessed. Prevalence meta-analyses were conducted to estimate </w:t>
      </w:r>
    </w:p>
    <w:p w14:paraId="0A73ABC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following: (i) COPD among pulmonary TB survivors and (ii) the prevalence of </w:t>
      </w:r>
    </w:p>
    <w:p w14:paraId="4D23B35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prior pulmonary TB among people with COPD.</w:t>
      </w:r>
    </w:p>
    <w:p w14:paraId="60EC496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RESULTS: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Forty studies met the inclusion criteria. Twenty-six studies </w:t>
      </w:r>
    </w:p>
    <w:p w14:paraId="6A7AEA7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(n = 1,044,562) contributed to the association analysis: prior pulmonary TB was </w:t>
      </w:r>
    </w:p>
    <w:p w14:paraId="2D74729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associated with higher odds of COPD (pooled OR = 2.65, 95% CI: 2.14-3.28), with </w:t>
      </w:r>
    </w:p>
    <w:p w14:paraId="1EF31AB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substantial heterogeneity (I 2 = 94.9%). When stratified by study design, pooled </w:t>
      </w:r>
    </w:p>
    <w:p w14:paraId="4498CD1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ORs were 4.92 for case-control studies, 2.64 for cross-sectional studies, and </w:t>
      </w:r>
    </w:p>
    <w:p w14:paraId="6EB2C7F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2.46 for cohort studies. Across regions, positive associations were found in </w:t>
      </w:r>
    </w:p>
    <w:p w14:paraId="32AE457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Asia (2.21), Africa (9.36), the Americas (3.60), and Europe (2.77). Egger's test </w:t>
      </w:r>
    </w:p>
    <w:p w14:paraId="2B72C88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indicated small-study effects (p = 0.013), but sensitivity analyses showed that </w:t>
      </w:r>
    </w:p>
    <w:p w14:paraId="23785C7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pooled estimates were reliable. The pooled prevalence of COPD among </w:t>
      </w:r>
    </w:p>
    <w:p w14:paraId="053CF2B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survivors of pulmonary TB was 34% (95%CI: 28-40%). Among COPD patients, 17% (95% </w:t>
      </w:r>
    </w:p>
    <w:p w14:paraId="0BDEC54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CI: 10-24%) reported a history of pulmonary TB.</w:t>
      </w:r>
    </w:p>
    <w:p w14:paraId="1DC8E40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CONCLUSION: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 history of pulmonary TB was found to be a strong and consistent </w:t>
      </w:r>
    </w:p>
    <w:p w14:paraId="355EF54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risk factor for COPD across different designs and regions, with a significant </w:t>
      </w:r>
    </w:p>
    <w:p w14:paraId="2B851D4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bidirectional burden. Integrating post-TB lung assessment (including </w:t>
      </w:r>
    </w:p>
    <w:p w14:paraId="1F4EF55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spirometry), targeted COPD management, and risk-reduction strategies into TB </w:t>
      </w:r>
    </w:p>
    <w:p w14:paraId="3C18DE2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programs is required.</w:t>
      </w:r>
    </w:p>
    <w:p w14:paraId="5CC3D0E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SYSTEMATIC REVIEW REGISTRATION: </w:t>
      </w:r>
    </w:p>
    <w:p w14:paraId="7362C81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https://www.crd.york.ac.uk/PROSPERO/view/CRD420261415397, PROSPERO registration </w:t>
      </w:r>
    </w:p>
    <w:p w14:paraId="0323F5E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number is CRD420261415397.</w:t>
      </w:r>
    </w:p>
    <w:p w14:paraId="180C86B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8354F7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Copyright © 2026 Aken, Li, Huang, Abudusalamu, Chen, Chen and Li.</w:t>
      </w:r>
    </w:p>
    <w:p w14:paraId="434F8BC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1CA95DE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10.3389/fmed.2026.1926128</w:t>
      </w:r>
    </w:p>
    <w:p w14:paraId="1E965F58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PMC13500624</w:t>
      </w:r>
    </w:p>
    <w:p w14:paraId="6E8E91C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42638736</w:t>
      </w:r>
    </w:p>
    <w:p w14:paraId="6B5A7D0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3FDCABF">
      <w:pPr>
        <w:rPr>
          <w:rFonts w:hint="eastAsia" w:ascii="宋体" w:hAnsi="宋体" w:eastAsia="宋体" w:cs="宋体"/>
          <w:b/>
          <w:bCs/>
          <w:color w:val="FF0000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Cs w:val="24"/>
          <w:lang w:val="en-US" w:eastAsia="zh-CN"/>
        </w:rPr>
        <w:t>33</w:t>
      </w:r>
      <w:r>
        <w:rPr>
          <w:rFonts w:hint="eastAsia" w:ascii="宋体" w:hAnsi="宋体" w:eastAsia="宋体" w:cs="宋体"/>
          <w:b/>
          <w:bCs/>
          <w:color w:val="FF0000"/>
          <w:szCs w:val="24"/>
        </w:rPr>
        <w:t>. J Med Case Rep. 2026 Jul 31;20(1):493. doi: 10.1186/s13256-026-06444-7.</w:t>
      </w:r>
    </w:p>
    <w:p w14:paraId="030670B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6B70B70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Delayed diagnosis of spinal tuberculosis mimicking spondyloarthritis: a case </w:t>
      </w:r>
    </w:p>
    <w:p w14:paraId="536D9EC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report.</w:t>
      </w:r>
    </w:p>
    <w:p w14:paraId="3C088DE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7C5F891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Chen Y(1), Wang H(2).</w:t>
      </w:r>
    </w:p>
    <w:p w14:paraId="397DCE0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37E07E5">
      <w:pPr>
        <w:jc w:val="left"/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Yufan Chen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val="en-US" w:eastAsia="zh-CN"/>
          <w14:textFill>
            <w14:solidFill>
              <w14:schemeClr w14:val="accent5"/>
            </w14:solidFill>
          </w14:textFill>
        </w:rPr>
        <w:t>*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Huafeng Wang*</w:t>
      </w:r>
    </w:p>
    <w:p w14:paraId="77723DA5">
      <w:pPr>
        <w:jc w:val="left"/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*Correspondence: Yufan Chen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yufanchen2022@163.com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；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>Huafeng Wang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:lang w:eastAsia="zh-CN"/>
          <w14:textFill>
            <w14:solidFill>
              <w14:schemeClr w14:val="accent5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4472C4" w:themeColor="accent5"/>
          <w:szCs w:val="24"/>
          <w14:textFill>
            <w14:solidFill>
              <w14:schemeClr w14:val="accent5"/>
            </w14:solidFill>
          </w14:textFill>
        </w:rPr>
        <w:t xml:space="preserve"> drwang19811@163.com</w:t>
      </w:r>
    </w:p>
    <w:p w14:paraId="1188948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5961111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Author information:</w:t>
      </w:r>
      <w:bookmarkStart w:id="0" w:name="_GoBack"/>
      <w:bookmarkEnd w:id="0"/>
    </w:p>
    <w:p w14:paraId="18E3DCA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(1)Department of Orthopedics, Fuzhou Second General Hospital, Fujian Provincial </w:t>
      </w:r>
    </w:p>
    <w:p w14:paraId="3FA450D1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Clinical Medical Research Center for Trauma Orthopedics Emergency and </w:t>
      </w:r>
    </w:p>
    <w:p w14:paraId="438F67C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Rehabilitation, Fuzhou, 350007, China. yufanchen2022@163.com.</w:t>
      </w:r>
    </w:p>
    <w:p w14:paraId="4FA3D13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(2)Department of Orthopedics, Fuzhou Second General Hospital, Fujian Provincial </w:t>
      </w:r>
    </w:p>
    <w:p w14:paraId="2B01681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Clinical Medical Research Center for Trauma Orthopedics Emergency and </w:t>
      </w:r>
    </w:p>
    <w:p w14:paraId="342B06E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Rehabilitation, Fuzhou, 350007, China. drwang19811@163.com.</w:t>
      </w:r>
    </w:p>
    <w:p w14:paraId="6428D5B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3713ADF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BACKGROUND: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Spinal tuberculosis (TB) remains a significant health burden in </w:t>
      </w:r>
    </w:p>
    <w:p w14:paraId="02ED155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endemic regions. Its diagnosis is frequently delayed due to non-specific early </w:t>
      </w:r>
    </w:p>
    <w:p w14:paraId="054221BB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symptoms and radiological findings that can mimic other inflammatory spinal </w:t>
      </w:r>
    </w:p>
    <w:p w14:paraId="7360CB1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pathologies, leading to severe complications such as kyphosis and neurological </w:t>
      </w:r>
    </w:p>
    <w:p w14:paraId="0E4CE80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deficit.</w:t>
      </w:r>
    </w:p>
    <w:p w14:paraId="1CBFCF93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CASE PRESENTATION: 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 71-year-old woman from Southeast China presented with a </w:t>
      </w:r>
    </w:p>
    <w:p w14:paraId="31DA6699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1-year history of progressive low back pain, initially misdiagnosed as axial </w:t>
      </w:r>
    </w:p>
    <w:p w14:paraId="13AD9B6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spondyloarthritis. She experienced temporary relief with symptomatic treatment, </w:t>
      </w:r>
    </w:p>
    <w:p w14:paraId="20FDA61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including secukinumab. One year later, her symptoms recurred severely. Advanced </w:t>
      </w:r>
    </w:p>
    <w:p w14:paraId="09914B1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imaging (computed tomography/magnetic resonance images) revealed destruction of </w:t>
      </w:r>
    </w:p>
    <w:p w14:paraId="7206D70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the L1 and L2 vertebral bodies with a paravertebral abscess. Microbiological </w:t>
      </w:r>
    </w:p>
    <w:p w14:paraId="0CD3F2D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confirmation was obtained via a positive T-SPOT.TB test and metagenomic </w:t>
      </w:r>
    </w:p>
    <w:p w14:paraId="7B323F6A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next-generation sequencing detecting Mycobacterium tuberculosis complex. The </w:t>
      </w:r>
    </w:p>
    <w:p w14:paraId="23A1337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patient successfully underwent posterior debridement, spinal canal </w:t>
      </w:r>
    </w:p>
    <w:p w14:paraId="3C5926C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decompression, fusion, and instrumentation, followed by a standard </w:t>
      </w:r>
    </w:p>
    <w:p w14:paraId="431A94F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anti-tuberculosis regimen. Her symptoms significantly improved, and she resumed </w:t>
      </w:r>
    </w:p>
    <w:p w14:paraId="309B9C8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return to work within 2 months.</w:t>
      </w:r>
    </w:p>
    <w:p w14:paraId="570B077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Cs w:val="24"/>
          <w14:textFill>
            <w14:solidFill>
              <w14:schemeClr w14:val="tx1"/>
            </w14:solidFill>
          </w14:textFill>
        </w:rPr>
        <w:t>CONCLUSION:</w:t>
      </w: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 This case highlights the potential for spinal TB to masquerade as </w:t>
      </w:r>
    </w:p>
    <w:p w14:paraId="34A81D5D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seronegative spondyloarthritis, leading to dangerous diagnostic delays. </w:t>
      </w:r>
    </w:p>
    <w:p w14:paraId="4CA597C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Clinicians should maintain a high suspicion for TB in endemic areas and employ </w:t>
      </w:r>
    </w:p>
    <w:p w14:paraId="14DEE3F2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specific diagnostic tests early. Timely surgical intervention for instability or </w:t>
      </w:r>
    </w:p>
    <w:p w14:paraId="5A50A30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 xml:space="preserve">neurological compromise, combined with appropriate chemotherapy, is crucial for </w:t>
      </w:r>
    </w:p>
    <w:p w14:paraId="33AE0CBF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optimal outcomes.</w:t>
      </w:r>
    </w:p>
    <w:p w14:paraId="40FF2567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211421F5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© 2026. The Author(s).</w:t>
      </w:r>
    </w:p>
    <w:p w14:paraId="05D62A2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p w14:paraId="044BE9CE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DOI: 10.1186/s13256-026-06444-7</w:t>
      </w:r>
    </w:p>
    <w:p w14:paraId="4BB2F11C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PMCID: PMC13505052</w:t>
      </w:r>
    </w:p>
    <w:p w14:paraId="796555C6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  <w:t>PMID: 42638134 [Indexed for MEDLINE]</w:t>
      </w:r>
    </w:p>
    <w:p w14:paraId="60818EF0">
      <w:pPr>
        <w:rPr>
          <w:rFonts w:hint="eastAsia" w:ascii="宋体" w:hAnsi="宋体" w:eastAsia="宋体" w:cs="宋体"/>
          <w:color w:val="000000" w:themeColor="text1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753" w:bottom="1440" w:left="175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99"/>
    <w:rsid w:val="00000DB9"/>
    <w:rsid w:val="000014AB"/>
    <w:rsid w:val="00001D3A"/>
    <w:rsid w:val="00002158"/>
    <w:rsid w:val="0000344F"/>
    <w:rsid w:val="00003B7D"/>
    <w:rsid w:val="00004B8B"/>
    <w:rsid w:val="00004DDC"/>
    <w:rsid w:val="00004E0D"/>
    <w:rsid w:val="000053D4"/>
    <w:rsid w:val="00005626"/>
    <w:rsid w:val="00005C57"/>
    <w:rsid w:val="00005DF6"/>
    <w:rsid w:val="00006365"/>
    <w:rsid w:val="00006B5E"/>
    <w:rsid w:val="00006BCA"/>
    <w:rsid w:val="00006DF9"/>
    <w:rsid w:val="00007617"/>
    <w:rsid w:val="00007812"/>
    <w:rsid w:val="00007A28"/>
    <w:rsid w:val="00011C35"/>
    <w:rsid w:val="00012109"/>
    <w:rsid w:val="00012461"/>
    <w:rsid w:val="0001360E"/>
    <w:rsid w:val="0001363A"/>
    <w:rsid w:val="00013BEE"/>
    <w:rsid w:val="00014403"/>
    <w:rsid w:val="00015A87"/>
    <w:rsid w:val="00016B45"/>
    <w:rsid w:val="00016B5F"/>
    <w:rsid w:val="0001711E"/>
    <w:rsid w:val="0001736B"/>
    <w:rsid w:val="0001780F"/>
    <w:rsid w:val="00017F5F"/>
    <w:rsid w:val="0002050B"/>
    <w:rsid w:val="000212B5"/>
    <w:rsid w:val="00021B2B"/>
    <w:rsid w:val="00022216"/>
    <w:rsid w:val="00022C1A"/>
    <w:rsid w:val="00024C92"/>
    <w:rsid w:val="0002517A"/>
    <w:rsid w:val="0002533D"/>
    <w:rsid w:val="0002556C"/>
    <w:rsid w:val="00025EF3"/>
    <w:rsid w:val="00026721"/>
    <w:rsid w:val="00026903"/>
    <w:rsid w:val="00026B44"/>
    <w:rsid w:val="00030C8F"/>
    <w:rsid w:val="00031017"/>
    <w:rsid w:val="00032443"/>
    <w:rsid w:val="0003251D"/>
    <w:rsid w:val="000336F2"/>
    <w:rsid w:val="000341A3"/>
    <w:rsid w:val="000349DB"/>
    <w:rsid w:val="00034C47"/>
    <w:rsid w:val="00035160"/>
    <w:rsid w:val="000369F1"/>
    <w:rsid w:val="000377E0"/>
    <w:rsid w:val="00040D2C"/>
    <w:rsid w:val="000411E9"/>
    <w:rsid w:val="000419D1"/>
    <w:rsid w:val="00041F05"/>
    <w:rsid w:val="00042044"/>
    <w:rsid w:val="00042257"/>
    <w:rsid w:val="00042426"/>
    <w:rsid w:val="00042646"/>
    <w:rsid w:val="000426FD"/>
    <w:rsid w:val="00042BCC"/>
    <w:rsid w:val="00042F87"/>
    <w:rsid w:val="000430FF"/>
    <w:rsid w:val="000439C5"/>
    <w:rsid w:val="00043AA7"/>
    <w:rsid w:val="00043EC1"/>
    <w:rsid w:val="00043F59"/>
    <w:rsid w:val="0004433C"/>
    <w:rsid w:val="0004482E"/>
    <w:rsid w:val="00044BF9"/>
    <w:rsid w:val="00044C1D"/>
    <w:rsid w:val="000467F6"/>
    <w:rsid w:val="00046D3D"/>
    <w:rsid w:val="0004738B"/>
    <w:rsid w:val="0004796A"/>
    <w:rsid w:val="00047D8A"/>
    <w:rsid w:val="00050F4A"/>
    <w:rsid w:val="000512A8"/>
    <w:rsid w:val="000518ED"/>
    <w:rsid w:val="0005269D"/>
    <w:rsid w:val="00052F5C"/>
    <w:rsid w:val="00053092"/>
    <w:rsid w:val="00054174"/>
    <w:rsid w:val="000542D4"/>
    <w:rsid w:val="0005483D"/>
    <w:rsid w:val="00055647"/>
    <w:rsid w:val="000557AE"/>
    <w:rsid w:val="00055A35"/>
    <w:rsid w:val="00055DAE"/>
    <w:rsid w:val="00055E67"/>
    <w:rsid w:val="0005622B"/>
    <w:rsid w:val="00056868"/>
    <w:rsid w:val="00056925"/>
    <w:rsid w:val="00056A0E"/>
    <w:rsid w:val="00056B72"/>
    <w:rsid w:val="0005708E"/>
    <w:rsid w:val="000570CD"/>
    <w:rsid w:val="00057CFD"/>
    <w:rsid w:val="000608E2"/>
    <w:rsid w:val="00061893"/>
    <w:rsid w:val="00061C4A"/>
    <w:rsid w:val="00062457"/>
    <w:rsid w:val="00063178"/>
    <w:rsid w:val="0006337A"/>
    <w:rsid w:val="000637F3"/>
    <w:rsid w:val="00063930"/>
    <w:rsid w:val="00063E49"/>
    <w:rsid w:val="000650D3"/>
    <w:rsid w:val="00065A57"/>
    <w:rsid w:val="00065B56"/>
    <w:rsid w:val="000660CB"/>
    <w:rsid w:val="00066C6B"/>
    <w:rsid w:val="0006702C"/>
    <w:rsid w:val="000672B8"/>
    <w:rsid w:val="00070260"/>
    <w:rsid w:val="0007069D"/>
    <w:rsid w:val="00070FE6"/>
    <w:rsid w:val="000716E0"/>
    <w:rsid w:val="00071D85"/>
    <w:rsid w:val="00071F83"/>
    <w:rsid w:val="00073164"/>
    <w:rsid w:val="0007482C"/>
    <w:rsid w:val="00074A4F"/>
    <w:rsid w:val="00075067"/>
    <w:rsid w:val="000750A2"/>
    <w:rsid w:val="000751FE"/>
    <w:rsid w:val="00075D82"/>
    <w:rsid w:val="00075F42"/>
    <w:rsid w:val="0007684E"/>
    <w:rsid w:val="00076855"/>
    <w:rsid w:val="00076884"/>
    <w:rsid w:val="00076A1E"/>
    <w:rsid w:val="00076E62"/>
    <w:rsid w:val="00076F4D"/>
    <w:rsid w:val="0007729A"/>
    <w:rsid w:val="0007790C"/>
    <w:rsid w:val="0008093D"/>
    <w:rsid w:val="00080EB3"/>
    <w:rsid w:val="00081087"/>
    <w:rsid w:val="000811D4"/>
    <w:rsid w:val="000815C7"/>
    <w:rsid w:val="00082408"/>
    <w:rsid w:val="00082565"/>
    <w:rsid w:val="00082B2E"/>
    <w:rsid w:val="00082B6A"/>
    <w:rsid w:val="00082EB9"/>
    <w:rsid w:val="00083766"/>
    <w:rsid w:val="00083B28"/>
    <w:rsid w:val="00083C1E"/>
    <w:rsid w:val="00083CDE"/>
    <w:rsid w:val="00083F4F"/>
    <w:rsid w:val="00084611"/>
    <w:rsid w:val="00085CBB"/>
    <w:rsid w:val="00086220"/>
    <w:rsid w:val="000866EC"/>
    <w:rsid w:val="000871EA"/>
    <w:rsid w:val="000878F0"/>
    <w:rsid w:val="000879A2"/>
    <w:rsid w:val="000900A1"/>
    <w:rsid w:val="000904A7"/>
    <w:rsid w:val="00090B79"/>
    <w:rsid w:val="00092343"/>
    <w:rsid w:val="00092419"/>
    <w:rsid w:val="0009252C"/>
    <w:rsid w:val="00092C39"/>
    <w:rsid w:val="00092C59"/>
    <w:rsid w:val="00092F3A"/>
    <w:rsid w:val="00093655"/>
    <w:rsid w:val="00093A63"/>
    <w:rsid w:val="00094139"/>
    <w:rsid w:val="00094FD8"/>
    <w:rsid w:val="00094FDF"/>
    <w:rsid w:val="00095EEB"/>
    <w:rsid w:val="00096767"/>
    <w:rsid w:val="00096770"/>
    <w:rsid w:val="00096805"/>
    <w:rsid w:val="00097075"/>
    <w:rsid w:val="000979C8"/>
    <w:rsid w:val="00097C56"/>
    <w:rsid w:val="00097DBB"/>
    <w:rsid w:val="000A0936"/>
    <w:rsid w:val="000A0C4E"/>
    <w:rsid w:val="000A12C3"/>
    <w:rsid w:val="000A1FB5"/>
    <w:rsid w:val="000A2006"/>
    <w:rsid w:val="000A2735"/>
    <w:rsid w:val="000A2DEE"/>
    <w:rsid w:val="000A361C"/>
    <w:rsid w:val="000A3785"/>
    <w:rsid w:val="000A37B4"/>
    <w:rsid w:val="000A3C36"/>
    <w:rsid w:val="000A3DED"/>
    <w:rsid w:val="000A4B87"/>
    <w:rsid w:val="000A4CEA"/>
    <w:rsid w:val="000A50DC"/>
    <w:rsid w:val="000A5E88"/>
    <w:rsid w:val="000A6D28"/>
    <w:rsid w:val="000A6DBA"/>
    <w:rsid w:val="000A73A3"/>
    <w:rsid w:val="000A7D87"/>
    <w:rsid w:val="000B086A"/>
    <w:rsid w:val="000B1292"/>
    <w:rsid w:val="000B15A4"/>
    <w:rsid w:val="000B1B8A"/>
    <w:rsid w:val="000B1EF2"/>
    <w:rsid w:val="000B2066"/>
    <w:rsid w:val="000B207D"/>
    <w:rsid w:val="000B2A58"/>
    <w:rsid w:val="000B37C0"/>
    <w:rsid w:val="000B4814"/>
    <w:rsid w:val="000B53D7"/>
    <w:rsid w:val="000B644B"/>
    <w:rsid w:val="000B64CA"/>
    <w:rsid w:val="000B73F6"/>
    <w:rsid w:val="000B7415"/>
    <w:rsid w:val="000B74EB"/>
    <w:rsid w:val="000B7C3B"/>
    <w:rsid w:val="000C07C5"/>
    <w:rsid w:val="000C09F8"/>
    <w:rsid w:val="000C0A24"/>
    <w:rsid w:val="000C0F9A"/>
    <w:rsid w:val="000C1141"/>
    <w:rsid w:val="000C11D8"/>
    <w:rsid w:val="000C1C1D"/>
    <w:rsid w:val="000C2025"/>
    <w:rsid w:val="000C2538"/>
    <w:rsid w:val="000C31CF"/>
    <w:rsid w:val="000C3599"/>
    <w:rsid w:val="000C3C2C"/>
    <w:rsid w:val="000C4172"/>
    <w:rsid w:val="000C4425"/>
    <w:rsid w:val="000C48BE"/>
    <w:rsid w:val="000C4AA0"/>
    <w:rsid w:val="000C54B5"/>
    <w:rsid w:val="000C5BD0"/>
    <w:rsid w:val="000C5D65"/>
    <w:rsid w:val="000C64E2"/>
    <w:rsid w:val="000C6757"/>
    <w:rsid w:val="000C6BE6"/>
    <w:rsid w:val="000D04AB"/>
    <w:rsid w:val="000D072C"/>
    <w:rsid w:val="000D088A"/>
    <w:rsid w:val="000D0A87"/>
    <w:rsid w:val="000D111E"/>
    <w:rsid w:val="000D1748"/>
    <w:rsid w:val="000D2140"/>
    <w:rsid w:val="000D229A"/>
    <w:rsid w:val="000D2954"/>
    <w:rsid w:val="000D29AC"/>
    <w:rsid w:val="000D29FE"/>
    <w:rsid w:val="000D2A7B"/>
    <w:rsid w:val="000D2D26"/>
    <w:rsid w:val="000D2E2E"/>
    <w:rsid w:val="000D3106"/>
    <w:rsid w:val="000D3334"/>
    <w:rsid w:val="000D38BB"/>
    <w:rsid w:val="000D3E73"/>
    <w:rsid w:val="000D401D"/>
    <w:rsid w:val="000D48F9"/>
    <w:rsid w:val="000D4DA6"/>
    <w:rsid w:val="000D6767"/>
    <w:rsid w:val="000D6B28"/>
    <w:rsid w:val="000D7130"/>
    <w:rsid w:val="000D7225"/>
    <w:rsid w:val="000E0BA3"/>
    <w:rsid w:val="000E0FAD"/>
    <w:rsid w:val="000E160C"/>
    <w:rsid w:val="000E1ED0"/>
    <w:rsid w:val="000E2070"/>
    <w:rsid w:val="000E321F"/>
    <w:rsid w:val="000E350F"/>
    <w:rsid w:val="000E3685"/>
    <w:rsid w:val="000E3861"/>
    <w:rsid w:val="000E3922"/>
    <w:rsid w:val="000E3998"/>
    <w:rsid w:val="000E3CB5"/>
    <w:rsid w:val="000E3E6F"/>
    <w:rsid w:val="000E3FAA"/>
    <w:rsid w:val="000E3FC3"/>
    <w:rsid w:val="000E515E"/>
    <w:rsid w:val="000E5936"/>
    <w:rsid w:val="000E6910"/>
    <w:rsid w:val="000E6B0B"/>
    <w:rsid w:val="000E7095"/>
    <w:rsid w:val="000E7324"/>
    <w:rsid w:val="000E7332"/>
    <w:rsid w:val="000E782C"/>
    <w:rsid w:val="000F02D4"/>
    <w:rsid w:val="000F031F"/>
    <w:rsid w:val="000F0847"/>
    <w:rsid w:val="000F1325"/>
    <w:rsid w:val="000F1799"/>
    <w:rsid w:val="000F1C71"/>
    <w:rsid w:val="000F27EF"/>
    <w:rsid w:val="000F2CAB"/>
    <w:rsid w:val="000F31C8"/>
    <w:rsid w:val="000F352E"/>
    <w:rsid w:val="000F38A7"/>
    <w:rsid w:val="000F4278"/>
    <w:rsid w:val="000F5325"/>
    <w:rsid w:val="000F5B62"/>
    <w:rsid w:val="000F5E34"/>
    <w:rsid w:val="000F64D5"/>
    <w:rsid w:val="000F69E7"/>
    <w:rsid w:val="000F6C96"/>
    <w:rsid w:val="000F6F22"/>
    <w:rsid w:val="000F6FA9"/>
    <w:rsid w:val="000F763E"/>
    <w:rsid w:val="001011E5"/>
    <w:rsid w:val="001014FB"/>
    <w:rsid w:val="00101917"/>
    <w:rsid w:val="00101965"/>
    <w:rsid w:val="0010208F"/>
    <w:rsid w:val="0010233B"/>
    <w:rsid w:val="00102C3A"/>
    <w:rsid w:val="00102CB5"/>
    <w:rsid w:val="00102F6D"/>
    <w:rsid w:val="00104454"/>
    <w:rsid w:val="001054FA"/>
    <w:rsid w:val="001058AC"/>
    <w:rsid w:val="0010615D"/>
    <w:rsid w:val="0010782E"/>
    <w:rsid w:val="0010799E"/>
    <w:rsid w:val="00110110"/>
    <w:rsid w:val="00110765"/>
    <w:rsid w:val="00111272"/>
    <w:rsid w:val="00111661"/>
    <w:rsid w:val="00111A11"/>
    <w:rsid w:val="00112598"/>
    <w:rsid w:val="0011287F"/>
    <w:rsid w:val="00112A13"/>
    <w:rsid w:val="00112A56"/>
    <w:rsid w:val="00112F4B"/>
    <w:rsid w:val="0011324E"/>
    <w:rsid w:val="00113349"/>
    <w:rsid w:val="0011339A"/>
    <w:rsid w:val="001136AC"/>
    <w:rsid w:val="00113A4D"/>
    <w:rsid w:val="00113BD6"/>
    <w:rsid w:val="00114048"/>
    <w:rsid w:val="00114747"/>
    <w:rsid w:val="001148A1"/>
    <w:rsid w:val="00115471"/>
    <w:rsid w:val="00115539"/>
    <w:rsid w:val="00115817"/>
    <w:rsid w:val="00116CC5"/>
    <w:rsid w:val="001170F6"/>
    <w:rsid w:val="00117346"/>
    <w:rsid w:val="001174DF"/>
    <w:rsid w:val="00117773"/>
    <w:rsid w:val="001177F1"/>
    <w:rsid w:val="00117E84"/>
    <w:rsid w:val="00120949"/>
    <w:rsid w:val="001209C1"/>
    <w:rsid w:val="001209CA"/>
    <w:rsid w:val="00120A34"/>
    <w:rsid w:val="00120ED7"/>
    <w:rsid w:val="00122327"/>
    <w:rsid w:val="00122F4E"/>
    <w:rsid w:val="00123068"/>
    <w:rsid w:val="0012347D"/>
    <w:rsid w:val="00123DB0"/>
    <w:rsid w:val="00124801"/>
    <w:rsid w:val="0012481A"/>
    <w:rsid w:val="00125C53"/>
    <w:rsid w:val="001266D9"/>
    <w:rsid w:val="0012692E"/>
    <w:rsid w:val="0012702F"/>
    <w:rsid w:val="00127511"/>
    <w:rsid w:val="00127B6E"/>
    <w:rsid w:val="00127CF5"/>
    <w:rsid w:val="00130E3F"/>
    <w:rsid w:val="00131585"/>
    <w:rsid w:val="00132F43"/>
    <w:rsid w:val="001336F7"/>
    <w:rsid w:val="00133A73"/>
    <w:rsid w:val="00133ACC"/>
    <w:rsid w:val="001346A8"/>
    <w:rsid w:val="00134766"/>
    <w:rsid w:val="00134A12"/>
    <w:rsid w:val="00134A7B"/>
    <w:rsid w:val="00134DEE"/>
    <w:rsid w:val="00135067"/>
    <w:rsid w:val="001356E3"/>
    <w:rsid w:val="0013594B"/>
    <w:rsid w:val="001362DC"/>
    <w:rsid w:val="00136B8B"/>
    <w:rsid w:val="00136FAC"/>
    <w:rsid w:val="001370CD"/>
    <w:rsid w:val="001401A3"/>
    <w:rsid w:val="001405D6"/>
    <w:rsid w:val="00140740"/>
    <w:rsid w:val="0014119D"/>
    <w:rsid w:val="001412B3"/>
    <w:rsid w:val="001415DE"/>
    <w:rsid w:val="00141786"/>
    <w:rsid w:val="00141CE3"/>
    <w:rsid w:val="00142416"/>
    <w:rsid w:val="00142DBF"/>
    <w:rsid w:val="0014494D"/>
    <w:rsid w:val="00145B48"/>
    <w:rsid w:val="001502F0"/>
    <w:rsid w:val="00150583"/>
    <w:rsid w:val="00150794"/>
    <w:rsid w:val="0015126B"/>
    <w:rsid w:val="00151455"/>
    <w:rsid w:val="00151E7D"/>
    <w:rsid w:val="00152B66"/>
    <w:rsid w:val="0015367E"/>
    <w:rsid w:val="00153B0D"/>
    <w:rsid w:val="001559A6"/>
    <w:rsid w:val="00155C7B"/>
    <w:rsid w:val="00156286"/>
    <w:rsid w:val="001565EA"/>
    <w:rsid w:val="00156FBA"/>
    <w:rsid w:val="00157277"/>
    <w:rsid w:val="00157490"/>
    <w:rsid w:val="00157628"/>
    <w:rsid w:val="001609A6"/>
    <w:rsid w:val="00160D4F"/>
    <w:rsid w:val="00161378"/>
    <w:rsid w:val="001615D7"/>
    <w:rsid w:val="00161BF1"/>
    <w:rsid w:val="00161F92"/>
    <w:rsid w:val="00162F9A"/>
    <w:rsid w:val="00163152"/>
    <w:rsid w:val="00164CBA"/>
    <w:rsid w:val="00165A37"/>
    <w:rsid w:val="00165A5C"/>
    <w:rsid w:val="00166250"/>
    <w:rsid w:val="00166477"/>
    <w:rsid w:val="0016753E"/>
    <w:rsid w:val="0016764C"/>
    <w:rsid w:val="00167748"/>
    <w:rsid w:val="00167E31"/>
    <w:rsid w:val="00170319"/>
    <w:rsid w:val="0017116D"/>
    <w:rsid w:val="00171541"/>
    <w:rsid w:val="00172F22"/>
    <w:rsid w:val="00173B35"/>
    <w:rsid w:val="00174065"/>
    <w:rsid w:val="001743F5"/>
    <w:rsid w:val="00175ACE"/>
    <w:rsid w:val="00175B5A"/>
    <w:rsid w:val="00175C0E"/>
    <w:rsid w:val="00175D6E"/>
    <w:rsid w:val="0017715C"/>
    <w:rsid w:val="0017719B"/>
    <w:rsid w:val="00177548"/>
    <w:rsid w:val="00177C94"/>
    <w:rsid w:val="0018099B"/>
    <w:rsid w:val="0018108C"/>
    <w:rsid w:val="001812F4"/>
    <w:rsid w:val="001816CC"/>
    <w:rsid w:val="0018181D"/>
    <w:rsid w:val="001830BE"/>
    <w:rsid w:val="00183788"/>
    <w:rsid w:val="001837F3"/>
    <w:rsid w:val="00183F32"/>
    <w:rsid w:val="001849FC"/>
    <w:rsid w:val="0018564F"/>
    <w:rsid w:val="0018682D"/>
    <w:rsid w:val="00186BCA"/>
    <w:rsid w:val="00187878"/>
    <w:rsid w:val="001878CF"/>
    <w:rsid w:val="00187A92"/>
    <w:rsid w:val="00187DA7"/>
    <w:rsid w:val="00190484"/>
    <w:rsid w:val="001908EB"/>
    <w:rsid w:val="0019192C"/>
    <w:rsid w:val="00191A50"/>
    <w:rsid w:val="001929C1"/>
    <w:rsid w:val="00192D5E"/>
    <w:rsid w:val="001930F1"/>
    <w:rsid w:val="00193AD7"/>
    <w:rsid w:val="00193ADE"/>
    <w:rsid w:val="00194114"/>
    <w:rsid w:val="00194939"/>
    <w:rsid w:val="00194994"/>
    <w:rsid w:val="00195007"/>
    <w:rsid w:val="00195670"/>
    <w:rsid w:val="00196093"/>
    <w:rsid w:val="001960D3"/>
    <w:rsid w:val="0019652D"/>
    <w:rsid w:val="001967CA"/>
    <w:rsid w:val="00196C1E"/>
    <w:rsid w:val="0019757F"/>
    <w:rsid w:val="001A040E"/>
    <w:rsid w:val="001A06AF"/>
    <w:rsid w:val="001A127F"/>
    <w:rsid w:val="001A18AE"/>
    <w:rsid w:val="001A1B60"/>
    <w:rsid w:val="001A1F66"/>
    <w:rsid w:val="001A220A"/>
    <w:rsid w:val="001A3082"/>
    <w:rsid w:val="001A30F9"/>
    <w:rsid w:val="001A3C89"/>
    <w:rsid w:val="001A3ED6"/>
    <w:rsid w:val="001A4B38"/>
    <w:rsid w:val="001A5EB8"/>
    <w:rsid w:val="001A6CD6"/>
    <w:rsid w:val="001A71D4"/>
    <w:rsid w:val="001A7525"/>
    <w:rsid w:val="001A75BC"/>
    <w:rsid w:val="001A75E8"/>
    <w:rsid w:val="001A77F9"/>
    <w:rsid w:val="001A7832"/>
    <w:rsid w:val="001A79CD"/>
    <w:rsid w:val="001A7ADC"/>
    <w:rsid w:val="001B1480"/>
    <w:rsid w:val="001B14E7"/>
    <w:rsid w:val="001B1623"/>
    <w:rsid w:val="001B183C"/>
    <w:rsid w:val="001B1D7B"/>
    <w:rsid w:val="001B2009"/>
    <w:rsid w:val="001B2688"/>
    <w:rsid w:val="001B26E2"/>
    <w:rsid w:val="001B28A8"/>
    <w:rsid w:val="001B2961"/>
    <w:rsid w:val="001B2D3B"/>
    <w:rsid w:val="001B2EE4"/>
    <w:rsid w:val="001B382E"/>
    <w:rsid w:val="001B468D"/>
    <w:rsid w:val="001B4C3C"/>
    <w:rsid w:val="001B4CE6"/>
    <w:rsid w:val="001B4DC6"/>
    <w:rsid w:val="001B51A9"/>
    <w:rsid w:val="001B578C"/>
    <w:rsid w:val="001B59BF"/>
    <w:rsid w:val="001B5DFD"/>
    <w:rsid w:val="001B6637"/>
    <w:rsid w:val="001B6AA0"/>
    <w:rsid w:val="001B6B80"/>
    <w:rsid w:val="001C0858"/>
    <w:rsid w:val="001C0BA3"/>
    <w:rsid w:val="001C0D59"/>
    <w:rsid w:val="001C0DC6"/>
    <w:rsid w:val="001C1546"/>
    <w:rsid w:val="001C1578"/>
    <w:rsid w:val="001C1881"/>
    <w:rsid w:val="001C20B6"/>
    <w:rsid w:val="001C20EB"/>
    <w:rsid w:val="001C2C76"/>
    <w:rsid w:val="001C2D56"/>
    <w:rsid w:val="001C2D8C"/>
    <w:rsid w:val="001C2F64"/>
    <w:rsid w:val="001C3115"/>
    <w:rsid w:val="001C3C4B"/>
    <w:rsid w:val="001C3EF8"/>
    <w:rsid w:val="001C5120"/>
    <w:rsid w:val="001C524A"/>
    <w:rsid w:val="001C5712"/>
    <w:rsid w:val="001C57FB"/>
    <w:rsid w:val="001C58F8"/>
    <w:rsid w:val="001C59F0"/>
    <w:rsid w:val="001C62D4"/>
    <w:rsid w:val="001C694D"/>
    <w:rsid w:val="001C69AE"/>
    <w:rsid w:val="001C6E99"/>
    <w:rsid w:val="001D0089"/>
    <w:rsid w:val="001D0B07"/>
    <w:rsid w:val="001D0DD3"/>
    <w:rsid w:val="001D1737"/>
    <w:rsid w:val="001D1D47"/>
    <w:rsid w:val="001D2534"/>
    <w:rsid w:val="001D2C2F"/>
    <w:rsid w:val="001D4E51"/>
    <w:rsid w:val="001D52DD"/>
    <w:rsid w:val="001D5A05"/>
    <w:rsid w:val="001D5FC7"/>
    <w:rsid w:val="001D6262"/>
    <w:rsid w:val="001D69BF"/>
    <w:rsid w:val="001D6D6C"/>
    <w:rsid w:val="001D74AD"/>
    <w:rsid w:val="001D75E5"/>
    <w:rsid w:val="001D76AC"/>
    <w:rsid w:val="001D7F12"/>
    <w:rsid w:val="001E0201"/>
    <w:rsid w:val="001E02EA"/>
    <w:rsid w:val="001E092D"/>
    <w:rsid w:val="001E0F00"/>
    <w:rsid w:val="001E14F6"/>
    <w:rsid w:val="001E16A8"/>
    <w:rsid w:val="001E179C"/>
    <w:rsid w:val="001E2637"/>
    <w:rsid w:val="001E2B6C"/>
    <w:rsid w:val="001E2D41"/>
    <w:rsid w:val="001E37E1"/>
    <w:rsid w:val="001E4C91"/>
    <w:rsid w:val="001E4D01"/>
    <w:rsid w:val="001E568E"/>
    <w:rsid w:val="001E5B2C"/>
    <w:rsid w:val="001E6528"/>
    <w:rsid w:val="001E697E"/>
    <w:rsid w:val="001E735A"/>
    <w:rsid w:val="001E7838"/>
    <w:rsid w:val="001E7B37"/>
    <w:rsid w:val="001E7CB2"/>
    <w:rsid w:val="001E7CD8"/>
    <w:rsid w:val="001F098B"/>
    <w:rsid w:val="001F0E0C"/>
    <w:rsid w:val="001F1791"/>
    <w:rsid w:val="001F182F"/>
    <w:rsid w:val="001F20FA"/>
    <w:rsid w:val="001F248C"/>
    <w:rsid w:val="001F2638"/>
    <w:rsid w:val="001F2E8E"/>
    <w:rsid w:val="001F3DB3"/>
    <w:rsid w:val="001F4101"/>
    <w:rsid w:val="001F4C90"/>
    <w:rsid w:val="001F55C0"/>
    <w:rsid w:val="001F5BE0"/>
    <w:rsid w:val="001F6243"/>
    <w:rsid w:val="001F6401"/>
    <w:rsid w:val="001F6444"/>
    <w:rsid w:val="001F6920"/>
    <w:rsid w:val="001F6BB5"/>
    <w:rsid w:val="001F7747"/>
    <w:rsid w:val="00200448"/>
    <w:rsid w:val="0020060C"/>
    <w:rsid w:val="00200BFB"/>
    <w:rsid w:val="00201467"/>
    <w:rsid w:val="00201665"/>
    <w:rsid w:val="0020169B"/>
    <w:rsid w:val="00202162"/>
    <w:rsid w:val="00202614"/>
    <w:rsid w:val="0020283E"/>
    <w:rsid w:val="00203136"/>
    <w:rsid w:val="00203B67"/>
    <w:rsid w:val="00203FDE"/>
    <w:rsid w:val="00204B2F"/>
    <w:rsid w:val="00204F38"/>
    <w:rsid w:val="0020515F"/>
    <w:rsid w:val="0020559A"/>
    <w:rsid w:val="00206265"/>
    <w:rsid w:val="00207513"/>
    <w:rsid w:val="00207993"/>
    <w:rsid w:val="0021097D"/>
    <w:rsid w:val="0021160B"/>
    <w:rsid w:val="00211AE3"/>
    <w:rsid w:val="00212521"/>
    <w:rsid w:val="0021256D"/>
    <w:rsid w:val="00212CBB"/>
    <w:rsid w:val="00212D63"/>
    <w:rsid w:val="0021356B"/>
    <w:rsid w:val="00213DC4"/>
    <w:rsid w:val="00213E9D"/>
    <w:rsid w:val="00214099"/>
    <w:rsid w:val="0021415D"/>
    <w:rsid w:val="002143BF"/>
    <w:rsid w:val="00215009"/>
    <w:rsid w:val="00215036"/>
    <w:rsid w:val="00215D68"/>
    <w:rsid w:val="00215E87"/>
    <w:rsid w:val="00216865"/>
    <w:rsid w:val="00216B2D"/>
    <w:rsid w:val="00216B69"/>
    <w:rsid w:val="00216FE3"/>
    <w:rsid w:val="0021718E"/>
    <w:rsid w:val="002172B8"/>
    <w:rsid w:val="00220849"/>
    <w:rsid w:val="0022112B"/>
    <w:rsid w:val="0022177F"/>
    <w:rsid w:val="00222BF8"/>
    <w:rsid w:val="00222C1F"/>
    <w:rsid w:val="002237B6"/>
    <w:rsid w:val="00223EC7"/>
    <w:rsid w:val="00223F13"/>
    <w:rsid w:val="002246F4"/>
    <w:rsid w:val="002250FB"/>
    <w:rsid w:val="0022537C"/>
    <w:rsid w:val="002260D7"/>
    <w:rsid w:val="00226151"/>
    <w:rsid w:val="002261D7"/>
    <w:rsid w:val="0022635E"/>
    <w:rsid w:val="00226417"/>
    <w:rsid w:val="002264F6"/>
    <w:rsid w:val="002269CE"/>
    <w:rsid w:val="00226A07"/>
    <w:rsid w:val="0023030B"/>
    <w:rsid w:val="0023054B"/>
    <w:rsid w:val="002307BF"/>
    <w:rsid w:val="00231B75"/>
    <w:rsid w:val="00232D98"/>
    <w:rsid w:val="0023387B"/>
    <w:rsid w:val="00233B2D"/>
    <w:rsid w:val="00234A90"/>
    <w:rsid w:val="00234AC9"/>
    <w:rsid w:val="00235153"/>
    <w:rsid w:val="0023622E"/>
    <w:rsid w:val="00236497"/>
    <w:rsid w:val="002366B9"/>
    <w:rsid w:val="002368A3"/>
    <w:rsid w:val="0023793E"/>
    <w:rsid w:val="0024004F"/>
    <w:rsid w:val="0024013D"/>
    <w:rsid w:val="002404BC"/>
    <w:rsid w:val="0024079D"/>
    <w:rsid w:val="00240F93"/>
    <w:rsid w:val="0024111C"/>
    <w:rsid w:val="0024123B"/>
    <w:rsid w:val="002414C7"/>
    <w:rsid w:val="002426DE"/>
    <w:rsid w:val="00242B2B"/>
    <w:rsid w:val="002434F4"/>
    <w:rsid w:val="00244832"/>
    <w:rsid w:val="002449AD"/>
    <w:rsid w:val="002465F0"/>
    <w:rsid w:val="00246901"/>
    <w:rsid w:val="0024704A"/>
    <w:rsid w:val="00247E12"/>
    <w:rsid w:val="00250A8B"/>
    <w:rsid w:val="00251271"/>
    <w:rsid w:val="00251922"/>
    <w:rsid w:val="00252068"/>
    <w:rsid w:val="002520B2"/>
    <w:rsid w:val="00252307"/>
    <w:rsid w:val="00252DE3"/>
    <w:rsid w:val="0025362F"/>
    <w:rsid w:val="0025415A"/>
    <w:rsid w:val="00254609"/>
    <w:rsid w:val="00254919"/>
    <w:rsid w:val="00254E56"/>
    <w:rsid w:val="00254F1F"/>
    <w:rsid w:val="00255583"/>
    <w:rsid w:val="002557EB"/>
    <w:rsid w:val="002558A0"/>
    <w:rsid w:val="0025593F"/>
    <w:rsid w:val="0025671A"/>
    <w:rsid w:val="00256A02"/>
    <w:rsid w:val="00256D18"/>
    <w:rsid w:val="0025701C"/>
    <w:rsid w:val="0025720C"/>
    <w:rsid w:val="002573CF"/>
    <w:rsid w:val="002577B2"/>
    <w:rsid w:val="00257A79"/>
    <w:rsid w:val="00257C61"/>
    <w:rsid w:val="0026071D"/>
    <w:rsid w:val="00260828"/>
    <w:rsid w:val="002609CD"/>
    <w:rsid w:val="0026193B"/>
    <w:rsid w:val="002619A4"/>
    <w:rsid w:val="00261A00"/>
    <w:rsid w:val="0026216B"/>
    <w:rsid w:val="002622F1"/>
    <w:rsid w:val="002629E1"/>
    <w:rsid w:val="00262EA3"/>
    <w:rsid w:val="002640D3"/>
    <w:rsid w:val="00264730"/>
    <w:rsid w:val="00264E66"/>
    <w:rsid w:val="00264E82"/>
    <w:rsid w:val="002658B8"/>
    <w:rsid w:val="00265E5B"/>
    <w:rsid w:val="0026605C"/>
    <w:rsid w:val="002662B8"/>
    <w:rsid w:val="0026666D"/>
    <w:rsid w:val="002667A0"/>
    <w:rsid w:val="002667F6"/>
    <w:rsid w:val="00266D93"/>
    <w:rsid w:val="00266F9B"/>
    <w:rsid w:val="0026754E"/>
    <w:rsid w:val="0026793F"/>
    <w:rsid w:val="00270098"/>
    <w:rsid w:val="00270835"/>
    <w:rsid w:val="002708B4"/>
    <w:rsid w:val="00270CE5"/>
    <w:rsid w:val="00271C0B"/>
    <w:rsid w:val="002723F8"/>
    <w:rsid w:val="002734FB"/>
    <w:rsid w:val="00273BB6"/>
    <w:rsid w:val="00275609"/>
    <w:rsid w:val="00275C21"/>
    <w:rsid w:val="00276213"/>
    <w:rsid w:val="00277640"/>
    <w:rsid w:val="00277768"/>
    <w:rsid w:val="00281323"/>
    <w:rsid w:val="00281B09"/>
    <w:rsid w:val="0028258F"/>
    <w:rsid w:val="002839D1"/>
    <w:rsid w:val="00283F3A"/>
    <w:rsid w:val="002849DB"/>
    <w:rsid w:val="00284ADA"/>
    <w:rsid w:val="00284E2C"/>
    <w:rsid w:val="002850C9"/>
    <w:rsid w:val="00285178"/>
    <w:rsid w:val="00285233"/>
    <w:rsid w:val="00285261"/>
    <w:rsid w:val="002856EB"/>
    <w:rsid w:val="00285E2D"/>
    <w:rsid w:val="00286A3C"/>
    <w:rsid w:val="00286C77"/>
    <w:rsid w:val="00287DB6"/>
    <w:rsid w:val="00290166"/>
    <w:rsid w:val="002904A3"/>
    <w:rsid w:val="00290ED2"/>
    <w:rsid w:val="00290F48"/>
    <w:rsid w:val="0029167E"/>
    <w:rsid w:val="00291877"/>
    <w:rsid w:val="00291C13"/>
    <w:rsid w:val="00291F64"/>
    <w:rsid w:val="00292D3A"/>
    <w:rsid w:val="00294399"/>
    <w:rsid w:val="00294A7A"/>
    <w:rsid w:val="00294FFF"/>
    <w:rsid w:val="0029557A"/>
    <w:rsid w:val="002968AF"/>
    <w:rsid w:val="0029720F"/>
    <w:rsid w:val="002975D6"/>
    <w:rsid w:val="002A0CFE"/>
    <w:rsid w:val="002A1B89"/>
    <w:rsid w:val="002A1DB0"/>
    <w:rsid w:val="002A22D6"/>
    <w:rsid w:val="002A2B49"/>
    <w:rsid w:val="002A3C2A"/>
    <w:rsid w:val="002A3C75"/>
    <w:rsid w:val="002A4094"/>
    <w:rsid w:val="002A46B4"/>
    <w:rsid w:val="002A48D6"/>
    <w:rsid w:val="002A52D6"/>
    <w:rsid w:val="002A5755"/>
    <w:rsid w:val="002A59B9"/>
    <w:rsid w:val="002A5A6B"/>
    <w:rsid w:val="002A5EB6"/>
    <w:rsid w:val="002A5EE6"/>
    <w:rsid w:val="002A65C4"/>
    <w:rsid w:val="002A6BE3"/>
    <w:rsid w:val="002A71C7"/>
    <w:rsid w:val="002A730A"/>
    <w:rsid w:val="002A76E3"/>
    <w:rsid w:val="002A7785"/>
    <w:rsid w:val="002A779F"/>
    <w:rsid w:val="002B0853"/>
    <w:rsid w:val="002B0E05"/>
    <w:rsid w:val="002B1029"/>
    <w:rsid w:val="002B164A"/>
    <w:rsid w:val="002B1915"/>
    <w:rsid w:val="002B26DA"/>
    <w:rsid w:val="002B2853"/>
    <w:rsid w:val="002B2AF0"/>
    <w:rsid w:val="002B2F94"/>
    <w:rsid w:val="002B39FD"/>
    <w:rsid w:val="002B3B3E"/>
    <w:rsid w:val="002B3C03"/>
    <w:rsid w:val="002B3E8B"/>
    <w:rsid w:val="002B4525"/>
    <w:rsid w:val="002B4A2B"/>
    <w:rsid w:val="002B6176"/>
    <w:rsid w:val="002B6D55"/>
    <w:rsid w:val="002B6E03"/>
    <w:rsid w:val="002B75F8"/>
    <w:rsid w:val="002B7C6A"/>
    <w:rsid w:val="002B7C9B"/>
    <w:rsid w:val="002C0178"/>
    <w:rsid w:val="002C0AB2"/>
    <w:rsid w:val="002C0C00"/>
    <w:rsid w:val="002C0D87"/>
    <w:rsid w:val="002C0F7F"/>
    <w:rsid w:val="002C1311"/>
    <w:rsid w:val="002C1B3D"/>
    <w:rsid w:val="002C1EE8"/>
    <w:rsid w:val="002C2D59"/>
    <w:rsid w:val="002C4737"/>
    <w:rsid w:val="002C4820"/>
    <w:rsid w:val="002C56DB"/>
    <w:rsid w:val="002C5B8B"/>
    <w:rsid w:val="002C5C4A"/>
    <w:rsid w:val="002C6CB6"/>
    <w:rsid w:val="002C6DF3"/>
    <w:rsid w:val="002C756E"/>
    <w:rsid w:val="002D0691"/>
    <w:rsid w:val="002D08DE"/>
    <w:rsid w:val="002D097F"/>
    <w:rsid w:val="002D0F60"/>
    <w:rsid w:val="002D1036"/>
    <w:rsid w:val="002D1E5D"/>
    <w:rsid w:val="002D1F08"/>
    <w:rsid w:val="002D1F45"/>
    <w:rsid w:val="002D227E"/>
    <w:rsid w:val="002D2B2D"/>
    <w:rsid w:val="002D2C9F"/>
    <w:rsid w:val="002D2D13"/>
    <w:rsid w:val="002D3321"/>
    <w:rsid w:val="002D4623"/>
    <w:rsid w:val="002D4762"/>
    <w:rsid w:val="002D486C"/>
    <w:rsid w:val="002D4B0D"/>
    <w:rsid w:val="002D5297"/>
    <w:rsid w:val="002D56E1"/>
    <w:rsid w:val="002D5D18"/>
    <w:rsid w:val="002D6980"/>
    <w:rsid w:val="002D7004"/>
    <w:rsid w:val="002D70BC"/>
    <w:rsid w:val="002D7167"/>
    <w:rsid w:val="002E07C7"/>
    <w:rsid w:val="002E141B"/>
    <w:rsid w:val="002E1B94"/>
    <w:rsid w:val="002E2195"/>
    <w:rsid w:val="002E271A"/>
    <w:rsid w:val="002E29E7"/>
    <w:rsid w:val="002E3D81"/>
    <w:rsid w:val="002E4F32"/>
    <w:rsid w:val="002E5FCF"/>
    <w:rsid w:val="002E69D6"/>
    <w:rsid w:val="002E6B73"/>
    <w:rsid w:val="002E731D"/>
    <w:rsid w:val="002E7808"/>
    <w:rsid w:val="002E7ACD"/>
    <w:rsid w:val="002E7E95"/>
    <w:rsid w:val="002F01F9"/>
    <w:rsid w:val="002F0230"/>
    <w:rsid w:val="002F0755"/>
    <w:rsid w:val="002F0D59"/>
    <w:rsid w:val="002F0DE0"/>
    <w:rsid w:val="002F1B7B"/>
    <w:rsid w:val="002F25BC"/>
    <w:rsid w:val="002F2E38"/>
    <w:rsid w:val="002F2E7B"/>
    <w:rsid w:val="002F3C7F"/>
    <w:rsid w:val="002F3DAB"/>
    <w:rsid w:val="002F3FA9"/>
    <w:rsid w:val="002F4386"/>
    <w:rsid w:val="002F453E"/>
    <w:rsid w:val="002F4946"/>
    <w:rsid w:val="002F4B1A"/>
    <w:rsid w:val="002F5970"/>
    <w:rsid w:val="002F5B09"/>
    <w:rsid w:val="002F61DE"/>
    <w:rsid w:val="002F6822"/>
    <w:rsid w:val="002F6EBD"/>
    <w:rsid w:val="002F7159"/>
    <w:rsid w:val="002F723D"/>
    <w:rsid w:val="002F7C4D"/>
    <w:rsid w:val="002F7C5D"/>
    <w:rsid w:val="002F7C8C"/>
    <w:rsid w:val="002F7F3B"/>
    <w:rsid w:val="002F7FC3"/>
    <w:rsid w:val="00300459"/>
    <w:rsid w:val="003004F8"/>
    <w:rsid w:val="00300880"/>
    <w:rsid w:val="00300933"/>
    <w:rsid w:val="00300B17"/>
    <w:rsid w:val="00300B25"/>
    <w:rsid w:val="00300BE1"/>
    <w:rsid w:val="00301A69"/>
    <w:rsid w:val="00301AFE"/>
    <w:rsid w:val="00301C1E"/>
    <w:rsid w:val="00302429"/>
    <w:rsid w:val="003036B5"/>
    <w:rsid w:val="00303AD4"/>
    <w:rsid w:val="003047CA"/>
    <w:rsid w:val="003047D4"/>
    <w:rsid w:val="00304D6E"/>
    <w:rsid w:val="003059EA"/>
    <w:rsid w:val="00305BF3"/>
    <w:rsid w:val="003076BD"/>
    <w:rsid w:val="0030788B"/>
    <w:rsid w:val="00307B4D"/>
    <w:rsid w:val="00310C6D"/>
    <w:rsid w:val="003112ED"/>
    <w:rsid w:val="003115CE"/>
    <w:rsid w:val="00311803"/>
    <w:rsid w:val="00311A4A"/>
    <w:rsid w:val="00311AE8"/>
    <w:rsid w:val="00311EB9"/>
    <w:rsid w:val="00312830"/>
    <w:rsid w:val="00313453"/>
    <w:rsid w:val="0031499F"/>
    <w:rsid w:val="00314BD8"/>
    <w:rsid w:val="00314DA8"/>
    <w:rsid w:val="00315619"/>
    <w:rsid w:val="00315723"/>
    <w:rsid w:val="00316469"/>
    <w:rsid w:val="003164FD"/>
    <w:rsid w:val="00316661"/>
    <w:rsid w:val="003168D6"/>
    <w:rsid w:val="00316EAA"/>
    <w:rsid w:val="00316EFC"/>
    <w:rsid w:val="0031733D"/>
    <w:rsid w:val="00317342"/>
    <w:rsid w:val="00317F7F"/>
    <w:rsid w:val="00321B3B"/>
    <w:rsid w:val="00321BA1"/>
    <w:rsid w:val="00322183"/>
    <w:rsid w:val="00322A9A"/>
    <w:rsid w:val="00322C7B"/>
    <w:rsid w:val="003236C4"/>
    <w:rsid w:val="00324282"/>
    <w:rsid w:val="00324324"/>
    <w:rsid w:val="003250B7"/>
    <w:rsid w:val="00325B57"/>
    <w:rsid w:val="00325C09"/>
    <w:rsid w:val="00325FC1"/>
    <w:rsid w:val="003264B8"/>
    <w:rsid w:val="003264DA"/>
    <w:rsid w:val="00326B51"/>
    <w:rsid w:val="00326C40"/>
    <w:rsid w:val="00327286"/>
    <w:rsid w:val="00327769"/>
    <w:rsid w:val="00327DC3"/>
    <w:rsid w:val="00330EEE"/>
    <w:rsid w:val="00330F68"/>
    <w:rsid w:val="003312A7"/>
    <w:rsid w:val="00331C94"/>
    <w:rsid w:val="00331CA9"/>
    <w:rsid w:val="0033244E"/>
    <w:rsid w:val="00332B82"/>
    <w:rsid w:val="00332ED6"/>
    <w:rsid w:val="003337B2"/>
    <w:rsid w:val="00333C97"/>
    <w:rsid w:val="0033405E"/>
    <w:rsid w:val="0033488D"/>
    <w:rsid w:val="00334CFC"/>
    <w:rsid w:val="003351B7"/>
    <w:rsid w:val="00335356"/>
    <w:rsid w:val="00336B6F"/>
    <w:rsid w:val="00336E81"/>
    <w:rsid w:val="00337DD8"/>
    <w:rsid w:val="00340239"/>
    <w:rsid w:val="00340543"/>
    <w:rsid w:val="0034073E"/>
    <w:rsid w:val="00340832"/>
    <w:rsid w:val="003408F2"/>
    <w:rsid w:val="00341464"/>
    <w:rsid w:val="003431E8"/>
    <w:rsid w:val="003432F0"/>
    <w:rsid w:val="003434A1"/>
    <w:rsid w:val="0034379D"/>
    <w:rsid w:val="0034470F"/>
    <w:rsid w:val="0034535A"/>
    <w:rsid w:val="0034613D"/>
    <w:rsid w:val="00346C3C"/>
    <w:rsid w:val="0034753F"/>
    <w:rsid w:val="00347C38"/>
    <w:rsid w:val="00347F11"/>
    <w:rsid w:val="00350006"/>
    <w:rsid w:val="00350BAF"/>
    <w:rsid w:val="0035124C"/>
    <w:rsid w:val="0035196D"/>
    <w:rsid w:val="00351EE7"/>
    <w:rsid w:val="00353FA5"/>
    <w:rsid w:val="0035436A"/>
    <w:rsid w:val="00354448"/>
    <w:rsid w:val="00354BF4"/>
    <w:rsid w:val="00354D01"/>
    <w:rsid w:val="00354D93"/>
    <w:rsid w:val="0035505B"/>
    <w:rsid w:val="003554CD"/>
    <w:rsid w:val="0035606C"/>
    <w:rsid w:val="00356D07"/>
    <w:rsid w:val="0035704B"/>
    <w:rsid w:val="003578D4"/>
    <w:rsid w:val="00360B6D"/>
    <w:rsid w:val="00360E97"/>
    <w:rsid w:val="00361061"/>
    <w:rsid w:val="0036188C"/>
    <w:rsid w:val="00361922"/>
    <w:rsid w:val="00361AC8"/>
    <w:rsid w:val="00361F88"/>
    <w:rsid w:val="003628DE"/>
    <w:rsid w:val="00362BCA"/>
    <w:rsid w:val="00363137"/>
    <w:rsid w:val="003634E2"/>
    <w:rsid w:val="0036354F"/>
    <w:rsid w:val="00364128"/>
    <w:rsid w:val="00364147"/>
    <w:rsid w:val="003651AB"/>
    <w:rsid w:val="003658FE"/>
    <w:rsid w:val="00365C42"/>
    <w:rsid w:val="003666D3"/>
    <w:rsid w:val="00366949"/>
    <w:rsid w:val="00366985"/>
    <w:rsid w:val="0036725E"/>
    <w:rsid w:val="00367A20"/>
    <w:rsid w:val="00367EDE"/>
    <w:rsid w:val="00367FED"/>
    <w:rsid w:val="003715AF"/>
    <w:rsid w:val="00373035"/>
    <w:rsid w:val="00373E6F"/>
    <w:rsid w:val="00373F21"/>
    <w:rsid w:val="003742AF"/>
    <w:rsid w:val="00374410"/>
    <w:rsid w:val="003746C3"/>
    <w:rsid w:val="00374F06"/>
    <w:rsid w:val="00376182"/>
    <w:rsid w:val="003761D4"/>
    <w:rsid w:val="00376FAF"/>
    <w:rsid w:val="00377921"/>
    <w:rsid w:val="00380554"/>
    <w:rsid w:val="003806FA"/>
    <w:rsid w:val="0038099B"/>
    <w:rsid w:val="00380AAE"/>
    <w:rsid w:val="0038110D"/>
    <w:rsid w:val="0038116D"/>
    <w:rsid w:val="0038141E"/>
    <w:rsid w:val="00381542"/>
    <w:rsid w:val="00381B50"/>
    <w:rsid w:val="00381D42"/>
    <w:rsid w:val="00381E27"/>
    <w:rsid w:val="003821C8"/>
    <w:rsid w:val="003829B9"/>
    <w:rsid w:val="0038322B"/>
    <w:rsid w:val="00383BA7"/>
    <w:rsid w:val="00383D99"/>
    <w:rsid w:val="00384775"/>
    <w:rsid w:val="0038484E"/>
    <w:rsid w:val="00385022"/>
    <w:rsid w:val="0038563A"/>
    <w:rsid w:val="00385E22"/>
    <w:rsid w:val="0039039E"/>
    <w:rsid w:val="0039054F"/>
    <w:rsid w:val="00390BA2"/>
    <w:rsid w:val="00390F4D"/>
    <w:rsid w:val="00391675"/>
    <w:rsid w:val="00391751"/>
    <w:rsid w:val="003918EE"/>
    <w:rsid w:val="00392717"/>
    <w:rsid w:val="003928C1"/>
    <w:rsid w:val="003933E4"/>
    <w:rsid w:val="003936C4"/>
    <w:rsid w:val="0039406E"/>
    <w:rsid w:val="00395A4B"/>
    <w:rsid w:val="00395FEA"/>
    <w:rsid w:val="00396B06"/>
    <w:rsid w:val="003978AB"/>
    <w:rsid w:val="003A01DF"/>
    <w:rsid w:val="003A21DE"/>
    <w:rsid w:val="003A2335"/>
    <w:rsid w:val="003A3232"/>
    <w:rsid w:val="003A396B"/>
    <w:rsid w:val="003A3A4E"/>
    <w:rsid w:val="003A3E49"/>
    <w:rsid w:val="003A5979"/>
    <w:rsid w:val="003A6D57"/>
    <w:rsid w:val="003A73D5"/>
    <w:rsid w:val="003B0472"/>
    <w:rsid w:val="003B06D6"/>
    <w:rsid w:val="003B07D2"/>
    <w:rsid w:val="003B1211"/>
    <w:rsid w:val="003B1E9F"/>
    <w:rsid w:val="003B3657"/>
    <w:rsid w:val="003B37D5"/>
    <w:rsid w:val="003B37F0"/>
    <w:rsid w:val="003B4748"/>
    <w:rsid w:val="003B4BC5"/>
    <w:rsid w:val="003B5A29"/>
    <w:rsid w:val="003B61C0"/>
    <w:rsid w:val="003B74B5"/>
    <w:rsid w:val="003B77B1"/>
    <w:rsid w:val="003B797B"/>
    <w:rsid w:val="003C12BF"/>
    <w:rsid w:val="003C12E4"/>
    <w:rsid w:val="003C17B3"/>
    <w:rsid w:val="003C261C"/>
    <w:rsid w:val="003C2964"/>
    <w:rsid w:val="003C2980"/>
    <w:rsid w:val="003C2D78"/>
    <w:rsid w:val="003C2F2F"/>
    <w:rsid w:val="003C2FD6"/>
    <w:rsid w:val="003C3777"/>
    <w:rsid w:val="003C3899"/>
    <w:rsid w:val="003C3B18"/>
    <w:rsid w:val="003C447A"/>
    <w:rsid w:val="003C4B12"/>
    <w:rsid w:val="003C4E94"/>
    <w:rsid w:val="003C5949"/>
    <w:rsid w:val="003C6658"/>
    <w:rsid w:val="003C66AF"/>
    <w:rsid w:val="003C68FA"/>
    <w:rsid w:val="003C6DA0"/>
    <w:rsid w:val="003C798C"/>
    <w:rsid w:val="003C79E8"/>
    <w:rsid w:val="003D042F"/>
    <w:rsid w:val="003D0464"/>
    <w:rsid w:val="003D0890"/>
    <w:rsid w:val="003D1376"/>
    <w:rsid w:val="003D165F"/>
    <w:rsid w:val="003D2B60"/>
    <w:rsid w:val="003D36E0"/>
    <w:rsid w:val="003D4141"/>
    <w:rsid w:val="003D48D8"/>
    <w:rsid w:val="003D4B4E"/>
    <w:rsid w:val="003D4ECD"/>
    <w:rsid w:val="003D54C1"/>
    <w:rsid w:val="003D630D"/>
    <w:rsid w:val="003D65F4"/>
    <w:rsid w:val="003D7524"/>
    <w:rsid w:val="003D7D26"/>
    <w:rsid w:val="003E0336"/>
    <w:rsid w:val="003E09E3"/>
    <w:rsid w:val="003E0B3D"/>
    <w:rsid w:val="003E0E67"/>
    <w:rsid w:val="003E1A75"/>
    <w:rsid w:val="003E2B2B"/>
    <w:rsid w:val="003E2C2D"/>
    <w:rsid w:val="003E2C86"/>
    <w:rsid w:val="003E3935"/>
    <w:rsid w:val="003E3A21"/>
    <w:rsid w:val="003E3CBC"/>
    <w:rsid w:val="003E45FC"/>
    <w:rsid w:val="003E48AC"/>
    <w:rsid w:val="003E48EE"/>
    <w:rsid w:val="003E4E48"/>
    <w:rsid w:val="003E505F"/>
    <w:rsid w:val="003E51FE"/>
    <w:rsid w:val="003E5DD0"/>
    <w:rsid w:val="003E6A35"/>
    <w:rsid w:val="003E726A"/>
    <w:rsid w:val="003E7403"/>
    <w:rsid w:val="003E7CE5"/>
    <w:rsid w:val="003F0284"/>
    <w:rsid w:val="003F03F5"/>
    <w:rsid w:val="003F0687"/>
    <w:rsid w:val="003F0AA6"/>
    <w:rsid w:val="003F0E95"/>
    <w:rsid w:val="003F113C"/>
    <w:rsid w:val="003F24B9"/>
    <w:rsid w:val="003F283A"/>
    <w:rsid w:val="003F3631"/>
    <w:rsid w:val="003F3EFD"/>
    <w:rsid w:val="003F4068"/>
    <w:rsid w:val="003F4C2D"/>
    <w:rsid w:val="003F52AD"/>
    <w:rsid w:val="003F562F"/>
    <w:rsid w:val="003F7583"/>
    <w:rsid w:val="003F76D8"/>
    <w:rsid w:val="003F7775"/>
    <w:rsid w:val="003F7C2C"/>
    <w:rsid w:val="003F7D93"/>
    <w:rsid w:val="003F7EAC"/>
    <w:rsid w:val="004013A4"/>
    <w:rsid w:val="004017ED"/>
    <w:rsid w:val="00401F72"/>
    <w:rsid w:val="00402280"/>
    <w:rsid w:val="004024C7"/>
    <w:rsid w:val="00402545"/>
    <w:rsid w:val="004026D8"/>
    <w:rsid w:val="00403146"/>
    <w:rsid w:val="004035AF"/>
    <w:rsid w:val="00403E00"/>
    <w:rsid w:val="0040422E"/>
    <w:rsid w:val="004048F2"/>
    <w:rsid w:val="00404999"/>
    <w:rsid w:val="00404B86"/>
    <w:rsid w:val="00405665"/>
    <w:rsid w:val="00405FE9"/>
    <w:rsid w:val="00406328"/>
    <w:rsid w:val="004078DF"/>
    <w:rsid w:val="004110AD"/>
    <w:rsid w:val="004114DD"/>
    <w:rsid w:val="00412BC7"/>
    <w:rsid w:val="00414112"/>
    <w:rsid w:val="0041429B"/>
    <w:rsid w:val="00414361"/>
    <w:rsid w:val="00415306"/>
    <w:rsid w:val="004155D7"/>
    <w:rsid w:val="00415BE5"/>
    <w:rsid w:val="00416636"/>
    <w:rsid w:val="00417C19"/>
    <w:rsid w:val="00417DFE"/>
    <w:rsid w:val="00420607"/>
    <w:rsid w:val="004206FE"/>
    <w:rsid w:val="0042083B"/>
    <w:rsid w:val="00420C63"/>
    <w:rsid w:val="00421469"/>
    <w:rsid w:val="00422191"/>
    <w:rsid w:val="00422E5C"/>
    <w:rsid w:val="004238F2"/>
    <w:rsid w:val="00424BB5"/>
    <w:rsid w:val="00425780"/>
    <w:rsid w:val="00425A90"/>
    <w:rsid w:val="00425E7A"/>
    <w:rsid w:val="0042603D"/>
    <w:rsid w:val="00426138"/>
    <w:rsid w:val="004262E6"/>
    <w:rsid w:val="00426E0C"/>
    <w:rsid w:val="00427861"/>
    <w:rsid w:val="00427DA6"/>
    <w:rsid w:val="00427E77"/>
    <w:rsid w:val="0043103A"/>
    <w:rsid w:val="0043115B"/>
    <w:rsid w:val="0043130F"/>
    <w:rsid w:val="00431A04"/>
    <w:rsid w:val="00431F1C"/>
    <w:rsid w:val="00432041"/>
    <w:rsid w:val="004321C5"/>
    <w:rsid w:val="004324DF"/>
    <w:rsid w:val="004324F1"/>
    <w:rsid w:val="004327EB"/>
    <w:rsid w:val="004333ED"/>
    <w:rsid w:val="00433991"/>
    <w:rsid w:val="00433FD7"/>
    <w:rsid w:val="00434AAA"/>
    <w:rsid w:val="00434D40"/>
    <w:rsid w:val="0043516A"/>
    <w:rsid w:val="004357A5"/>
    <w:rsid w:val="004402E7"/>
    <w:rsid w:val="004407E8"/>
    <w:rsid w:val="00440802"/>
    <w:rsid w:val="004408A5"/>
    <w:rsid w:val="00441188"/>
    <w:rsid w:val="0044128E"/>
    <w:rsid w:val="004414FD"/>
    <w:rsid w:val="0044254E"/>
    <w:rsid w:val="004425FA"/>
    <w:rsid w:val="00442724"/>
    <w:rsid w:val="00443412"/>
    <w:rsid w:val="00443446"/>
    <w:rsid w:val="004437CB"/>
    <w:rsid w:val="00444133"/>
    <w:rsid w:val="00444369"/>
    <w:rsid w:val="00444DB4"/>
    <w:rsid w:val="00445DE8"/>
    <w:rsid w:val="00446216"/>
    <w:rsid w:val="004464BD"/>
    <w:rsid w:val="004477C3"/>
    <w:rsid w:val="0045029C"/>
    <w:rsid w:val="004503C7"/>
    <w:rsid w:val="00450784"/>
    <w:rsid w:val="004507E5"/>
    <w:rsid w:val="00450CBC"/>
    <w:rsid w:val="00451367"/>
    <w:rsid w:val="00451F5A"/>
    <w:rsid w:val="00453E62"/>
    <w:rsid w:val="00453E92"/>
    <w:rsid w:val="00453ED1"/>
    <w:rsid w:val="004541FD"/>
    <w:rsid w:val="00454971"/>
    <w:rsid w:val="00454B6E"/>
    <w:rsid w:val="00454D1E"/>
    <w:rsid w:val="004555C8"/>
    <w:rsid w:val="00455DA7"/>
    <w:rsid w:val="0045657F"/>
    <w:rsid w:val="00456B60"/>
    <w:rsid w:val="00456DB3"/>
    <w:rsid w:val="00460119"/>
    <w:rsid w:val="004603A0"/>
    <w:rsid w:val="00461010"/>
    <w:rsid w:val="004620E3"/>
    <w:rsid w:val="004624E1"/>
    <w:rsid w:val="00462950"/>
    <w:rsid w:val="00462D96"/>
    <w:rsid w:val="0046350F"/>
    <w:rsid w:val="0046363E"/>
    <w:rsid w:val="00463C5F"/>
    <w:rsid w:val="0046490E"/>
    <w:rsid w:val="00464FE8"/>
    <w:rsid w:val="00466C06"/>
    <w:rsid w:val="004674FC"/>
    <w:rsid w:val="00470389"/>
    <w:rsid w:val="00471B3F"/>
    <w:rsid w:val="00471C5A"/>
    <w:rsid w:val="004723C7"/>
    <w:rsid w:val="0047320C"/>
    <w:rsid w:val="004732A1"/>
    <w:rsid w:val="00473331"/>
    <w:rsid w:val="004735B6"/>
    <w:rsid w:val="00473A91"/>
    <w:rsid w:val="004742E0"/>
    <w:rsid w:val="004745C0"/>
    <w:rsid w:val="00474746"/>
    <w:rsid w:val="00474ADA"/>
    <w:rsid w:val="0047521A"/>
    <w:rsid w:val="0047579F"/>
    <w:rsid w:val="00475F81"/>
    <w:rsid w:val="004761CD"/>
    <w:rsid w:val="00476675"/>
    <w:rsid w:val="00476B9C"/>
    <w:rsid w:val="00477D7E"/>
    <w:rsid w:val="0048024B"/>
    <w:rsid w:val="00480CC2"/>
    <w:rsid w:val="00480F47"/>
    <w:rsid w:val="00481210"/>
    <w:rsid w:val="00481406"/>
    <w:rsid w:val="0048155D"/>
    <w:rsid w:val="00481DA4"/>
    <w:rsid w:val="0048297D"/>
    <w:rsid w:val="00482BC8"/>
    <w:rsid w:val="00483113"/>
    <w:rsid w:val="004838E2"/>
    <w:rsid w:val="00483E90"/>
    <w:rsid w:val="00484051"/>
    <w:rsid w:val="004844D0"/>
    <w:rsid w:val="00484BD3"/>
    <w:rsid w:val="00484E8E"/>
    <w:rsid w:val="00485132"/>
    <w:rsid w:val="00485492"/>
    <w:rsid w:val="004859E6"/>
    <w:rsid w:val="00485A26"/>
    <w:rsid w:val="004868D8"/>
    <w:rsid w:val="00486AED"/>
    <w:rsid w:val="0048706C"/>
    <w:rsid w:val="00487272"/>
    <w:rsid w:val="004879CD"/>
    <w:rsid w:val="00487B2E"/>
    <w:rsid w:val="00490132"/>
    <w:rsid w:val="00490C54"/>
    <w:rsid w:val="00490D13"/>
    <w:rsid w:val="00492480"/>
    <w:rsid w:val="004926B5"/>
    <w:rsid w:val="00492A94"/>
    <w:rsid w:val="00492C89"/>
    <w:rsid w:val="004933DC"/>
    <w:rsid w:val="004935C4"/>
    <w:rsid w:val="00495080"/>
    <w:rsid w:val="0049619D"/>
    <w:rsid w:val="0049645C"/>
    <w:rsid w:val="00496878"/>
    <w:rsid w:val="00496C86"/>
    <w:rsid w:val="00497113"/>
    <w:rsid w:val="004A0388"/>
    <w:rsid w:val="004A03A0"/>
    <w:rsid w:val="004A0414"/>
    <w:rsid w:val="004A0998"/>
    <w:rsid w:val="004A09E4"/>
    <w:rsid w:val="004A0E6D"/>
    <w:rsid w:val="004A10E1"/>
    <w:rsid w:val="004A14FE"/>
    <w:rsid w:val="004A1710"/>
    <w:rsid w:val="004A17A9"/>
    <w:rsid w:val="004A20AB"/>
    <w:rsid w:val="004A20B1"/>
    <w:rsid w:val="004A221A"/>
    <w:rsid w:val="004A24B3"/>
    <w:rsid w:val="004A2703"/>
    <w:rsid w:val="004A32E6"/>
    <w:rsid w:val="004A3E99"/>
    <w:rsid w:val="004A3F28"/>
    <w:rsid w:val="004A405A"/>
    <w:rsid w:val="004A589F"/>
    <w:rsid w:val="004A5D9A"/>
    <w:rsid w:val="004A5F86"/>
    <w:rsid w:val="004A63AC"/>
    <w:rsid w:val="004A70E6"/>
    <w:rsid w:val="004B0063"/>
    <w:rsid w:val="004B131F"/>
    <w:rsid w:val="004B21EC"/>
    <w:rsid w:val="004B2741"/>
    <w:rsid w:val="004B27AC"/>
    <w:rsid w:val="004B2A6F"/>
    <w:rsid w:val="004B2B7F"/>
    <w:rsid w:val="004B2FFD"/>
    <w:rsid w:val="004B460A"/>
    <w:rsid w:val="004B4A8B"/>
    <w:rsid w:val="004B4BC3"/>
    <w:rsid w:val="004B5C90"/>
    <w:rsid w:val="004B5EAA"/>
    <w:rsid w:val="004B652B"/>
    <w:rsid w:val="004B6958"/>
    <w:rsid w:val="004B706D"/>
    <w:rsid w:val="004B7473"/>
    <w:rsid w:val="004B7C58"/>
    <w:rsid w:val="004C0BEF"/>
    <w:rsid w:val="004C163C"/>
    <w:rsid w:val="004C1FE4"/>
    <w:rsid w:val="004C237B"/>
    <w:rsid w:val="004C33DB"/>
    <w:rsid w:val="004C37A0"/>
    <w:rsid w:val="004C39AF"/>
    <w:rsid w:val="004C40BE"/>
    <w:rsid w:val="004C421E"/>
    <w:rsid w:val="004C44DA"/>
    <w:rsid w:val="004C470B"/>
    <w:rsid w:val="004C575A"/>
    <w:rsid w:val="004C5C1E"/>
    <w:rsid w:val="004C655A"/>
    <w:rsid w:val="004C7259"/>
    <w:rsid w:val="004C7734"/>
    <w:rsid w:val="004C7A21"/>
    <w:rsid w:val="004C7A4E"/>
    <w:rsid w:val="004C7F23"/>
    <w:rsid w:val="004D0791"/>
    <w:rsid w:val="004D1099"/>
    <w:rsid w:val="004D1D8C"/>
    <w:rsid w:val="004D1E11"/>
    <w:rsid w:val="004D20D6"/>
    <w:rsid w:val="004D235D"/>
    <w:rsid w:val="004D2500"/>
    <w:rsid w:val="004D2C65"/>
    <w:rsid w:val="004D3BE2"/>
    <w:rsid w:val="004D3CD1"/>
    <w:rsid w:val="004D4BB9"/>
    <w:rsid w:val="004D560C"/>
    <w:rsid w:val="004D5676"/>
    <w:rsid w:val="004D5796"/>
    <w:rsid w:val="004D5835"/>
    <w:rsid w:val="004D5B35"/>
    <w:rsid w:val="004D5C18"/>
    <w:rsid w:val="004D6D9D"/>
    <w:rsid w:val="004D7C08"/>
    <w:rsid w:val="004D7C7C"/>
    <w:rsid w:val="004E01BC"/>
    <w:rsid w:val="004E0983"/>
    <w:rsid w:val="004E14B8"/>
    <w:rsid w:val="004E1E0B"/>
    <w:rsid w:val="004E1F87"/>
    <w:rsid w:val="004E21D3"/>
    <w:rsid w:val="004E2841"/>
    <w:rsid w:val="004E2E92"/>
    <w:rsid w:val="004E2EF5"/>
    <w:rsid w:val="004E3C7D"/>
    <w:rsid w:val="004E3CC2"/>
    <w:rsid w:val="004E456A"/>
    <w:rsid w:val="004E4747"/>
    <w:rsid w:val="004E477B"/>
    <w:rsid w:val="004E4A7D"/>
    <w:rsid w:val="004E4CB6"/>
    <w:rsid w:val="004E52E1"/>
    <w:rsid w:val="004E56A1"/>
    <w:rsid w:val="004E6996"/>
    <w:rsid w:val="004E7581"/>
    <w:rsid w:val="004E7687"/>
    <w:rsid w:val="004E775D"/>
    <w:rsid w:val="004F0850"/>
    <w:rsid w:val="004F0C58"/>
    <w:rsid w:val="004F1049"/>
    <w:rsid w:val="004F20CB"/>
    <w:rsid w:val="004F2487"/>
    <w:rsid w:val="004F3762"/>
    <w:rsid w:val="004F484F"/>
    <w:rsid w:val="004F52AA"/>
    <w:rsid w:val="004F531A"/>
    <w:rsid w:val="004F5A0E"/>
    <w:rsid w:val="004F64F4"/>
    <w:rsid w:val="004F76E0"/>
    <w:rsid w:val="0050001C"/>
    <w:rsid w:val="005008A3"/>
    <w:rsid w:val="00500D65"/>
    <w:rsid w:val="00500FB2"/>
    <w:rsid w:val="0050107D"/>
    <w:rsid w:val="005013B8"/>
    <w:rsid w:val="005014D7"/>
    <w:rsid w:val="00501DA9"/>
    <w:rsid w:val="0050212E"/>
    <w:rsid w:val="00502AEF"/>
    <w:rsid w:val="00502B3B"/>
    <w:rsid w:val="00502EE4"/>
    <w:rsid w:val="0050362C"/>
    <w:rsid w:val="00504516"/>
    <w:rsid w:val="00504C5C"/>
    <w:rsid w:val="0050541F"/>
    <w:rsid w:val="00505997"/>
    <w:rsid w:val="00505F8E"/>
    <w:rsid w:val="00506493"/>
    <w:rsid w:val="00506F90"/>
    <w:rsid w:val="005073CF"/>
    <w:rsid w:val="00507DC9"/>
    <w:rsid w:val="005106CD"/>
    <w:rsid w:val="00510B8F"/>
    <w:rsid w:val="005117AC"/>
    <w:rsid w:val="00511E33"/>
    <w:rsid w:val="0051229D"/>
    <w:rsid w:val="00512610"/>
    <w:rsid w:val="00512AED"/>
    <w:rsid w:val="00513169"/>
    <w:rsid w:val="00513327"/>
    <w:rsid w:val="00513D1A"/>
    <w:rsid w:val="00514B81"/>
    <w:rsid w:val="0051563E"/>
    <w:rsid w:val="00515F90"/>
    <w:rsid w:val="00515FAC"/>
    <w:rsid w:val="00516223"/>
    <w:rsid w:val="00516566"/>
    <w:rsid w:val="005166E2"/>
    <w:rsid w:val="00516718"/>
    <w:rsid w:val="00516D23"/>
    <w:rsid w:val="00517C63"/>
    <w:rsid w:val="00520EF5"/>
    <w:rsid w:val="00520F44"/>
    <w:rsid w:val="005210D9"/>
    <w:rsid w:val="00521280"/>
    <w:rsid w:val="00521601"/>
    <w:rsid w:val="00521AEE"/>
    <w:rsid w:val="005228C0"/>
    <w:rsid w:val="00522A4E"/>
    <w:rsid w:val="00522D67"/>
    <w:rsid w:val="00524C51"/>
    <w:rsid w:val="00524D3F"/>
    <w:rsid w:val="00525431"/>
    <w:rsid w:val="005256F7"/>
    <w:rsid w:val="00525CB4"/>
    <w:rsid w:val="00526038"/>
    <w:rsid w:val="00526157"/>
    <w:rsid w:val="00526233"/>
    <w:rsid w:val="00526479"/>
    <w:rsid w:val="00526CCB"/>
    <w:rsid w:val="005271DF"/>
    <w:rsid w:val="0052759B"/>
    <w:rsid w:val="00530493"/>
    <w:rsid w:val="00530E25"/>
    <w:rsid w:val="0053112F"/>
    <w:rsid w:val="00531289"/>
    <w:rsid w:val="00531421"/>
    <w:rsid w:val="00532246"/>
    <w:rsid w:val="005328FF"/>
    <w:rsid w:val="00532BEB"/>
    <w:rsid w:val="00533759"/>
    <w:rsid w:val="00534130"/>
    <w:rsid w:val="005347F2"/>
    <w:rsid w:val="00535A76"/>
    <w:rsid w:val="00535C55"/>
    <w:rsid w:val="0053619F"/>
    <w:rsid w:val="005363A7"/>
    <w:rsid w:val="005364EE"/>
    <w:rsid w:val="00536637"/>
    <w:rsid w:val="00536994"/>
    <w:rsid w:val="005369C7"/>
    <w:rsid w:val="00537678"/>
    <w:rsid w:val="00540FD2"/>
    <w:rsid w:val="00541D1C"/>
    <w:rsid w:val="00541E77"/>
    <w:rsid w:val="005425E6"/>
    <w:rsid w:val="00542924"/>
    <w:rsid w:val="00542A65"/>
    <w:rsid w:val="00542A66"/>
    <w:rsid w:val="00542BC0"/>
    <w:rsid w:val="00542DC6"/>
    <w:rsid w:val="0054357B"/>
    <w:rsid w:val="00544A39"/>
    <w:rsid w:val="00544C92"/>
    <w:rsid w:val="00544D1E"/>
    <w:rsid w:val="00544E11"/>
    <w:rsid w:val="00544E84"/>
    <w:rsid w:val="00544F05"/>
    <w:rsid w:val="005452DD"/>
    <w:rsid w:val="00545A46"/>
    <w:rsid w:val="00545D04"/>
    <w:rsid w:val="00545EA8"/>
    <w:rsid w:val="0054613C"/>
    <w:rsid w:val="005463C2"/>
    <w:rsid w:val="00546550"/>
    <w:rsid w:val="005468FB"/>
    <w:rsid w:val="00546D92"/>
    <w:rsid w:val="00546DF0"/>
    <w:rsid w:val="00546EAF"/>
    <w:rsid w:val="0054714C"/>
    <w:rsid w:val="00550993"/>
    <w:rsid w:val="005510A1"/>
    <w:rsid w:val="00551148"/>
    <w:rsid w:val="0055142B"/>
    <w:rsid w:val="00551A02"/>
    <w:rsid w:val="00551B20"/>
    <w:rsid w:val="00553692"/>
    <w:rsid w:val="005539F7"/>
    <w:rsid w:val="00553DB0"/>
    <w:rsid w:val="00553FB0"/>
    <w:rsid w:val="00555606"/>
    <w:rsid w:val="005561D4"/>
    <w:rsid w:val="00557B06"/>
    <w:rsid w:val="005605D2"/>
    <w:rsid w:val="00560709"/>
    <w:rsid w:val="0056090E"/>
    <w:rsid w:val="005613F7"/>
    <w:rsid w:val="00561854"/>
    <w:rsid w:val="00561AC4"/>
    <w:rsid w:val="00561DF9"/>
    <w:rsid w:val="00563250"/>
    <w:rsid w:val="005639AA"/>
    <w:rsid w:val="00563B6E"/>
    <w:rsid w:val="00563BE1"/>
    <w:rsid w:val="00563EFD"/>
    <w:rsid w:val="005641AE"/>
    <w:rsid w:val="00564F2D"/>
    <w:rsid w:val="0056547A"/>
    <w:rsid w:val="00565638"/>
    <w:rsid w:val="00565CDB"/>
    <w:rsid w:val="00565D91"/>
    <w:rsid w:val="0056627D"/>
    <w:rsid w:val="005667B7"/>
    <w:rsid w:val="00567A9C"/>
    <w:rsid w:val="0057123A"/>
    <w:rsid w:val="005717DE"/>
    <w:rsid w:val="00572B13"/>
    <w:rsid w:val="00572D95"/>
    <w:rsid w:val="00573DBC"/>
    <w:rsid w:val="00574256"/>
    <w:rsid w:val="005744AE"/>
    <w:rsid w:val="00574706"/>
    <w:rsid w:val="00574CF6"/>
    <w:rsid w:val="00574EDE"/>
    <w:rsid w:val="005752EC"/>
    <w:rsid w:val="0057566A"/>
    <w:rsid w:val="005757C0"/>
    <w:rsid w:val="0057596A"/>
    <w:rsid w:val="00575A86"/>
    <w:rsid w:val="00575D85"/>
    <w:rsid w:val="00575F35"/>
    <w:rsid w:val="005764F8"/>
    <w:rsid w:val="0057656A"/>
    <w:rsid w:val="0057656C"/>
    <w:rsid w:val="00576C39"/>
    <w:rsid w:val="005771CB"/>
    <w:rsid w:val="005773EC"/>
    <w:rsid w:val="00577446"/>
    <w:rsid w:val="00577753"/>
    <w:rsid w:val="00577F06"/>
    <w:rsid w:val="00577FB7"/>
    <w:rsid w:val="00580229"/>
    <w:rsid w:val="00580629"/>
    <w:rsid w:val="0058087E"/>
    <w:rsid w:val="00581199"/>
    <w:rsid w:val="00581715"/>
    <w:rsid w:val="00581A9B"/>
    <w:rsid w:val="00581C4E"/>
    <w:rsid w:val="00582356"/>
    <w:rsid w:val="00582A9A"/>
    <w:rsid w:val="00582B3C"/>
    <w:rsid w:val="00582F42"/>
    <w:rsid w:val="00583AE4"/>
    <w:rsid w:val="005847E0"/>
    <w:rsid w:val="00584820"/>
    <w:rsid w:val="00584E3C"/>
    <w:rsid w:val="005854E1"/>
    <w:rsid w:val="005854EF"/>
    <w:rsid w:val="00585B55"/>
    <w:rsid w:val="00585C01"/>
    <w:rsid w:val="00586107"/>
    <w:rsid w:val="00586304"/>
    <w:rsid w:val="0058681F"/>
    <w:rsid w:val="005870C3"/>
    <w:rsid w:val="00587360"/>
    <w:rsid w:val="00587769"/>
    <w:rsid w:val="00587C48"/>
    <w:rsid w:val="00590120"/>
    <w:rsid w:val="005906AE"/>
    <w:rsid w:val="00590D40"/>
    <w:rsid w:val="0059135B"/>
    <w:rsid w:val="005919ED"/>
    <w:rsid w:val="00591C5E"/>
    <w:rsid w:val="00592011"/>
    <w:rsid w:val="00592666"/>
    <w:rsid w:val="00592E0A"/>
    <w:rsid w:val="005954AC"/>
    <w:rsid w:val="005954E1"/>
    <w:rsid w:val="00595E76"/>
    <w:rsid w:val="0059632A"/>
    <w:rsid w:val="00597960"/>
    <w:rsid w:val="005A07B1"/>
    <w:rsid w:val="005A0F8A"/>
    <w:rsid w:val="005A1148"/>
    <w:rsid w:val="005A12C9"/>
    <w:rsid w:val="005A1371"/>
    <w:rsid w:val="005A1910"/>
    <w:rsid w:val="005A1A34"/>
    <w:rsid w:val="005A2514"/>
    <w:rsid w:val="005A32BA"/>
    <w:rsid w:val="005A376D"/>
    <w:rsid w:val="005A3D50"/>
    <w:rsid w:val="005A46D1"/>
    <w:rsid w:val="005A4AC6"/>
    <w:rsid w:val="005A4E75"/>
    <w:rsid w:val="005A4F50"/>
    <w:rsid w:val="005A507A"/>
    <w:rsid w:val="005A53EB"/>
    <w:rsid w:val="005A6971"/>
    <w:rsid w:val="005B0A39"/>
    <w:rsid w:val="005B14FD"/>
    <w:rsid w:val="005B1C1C"/>
    <w:rsid w:val="005B1CFB"/>
    <w:rsid w:val="005B2212"/>
    <w:rsid w:val="005B24F5"/>
    <w:rsid w:val="005B29C0"/>
    <w:rsid w:val="005B2D3A"/>
    <w:rsid w:val="005B3C5A"/>
    <w:rsid w:val="005B484B"/>
    <w:rsid w:val="005B5963"/>
    <w:rsid w:val="005B6734"/>
    <w:rsid w:val="005B6828"/>
    <w:rsid w:val="005B6A8D"/>
    <w:rsid w:val="005B6B3D"/>
    <w:rsid w:val="005B6F08"/>
    <w:rsid w:val="005B6FB7"/>
    <w:rsid w:val="005B727D"/>
    <w:rsid w:val="005C09A6"/>
    <w:rsid w:val="005C09FD"/>
    <w:rsid w:val="005C1D5B"/>
    <w:rsid w:val="005C2903"/>
    <w:rsid w:val="005C296D"/>
    <w:rsid w:val="005C339C"/>
    <w:rsid w:val="005C341C"/>
    <w:rsid w:val="005C3616"/>
    <w:rsid w:val="005C36CB"/>
    <w:rsid w:val="005C3744"/>
    <w:rsid w:val="005C3C9A"/>
    <w:rsid w:val="005C4AAA"/>
    <w:rsid w:val="005C5489"/>
    <w:rsid w:val="005C57F9"/>
    <w:rsid w:val="005C5E3B"/>
    <w:rsid w:val="005C60B5"/>
    <w:rsid w:val="005C654F"/>
    <w:rsid w:val="005C74B2"/>
    <w:rsid w:val="005C7630"/>
    <w:rsid w:val="005C768B"/>
    <w:rsid w:val="005C773A"/>
    <w:rsid w:val="005D0735"/>
    <w:rsid w:val="005D0C52"/>
    <w:rsid w:val="005D113E"/>
    <w:rsid w:val="005D1DE4"/>
    <w:rsid w:val="005D27E2"/>
    <w:rsid w:val="005D655F"/>
    <w:rsid w:val="005D6CAB"/>
    <w:rsid w:val="005D7495"/>
    <w:rsid w:val="005D763A"/>
    <w:rsid w:val="005D78B7"/>
    <w:rsid w:val="005D791F"/>
    <w:rsid w:val="005D7AD8"/>
    <w:rsid w:val="005E0397"/>
    <w:rsid w:val="005E0676"/>
    <w:rsid w:val="005E08A7"/>
    <w:rsid w:val="005E1D31"/>
    <w:rsid w:val="005E3E9D"/>
    <w:rsid w:val="005E5330"/>
    <w:rsid w:val="005E53FA"/>
    <w:rsid w:val="005E5461"/>
    <w:rsid w:val="005E56C0"/>
    <w:rsid w:val="005E6037"/>
    <w:rsid w:val="005E6523"/>
    <w:rsid w:val="005E7A49"/>
    <w:rsid w:val="005F16BD"/>
    <w:rsid w:val="005F1710"/>
    <w:rsid w:val="005F17C5"/>
    <w:rsid w:val="005F29A3"/>
    <w:rsid w:val="005F325B"/>
    <w:rsid w:val="005F35FE"/>
    <w:rsid w:val="005F4617"/>
    <w:rsid w:val="005F5780"/>
    <w:rsid w:val="005F6618"/>
    <w:rsid w:val="005F67F3"/>
    <w:rsid w:val="005F69FA"/>
    <w:rsid w:val="005F6BCD"/>
    <w:rsid w:val="005F71B3"/>
    <w:rsid w:val="00600E34"/>
    <w:rsid w:val="006012B3"/>
    <w:rsid w:val="00602033"/>
    <w:rsid w:val="00604136"/>
    <w:rsid w:val="006046D8"/>
    <w:rsid w:val="006046E1"/>
    <w:rsid w:val="00604994"/>
    <w:rsid w:val="00604B10"/>
    <w:rsid w:val="00604C3C"/>
    <w:rsid w:val="00604CA8"/>
    <w:rsid w:val="00605A62"/>
    <w:rsid w:val="00605E3D"/>
    <w:rsid w:val="00606339"/>
    <w:rsid w:val="00606E01"/>
    <w:rsid w:val="00606ECC"/>
    <w:rsid w:val="00606F91"/>
    <w:rsid w:val="0060721B"/>
    <w:rsid w:val="006076D5"/>
    <w:rsid w:val="00610403"/>
    <w:rsid w:val="006109CC"/>
    <w:rsid w:val="00610CD3"/>
    <w:rsid w:val="00611BA8"/>
    <w:rsid w:val="0061248D"/>
    <w:rsid w:val="00612BA1"/>
    <w:rsid w:val="00612E69"/>
    <w:rsid w:val="0061356E"/>
    <w:rsid w:val="0061369A"/>
    <w:rsid w:val="00613953"/>
    <w:rsid w:val="00613A12"/>
    <w:rsid w:val="00613A84"/>
    <w:rsid w:val="00613C22"/>
    <w:rsid w:val="00613C37"/>
    <w:rsid w:val="006147C5"/>
    <w:rsid w:val="0061517C"/>
    <w:rsid w:val="00615A71"/>
    <w:rsid w:val="00615C74"/>
    <w:rsid w:val="006160C7"/>
    <w:rsid w:val="006164FF"/>
    <w:rsid w:val="00616B33"/>
    <w:rsid w:val="00617566"/>
    <w:rsid w:val="00617CAF"/>
    <w:rsid w:val="00617F75"/>
    <w:rsid w:val="0062009C"/>
    <w:rsid w:val="0062034C"/>
    <w:rsid w:val="00620766"/>
    <w:rsid w:val="00620A34"/>
    <w:rsid w:val="006210A8"/>
    <w:rsid w:val="0062176C"/>
    <w:rsid w:val="00621A24"/>
    <w:rsid w:val="006221E3"/>
    <w:rsid w:val="00622365"/>
    <w:rsid w:val="006227EF"/>
    <w:rsid w:val="0062292E"/>
    <w:rsid w:val="00622948"/>
    <w:rsid w:val="00622E3A"/>
    <w:rsid w:val="00623F5A"/>
    <w:rsid w:val="00623FBD"/>
    <w:rsid w:val="00624871"/>
    <w:rsid w:val="00624DFC"/>
    <w:rsid w:val="0062514F"/>
    <w:rsid w:val="006253AF"/>
    <w:rsid w:val="0062593B"/>
    <w:rsid w:val="00625BE3"/>
    <w:rsid w:val="00625C8E"/>
    <w:rsid w:val="00626126"/>
    <w:rsid w:val="00626678"/>
    <w:rsid w:val="00626868"/>
    <w:rsid w:val="00626C50"/>
    <w:rsid w:val="006274E9"/>
    <w:rsid w:val="006278B1"/>
    <w:rsid w:val="00627D5A"/>
    <w:rsid w:val="00627DB7"/>
    <w:rsid w:val="00627F44"/>
    <w:rsid w:val="0063016C"/>
    <w:rsid w:val="006310BC"/>
    <w:rsid w:val="006313DB"/>
    <w:rsid w:val="006321EE"/>
    <w:rsid w:val="0063254D"/>
    <w:rsid w:val="0063273A"/>
    <w:rsid w:val="00633521"/>
    <w:rsid w:val="006344C0"/>
    <w:rsid w:val="00634963"/>
    <w:rsid w:val="006351B3"/>
    <w:rsid w:val="0063530A"/>
    <w:rsid w:val="0063579D"/>
    <w:rsid w:val="0063580A"/>
    <w:rsid w:val="006358D6"/>
    <w:rsid w:val="00635B56"/>
    <w:rsid w:val="0063602E"/>
    <w:rsid w:val="006368FD"/>
    <w:rsid w:val="00637137"/>
    <w:rsid w:val="00637349"/>
    <w:rsid w:val="006374EA"/>
    <w:rsid w:val="006375B6"/>
    <w:rsid w:val="00637824"/>
    <w:rsid w:val="006378C9"/>
    <w:rsid w:val="006401CB"/>
    <w:rsid w:val="00640BF2"/>
    <w:rsid w:val="00640E0F"/>
    <w:rsid w:val="00641284"/>
    <w:rsid w:val="00643189"/>
    <w:rsid w:val="006433C2"/>
    <w:rsid w:val="006436AF"/>
    <w:rsid w:val="006438C4"/>
    <w:rsid w:val="00643BD7"/>
    <w:rsid w:val="006448D7"/>
    <w:rsid w:val="006449C1"/>
    <w:rsid w:val="00646CB9"/>
    <w:rsid w:val="006471F4"/>
    <w:rsid w:val="00647474"/>
    <w:rsid w:val="00647D56"/>
    <w:rsid w:val="00647D78"/>
    <w:rsid w:val="006507F4"/>
    <w:rsid w:val="006512B1"/>
    <w:rsid w:val="00651921"/>
    <w:rsid w:val="006520C8"/>
    <w:rsid w:val="00652177"/>
    <w:rsid w:val="0065257E"/>
    <w:rsid w:val="00652780"/>
    <w:rsid w:val="00652B69"/>
    <w:rsid w:val="00652EA4"/>
    <w:rsid w:val="00653FE4"/>
    <w:rsid w:val="006540B2"/>
    <w:rsid w:val="0065417B"/>
    <w:rsid w:val="0065510B"/>
    <w:rsid w:val="006552EE"/>
    <w:rsid w:val="00655605"/>
    <w:rsid w:val="00655A39"/>
    <w:rsid w:val="00655B89"/>
    <w:rsid w:val="006562B2"/>
    <w:rsid w:val="006565EC"/>
    <w:rsid w:val="00657006"/>
    <w:rsid w:val="006601F0"/>
    <w:rsid w:val="0066234C"/>
    <w:rsid w:val="006628F1"/>
    <w:rsid w:val="0066295F"/>
    <w:rsid w:val="0066352E"/>
    <w:rsid w:val="0066463A"/>
    <w:rsid w:val="00665476"/>
    <w:rsid w:val="0066565F"/>
    <w:rsid w:val="006657D3"/>
    <w:rsid w:val="00665B79"/>
    <w:rsid w:val="00667089"/>
    <w:rsid w:val="0066796D"/>
    <w:rsid w:val="00667BA3"/>
    <w:rsid w:val="00670BA4"/>
    <w:rsid w:val="00671092"/>
    <w:rsid w:val="006725FF"/>
    <w:rsid w:val="00672780"/>
    <w:rsid w:val="0067287E"/>
    <w:rsid w:val="00673AF7"/>
    <w:rsid w:val="00673FF7"/>
    <w:rsid w:val="00674D62"/>
    <w:rsid w:val="00674DD3"/>
    <w:rsid w:val="0067748A"/>
    <w:rsid w:val="006816F2"/>
    <w:rsid w:val="006827B4"/>
    <w:rsid w:val="006828B9"/>
    <w:rsid w:val="006828C3"/>
    <w:rsid w:val="00682943"/>
    <w:rsid w:val="00682DBF"/>
    <w:rsid w:val="0068311E"/>
    <w:rsid w:val="00683C75"/>
    <w:rsid w:val="006844D1"/>
    <w:rsid w:val="00684A8B"/>
    <w:rsid w:val="00684AE5"/>
    <w:rsid w:val="00685FAC"/>
    <w:rsid w:val="00686628"/>
    <w:rsid w:val="006869D9"/>
    <w:rsid w:val="00686F90"/>
    <w:rsid w:val="00687164"/>
    <w:rsid w:val="0068748F"/>
    <w:rsid w:val="006902D6"/>
    <w:rsid w:val="006903D9"/>
    <w:rsid w:val="00690B19"/>
    <w:rsid w:val="0069120C"/>
    <w:rsid w:val="00691D36"/>
    <w:rsid w:val="00693332"/>
    <w:rsid w:val="00693BA9"/>
    <w:rsid w:val="00693D4A"/>
    <w:rsid w:val="00694631"/>
    <w:rsid w:val="00694712"/>
    <w:rsid w:val="00695436"/>
    <w:rsid w:val="00695817"/>
    <w:rsid w:val="00695B36"/>
    <w:rsid w:val="00695EC3"/>
    <w:rsid w:val="0069663F"/>
    <w:rsid w:val="006971BB"/>
    <w:rsid w:val="006A0194"/>
    <w:rsid w:val="006A01C9"/>
    <w:rsid w:val="006A0FBB"/>
    <w:rsid w:val="006A1066"/>
    <w:rsid w:val="006A1466"/>
    <w:rsid w:val="006A1684"/>
    <w:rsid w:val="006A2B25"/>
    <w:rsid w:val="006A344E"/>
    <w:rsid w:val="006A3450"/>
    <w:rsid w:val="006A358D"/>
    <w:rsid w:val="006A398A"/>
    <w:rsid w:val="006A39F7"/>
    <w:rsid w:val="006A3AE7"/>
    <w:rsid w:val="006A4766"/>
    <w:rsid w:val="006A5A9E"/>
    <w:rsid w:val="006A5AA2"/>
    <w:rsid w:val="006A5C07"/>
    <w:rsid w:val="006A6A10"/>
    <w:rsid w:val="006A6CC7"/>
    <w:rsid w:val="006B0960"/>
    <w:rsid w:val="006B1E2E"/>
    <w:rsid w:val="006B30F6"/>
    <w:rsid w:val="006B3169"/>
    <w:rsid w:val="006B3571"/>
    <w:rsid w:val="006B3D54"/>
    <w:rsid w:val="006B4698"/>
    <w:rsid w:val="006B52A7"/>
    <w:rsid w:val="006B57E2"/>
    <w:rsid w:val="006B580F"/>
    <w:rsid w:val="006B5C94"/>
    <w:rsid w:val="006B6C2A"/>
    <w:rsid w:val="006B6D06"/>
    <w:rsid w:val="006B6D37"/>
    <w:rsid w:val="006B71D6"/>
    <w:rsid w:val="006B76B3"/>
    <w:rsid w:val="006C04FA"/>
    <w:rsid w:val="006C0837"/>
    <w:rsid w:val="006C127B"/>
    <w:rsid w:val="006C1ADD"/>
    <w:rsid w:val="006C1B41"/>
    <w:rsid w:val="006C3262"/>
    <w:rsid w:val="006C336D"/>
    <w:rsid w:val="006C3CE3"/>
    <w:rsid w:val="006C43D2"/>
    <w:rsid w:val="006C45C8"/>
    <w:rsid w:val="006C6318"/>
    <w:rsid w:val="006C65D5"/>
    <w:rsid w:val="006C6C80"/>
    <w:rsid w:val="006C7733"/>
    <w:rsid w:val="006D0BD3"/>
    <w:rsid w:val="006D0D5A"/>
    <w:rsid w:val="006D271B"/>
    <w:rsid w:val="006D2CEB"/>
    <w:rsid w:val="006D3077"/>
    <w:rsid w:val="006D3871"/>
    <w:rsid w:val="006D3B09"/>
    <w:rsid w:val="006D42AA"/>
    <w:rsid w:val="006D4387"/>
    <w:rsid w:val="006D4F8F"/>
    <w:rsid w:val="006D598D"/>
    <w:rsid w:val="006D5A91"/>
    <w:rsid w:val="006D63FA"/>
    <w:rsid w:val="006D657F"/>
    <w:rsid w:val="006D6B3C"/>
    <w:rsid w:val="006D77A6"/>
    <w:rsid w:val="006D7860"/>
    <w:rsid w:val="006D7ADD"/>
    <w:rsid w:val="006D7F99"/>
    <w:rsid w:val="006E05E7"/>
    <w:rsid w:val="006E067D"/>
    <w:rsid w:val="006E0C7E"/>
    <w:rsid w:val="006E1287"/>
    <w:rsid w:val="006E139D"/>
    <w:rsid w:val="006E2B3C"/>
    <w:rsid w:val="006E41BB"/>
    <w:rsid w:val="006E4F9B"/>
    <w:rsid w:val="006E5225"/>
    <w:rsid w:val="006E5F90"/>
    <w:rsid w:val="006E61FA"/>
    <w:rsid w:val="006E6466"/>
    <w:rsid w:val="006E6AAA"/>
    <w:rsid w:val="006E74CE"/>
    <w:rsid w:val="006F038C"/>
    <w:rsid w:val="006F0464"/>
    <w:rsid w:val="006F14F6"/>
    <w:rsid w:val="006F2099"/>
    <w:rsid w:val="006F2408"/>
    <w:rsid w:val="006F3806"/>
    <w:rsid w:val="006F4189"/>
    <w:rsid w:val="006F4704"/>
    <w:rsid w:val="006F4B57"/>
    <w:rsid w:val="006F57FE"/>
    <w:rsid w:val="006F5A02"/>
    <w:rsid w:val="006F5D99"/>
    <w:rsid w:val="006F6B99"/>
    <w:rsid w:val="006F722C"/>
    <w:rsid w:val="006F7D97"/>
    <w:rsid w:val="00700617"/>
    <w:rsid w:val="00701618"/>
    <w:rsid w:val="007022C0"/>
    <w:rsid w:val="00702454"/>
    <w:rsid w:val="0070247A"/>
    <w:rsid w:val="00702F1A"/>
    <w:rsid w:val="0070328C"/>
    <w:rsid w:val="007037B6"/>
    <w:rsid w:val="00703A1F"/>
    <w:rsid w:val="00703B41"/>
    <w:rsid w:val="00703E18"/>
    <w:rsid w:val="00704113"/>
    <w:rsid w:val="00705125"/>
    <w:rsid w:val="00705B95"/>
    <w:rsid w:val="00705C90"/>
    <w:rsid w:val="007063EB"/>
    <w:rsid w:val="00706602"/>
    <w:rsid w:val="007069A1"/>
    <w:rsid w:val="00706E0B"/>
    <w:rsid w:val="007071E3"/>
    <w:rsid w:val="00707300"/>
    <w:rsid w:val="00707458"/>
    <w:rsid w:val="00707935"/>
    <w:rsid w:val="00711B45"/>
    <w:rsid w:val="007120D6"/>
    <w:rsid w:val="00712616"/>
    <w:rsid w:val="0071390F"/>
    <w:rsid w:val="00714374"/>
    <w:rsid w:val="0071491F"/>
    <w:rsid w:val="0071599D"/>
    <w:rsid w:val="00715ADB"/>
    <w:rsid w:val="00716291"/>
    <w:rsid w:val="007172D2"/>
    <w:rsid w:val="007173E7"/>
    <w:rsid w:val="007204CF"/>
    <w:rsid w:val="00720707"/>
    <w:rsid w:val="00720951"/>
    <w:rsid w:val="00720A47"/>
    <w:rsid w:val="0072136A"/>
    <w:rsid w:val="007218C1"/>
    <w:rsid w:val="00721C7E"/>
    <w:rsid w:val="00722281"/>
    <w:rsid w:val="007227A3"/>
    <w:rsid w:val="00722CAC"/>
    <w:rsid w:val="00722E16"/>
    <w:rsid w:val="0072330E"/>
    <w:rsid w:val="007244E5"/>
    <w:rsid w:val="0072491D"/>
    <w:rsid w:val="00724D65"/>
    <w:rsid w:val="00725154"/>
    <w:rsid w:val="007251FF"/>
    <w:rsid w:val="0072524B"/>
    <w:rsid w:val="00725A44"/>
    <w:rsid w:val="00725D45"/>
    <w:rsid w:val="00727DD7"/>
    <w:rsid w:val="00727F20"/>
    <w:rsid w:val="007300C3"/>
    <w:rsid w:val="00730B4A"/>
    <w:rsid w:val="00731036"/>
    <w:rsid w:val="00731756"/>
    <w:rsid w:val="007317ED"/>
    <w:rsid w:val="00731F1F"/>
    <w:rsid w:val="00732650"/>
    <w:rsid w:val="0073298A"/>
    <w:rsid w:val="00732C78"/>
    <w:rsid w:val="007338C1"/>
    <w:rsid w:val="00733988"/>
    <w:rsid w:val="0073449C"/>
    <w:rsid w:val="00734B72"/>
    <w:rsid w:val="00734BF8"/>
    <w:rsid w:val="00735370"/>
    <w:rsid w:val="00735A6E"/>
    <w:rsid w:val="0073607D"/>
    <w:rsid w:val="007364ED"/>
    <w:rsid w:val="00736915"/>
    <w:rsid w:val="00736ECC"/>
    <w:rsid w:val="007409E0"/>
    <w:rsid w:val="00740B25"/>
    <w:rsid w:val="007414C8"/>
    <w:rsid w:val="00741877"/>
    <w:rsid w:val="00741A39"/>
    <w:rsid w:val="0074266D"/>
    <w:rsid w:val="00742CCE"/>
    <w:rsid w:val="00742E34"/>
    <w:rsid w:val="00742E77"/>
    <w:rsid w:val="00742FDB"/>
    <w:rsid w:val="0074352B"/>
    <w:rsid w:val="00743C01"/>
    <w:rsid w:val="00744274"/>
    <w:rsid w:val="00744723"/>
    <w:rsid w:val="0074481A"/>
    <w:rsid w:val="00744EF4"/>
    <w:rsid w:val="007452A5"/>
    <w:rsid w:val="00745745"/>
    <w:rsid w:val="00745874"/>
    <w:rsid w:val="00745BB2"/>
    <w:rsid w:val="007465DC"/>
    <w:rsid w:val="00746E28"/>
    <w:rsid w:val="00747710"/>
    <w:rsid w:val="0074794D"/>
    <w:rsid w:val="00747A1B"/>
    <w:rsid w:val="00747A2C"/>
    <w:rsid w:val="00750002"/>
    <w:rsid w:val="007502A7"/>
    <w:rsid w:val="00750816"/>
    <w:rsid w:val="00750819"/>
    <w:rsid w:val="00750826"/>
    <w:rsid w:val="00750883"/>
    <w:rsid w:val="00751203"/>
    <w:rsid w:val="00751218"/>
    <w:rsid w:val="0075188B"/>
    <w:rsid w:val="00752D27"/>
    <w:rsid w:val="00752E94"/>
    <w:rsid w:val="0075306C"/>
    <w:rsid w:val="00753214"/>
    <w:rsid w:val="00753B0E"/>
    <w:rsid w:val="00753F11"/>
    <w:rsid w:val="00754F96"/>
    <w:rsid w:val="0075586B"/>
    <w:rsid w:val="007559C9"/>
    <w:rsid w:val="00755E2C"/>
    <w:rsid w:val="00756563"/>
    <w:rsid w:val="007565F5"/>
    <w:rsid w:val="00757186"/>
    <w:rsid w:val="00757B7B"/>
    <w:rsid w:val="00757CC6"/>
    <w:rsid w:val="00757CF9"/>
    <w:rsid w:val="00760B7E"/>
    <w:rsid w:val="00760D38"/>
    <w:rsid w:val="007616CA"/>
    <w:rsid w:val="00761E6D"/>
    <w:rsid w:val="00762957"/>
    <w:rsid w:val="007629B0"/>
    <w:rsid w:val="00763667"/>
    <w:rsid w:val="00763E0C"/>
    <w:rsid w:val="007640F6"/>
    <w:rsid w:val="00765370"/>
    <w:rsid w:val="00765739"/>
    <w:rsid w:val="00766BFB"/>
    <w:rsid w:val="00766DEC"/>
    <w:rsid w:val="00767B63"/>
    <w:rsid w:val="00767FA3"/>
    <w:rsid w:val="00770878"/>
    <w:rsid w:val="00770B16"/>
    <w:rsid w:val="00770E22"/>
    <w:rsid w:val="00771988"/>
    <w:rsid w:val="007720AA"/>
    <w:rsid w:val="0077263B"/>
    <w:rsid w:val="007729F2"/>
    <w:rsid w:val="00772B2A"/>
    <w:rsid w:val="00773480"/>
    <w:rsid w:val="0077401E"/>
    <w:rsid w:val="00774BFA"/>
    <w:rsid w:val="0077537B"/>
    <w:rsid w:val="007756B4"/>
    <w:rsid w:val="00775A9D"/>
    <w:rsid w:val="00775E06"/>
    <w:rsid w:val="0077618A"/>
    <w:rsid w:val="00776350"/>
    <w:rsid w:val="00776970"/>
    <w:rsid w:val="00777321"/>
    <w:rsid w:val="00777371"/>
    <w:rsid w:val="00780249"/>
    <w:rsid w:val="007804AF"/>
    <w:rsid w:val="007808EB"/>
    <w:rsid w:val="00780E89"/>
    <w:rsid w:val="00781810"/>
    <w:rsid w:val="00781CAB"/>
    <w:rsid w:val="00782951"/>
    <w:rsid w:val="00782D2F"/>
    <w:rsid w:val="007831CD"/>
    <w:rsid w:val="0078327D"/>
    <w:rsid w:val="0078407E"/>
    <w:rsid w:val="0078409E"/>
    <w:rsid w:val="007846C1"/>
    <w:rsid w:val="007849AE"/>
    <w:rsid w:val="00784A08"/>
    <w:rsid w:val="00784E2E"/>
    <w:rsid w:val="00787B4B"/>
    <w:rsid w:val="0079009C"/>
    <w:rsid w:val="00790495"/>
    <w:rsid w:val="00790AA2"/>
    <w:rsid w:val="007923CD"/>
    <w:rsid w:val="00792F5C"/>
    <w:rsid w:val="00793120"/>
    <w:rsid w:val="00793CC3"/>
    <w:rsid w:val="00793E4B"/>
    <w:rsid w:val="00794365"/>
    <w:rsid w:val="007947BB"/>
    <w:rsid w:val="0079510A"/>
    <w:rsid w:val="00795863"/>
    <w:rsid w:val="007974B6"/>
    <w:rsid w:val="007A0071"/>
    <w:rsid w:val="007A0AD3"/>
    <w:rsid w:val="007A182C"/>
    <w:rsid w:val="007A201C"/>
    <w:rsid w:val="007A2A43"/>
    <w:rsid w:val="007A2E23"/>
    <w:rsid w:val="007A32DC"/>
    <w:rsid w:val="007A3A3A"/>
    <w:rsid w:val="007A3E59"/>
    <w:rsid w:val="007A46E8"/>
    <w:rsid w:val="007A497C"/>
    <w:rsid w:val="007A5343"/>
    <w:rsid w:val="007A5E30"/>
    <w:rsid w:val="007A73EF"/>
    <w:rsid w:val="007B1938"/>
    <w:rsid w:val="007B1C9B"/>
    <w:rsid w:val="007B3E9A"/>
    <w:rsid w:val="007B499C"/>
    <w:rsid w:val="007B4BFB"/>
    <w:rsid w:val="007B56EA"/>
    <w:rsid w:val="007B57C5"/>
    <w:rsid w:val="007B5963"/>
    <w:rsid w:val="007B6E12"/>
    <w:rsid w:val="007B7F69"/>
    <w:rsid w:val="007C057D"/>
    <w:rsid w:val="007C1D3C"/>
    <w:rsid w:val="007C37A3"/>
    <w:rsid w:val="007C3803"/>
    <w:rsid w:val="007C3BB1"/>
    <w:rsid w:val="007C4351"/>
    <w:rsid w:val="007C476A"/>
    <w:rsid w:val="007C521B"/>
    <w:rsid w:val="007C5251"/>
    <w:rsid w:val="007C58E0"/>
    <w:rsid w:val="007C5D2F"/>
    <w:rsid w:val="007C5F8D"/>
    <w:rsid w:val="007C68BC"/>
    <w:rsid w:val="007C6EFE"/>
    <w:rsid w:val="007C71E8"/>
    <w:rsid w:val="007C77A1"/>
    <w:rsid w:val="007C7BE1"/>
    <w:rsid w:val="007D0957"/>
    <w:rsid w:val="007D09B0"/>
    <w:rsid w:val="007D0E9F"/>
    <w:rsid w:val="007D0F1E"/>
    <w:rsid w:val="007D1F16"/>
    <w:rsid w:val="007D254A"/>
    <w:rsid w:val="007D2CCF"/>
    <w:rsid w:val="007D333F"/>
    <w:rsid w:val="007D38B8"/>
    <w:rsid w:val="007D3AF4"/>
    <w:rsid w:val="007D3F73"/>
    <w:rsid w:val="007D443B"/>
    <w:rsid w:val="007D492A"/>
    <w:rsid w:val="007D4B77"/>
    <w:rsid w:val="007D516D"/>
    <w:rsid w:val="007D541E"/>
    <w:rsid w:val="007D6012"/>
    <w:rsid w:val="007D611B"/>
    <w:rsid w:val="007D66A8"/>
    <w:rsid w:val="007D6BD0"/>
    <w:rsid w:val="007D767C"/>
    <w:rsid w:val="007D77CB"/>
    <w:rsid w:val="007D7944"/>
    <w:rsid w:val="007D7A0E"/>
    <w:rsid w:val="007D7BE7"/>
    <w:rsid w:val="007E0C31"/>
    <w:rsid w:val="007E205F"/>
    <w:rsid w:val="007E283C"/>
    <w:rsid w:val="007E3576"/>
    <w:rsid w:val="007E3BD6"/>
    <w:rsid w:val="007E438C"/>
    <w:rsid w:val="007E4455"/>
    <w:rsid w:val="007E570F"/>
    <w:rsid w:val="007E5BD1"/>
    <w:rsid w:val="007E6545"/>
    <w:rsid w:val="007E6781"/>
    <w:rsid w:val="007E6FA0"/>
    <w:rsid w:val="007E7249"/>
    <w:rsid w:val="007E72FB"/>
    <w:rsid w:val="007E76FE"/>
    <w:rsid w:val="007E798A"/>
    <w:rsid w:val="007E7B3F"/>
    <w:rsid w:val="007E7C36"/>
    <w:rsid w:val="007E7E58"/>
    <w:rsid w:val="007F1CA6"/>
    <w:rsid w:val="007F1E8A"/>
    <w:rsid w:val="007F1F8B"/>
    <w:rsid w:val="007F2D35"/>
    <w:rsid w:val="007F31F5"/>
    <w:rsid w:val="007F3252"/>
    <w:rsid w:val="007F4D0E"/>
    <w:rsid w:val="007F4F76"/>
    <w:rsid w:val="007F5540"/>
    <w:rsid w:val="007F55E1"/>
    <w:rsid w:val="007F58C8"/>
    <w:rsid w:val="007F58DA"/>
    <w:rsid w:val="007F7F42"/>
    <w:rsid w:val="00800133"/>
    <w:rsid w:val="008005C8"/>
    <w:rsid w:val="0080080A"/>
    <w:rsid w:val="00800C4F"/>
    <w:rsid w:val="0080111D"/>
    <w:rsid w:val="0080132C"/>
    <w:rsid w:val="008022E1"/>
    <w:rsid w:val="00803553"/>
    <w:rsid w:val="00803BF7"/>
    <w:rsid w:val="00803DD0"/>
    <w:rsid w:val="0080474F"/>
    <w:rsid w:val="008048AB"/>
    <w:rsid w:val="00804E7B"/>
    <w:rsid w:val="008051D7"/>
    <w:rsid w:val="008056A3"/>
    <w:rsid w:val="00806052"/>
    <w:rsid w:val="00807605"/>
    <w:rsid w:val="00807B96"/>
    <w:rsid w:val="0081025B"/>
    <w:rsid w:val="00810B62"/>
    <w:rsid w:val="00810DC9"/>
    <w:rsid w:val="00810E83"/>
    <w:rsid w:val="008110B3"/>
    <w:rsid w:val="0081167A"/>
    <w:rsid w:val="00811AD3"/>
    <w:rsid w:val="00811CAC"/>
    <w:rsid w:val="00813473"/>
    <w:rsid w:val="00813D11"/>
    <w:rsid w:val="00813EA5"/>
    <w:rsid w:val="00814DB4"/>
    <w:rsid w:val="00814E14"/>
    <w:rsid w:val="00814F18"/>
    <w:rsid w:val="00815000"/>
    <w:rsid w:val="00815D35"/>
    <w:rsid w:val="00815E5E"/>
    <w:rsid w:val="008162FC"/>
    <w:rsid w:val="00816ABF"/>
    <w:rsid w:val="00817A46"/>
    <w:rsid w:val="008213F1"/>
    <w:rsid w:val="0082171F"/>
    <w:rsid w:val="008217C5"/>
    <w:rsid w:val="00821E18"/>
    <w:rsid w:val="00822648"/>
    <w:rsid w:val="0082315C"/>
    <w:rsid w:val="008234D8"/>
    <w:rsid w:val="00824344"/>
    <w:rsid w:val="008243A3"/>
    <w:rsid w:val="00824894"/>
    <w:rsid w:val="00824D19"/>
    <w:rsid w:val="008252CC"/>
    <w:rsid w:val="008255FE"/>
    <w:rsid w:val="0082581D"/>
    <w:rsid w:val="0082602E"/>
    <w:rsid w:val="0082615F"/>
    <w:rsid w:val="008267E7"/>
    <w:rsid w:val="00827C1C"/>
    <w:rsid w:val="00830FCC"/>
    <w:rsid w:val="008312D6"/>
    <w:rsid w:val="00831DEA"/>
    <w:rsid w:val="00832163"/>
    <w:rsid w:val="008327EB"/>
    <w:rsid w:val="008331AB"/>
    <w:rsid w:val="0083461D"/>
    <w:rsid w:val="00834835"/>
    <w:rsid w:val="00834938"/>
    <w:rsid w:val="00834C1E"/>
    <w:rsid w:val="00834E68"/>
    <w:rsid w:val="00834F5F"/>
    <w:rsid w:val="008357C6"/>
    <w:rsid w:val="00835E68"/>
    <w:rsid w:val="00835F78"/>
    <w:rsid w:val="0083751C"/>
    <w:rsid w:val="008378FC"/>
    <w:rsid w:val="00837ED8"/>
    <w:rsid w:val="00840D42"/>
    <w:rsid w:val="00840DD7"/>
    <w:rsid w:val="00841191"/>
    <w:rsid w:val="008412EA"/>
    <w:rsid w:val="0084154A"/>
    <w:rsid w:val="00842762"/>
    <w:rsid w:val="00842D92"/>
    <w:rsid w:val="0084332D"/>
    <w:rsid w:val="00843896"/>
    <w:rsid w:val="0084476E"/>
    <w:rsid w:val="00845A61"/>
    <w:rsid w:val="00845E91"/>
    <w:rsid w:val="0084601D"/>
    <w:rsid w:val="008467D3"/>
    <w:rsid w:val="00847049"/>
    <w:rsid w:val="008470D2"/>
    <w:rsid w:val="00850734"/>
    <w:rsid w:val="00850939"/>
    <w:rsid w:val="0085158E"/>
    <w:rsid w:val="00852118"/>
    <w:rsid w:val="00852969"/>
    <w:rsid w:val="00852A4E"/>
    <w:rsid w:val="00853279"/>
    <w:rsid w:val="00853720"/>
    <w:rsid w:val="00853E37"/>
    <w:rsid w:val="008545D7"/>
    <w:rsid w:val="008548A5"/>
    <w:rsid w:val="00854DEB"/>
    <w:rsid w:val="008574D9"/>
    <w:rsid w:val="0085769D"/>
    <w:rsid w:val="00861748"/>
    <w:rsid w:val="00861DD5"/>
    <w:rsid w:val="008620D9"/>
    <w:rsid w:val="00862F54"/>
    <w:rsid w:val="00863919"/>
    <w:rsid w:val="008640E9"/>
    <w:rsid w:val="00864B2A"/>
    <w:rsid w:val="00865F14"/>
    <w:rsid w:val="00865FC1"/>
    <w:rsid w:val="008666F6"/>
    <w:rsid w:val="008675CD"/>
    <w:rsid w:val="008679D8"/>
    <w:rsid w:val="00870312"/>
    <w:rsid w:val="00870492"/>
    <w:rsid w:val="008707AC"/>
    <w:rsid w:val="008721D1"/>
    <w:rsid w:val="00872E28"/>
    <w:rsid w:val="00872FCF"/>
    <w:rsid w:val="00873B5E"/>
    <w:rsid w:val="00873E07"/>
    <w:rsid w:val="00873E74"/>
    <w:rsid w:val="0087627C"/>
    <w:rsid w:val="00876391"/>
    <w:rsid w:val="00876D37"/>
    <w:rsid w:val="008773AF"/>
    <w:rsid w:val="0087758D"/>
    <w:rsid w:val="00877A7E"/>
    <w:rsid w:val="00880AA0"/>
    <w:rsid w:val="00880C94"/>
    <w:rsid w:val="00880E23"/>
    <w:rsid w:val="008810B3"/>
    <w:rsid w:val="0088151C"/>
    <w:rsid w:val="00881543"/>
    <w:rsid w:val="008817D9"/>
    <w:rsid w:val="008819A5"/>
    <w:rsid w:val="00882EDF"/>
    <w:rsid w:val="00883112"/>
    <w:rsid w:val="0088344B"/>
    <w:rsid w:val="00883789"/>
    <w:rsid w:val="008837CA"/>
    <w:rsid w:val="00883A84"/>
    <w:rsid w:val="00883D8A"/>
    <w:rsid w:val="0088433D"/>
    <w:rsid w:val="0088491B"/>
    <w:rsid w:val="008850B3"/>
    <w:rsid w:val="008857EC"/>
    <w:rsid w:val="00885F43"/>
    <w:rsid w:val="00886913"/>
    <w:rsid w:val="00886F39"/>
    <w:rsid w:val="008878C5"/>
    <w:rsid w:val="00887AEB"/>
    <w:rsid w:val="00890E5A"/>
    <w:rsid w:val="008913C1"/>
    <w:rsid w:val="00891566"/>
    <w:rsid w:val="00891B37"/>
    <w:rsid w:val="00891E54"/>
    <w:rsid w:val="0089221B"/>
    <w:rsid w:val="00892EFD"/>
    <w:rsid w:val="00893270"/>
    <w:rsid w:val="00893C50"/>
    <w:rsid w:val="00893D16"/>
    <w:rsid w:val="00893E77"/>
    <w:rsid w:val="00893F70"/>
    <w:rsid w:val="008943C6"/>
    <w:rsid w:val="0089537A"/>
    <w:rsid w:val="00895B68"/>
    <w:rsid w:val="0089653B"/>
    <w:rsid w:val="008968A8"/>
    <w:rsid w:val="0089699F"/>
    <w:rsid w:val="008971FF"/>
    <w:rsid w:val="0089772E"/>
    <w:rsid w:val="0089776F"/>
    <w:rsid w:val="00897DDA"/>
    <w:rsid w:val="00897FE8"/>
    <w:rsid w:val="008A03C4"/>
    <w:rsid w:val="008A0552"/>
    <w:rsid w:val="008A07BB"/>
    <w:rsid w:val="008A1336"/>
    <w:rsid w:val="008A1590"/>
    <w:rsid w:val="008A2631"/>
    <w:rsid w:val="008A26F4"/>
    <w:rsid w:val="008A2D78"/>
    <w:rsid w:val="008A33B8"/>
    <w:rsid w:val="008A376A"/>
    <w:rsid w:val="008A37BE"/>
    <w:rsid w:val="008A39E3"/>
    <w:rsid w:val="008A3A25"/>
    <w:rsid w:val="008A49B6"/>
    <w:rsid w:val="008A502C"/>
    <w:rsid w:val="008A67C7"/>
    <w:rsid w:val="008A7317"/>
    <w:rsid w:val="008B054D"/>
    <w:rsid w:val="008B0785"/>
    <w:rsid w:val="008B10CA"/>
    <w:rsid w:val="008B10D9"/>
    <w:rsid w:val="008B1ED5"/>
    <w:rsid w:val="008B2019"/>
    <w:rsid w:val="008B2B66"/>
    <w:rsid w:val="008B33A6"/>
    <w:rsid w:val="008B3F12"/>
    <w:rsid w:val="008B3F1B"/>
    <w:rsid w:val="008B4B04"/>
    <w:rsid w:val="008B4B63"/>
    <w:rsid w:val="008B4EA0"/>
    <w:rsid w:val="008B63D9"/>
    <w:rsid w:val="008B6B47"/>
    <w:rsid w:val="008B707A"/>
    <w:rsid w:val="008B74C6"/>
    <w:rsid w:val="008B7825"/>
    <w:rsid w:val="008C0B58"/>
    <w:rsid w:val="008C28F9"/>
    <w:rsid w:val="008C2AF7"/>
    <w:rsid w:val="008C3813"/>
    <w:rsid w:val="008C383D"/>
    <w:rsid w:val="008C3C68"/>
    <w:rsid w:val="008C3D49"/>
    <w:rsid w:val="008C5040"/>
    <w:rsid w:val="008C59EE"/>
    <w:rsid w:val="008C5AC6"/>
    <w:rsid w:val="008C6077"/>
    <w:rsid w:val="008C73FF"/>
    <w:rsid w:val="008C75F2"/>
    <w:rsid w:val="008C7978"/>
    <w:rsid w:val="008C7BFF"/>
    <w:rsid w:val="008D0075"/>
    <w:rsid w:val="008D072F"/>
    <w:rsid w:val="008D0BA0"/>
    <w:rsid w:val="008D18F7"/>
    <w:rsid w:val="008D1EAF"/>
    <w:rsid w:val="008D2072"/>
    <w:rsid w:val="008D223E"/>
    <w:rsid w:val="008D25B6"/>
    <w:rsid w:val="008D3198"/>
    <w:rsid w:val="008D4563"/>
    <w:rsid w:val="008D5754"/>
    <w:rsid w:val="008D57B4"/>
    <w:rsid w:val="008D5D64"/>
    <w:rsid w:val="008D6077"/>
    <w:rsid w:val="008D66B9"/>
    <w:rsid w:val="008D6AB7"/>
    <w:rsid w:val="008D6EED"/>
    <w:rsid w:val="008D7649"/>
    <w:rsid w:val="008D7BC9"/>
    <w:rsid w:val="008D7D82"/>
    <w:rsid w:val="008D7DE2"/>
    <w:rsid w:val="008E036A"/>
    <w:rsid w:val="008E0F48"/>
    <w:rsid w:val="008E14EE"/>
    <w:rsid w:val="008E1516"/>
    <w:rsid w:val="008E19AA"/>
    <w:rsid w:val="008E2EB5"/>
    <w:rsid w:val="008E3104"/>
    <w:rsid w:val="008E3C92"/>
    <w:rsid w:val="008E3EB1"/>
    <w:rsid w:val="008E3EF9"/>
    <w:rsid w:val="008E4119"/>
    <w:rsid w:val="008E47B1"/>
    <w:rsid w:val="008E5353"/>
    <w:rsid w:val="008E5AF4"/>
    <w:rsid w:val="008E5C1C"/>
    <w:rsid w:val="008E5FC1"/>
    <w:rsid w:val="008E63EC"/>
    <w:rsid w:val="008E6B66"/>
    <w:rsid w:val="008E6E9B"/>
    <w:rsid w:val="008E7131"/>
    <w:rsid w:val="008E72AE"/>
    <w:rsid w:val="008E75FC"/>
    <w:rsid w:val="008E790D"/>
    <w:rsid w:val="008F042A"/>
    <w:rsid w:val="008F0433"/>
    <w:rsid w:val="008F0C02"/>
    <w:rsid w:val="008F18E5"/>
    <w:rsid w:val="008F1BEC"/>
    <w:rsid w:val="008F2B9A"/>
    <w:rsid w:val="008F2BB6"/>
    <w:rsid w:val="008F2CD7"/>
    <w:rsid w:val="008F2FD2"/>
    <w:rsid w:val="008F37ED"/>
    <w:rsid w:val="008F41B4"/>
    <w:rsid w:val="008F4E28"/>
    <w:rsid w:val="008F50C0"/>
    <w:rsid w:val="008F52A3"/>
    <w:rsid w:val="008F5698"/>
    <w:rsid w:val="008F598A"/>
    <w:rsid w:val="008F5CF9"/>
    <w:rsid w:val="008F5D81"/>
    <w:rsid w:val="008F6358"/>
    <w:rsid w:val="008F7445"/>
    <w:rsid w:val="0090037B"/>
    <w:rsid w:val="00900766"/>
    <w:rsid w:val="009014E6"/>
    <w:rsid w:val="009015BF"/>
    <w:rsid w:val="009022C8"/>
    <w:rsid w:val="009028C7"/>
    <w:rsid w:val="00903017"/>
    <w:rsid w:val="009030A8"/>
    <w:rsid w:val="009045D9"/>
    <w:rsid w:val="00904A96"/>
    <w:rsid w:val="00905731"/>
    <w:rsid w:val="00905CD3"/>
    <w:rsid w:val="00906273"/>
    <w:rsid w:val="00906F57"/>
    <w:rsid w:val="00907287"/>
    <w:rsid w:val="00910DA9"/>
    <w:rsid w:val="009116CD"/>
    <w:rsid w:val="00911859"/>
    <w:rsid w:val="009120A0"/>
    <w:rsid w:val="00912DE4"/>
    <w:rsid w:val="00913049"/>
    <w:rsid w:val="0091328C"/>
    <w:rsid w:val="009134D0"/>
    <w:rsid w:val="009136EB"/>
    <w:rsid w:val="0091410C"/>
    <w:rsid w:val="009141E6"/>
    <w:rsid w:val="00914382"/>
    <w:rsid w:val="009151FF"/>
    <w:rsid w:val="0091559E"/>
    <w:rsid w:val="00915E9C"/>
    <w:rsid w:val="0091615E"/>
    <w:rsid w:val="00916502"/>
    <w:rsid w:val="00916D23"/>
    <w:rsid w:val="00916D98"/>
    <w:rsid w:val="009171E9"/>
    <w:rsid w:val="00917A51"/>
    <w:rsid w:val="00920653"/>
    <w:rsid w:val="00920C10"/>
    <w:rsid w:val="0092148B"/>
    <w:rsid w:val="00921C72"/>
    <w:rsid w:val="0092223A"/>
    <w:rsid w:val="009225AD"/>
    <w:rsid w:val="00922924"/>
    <w:rsid w:val="00922D68"/>
    <w:rsid w:val="00923C53"/>
    <w:rsid w:val="00924183"/>
    <w:rsid w:val="00924691"/>
    <w:rsid w:val="0092510D"/>
    <w:rsid w:val="009254F2"/>
    <w:rsid w:val="0092668B"/>
    <w:rsid w:val="00926B00"/>
    <w:rsid w:val="00926D85"/>
    <w:rsid w:val="0092726E"/>
    <w:rsid w:val="00927419"/>
    <w:rsid w:val="00927523"/>
    <w:rsid w:val="009303B8"/>
    <w:rsid w:val="00930ACB"/>
    <w:rsid w:val="009312EB"/>
    <w:rsid w:val="0093164F"/>
    <w:rsid w:val="009319E6"/>
    <w:rsid w:val="00931C56"/>
    <w:rsid w:val="00932229"/>
    <w:rsid w:val="0093236C"/>
    <w:rsid w:val="00932B18"/>
    <w:rsid w:val="00932E05"/>
    <w:rsid w:val="00932FFB"/>
    <w:rsid w:val="009336D0"/>
    <w:rsid w:val="00933728"/>
    <w:rsid w:val="0093382D"/>
    <w:rsid w:val="00933A2A"/>
    <w:rsid w:val="009344F6"/>
    <w:rsid w:val="00934522"/>
    <w:rsid w:val="00934E9F"/>
    <w:rsid w:val="009359D9"/>
    <w:rsid w:val="0093604D"/>
    <w:rsid w:val="0093710E"/>
    <w:rsid w:val="00937CA2"/>
    <w:rsid w:val="00940190"/>
    <w:rsid w:val="00940EAF"/>
    <w:rsid w:val="0094168E"/>
    <w:rsid w:val="00941A10"/>
    <w:rsid w:val="00941A51"/>
    <w:rsid w:val="00941D86"/>
    <w:rsid w:val="00941E85"/>
    <w:rsid w:val="00942234"/>
    <w:rsid w:val="00942B7B"/>
    <w:rsid w:val="00943786"/>
    <w:rsid w:val="009444A0"/>
    <w:rsid w:val="0094452C"/>
    <w:rsid w:val="009456CD"/>
    <w:rsid w:val="00945C6C"/>
    <w:rsid w:val="00945E00"/>
    <w:rsid w:val="00947A3A"/>
    <w:rsid w:val="00947BD7"/>
    <w:rsid w:val="00950783"/>
    <w:rsid w:val="0095087B"/>
    <w:rsid w:val="009509E1"/>
    <w:rsid w:val="009511AD"/>
    <w:rsid w:val="00951ABF"/>
    <w:rsid w:val="00951EA6"/>
    <w:rsid w:val="009521B7"/>
    <w:rsid w:val="009522D1"/>
    <w:rsid w:val="00952EAC"/>
    <w:rsid w:val="00952F0D"/>
    <w:rsid w:val="00952F1C"/>
    <w:rsid w:val="00953057"/>
    <w:rsid w:val="00953162"/>
    <w:rsid w:val="009531B1"/>
    <w:rsid w:val="00953733"/>
    <w:rsid w:val="00953B33"/>
    <w:rsid w:val="00953E5E"/>
    <w:rsid w:val="00954036"/>
    <w:rsid w:val="0095432E"/>
    <w:rsid w:val="00955A08"/>
    <w:rsid w:val="00955C03"/>
    <w:rsid w:val="00956836"/>
    <w:rsid w:val="0095689A"/>
    <w:rsid w:val="009568AE"/>
    <w:rsid w:val="009569F2"/>
    <w:rsid w:val="00956AA7"/>
    <w:rsid w:val="0095773F"/>
    <w:rsid w:val="00957D20"/>
    <w:rsid w:val="009601E6"/>
    <w:rsid w:val="009603AF"/>
    <w:rsid w:val="009604AC"/>
    <w:rsid w:val="009609A9"/>
    <w:rsid w:val="00960D79"/>
    <w:rsid w:val="00960F45"/>
    <w:rsid w:val="00961094"/>
    <w:rsid w:val="00961630"/>
    <w:rsid w:val="0096213B"/>
    <w:rsid w:val="009629D6"/>
    <w:rsid w:val="00962E0E"/>
    <w:rsid w:val="009635D5"/>
    <w:rsid w:val="009639D7"/>
    <w:rsid w:val="00964692"/>
    <w:rsid w:val="00964831"/>
    <w:rsid w:val="00964CD9"/>
    <w:rsid w:val="0096544B"/>
    <w:rsid w:val="00965896"/>
    <w:rsid w:val="00966A0A"/>
    <w:rsid w:val="00966AA0"/>
    <w:rsid w:val="00966C06"/>
    <w:rsid w:val="00966E65"/>
    <w:rsid w:val="0096729F"/>
    <w:rsid w:val="009672C6"/>
    <w:rsid w:val="00967DB8"/>
    <w:rsid w:val="00967E93"/>
    <w:rsid w:val="00970484"/>
    <w:rsid w:val="0097071C"/>
    <w:rsid w:val="00970C2A"/>
    <w:rsid w:val="009725F3"/>
    <w:rsid w:val="009731CB"/>
    <w:rsid w:val="009736A2"/>
    <w:rsid w:val="00975161"/>
    <w:rsid w:val="009758E0"/>
    <w:rsid w:val="0097632C"/>
    <w:rsid w:val="009764AA"/>
    <w:rsid w:val="00976EDA"/>
    <w:rsid w:val="0097773B"/>
    <w:rsid w:val="009777ED"/>
    <w:rsid w:val="00980AAA"/>
    <w:rsid w:val="00980F37"/>
    <w:rsid w:val="00980FB2"/>
    <w:rsid w:val="00981E33"/>
    <w:rsid w:val="00982417"/>
    <w:rsid w:val="009824D5"/>
    <w:rsid w:val="009827C3"/>
    <w:rsid w:val="00982B01"/>
    <w:rsid w:val="0098342E"/>
    <w:rsid w:val="00983A5D"/>
    <w:rsid w:val="0098444D"/>
    <w:rsid w:val="009851A1"/>
    <w:rsid w:val="0098557C"/>
    <w:rsid w:val="00986354"/>
    <w:rsid w:val="00986837"/>
    <w:rsid w:val="009869AF"/>
    <w:rsid w:val="0098780C"/>
    <w:rsid w:val="00990211"/>
    <w:rsid w:val="0099092A"/>
    <w:rsid w:val="00990E13"/>
    <w:rsid w:val="00991F5D"/>
    <w:rsid w:val="00992979"/>
    <w:rsid w:val="00992EA3"/>
    <w:rsid w:val="00993C31"/>
    <w:rsid w:val="00993E99"/>
    <w:rsid w:val="00994389"/>
    <w:rsid w:val="009948D7"/>
    <w:rsid w:val="009955FD"/>
    <w:rsid w:val="00995DD3"/>
    <w:rsid w:val="00995FEC"/>
    <w:rsid w:val="009979E4"/>
    <w:rsid w:val="009A0EB0"/>
    <w:rsid w:val="009A1E12"/>
    <w:rsid w:val="009A2251"/>
    <w:rsid w:val="009A2D40"/>
    <w:rsid w:val="009A3623"/>
    <w:rsid w:val="009A36F2"/>
    <w:rsid w:val="009A3F53"/>
    <w:rsid w:val="009A4770"/>
    <w:rsid w:val="009A4EE1"/>
    <w:rsid w:val="009A55AE"/>
    <w:rsid w:val="009A5612"/>
    <w:rsid w:val="009A59F4"/>
    <w:rsid w:val="009A617C"/>
    <w:rsid w:val="009A63FC"/>
    <w:rsid w:val="009A6C08"/>
    <w:rsid w:val="009A6C15"/>
    <w:rsid w:val="009A6F1C"/>
    <w:rsid w:val="009A771A"/>
    <w:rsid w:val="009B03AC"/>
    <w:rsid w:val="009B29F5"/>
    <w:rsid w:val="009B2BEB"/>
    <w:rsid w:val="009B2E94"/>
    <w:rsid w:val="009B3167"/>
    <w:rsid w:val="009B3326"/>
    <w:rsid w:val="009B34A8"/>
    <w:rsid w:val="009B4B67"/>
    <w:rsid w:val="009B5096"/>
    <w:rsid w:val="009B52CA"/>
    <w:rsid w:val="009B5575"/>
    <w:rsid w:val="009B5700"/>
    <w:rsid w:val="009B6300"/>
    <w:rsid w:val="009B6A48"/>
    <w:rsid w:val="009B6C9A"/>
    <w:rsid w:val="009B7073"/>
    <w:rsid w:val="009B711E"/>
    <w:rsid w:val="009B7422"/>
    <w:rsid w:val="009B7EA1"/>
    <w:rsid w:val="009B7FAB"/>
    <w:rsid w:val="009C0CAC"/>
    <w:rsid w:val="009C0E67"/>
    <w:rsid w:val="009C0EF6"/>
    <w:rsid w:val="009C14B1"/>
    <w:rsid w:val="009C1F8E"/>
    <w:rsid w:val="009C3114"/>
    <w:rsid w:val="009C31DF"/>
    <w:rsid w:val="009C3773"/>
    <w:rsid w:val="009C3AC8"/>
    <w:rsid w:val="009C3E2D"/>
    <w:rsid w:val="009C51AE"/>
    <w:rsid w:val="009C545E"/>
    <w:rsid w:val="009C59D7"/>
    <w:rsid w:val="009C6171"/>
    <w:rsid w:val="009C62F5"/>
    <w:rsid w:val="009C6C2F"/>
    <w:rsid w:val="009C73FF"/>
    <w:rsid w:val="009C7421"/>
    <w:rsid w:val="009C7953"/>
    <w:rsid w:val="009D05E6"/>
    <w:rsid w:val="009D241F"/>
    <w:rsid w:val="009D2A98"/>
    <w:rsid w:val="009D439A"/>
    <w:rsid w:val="009D4C0F"/>
    <w:rsid w:val="009D526D"/>
    <w:rsid w:val="009D5DBC"/>
    <w:rsid w:val="009D5DD8"/>
    <w:rsid w:val="009D60B6"/>
    <w:rsid w:val="009D61DF"/>
    <w:rsid w:val="009D6635"/>
    <w:rsid w:val="009D67A2"/>
    <w:rsid w:val="009D67E2"/>
    <w:rsid w:val="009D6FD5"/>
    <w:rsid w:val="009D70F6"/>
    <w:rsid w:val="009D71A8"/>
    <w:rsid w:val="009E08C3"/>
    <w:rsid w:val="009E18FC"/>
    <w:rsid w:val="009E2455"/>
    <w:rsid w:val="009E2995"/>
    <w:rsid w:val="009E2D8B"/>
    <w:rsid w:val="009E4FFF"/>
    <w:rsid w:val="009E52C7"/>
    <w:rsid w:val="009E5D21"/>
    <w:rsid w:val="009E661D"/>
    <w:rsid w:val="009E7F03"/>
    <w:rsid w:val="009E7FEB"/>
    <w:rsid w:val="009F0CB7"/>
    <w:rsid w:val="009F0CCE"/>
    <w:rsid w:val="009F2DD4"/>
    <w:rsid w:val="009F2FF4"/>
    <w:rsid w:val="009F32AF"/>
    <w:rsid w:val="009F39EA"/>
    <w:rsid w:val="009F3BAF"/>
    <w:rsid w:val="009F3D8F"/>
    <w:rsid w:val="009F3E12"/>
    <w:rsid w:val="009F4C9F"/>
    <w:rsid w:val="009F5053"/>
    <w:rsid w:val="009F5764"/>
    <w:rsid w:val="009F59A0"/>
    <w:rsid w:val="009F6AF8"/>
    <w:rsid w:val="009F6BD0"/>
    <w:rsid w:val="009F6FAB"/>
    <w:rsid w:val="009F72B6"/>
    <w:rsid w:val="009F7FD9"/>
    <w:rsid w:val="00A00723"/>
    <w:rsid w:val="00A007C6"/>
    <w:rsid w:val="00A014B4"/>
    <w:rsid w:val="00A01960"/>
    <w:rsid w:val="00A01B33"/>
    <w:rsid w:val="00A02ACD"/>
    <w:rsid w:val="00A02C04"/>
    <w:rsid w:val="00A02FA4"/>
    <w:rsid w:val="00A05559"/>
    <w:rsid w:val="00A0565F"/>
    <w:rsid w:val="00A06BDE"/>
    <w:rsid w:val="00A06D7A"/>
    <w:rsid w:val="00A10063"/>
    <w:rsid w:val="00A1017A"/>
    <w:rsid w:val="00A107EE"/>
    <w:rsid w:val="00A11131"/>
    <w:rsid w:val="00A1297E"/>
    <w:rsid w:val="00A13244"/>
    <w:rsid w:val="00A15C9E"/>
    <w:rsid w:val="00A15D02"/>
    <w:rsid w:val="00A1763C"/>
    <w:rsid w:val="00A203C4"/>
    <w:rsid w:val="00A204C9"/>
    <w:rsid w:val="00A20B10"/>
    <w:rsid w:val="00A2102B"/>
    <w:rsid w:val="00A213EB"/>
    <w:rsid w:val="00A21A61"/>
    <w:rsid w:val="00A21DB4"/>
    <w:rsid w:val="00A21F8C"/>
    <w:rsid w:val="00A221DD"/>
    <w:rsid w:val="00A2255B"/>
    <w:rsid w:val="00A22970"/>
    <w:rsid w:val="00A22FCB"/>
    <w:rsid w:val="00A23295"/>
    <w:rsid w:val="00A24349"/>
    <w:rsid w:val="00A254FD"/>
    <w:rsid w:val="00A2765F"/>
    <w:rsid w:val="00A27A48"/>
    <w:rsid w:val="00A30201"/>
    <w:rsid w:val="00A303A0"/>
    <w:rsid w:val="00A308DD"/>
    <w:rsid w:val="00A31127"/>
    <w:rsid w:val="00A31D3D"/>
    <w:rsid w:val="00A329CF"/>
    <w:rsid w:val="00A32F57"/>
    <w:rsid w:val="00A33004"/>
    <w:rsid w:val="00A33487"/>
    <w:rsid w:val="00A334C3"/>
    <w:rsid w:val="00A33755"/>
    <w:rsid w:val="00A33CE7"/>
    <w:rsid w:val="00A33CF6"/>
    <w:rsid w:val="00A33FE5"/>
    <w:rsid w:val="00A34E7F"/>
    <w:rsid w:val="00A35799"/>
    <w:rsid w:val="00A35E98"/>
    <w:rsid w:val="00A4004A"/>
    <w:rsid w:val="00A404DF"/>
    <w:rsid w:val="00A40AFF"/>
    <w:rsid w:val="00A40EFF"/>
    <w:rsid w:val="00A413C4"/>
    <w:rsid w:val="00A41510"/>
    <w:rsid w:val="00A418C6"/>
    <w:rsid w:val="00A41AD4"/>
    <w:rsid w:val="00A41EFC"/>
    <w:rsid w:val="00A42678"/>
    <w:rsid w:val="00A42C23"/>
    <w:rsid w:val="00A42C41"/>
    <w:rsid w:val="00A42CE3"/>
    <w:rsid w:val="00A43399"/>
    <w:rsid w:val="00A43DE1"/>
    <w:rsid w:val="00A440F3"/>
    <w:rsid w:val="00A4540D"/>
    <w:rsid w:val="00A45FE9"/>
    <w:rsid w:val="00A46238"/>
    <w:rsid w:val="00A46F5C"/>
    <w:rsid w:val="00A4723C"/>
    <w:rsid w:val="00A50273"/>
    <w:rsid w:val="00A50D9E"/>
    <w:rsid w:val="00A51A8C"/>
    <w:rsid w:val="00A51CE6"/>
    <w:rsid w:val="00A527A3"/>
    <w:rsid w:val="00A52911"/>
    <w:rsid w:val="00A52988"/>
    <w:rsid w:val="00A53382"/>
    <w:rsid w:val="00A53529"/>
    <w:rsid w:val="00A535B3"/>
    <w:rsid w:val="00A53DCE"/>
    <w:rsid w:val="00A54816"/>
    <w:rsid w:val="00A559E6"/>
    <w:rsid w:val="00A56642"/>
    <w:rsid w:val="00A56CB0"/>
    <w:rsid w:val="00A5792D"/>
    <w:rsid w:val="00A57A1E"/>
    <w:rsid w:val="00A57C22"/>
    <w:rsid w:val="00A60785"/>
    <w:rsid w:val="00A60FFB"/>
    <w:rsid w:val="00A61824"/>
    <w:rsid w:val="00A619F3"/>
    <w:rsid w:val="00A622CF"/>
    <w:rsid w:val="00A62A5E"/>
    <w:rsid w:val="00A62B1B"/>
    <w:rsid w:val="00A648EB"/>
    <w:rsid w:val="00A64C33"/>
    <w:rsid w:val="00A652FD"/>
    <w:rsid w:val="00A65631"/>
    <w:rsid w:val="00A6567E"/>
    <w:rsid w:val="00A65C83"/>
    <w:rsid w:val="00A66AFF"/>
    <w:rsid w:val="00A66E30"/>
    <w:rsid w:val="00A67AF2"/>
    <w:rsid w:val="00A7108E"/>
    <w:rsid w:val="00A71C51"/>
    <w:rsid w:val="00A72F26"/>
    <w:rsid w:val="00A73204"/>
    <w:rsid w:val="00A73C19"/>
    <w:rsid w:val="00A73E93"/>
    <w:rsid w:val="00A74088"/>
    <w:rsid w:val="00A74409"/>
    <w:rsid w:val="00A7466E"/>
    <w:rsid w:val="00A7468A"/>
    <w:rsid w:val="00A75387"/>
    <w:rsid w:val="00A7594A"/>
    <w:rsid w:val="00A7685E"/>
    <w:rsid w:val="00A771D3"/>
    <w:rsid w:val="00A77355"/>
    <w:rsid w:val="00A77750"/>
    <w:rsid w:val="00A77CC1"/>
    <w:rsid w:val="00A77D60"/>
    <w:rsid w:val="00A77E8C"/>
    <w:rsid w:val="00A80B6F"/>
    <w:rsid w:val="00A81DAA"/>
    <w:rsid w:val="00A8201A"/>
    <w:rsid w:val="00A82594"/>
    <w:rsid w:val="00A83DF3"/>
    <w:rsid w:val="00A84924"/>
    <w:rsid w:val="00A84A1B"/>
    <w:rsid w:val="00A84A84"/>
    <w:rsid w:val="00A84AE9"/>
    <w:rsid w:val="00A84E88"/>
    <w:rsid w:val="00A85A03"/>
    <w:rsid w:val="00A86556"/>
    <w:rsid w:val="00A865E5"/>
    <w:rsid w:val="00A86F6D"/>
    <w:rsid w:val="00A870FE"/>
    <w:rsid w:val="00A90E4B"/>
    <w:rsid w:val="00A92173"/>
    <w:rsid w:val="00A92442"/>
    <w:rsid w:val="00A92752"/>
    <w:rsid w:val="00A9280D"/>
    <w:rsid w:val="00A93E3E"/>
    <w:rsid w:val="00A94CC3"/>
    <w:rsid w:val="00A94CFF"/>
    <w:rsid w:val="00A94E5B"/>
    <w:rsid w:val="00A95445"/>
    <w:rsid w:val="00A9551C"/>
    <w:rsid w:val="00A95A0B"/>
    <w:rsid w:val="00A95A71"/>
    <w:rsid w:val="00A95B12"/>
    <w:rsid w:val="00A977C6"/>
    <w:rsid w:val="00A979E9"/>
    <w:rsid w:val="00AA005B"/>
    <w:rsid w:val="00AA08E2"/>
    <w:rsid w:val="00AA09FD"/>
    <w:rsid w:val="00AA0BB4"/>
    <w:rsid w:val="00AA0CD3"/>
    <w:rsid w:val="00AA113F"/>
    <w:rsid w:val="00AA19DC"/>
    <w:rsid w:val="00AA235C"/>
    <w:rsid w:val="00AA2F62"/>
    <w:rsid w:val="00AA3898"/>
    <w:rsid w:val="00AA392F"/>
    <w:rsid w:val="00AA5AA7"/>
    <w:rsid w:val="00AA5F00"/>
    <w:rsid w:val="00AA62E2"/>
    <w:rsid w:val="00AA66E7"/>
    <w:rsid w:val="00AA6FCF"/>
    <w:rsid w:val="00AA7253"/>
    <w:rsid w:val="00AA74A5"/>
    <w:rsid w:val="00AA7CB5"/>
    <w:rsid w:val="00AA7EAE"/>
    <w:rsid w:val="00AB0442"/>
    <w:rsid w:val="00AB158E"/>
    <w:rsid w:val="00AB18F7"/>
    <w:rsid w:val="00AB1A21"/>
    <w:rsid w:val="00AB1ED5"/>
    <w:rsid w:val="00AB208F"/>
    <w:rsid w:val="00AB2580"/>
    <w:rsid w:val="00AB2B72"/>
    <w:rsid w:val="00AB2E81"/>
    <w:rsid w:val="00AB3C55"/>
    <w:rsid w:val="00AB5387"/>
    <w:rsid w:val="00AB5626"/>
    <w:rsid w:val="00AB5F3C"/>
    <w:rsid w:val="00AB5F7C"/>
    <w:rsid w:val="00AB7813"/>
    <w:rsid w:val="00AC0F05"/>
    <w:rsid w:val="00AC1880"/>
    <w:rsid w:val="00AC1E1C"/>
    <w:rsid w:val="00AC3819"/>
    <w:rsid w:val="00AC3B1C"/>
    <w:rsid w:val="00AC4666"/>
    <w:rsid w:val="00AC4952"/>
    <w:rsid w:val="00AC4B2E"/>
    <w:rsid w:val="00AC4E6D"/>
    <w:rsid w:val="00AC608D"/>
    <w:rsid w:val="00AC7399"/>
    <w:rsid w:val="00AC78B6"/>
    <w:rsid w:val="00AD0299"/>
    <w:rsid w:val="00AD0962"/>
    <w:rsid w:val="00AD1169"/>
    <w:rsid w:val="00AD19CE"/>
    <w:rsid w:val="00AD1E9E"/>
    <w:rsid w:val="00AD2AA4"/>
    <w:rsid w:val="00AD2F9B"/>
    <w:rsid w:val="00AD3AC1"/>
    <w:rsid w:val="00AD41E4"/>
    <w:rsid w:val="00AD4284"/>
    <w:rsid w:val="00AD4408"/>
    <w:rsid w:val="00AD440F"/>
    <w:rsid w:val="00AD5779"/>
    <w:rsid w:val="00AD58FE"/>
    <w:rsid w:val="00AD5AF3"/>
    <w:rsid w:val="00AD5C53"/>
    <w:rsid w:val="00AD612D"/>
    <w:rsid w:val="00AD7219"/>
    <w:rsid w:val="00AD7701"/>
    <w:rsid w:val="00AD7CD5"/>
    <w:rsid w:val="00AE07E9"/>
    <w:rsid w:val="00AE08CA"/>
    <w:rsid w:val="00AE0F1E"/>
    <w:rsid w:val="00AE1281"/>
    <w:rsid w:val="00AE1F7A"/>
    <w:rsid w:val="00AE3A66"/>
    <w:rsid w:val="00AE3D8E"/>
    <w:rsid w:val="00AE4469"/>
    <w:rsid w:val="00AE4540"/>
    <w:rsid w:val="00AE5604"/>
    <w:rsid w:val="00AE569F"/>
    <w:rsid w:val="00AE56E5"/>
    <w:rsid w:val="00AE6160"/>
    <w:rsid w:val="00AE673D"/>
    <w:rsid w:val="00AE75CC"/>
    <w:rsid w:val="00AF1B51"/>
    <w:rsid w:val="00AF1B61"/>
    <w:rsid w:val="00AF1E1F"/>
    <w:rsid w:val="00AF2860"/>
    <w:rsid w:val="00AF2A79"/>
    <w:rsid w:val="00AF3166"/>
    <w:rsid w:val="00AF41A6"/>
    <w:rsid w:val="00AF4288"/>
    <w:rsid w:val="00AF42B7"/>
    <w:rsid w:val="00AF46A2"/>
    <w:rsid w:val="00AF4749"/>
    <w:rsid w:val="00AF4DAA"/>
    <w:rsid w:val="00AF6E57"/>
    <w:rsid w:val="00AF7396"/>
    <w:rsid w:val="00AF748C"/>
    <w:rsid w:val="00B000DC"/>
    <w:rsid w:val="00B002BA"/>
    <w:rsid w:val="00B00D9C"/>
    <w:rsid w:val="00B00E1C"/>
    <w:rsid w:val="00B0113D"/>
    <w:rsid w:val="00B01306"/>
    <w:rsid w:val="00B01AC5"/>
    <w:rsid w:val="00B027D1"/>
    <w:rsid w:val="00B0297A"/>
    <w:rsid w:val="00B02C9C"/>
    <w:rsid w:val="00B03757"/>
    <w:rsid w:val="00B03B73"/>
    <w:rsid w:val="00B04B07"/>
    <w:rsid w:val="00B04D1B"/>
    <w:rsid w:val="00B0518C"/>
    <w:rsid w:val="00B05F00"/>
    <w:rsid w:val="00B05F98"/>
    <w:rsid w:val="00B06760"/>
    <w:rsid w:val="00B077C8"/>
    <w:rsid w:val="00B100F8"/>
    <w:rsid w:val="00B102FF"/>
    <w:rsid w:val="00B104DE"/>
    <w:rsid w:val="00B10A2C"/>
    <w:rsid w:val="00B10C87"/>
    <w:rsid w:val="00B10CB4"/>
    <w:rsid w:val="00B110D6"/>
    <w:rsid w:val="00B11211"/>
    <w:rsid w:val="00B124EE"/>
    <w:rsid w:val="00B12596"/>
    <w:rsid w:val="00B13217"/>
    <w:rsid w:val="00B13479"/>
    <w:rsid w:val="00B160F6"/>
    <w:rsid w:val="00B16192"/>
    <w:rsid w:val="00B1705B"/>
    <w:rsid w:val="00B17CCC"/>
    <w:rsid w:val="00B17D7F"/>
    <w:rsid w:val="00B17D8F"/>
    <w:rsid w:val="00B20B69"/>
    <w:rsid w:val="00B217ED"/>
    <w:rsid w:val="00B2189B"/>
    <w:rsid w:val="00B2275B"/>
    <w:rsid w:val="00B23123"/>
    <w:rsid w:val="00B2364B"/>
    <w:rsid w:val="00B23AED"/>
    <w:rsid w:val="00B23B79"/>
    <w:rsid w:val="00B24EC8"/>
    <w:rsid w:val="00B25292"/>
    <w:rsid w:val="00B25FA5"/>
    <w:rsid w:val="00B261B8"/>
    <w:rsid w:val="00B265D4"/>
    <w:rsid w:val="00B26623"/>
    <w:rsid w:val="00B2673A"/>
    <w:rsid w:val="00B2673C"/>
    <w:rsid w:val="00B26BB5"/>
    <w:rsid w:val="00B2718A"/>
    <w:rsid w:val="00B31FCC"/>
    <w:rsid w:val="00B3295E"/>
    <w:rsid w:val="00B33350"/>
    <w:rsid w:val="00B3364B"/>
    <w:rsid w:val="00B343B4"/>
    <w:rsid w:val="00B35C49"/>
    <w:rsid w:val="00B3722F"/>
    <w:rsid w:val="00B37837"/>
    <w:rsid w:val="00B4051A"/>
    <w:rsid w:val="00B40D3B"/>
    <w:rsid w:val="00B40E50"/>
    <w:rsid w:val="00B412A4"/>
    <w:rsid w:val="00B416DF"/>
    <w:rsid w:val="00B41BEB"/>
    <w:rsid w:val="00B41E0F"/>
    <w:rsid w:val="00B41FC1"/>
    <w:rsid w:val="00B42A45"/>
    <w:rsid w:val="00B42A98"/>
    <w:rsid w:val="00B42D28"/>
    <w:rsid w:val="00B4367A"/>
    <w:rsid w:val="00B43CCA"/>
    <w:rsid w:val="00B44E63"/>
    <w:rsid w:val="00B44EB5"/>
    <w:rsid w:val="00B45000"/>
    <w:rsid w:val="00B45A64"/>
    <w:rsid w:val="00B45EF4"/>
    <w:rsid w:val="00B50D1F"/>
    <w:rsid w:val="00B51EF6"/>
    <w:rsid w:val="00B52049"/>
    <w:rsid w:val="00B52979"/>
    <w:rsid w:val="00B52DE6"/>
    <w:rsid w:val="00B52F69"/>
    <w:rsid w:val="00B52F7B"/>
    <w:rsid w:val="00B53D15"/>
    <w:rsid w:val="00B53E71"/>
    <w:rsid w:val="00B53FC8"/>
    <w:rsid w:val="00B55E0A"/>
    <w:rsid w:val="00B561E0"/>
    <w:rsid w:val="00B566EE"/>
    <w:rsid w:val="00B57709"/>
    <w:rsid w:val="00B578F9"/>
    <w:rsid w:val="00B57CB2"/>
    <w:rsid w:val="00B61272"/>
    <w:rsid w:val="00B613B3"/>
    <w:rsid w:val="00B61676"/>
    <w:rsid w:val="00B61E0A"/>
    <w:rsid w:val="00B627A4"/>
    <w:rsid w:val="00B62F91"/>
    <w:rsid w:val="00B631DA"/>
    <w:rsid w:val="00B638F6"/>
    <w:rsid w:val="00B63A6C"/>
    <w:rsid w:val="00B642F8"/>
    <w:rsid w:val="00B65197"/>
    <w:rsid w:val="00B65BB0"/>
    <w:rsid w:val="00B65FA0"/>
    <w:rsid w:val="00B664B1"/>
    <w:rsid w:val="00B66532"/>
    <w:rsid w:val="00B66A0B"/>
    <w:rsid w:val="00B66F8F"/>
    <w:rsid w:val="00B6724E"/>
    <w:rsid w:val="00B67824"/>
    <w:rsid w:val="00B6787C"/>
    <w:rsid w:val="00B67D4E"/>
    <w:rsid w:val="00B709C9"/>
    <w:rsid w:val="00B719F5"/>
    <w:rsid w:val="00B71E05"/>
    <w:rsid w:val="00B729AC"/>
    <w:rsid w:val="00B735D2"/>
    <w:rsid w:val="00B73A9D"/>
    <w:rsid w:val="00B74527"/>
    <w:rsid w:val="00B745AE"/>
    <w:rsid w:val="00B756EF"/>
    <w:rsid w:val="00B75742"/>
    <w:rsid w:val="00B75D2B"/>
    <w:rsid w:val="00B763C9"/>
    <w:rsid w:val="00B77122"/>
    <w:rsid w:val="00B772FF"/>
    <w:rsid w:val="00B77A93"/>
    <w:rsid w:val="00B77E00"/>
    <w:rsid w:val="00B77F87"/>
    <w:rsid w:val="00B81372"/>
    <w:rsid w:val="00B82221"/>
    <w:rsid w:val="00B82298"/>
    <w:rsid w:val="00B8260B"/>
    <w:rsid w:val="00B82AC2"/>
    <w:rsid w:val="00B831C5"/>
    <w:rsid w:val="00B834BB"/>
    <w:rsid w:val="00B8397C"/>
    <w:rsid w:val="00B83C3B"/>
    <w:rsid w:val="00B84873"/>
    <w:rsid w:val="00B84FF1"/>
    <w:rsid w:val="00B8561F"/>
    <w:rsid w:val="00B867B2"/>
    <w:rsid w:val="00B86B3E"/>
    <w:rsid w:val="00B86DD4"/>
    <w:rsid w:val="00B87449"/>
    <w:rsid w:val="00B876E3"/>
    <w:rsid w:val="00B90968"/>
    <w:rsid w:val="00B9144A"/>
    <w:rsid w:val="00B91619"/>
    <w:rsid w:val="00B94BD1"/>
    <w:rsid w:val="00B94E5F"/>
    <w:rsid w:val="00B94F3C"/>
    <w:rsid w:val="00B95533"/>
    <w:rsid w:val="00B95926"/>
    <w:rsid w:val="00B95D99"/>
    <w:rsid w:val="00B96155"/>
    <w:rsid w:val="00B96382"/>
    <w:rsid w:val="00B963CB"/>
    <w:rsid w:val="00B96DB1"/>
    <w:rsid w:val="00B97495"/>
    <w:rsid w:val="00B97D42"/>
    <w:rsid w:val="00B97D57"/>
    <w:rsid w:val="00BA0A24"/>
    <w:rsid w:val="00BA0D74"/>
    <w:rsid w:val="00BA0DB7"/>
    <w:rsid w:val="00BA1155"/>
    <w:rsid w:val="00BA14D8"/>
    <w:rsid w:val="00BA194E"/>
    <w:rsid w:val="00BA2440"/>
    <w:rsid w:val="00BA2933"/>
    <w:rsid w:val="00BA2BB8"/>
    <w:rsid w:val="00BA2D7A"/>
    <w:rsid w:val="00BA31E7"/>
    <w:rsid w:val="00BA3C6C"/>
    <w:rsid w:val="00BA3E58"/>
    <w:rsid w:val="00BA3F59"/>
    <w:rsid w:val="00BA4164"/>
    <w:rsid w:val="00BA4421"/>
    <w:rsid w:val="00BA44F6"/>
    <w:rsid w:val="00BA55AC"/>
    <w:rsid w:val="00BA5DF0"/>
    <w:rsid w:val="00BA5E1C"/>
    <w:rsid w:val="00BA67DF"/>
    <w:rsid w:val="00BA68DB"/>
    <w:rsid w:val="00BA6E90"/>
    <w:rsid w:val="00BA6FB9"/>
    <w:rsid w:val="00BA70E2"/>
    <w:rsid w:val="00BA711B"/>
    <w:rsid w:val="00BA7990"/>
    <w:rsid w:val="00BB0D2C"/>
    <w:rsid w:val="00BB1D4E"/>
    <w:rsid w:val="00BB3057"/>
    <w:rsid w:val="00BB35E2"/>
    <w:rsid w:val="00BB3B5B"/>
    <w:rsid w:val="00BB427C"/>
    <w:rsid w:val="00BB45AB"/>
    <w:rsid w:val="00BB4D08"/>
    <w:rsid w:val="00BB6F9A"/>
    <w:rsid w:val="00BB757F"/>
    <w:rsid w:val="00BC118F"/>
    <w:rsid w:val="00BC17E6"/>
    <w:rsid w:val="00BC1995"/>
    <w:rsid w:val="00BC2000"/>
    <w:rsid w:val="00BC235A"/>
    <w:rsid w:val="00BC4E7B"/>
    <w:rsid w:val="00BC52E7"/>
    <w:rsid w:val="00BC6A89"/>
    <w:rsid w:val="00BC6BDC"/>
    <w:rsid w:val="00BC6C68"/>
    <w:rsid w:val="00BC79FB"/>
    <w:rsid w:val="00BC7ACC"/>
    <w:rsid w:val="00BD1B32"/>
    <w:rsid w:val="00BD1DFF"/>
    <w:rsid w:val="00BD25BC"/>
    <w:rsid w:val="00BD3497"/>
    <w:rsid w:val="00BD4533"/>
    <w:rsid w:val="00BD566B"/>
    <w:rsid w:val="00BD5A34"/>
    <w:rsid w:val="00BD5AEB"/>
    <w:rsid w:val="00BD5B54"/>
    <w:rsid w:val="00BD740A"/>
    <w:rsid w:val="00BD7853"/>
    <w:rsid w:val="00BD7E5F"/>
    <w:rsid w:val="00BD7E8E"/>
    <w:rsid w:val="00BE0FF1"/>
    <w:rsid w:val="00BE1AF8"/>
    <w:rsid w:val="00BE1B0E"/>
    <w:rsid w:val="00BE1CC3"/>
    <w:rsid w:val="00BE1F12"/>
    <w:rsid w:val="00BE2944"/>
    <w:rsid w:val="00BE2DB4"/>
    <w:rsid w:val="00BE32D6"/>
    <w:rsid w:val="00BE367F"/>
    <w:rsid w:val="00BE5222"/>
    <w:rsid w:val="00BE5488"/>
    <w:rsid w:val="00BE5552"/>
    <w:rsid w:val="00BE63AE"/>
    <w:rsid w:val="00BE699E"/>
    <w:rsid w:val="00BE6EA6"/>
    <w:rsid w:val="00BE7237"/>
    <w:rsid w:val="00BE7245"/>
    <w:rsid w:val="00BE7319"/>
    <w:rsid w:val="00BE79F3"/>
    <w:rsid w:val="00BE7D2B"/>
    <w:rsid w:val="00BF0138"/>
    <w:rsid w:val="00BF03DF"/>
    <w:rsid w:val="00BF0966"/>
    <w:rsid w:val="00BF104A"/>
    <w:rsid w:val="00BF16D9"/>
    <w:rsid w:val="00BF1894"/>
    <w:rsid w:val="00BF1C70"/>
    <w:rsid w:val="00BF22D7"/>
    <w:rsid w:val="00BF2E23"/>
    <w:rsid w:val="00BF54C7"/>
    <w:rsid w:val="00BF5610"/>
    <w:rsid w:val="00BF5745"/>
    <w:rsid w:val="00BF5CC8"/>
    <w:rsid w:val="00BF5E8D"/>
    <w:rsid w:val="00BF641A"/>
    <w:rsid w:val="00BF6D80"/>
    <w:rsid w:val="00BF6DBE"/>
    <w:rsid w:val="00BF7887"/>
    <w:rsid w:val="00BF7D01"/>
    <w:rsid w:val="00C00B8D"/>
    <w:rsid w:val="00C010FA"/>
    <w:rsid w:val="00C0111C"/>
    <w:rsid w:val="00C01183"/>
    <w:rsid w:val="00C01375"/>
    <w:rsid w:val="00C01394"/>
    <w:rsid w:val="00C013DF"/>
    <w:rsid w:val="00C0145E"/>
    <w:rsid w:val="00C026CC"/>
    <w:rsid w:val="00C02DF7"/>
    <w:rsid w:val="00C03953"/>
    <w:rsid w:val="00C041F7"/>
    <w:rsid w:val="00C04427"/>
    <w:rsid w:val="00C0447D"/>
    <w:rsid w:val="00C04C2A"/>
    <w:rsid w:val="00C0593D"/>
    <w:rsid w:val="00C05B17"/>
    <w:rsid w:val="00C05BB8"/>
    <w:rsid w:val="00C05FF4"/>
    <w:rsid w:val="00C065C0"/>
    <w:rsid w:val="00C06F64"/>
    <w:rsid w:val="00C078F9"/>
    <w:rsid w:val="00C07B17"/>
    <w:rsid w:val="00C1030B"/>
    <w:rsid w:val="00C10B95"/>
    <w:rsid w:val="00C10E59"/>
    <w:rsid w:val="00C111A6"/>
    <w:rsid w:val="00C11296"/>
    <w:rsid w:val="00C114E7"/>
    <w:rsid w:val="00C11512"/>
    <w:rsid w:val="00C119CD"/>
    <w:rsid w:val="00C11BBF"/>
    <w:rsid w:val="00C11D4C"/>
    <w:rsid w:val="00C1235D"/>
    <w:rsid w:val="00C12BFB"/>
    <w:rsid w:val="00C12CED"/>
    <w:rsid w:val="00C12CFD"/>
    <w:rsid w:val="00C12E22"/>
    <w:rsid w:val="00C13049"/>
    <w:rsid w:val="00C13648"/>
    <w:rsid w:val="00C138EC"/>
    <w:rsid w:val="00C139CE"/>
    <w:rsid w:val="00C14572"/>
    <w:rsid w:val="00C14BD5"/>
    <w:rsid w:val="00C15135"/>
    <w:rsid w:val="00C1557A"/>
    <w:rsid w:val="00C1589C"/>
    <w:rsid w:val="00C15D89"/>
    <w:rsid w:val="00C168D7"/>
    <w:rsid w:val="00C2009F"/>
    <w:rsid w:val="00C21F68"/>
    <w:rsid w:val="00C221C3"/>
    <w:rsid w:val="00C2225B"/>
    <w:rsid w:val="00C22934"/>
    <w:rsid w:val="00C23306"/>
    <w:rsid w:val="00C2346B"/>
    <w:rsid w:val="00C238A2"/>
    <w:rsid w:val="00C23CB7"/>
    <w:rsid w:val="00C25209"/>
    <w:rsid w:val="00C252BE"/>
    <w:rsid w:val="00C254DA"/>
    <w:rsid w:val="00C265D2"/>
    <w:rsid w:val="00C26B0A"/>
    <w:rsid w:val="00C279A5"/>
    <w:rsid w:val="00C27E0E"/>
    <w:rsid w:val="00C3010C"/>
    <w:rsid w:val="00C309C5"/>
    <w:rsid w:val="00C30AC5"/>
    <w:rsid w:val="00C310C6"/>
    <w:rsid w:val="00C3130F"/>
    <w:rsid w:val="00C315E8"/>
    <w:rsid w:val="00C31A8C"/>
    <w:rsid w:val="00C32448"/>
    <w:rsid w:val="00C329B3"/>
    <w:rsid w:val="00C32A7D"/>
    <w:rsid w:val="00C32CB2"/>
    <w:rsid w:val="00C330F5"/>
    <w:rsid w:val="00C3348F"/>
    <w:rsid w:val="00C337AC"/>
    <w:rsid w:val="00C341CF"/>
    <w:rsid w:val="00C341ED"/>
    <w:rsid w:val="00C34279"/>
    <w:rsid w:val="00C34C0A"/>
    <w:rsid w:val="00C34C75"/>
    <w:rsid w:val="00C36FEC"/>
    <w:rsid w:val="00C375D5"/>
    <w:rsid w:val="00C37DFF"/>
    <w:rsid w:val="00C40A8C"/>
    <w:rsid w:val="00C414E3"/>
    <w:rsid w:val="00C41556"/>
    <w:rsid w:val="00C41DC6"/>
    <w:rsid w:val="00C42406"/>
    <w:rsid w:val="00C42AD1"/>
    <w:rsid w:val="00C42CE3"/>
    <w:rsid w:val="00C42D37"/>
    <w:rsid w:val="00C431D9"/>
    <w:rsid w:val="00C437D2"/>
    <w:rsid w:val="00C4393E"/>
    <w:rsid w:val="00C43CE8"/>
    <w:rsid w:val="00C43F4F"/>
    <w:rsid w:val="00C44440"/>
    <w:rsid w:val="00C44D0B"/>
    <w:rsid w:val="00C4520D"/>
    <w:rsid w:val="00C4631C"/>
    <w:rsid w:val="00C50B84"/>
    <w:rsid w:val="00C5108A"/>
    <w:rsid w:val="00C512A4"/>
    <w:rsid w:val="00C522F2"/>
    <w:rsid w:val="00C52411"/>
    <w:rsid w:val="00C5246A"/>
    <w:rsid w:val="00C52E63"/>
    <w:rsid w:val="00C53802"/>
    <w:rsid w:val="00C53D8A"/>
    <w:rsid w:val="00C54840"/>
    <w:rsid w:val="00C5561D"/>
    <w:rsid w:val="00C55AE5"/>
    <w:rsid w:val="00C56496"/>
    <w:rsid w:val="00C56FFE"/>
    <w:rsid w:val="00C5702F"/>
    <w:rsid w:val="00C577B3"/>
    <w:rsid w:val="00C57FAC"/>
    <w:rsid w:val="00C60E87"/>
    <w:rsid w:val="00C6137E"/>
    <w:rsid w:val="00C613D8"/>
    <w:rsid w:val="00C61914"/>
    <w:rsid w:val="00C61C75"/>
    <w:rsid w:val="00C6299F"/>
    <w:rsid w:val="00C62F97"/>
    <w:rsid w:val="00C659AB"/>
    <w:rsid w:val="00C65C37"/>
    <w:rsid w:val="00C65E2C"/>
    <w:rsid w:val="00C6620A"/>
    <w:rsid w:val="00C662D5"/>
    <w:rsid w:val="00C668F4"/>
    <w:rsid w:val="00C6710D"/>
    <w:rsid w:val="00C672B0"/>
    <w:rsid w:val="00C67CDA"/>
    <w:rsid w:val="00C67EEC"/>
    <w:rsid w:val="00C70EBC"/>
    <w:rsid w:val="00C7126E"/>
    <w:rsid w:val="00C712E7"/>
    <w:rsid w:val="00C71B8D"/>
    <w:rsid w:val="00C728AB"/>
    <w:rsid w:val="00C735A0"/>
    <w:rsid w:val="00C743B7"/>
    <w:rsid w:val="00C745F4"/>
    <w:rsid w:val="00C74DAA"/>
    <w:rsid w:val="00C758FF"/>
    <w:rsid w:val="00C759E7"/>
    <w:rsid w:val="00C76B49"/>
    <w:rsid w:val="00C77D09"/>
    <w:rsid w:val="00C77D5F"/>
    <w:rsid w:val="00C803F1"/>
    <w:rsid w:val="00C8098E"/>
    <w:rsid w:val="00C81073"/>
    <w:rsid w:val="00C81CEB"/>
    <w:rsid w:val="00C81ED3"/>
    <w:rsid w:val="00C82437"/>
    <w:rsid w:val="00C83E9D"/>
    <w:rsid w:val="00C83F36"/>
    <w:rsid w:val="00C84176"/>
    <w:rsid w:val="00C84671"/>
    <w:rsid w:val="00C84D60"/>
    <w:rsid w:val="00C85631"/>
    <w:rsid w:val="00C85D10"/>
    <w:rsid w:val="00C86544"/>
    <w:rsid w:val="00C8717C"/>
    <w:rsid w:val="00C8748E"/>
    <w:rsid w:val="00C877E3"/>
    <w:rsid w:val="00C879A0"/>
    <w:rsid w:val="00C90947"/>
    <w:rsid w:val="00C91937"/>
    <w:rsid w:val="00C92267"/>
    <w:rsid w:val="00C926E9"/>
    <w:rsid w:val="00C935EC"/>
    <w:rsid w:val="00C9475D"/>
    <w:rsid w:val="00C948DB"/>
    <w:rsid w:val="00C94D74"/>
    <w:rsid w:val="00C951B4"/>
    <w:rsid w:val="00C9567E"/>
    <w:rsid w:val="00C95E64"/>
    <w:rsid w:val="00C964B2"/>
    <w:rsid w:val="00C96AAD"/>
    <w:rsid w:val="00C974A6"/>
    <w:rsid w:val="00CA0ED8"/>
    <w:rsid w:val="00CA14A7"/>
    <w:rsid w:val="00CA160E"/>
    <w:rsid w:val="00CA1989"/>
    <w:rsid w:val="00CA2848"/>
    <w:rsid w:val="00CA29AB"/>
    <w:rsid w:val="00CA3345"/>
    <w:rsid w:val="00CA3E56"/>
    <w:rsid w:val="00CA3F25"/>
    <w:rsid w:val="00CA4670"/>
    <w:rsid w:val="00CA49EC"/>
    <w:rsid w:val="00CA4D85"/>
    <w:rsid w:val="00CA53C4"/>
    <w:rsid w:val="00CA54B8"/>
    <w:rsid w:val="00CA556C"/>
    <w:rsid w:val="00CA60CC"/>
    <w:rsid w:val="00CB0CEB"/>
    <w:rsid w:val="00CB10E9"/>
    <w:rsid w:val="00CB13BD"/>
    <w:rsid w:val="00CB185E"/>
    <w:rsid w:val="00CB1AEE"/>
    <w:rsid w:val="00CB1BE3"/>
    <w:rsid w:val="00CB4601"/>
    <w:rsid w:val="00CB49EA"/>
    <w:rsid w:val="00CB4B0A"/>
    <w:rsid w:val="00CB4BC2"/>
    <w:rsid w:val="00CB4E5E"/>
    <w:rsid w:val="00CB77B6"/>
    <w:rsid w:val="00CB780E"/>
    <w:rsid w:val="00CB7F33"/>
    <w:rsid w:val="00CC1BC3"/>
    <w:rsid w:val="00CC1D8F"/>
    <w:rsid w:val="00CC25DD"/>
    <w:rsid w:val="00CC2A23"/>
    <w:rsid w:val="00CC2B7E"/>
    <w:rsid w:val="00CC2E40"/>
    <w:rsid w:val="00CC3856"/>
    <w:rsid w:val="00CC3B2E"/>
    <w:rsid w:val="00CC3E3A"/>
    <w:rsid w:val="00CC3F61"/>
    <w:rsid w:val="00CC4682"/>
    <w:rsid w:val="00CC46B7"/>
    <w:rsid w:val="00CC4CD3"/>
    <w:rsid w:val="00CC536B"/>
    <w:rsid w:val="00CC554E"/>
    <w:rsid w:val="00CC5657"/>
    <w:rsid w:val="00CC5B25"/>
    <w:rsid w:val="00CC5F4E"/>
    <w:rsid w:val="00CC65AA"/>
    <w:rsid w:val="00CC6D67"/>
    <w:rsid w:val="00CC7868"/>
    <w:rsid w:val="00CC7BD5"/>
    <w:rsid w:val="00CC7CD8"/>
    <w:rsid w:val="00CD063D"/>
    <w:rsid w:val="00CD09E6"/>
    <w:rsid w:val="00CD17D9"/>
    <w:rsid w:val="00CD1876"/>
    <w:rsid w:val="00CD1A4C"/>
    <w:rsid w:val="00CD2422"/>
    <w:rsid w:val="00CD2994"/>
    <w:rsid w:val="00CD30CF"/>
    <w:rsid w:val="00CD3872"/>
    <w:rsid w:val="00CD41FB"/>
    <w:rsid w:val="00CD4BD5"/>
    <w:rsid w:val="00CD4D5D"/>
    <w:rsid w:val="00CD50AB"/>
    <w:rsid w:val="00CD5501"/>
    <w:rsid w:val="00CD58A5"/>
    <w:rsid w:val="00CD5992"/>
    <w:rsid w:val="00CD62E2"/>
    <w:rsid w:val="00CD647B"/>
    <w:rsid w:val="00CD67BF"/>
    <w:rsid w:val="00CD7290"/>
    <w:rsid w:val="00CD752F"/>
    <w:rsid w:val="00CD75FE"/>
    <w:rsid w:val="00CE080E"/>
    <w:rsid w:val="00CE0A2A"/>
    <w:rsid w:val="00CE2009"/>
    <w:rsid w:val="00CE276A"/>
    <w:rsid w:val="00CE2E7C"/>
    <w:rsid w:val="00CE30EB"/>
    <w:rsid w:val="00CE3903"/>
    <w:rsid w:val="00CE4071"/>
    <w:rsid w:val="00CE4533"/>
    <w:rsid w:val="00CE523C"/>
    <w:rsid w:val="00CE5C76"/>
    <w:rsid w:val="00CE6B00"/>
    <w:rsid w:val="00CE6C4F"/>
    <w:rsid w:val="00CE7409"/>
    <w:rsid w:val="00CE7752"/>
    <w:rsid w:val="00CE7B8A"/>
    <w:rsid w:val="00CE7F29"/>
    <w:rsid w:val="00CF0800"/>
    <w:rsid w:val="00CF0930"/>
    <w:rsid w:val="00CF0D1A"/>
    <w:rsid w:val="00CF21DA"/>
    <w:rsid w:val="00CF27A8"/>
    <w:rsid w:val="00CF2DC4"/>
    <w:rsid w:val="00CF3E2E"/>
    <w:rsid w:val="00CF42B5"/>
    <w:rsid w:val="00CF4A23"/>
    <w:rsid w:val="00CF4B21"/>
    <w:rsid w:val="00CF4E91"/>
    <w:rsid w:val="00CF52CE"/>
    <w:rsid w:val="00CF578F"/>
    <w:rsid w:val="00CF57E1"/>
    <w:rsid w:val="00CF5EEB"/>
    <w:rsid w:val="00CF637D"/>
    <w:rsid w:val="00CF6915"/>
    <w:rsid w:val="00CF6BBF"/>
    <w:rsid w:val="00CF6C3E"/>
    <w:rsid w:val="00CF6DB2"/>
    <w:rsid w:val="00CF6EC5"/>
    <w:rsid w:val="00CF6F45"/>
    <w:rsid w:val="00CF7572"/>
    <w:rsid w:val="00CF7C98"/>
    <w:rsid w:val="00D00903"/>
    <w:rsid w:val="00D00D57"/>
    <w:rsid w:val="00D0124E"/>
    <w:rsid w:val="00D0143F"/>
    <w:rsid w:val="00D030A3"/>
    <w:rsid w:val="00D030E9"/>
    <w:rsid w:val="00D031F2"/>
    <w:rsid w:val="00D033AE"/>
    <w:rsid w:val="00D03B68"/>
    <w:rsid w:val="00D03CA2"/>
    <w:rsid w:val="00D048C7"/>
    <w:rsid w:val="00D05CBE"/>
    <w:rsid w:val="00D06C63"/>
    <w:rsid w:val="00D06ECE"/>
    <w:rsid w:val="00D07168"/>
    <w:rsid w:val="00D077F9"/>
    <w:rsid w:val="00D07898"/>
    <w:rsid w:val="00D106EA"/>
    <w:rsid w:val="00D10B06"/>
    <w:rsid w:val="00D10D04"/>
    <w:rsid w:val="00D10FC5"/>
    <w:rsid w:val="00D111E1"/>
    <w:rsid w:val="00D1139E"/>
    <w:rsid w:val="00D113BA"/>
    <w:rsid w:val="00D11A61"/>
    <w:rsid w:val="00D11BE3"/>
    <w:rsid w:val="00D11FA3"/>
    <w:rsid w:val="00D12945"/>
    <w:rsid w:val="00D1294F"/>
    <w:rsid w:val="00D12AD2"/>
    <w:rsid w:val="00D12DBD"/>
    <w:rsid w:val="00D12FD2"/>
    <w:rsid w:val="00D12FEA"/>
    <w:rsid w:val="00D134CB"/>
    <w:rsid w:val="00D1361A"/>
    <w:rsid w:val="00D13685"/>
    <w:rsid w:val="00D14D0C"/>
    <w:rsid w:val="00D151FD"/>
    <w:rsid w:val="00D15621"/>
    <w:rsid w:val="00D15B29"/>
    <w:rsid w:val="00D163E8"/>
    <w:rsid w:val="00D166A5"/>
    <w:rsid w:val="00D16CD9"/>
    <w:rsid w:val="00D16CF2"/>
    <w:rsid w:val="00D17355"/>
    <w:rsid w:val="00D17E07"/>
    <w:rsid w:val="00D20731"/>
    <w:rsid w:val="00D21059"/>
    <w:rsid w:val="00D2129C"/>
    <w:rsid w:val="00D2155B"/>
    <w:rsid w:val="00D21797"/>
    <w:rsid w:val="00D2196C"/>
    <w:rsid w:val="00D22125"/>
    <w:rsid w:val="00D223A1"/>
    <w:rsid w:val="00D23AD1"/>
    <w:rsid w:val="00D23ADE"/>
    <w:rsid w:val="00D24CE2"/>
    <w:rsid w:val="00D24F4B"/>
    <w:rsid w:val="00D253B8"/>
    <w:rsid w:val="00D25748"/>
    <w:rsid w:val="00D25ABF"/>
    <w:rsid w:val="00D265AC"/>
    <w:rsid w:val="00D26915"/>
    <w:rsid w:val="00D2739F"/>
    <w:rsid w:val="00D27ECE"/>
    <w:rsid w:val="00D301BB"/>
    <w:rsid w:val="00D3118D"/>
    <w:rsid w:val="00D3127C"/>
    <w:rsid w:val="00D31393"/>
    <w:rsid w:val="00D31566"/>
    <w:rsid w:val="00D3172D"/>
    <w:rsid w:val="00D31AD5"/>
    <w:rsid w:val="00D31AD9"/>
    <w:rsid w:val="00D31D4A"/>
    <w:rsid w:val="00D323D8"/>
    <w:rsid w:val="00D327BD"/>
    <w:rsid w:val="00D32AC8"/>
    <w:rsid w:val="00D34601"/>
    <w:rsid w:val="00D3469A"/>
    <w:rsid w:val="00D350F0"/>
    <w:rsid w:val="00D352E6"/>
    <w:rsid w:val="00D363CA"/>
    <w:rsid w:val="00D36FFC"/>
    <w:rsid w:val="00D371F7"/>
    <w:rsid w:val="00D3741D"/>
    <w:rsid w:val="00D37785"/>
    <w:rsid w:val="00D37795"/>
    <w:rsid w:val="00D37AB7"/>
    <w:rsid w:val="00D37FDC"/>
    <w:rsid w:val="00D40309"/>
    <w:rsid w:val="00D4052B"/>
    <w:rsid w:val="00D40808"/>
    <w:rsid w:val="00D40CB6"/>
    <w:rsid w:val="00D40F97"/>
    <w:rsid w:val="00D4151E"/>
    <w:rsid w:val="00D417F8"/>
    <w:rsid w:val="00D418CB"/>
    <w:rsid w:val="00D41EC1"/>
    <w:rsid w:val="00D42014"/>
    <w:rsid w:val="00D4282A"/>
    <w:rsid w:val="00D42EED"/>
    <w:rsid w:val="00D43FA4"/>
    <w:rsid w:val="00D43FFD"/>
    <w:rsid w:val="00D441A7"/>
    <w:rsid w:val="00D44A98"/>
    <w:rsid w:val="00D44BD6"/>
    <w:rsid w:val="00D459CB"/>
    <w:rsid w:val="00D461B4"/>
    <w:rsid w:val="00D4631C"/>
    <w:rsid w:val="00D4635D"/>
    <w:rsid w:val="00D46B77"/>
    <w:rsid w:val="00D47C51"/>
    <w:rsid w:val="00D50A8E"/>
    <w:rsid w:val="00D51BCC"/>
    <w:rsid w:val="00D52BC4"/>
    <w:rsid w:val="00D52BFF"/>
    <w:rsid w:val="00D538C0"/>
    <w:rsid w:val="00D53DE2"/>
    <w:rsid w:val="00D55279"/>
    <w:rsid w:val="00D55786"/>
    <w:rsid w:val="00D56153"/>
    <w:rsid w:val="00D565DA"/>
    <w:rsid w:val="00D56786"/>
    <w:rsid w:val="00D56BA4"/>
    <w:rsid w:val="00D5707A"/>
    <w:rsid w:val="00D600B1"/>
    <w:rsid w:val="00D60334"/>
    <w:rsid w:val="00D60957"/>
    <w:rsid w:val="00D6110C"/>
    <w:rsid w:val="00D61147"/>
    <w:rsid w:val="00D613EE"/>
    <w:rsid w:val="00D61967"/>
    <w:rsid w:val="00D61BD2"/>
    <w:rsid w:val="00D628B3"/>
    <w:rsid w:val="00D62FF3"/>
    <w:rsid w:val="00D62FF5"/>
    <w:rsid w:val="00D63436"/>
    <w:rsid w:val="00D636DE"/>
    <w:rsid w:val="00D63A02"/>
    <w:rsid w:val="00D63EA9"/>
    <w:rsid w:val="00D64B8B"/>
    <w:rsid w:val="00D6501C"/>
    <w:rsid w:val="00D654AE"/>
    <w:rsid w:val="00D65D90"/>
    <w:rsid w:val="00D65EF4"/>
    <w:rsid w:val="00D665E8"/>
    <w:rsid w:val="00D668EA"/>
    <w:rsid w:val="00D66B40"/>
    <w:rsid w:val="00D6778E"/>
    <w:rsid w:val="00D67A05"/>
    <w:rsid w:val="00D71072"/>
    <w:rsid w:val="00D71C72"/>
    <w:rsid w:val="00D737ED"/>
    <w:rsid w:val="00D73BE9"/>
    <w:rsid w:val="00D7484C"/>
    <w:rsid w:val="00D74CE3"/>
    <w:rsid w:val="00D74D5D"/>
    <w:rsid w:val="00D75058"/>
    <w:rsid w:val="00D7520C"/>
    <w:rsid w:val="00D75468"/>
    <w:rsid w:val="00D7585C"/>
    <w:rsid w:val="00D761B5"/>
    <w:rsid w:val="00D77060"/>
    <w:rsid w:val="00D77CA6"/>
    <w:rsid w:val="00D8028B"/>
    <w:rsid w:val="00D80D39"/>
    <w:rsid w:val="00D80FB6"/>
    <w:rsid w:val="00D81782"/>
    <w:rsid w:val="00D818FA"/>
    <w:rsid w:val="00D81B0D"/>
    <w:rsid w:val="00D81E08"/>
    <w:rsid w:val="00D81F51"/>
    <w:rsid w:val="00D835D6"/>
    <w:rsid w:val="00D8390A"/>
    <w:rsid w:val="00D83B33"/>
    <w:rsid w:val="00D83BEB"/>
    <w:rsid w:val="00D83CFC"/>
    <w:rsid w:val="00D845AB"/>
    <w:rsid w:val="00D84791"/>
    <w:rsid w:val="00D85686"/>
    <w:rsid w:val="00D85766"/>
    <w:rsid w:val="00D857D9"/>
    <w:rsid w:val="00D86A3C"/>
    <w:rsid w:val="00D86BC4"/>
    <w:rsid w:val="00D877EE"/>
    <w:rsid w:val="00D90123"/>
    <w:rsid w:val="00D90476"/>
    <w:rsid w:val="00D90D7F"/>
    <w:rsid w:val="00D90ED2"/>
    <w:rsid w:val="00D912E8"/>
    <w:rsid w:val="00D913EB"/>
    <w:rsid w:val="00D9158F"/>
    <w:rsid w:val="00D923EE"/>
    <w:rsid w:val="00D925DC"/>
    <w:rsid w:val="00D92695"/>
    <w:rsid w:val="00D92ACA"/>
    <w:rsid w:val="00D92FEC"/>
    <w:rsid w:val="00D94074"/>
    <w:rsid w:val="00D94B8D"/>
    <w:rsid w:val="00D94C66"/>
    <w:rsid w:val="00D96CD5"/>
    <w:rsid w:val="00D96E2F"/>
    <w:rsid w:val="00DA00D4"/>
    <w:rsid w:val="00DA0CA6"/>
    <w:rsid w:val="00DA2176"/>
    <w:rsid w:val="00DA29D1"/>
    <w:rsid w:val="00DA2A78"/>
    <w:rsid w:val="00DA2BD8"/>
    <w:rsid w:val="00DA2E23"/>
    <w:rsid w:val="00DA30BB"/>
    <w:rsid w:val="00DA352F"/>
    <w:rsid w:val="00DA3550"/>
    <w:rsid w:val="00DA3B0B"/>
    <w:rsid w:val="00DA47E1"/>
    <w:rsid w:val="00DA4946"/>
    <w:rsid w:val="00DA4C4A"/>
    <w:rsid w:val="00DA4D9C"/>
    <w:rsid w:val="00DA56E8"/>
    <w:rsid w:val="00DA59CB"/>
    <w:rsid w:val="00DA5BC4"/>
    <w:rsid w:val="00DA5CBB"/>
    <w:rsid w:val="00DA7278"/>
    <w:rsid w:val="00DA7AAD"/>
    <w:rsid w:val="00DB039C"/>
    <w:rsid w:val="00DB0442"/>
    <w:rsid w:val="00DB0978"/>
    <w:rsid w:val="00DB3275"/>
    <w:rsid w:val="00DB32FD"/>
    <w:rsid w:val="00DB3710"/>
    <w:rsid w:val="00DB4D1C"/>
    <w:rsid w:val="00DB51FF"/>
    <w:rsid w:val="00DB65AA"/>
    <w:rsid w:val="00DB6D19"/>
    <w:rsid w:val="00DB6F79"/>
    <w:rsid w:val="00DB79ED"/>
    <w:rsid w:val="00DC00C6"/>
    <w:rsid w:val="00DC0136"/>
    <w:rsid w:val="00DC136A"/>
    <w:rsid w:val="00DC2307"/>
    <w:rsid w:val="00DC2C2A"/>
    <w:rsid w:val="00DC317E"/>
    <w:rsid w:val="00DC3808"/>
    <w:rsid w:val="00DC4300"/>
    <w:rsid w:val="00DC4898"/>
    <w:rsid w:val="00DC4902"/>
    <w:rsid w:val="00DC4D95"/>
    <w:rsid w:val="00DC5096"/>
    <w:rsid w:val="00DC5343"/>
    <w:rsid w:val="00DC5E73"/>
    <w:rsid w:val="00DC628B"/>
    <w:rsid w:val="00DC6339"/>
    <w:rsid w:val="00DC6A79"/>
    <w:rsid w:val="00DC6CAA"/>
    <w:rsid w:val="00DC74BE"/>
    <w:rsid w:val="00DC7C92"/>
    <w:rsid w:val="00DC7FE8"/>
    <w:rsid w:val="00DD00CE"/>
    <w:rsid w:val="00DD05D0"/>
    <w:rsid w:val="00DD1618"/>
    <w:rsid w:val="00DD18C5"/>
    <w:rsid w:val="00DD1B74"/>
    <w:rsid w:val="00DD1F18"/>
    <w:rsid w:val="00DD2370"/>
    <w:rsid w:val="00DD291F"/>
    <w:rsid w:val="00DD2DB9"/>
    <w:rsid w:val="00DD2E95"/>
    <w:rsid w:val="00DD3C29"/>
    <w:rsid w:val="00DD44DD"/>
    <w:rsid w:val="00DD4557"/>
    <w:rsid w:val="00DD4809"/>
    <w:rsid w:val="00DD5006"/>
    <w:rsid w:val="00DD50F9"/>
    <w:rsid w:val="00DD6259"/>
    <w:rsid w:val="00DD6A9C"/>
    <w:rsid w:val="00DD7C7D"/>
    <w:rsid w:val="00DD7F34"/>
    <w:rsid w:val="00DD7F87"/>
    <w:rsid w:val="00DE04E7"/>
    <w:rsid w:val="00DE0954"/>
    <w:rsid w:val="00DE0C08"/>
    <w:rsid w:val="00DE0C96"/>
    <w:rsid w:val="00DE0C9F"/>
    <w:rsid w:val="00DE1909"/>
    <w:rsid w:val="00DE1D4A"/>
    <w:rsid w:val="00DE1E85"/>
    <w:rsid w:val="00DE2C4E"/>
    <w:rsid w:val="00DE44CE"/>
    <w:rsid w:val="00DE44DE"/>
    <w:rsid w:val="00DE4926"/>
    <w:rsid w:val="00DE4E83"/>
    <w:rsid w:val="00DE5072"/>
    <w:rsid w:val="00DE51DE"/>
    <w:rsid w:val="00DE57CF"/>
    <w:rsid w:val="00DE5C3A"/>
    <w:rsid w:val="00DE5FE1"/>
    <w:rsid w:val="00DE6596"/>
    <w:rsid w:val="00DE6F2A"/>
    <w:rsid w:val="00DE6FB7"/>
    <w:rsid w:val="00DE7EBE"/>
    <w:rsid w:val="00DF055C"/>
    <w:rsid w:val="00DF06F3"/>
    <w:rsid w:val="00DF0D1B"/>
    <w:rsid w:val="00DF0D77"/>
    <w:rsid w:val="00DF1987"/>
    <w:rsid w:val="00DF23D0"/>
    <w:rsid w:val="00DF25F9"/>
    <w:rsid w:val="00DF29F2"/>
    <w:rsid w:val="00DF3556"/>
    <w:rsid w:val="00DF3A22"/>
    <w:rsid w:val="00DF41E1"/>
    <w:rsid w:val="00DF4442"/>
    <w:rsid w:val="00DF48E7"/>
    <w:rsid w:val="00DF49DA"/>
    <w:rsid w:val="00DF4FE9"/>
    <w:rsid w:val="00DF50B7"/>
    <w:rsid w:val="00DF6B60"/>
    <w:rsid w:val="00E008F0"/>
    <w:rsid w:val="00E00C03"/>
    <w:rsid w:val="00E00E18"/>
    <w:rsid w:val="00E013CC"/>
    <w:rsid w:val="00E016FD"/>
    <w:rsid w:val="00E0251F"/>
    <w:rsid w:val="00E045BD"/>
    <w:rsid w:val="00E04850"/>
    <w:rsid w:val="00E04C1D"/>
    <w:rsid w:val="00E04DF6"/>
    <w:rsid w:val="00E05745"/>
    <w:rsid w:val="00E066C8"/>
    <w:rsid w:val="00E06815"/>
    <w:rsid w:val="00E06BD3"/>
    <w:rsid w:val="00E06D0F"/>
    <w:rsid w:val="00E07D70"/>
    <w:rsid w:val="00E1029F"/>
    <w:rsid w:val="00E10E48"/>
    <w:rsid w:val="00E11D49"/>
    <w:rsid w:val="00E12871"/>
    <w:rsid w:val="00E1291C"/>
    <w:rsid w:val="00E1318B"/>
    <w:rsid w:val="00E13510"/>
    <w:rsid w:val="00E13671"/>
    <w:rsid w:val="00E13B0E"/>
    <w:rsid w:val="00E163DF"/>
    <w:rsid w:val="00E16ED0"/>
    <w:rsid w:val="00E170ED"/>
    <w:rsid w:val="00E17DEE"/>
    <w:rsid w:val="00E20CC2"/>
    <w:rsid w:val="00E20D3B"/>
    <w:rsid w:val="00E20DD4"/>
    <w:rsid w:val="00E21330"/>
    <w:rsid w:val="00E2147D"/>
    <w:rsid w:val="00E22471"/>
    <w:rsid w:val="00E23227"/>
    <w:rsid w:val="00E23A9C"/>
    <w:rsid w:val="00E24084"/>
    <w:rsid w:val="00E24292"/>
    <w:rsid w:val="00E245F3"/>
    <w:rsid w:val="00E24C13"/>
    <w:rsid w:val="00E24C8D"/>
    <w:rsid w:val="00E24F23"/>
    <w:rsid w:val="00E27326"/>
    <w:rsid w:val="00E30488"/>
    <w:rsid w:val="00E30B8C"/>
    <w:rsid w:val="00E31417"/>
    <w:rsid w:val="00E332BE"/>
    <w:rsid w:val="00E336C0"/>
    <w:rsid w:val="00E336FF"/>
    <w:rsid w:val="00E3541C"/>
    <w:rsid w:val="00E3716D"/>
    <w:rsid w:val="00E37C87"/>
    <w:rsid w:val="00E40897"/>
    <w:rsid w:val="00E412F0"/>
    <w:rsid w:val="00E417B9"/>
    <w:rsid w:val="00E419E5"/>
    <w:rsid w:val="00E41F70"/>
    <w:rsid w:val="00E42EE8"/>
    <w:rsid w:val="00E43260"/>
    <w:rsid w:val="00E441B6"/>
    <w:rsid w:val="00E443AD"/>
    <w:rsid w:val="00E445EE"/>
    <w:rsid w:val="00E449F9"/>
    <w:rsid w:val="00E45046"/>
    <w:rsid w:val="00E45174"/>
    <w:rsid w:val="00E45FF1"/>
    <w:rsid w:val="00E474B9"/>
    <w:rsid w:val="00E47E99"/>
    <w:rsid w:val="00E50245"/>
    <w:rsid w:val="00E508B7"/>
    <w:rsid w:val="00E508C0"/>
    <w:rsid w:val="00E51A92"/>
    <w:rsid w:val="00E5229C"/>
    <w:rsid w:val="00E52521"/>
    <w:rsid w:val="00E530D5"/>
    <w:rsid w:val="00E53441"/>
    <w:rsid w:val="00E53903"/>
    <w:rsid w:val="00E53EF8"/>
    <w:rsid w:val="00E541A9"/>
    <w:rsid w:val="00E54472"/>
    <w:rsid w:val="00E55520"/>
    <w:rsid w:val="00E555BA"/>
    <w:rsid w:val="00E55D7B"/>
    <w:rsid w:val="00E55F42"/>
    <w:rsid w:val="00E56040"/>
    <w:rsid w:val="00E567D8"/>
    <w:rsid w:val="00E60252"/>
    <w:rsid w:val="00E60958"/>
    <w:rsid w:val="00E61570"/>
    <w:rsid w:val="00E619C5"/>
    <w:rsid w:val="00E6266E"/>
    <w:rsid w:val="00E62834"/>
    <w:rsid w:val="00E62F06"/>
    <w:rsid w:val="00E63C91"/>
    <w:rsid w:val="00E6460C"/>
    <w:rsid w:val="00E65B4D"/>
    <w:rsid w:val="00E65D64"/>
    <w:rsid w:val="00E667DB"/>
    <w:rsid w:val="00E670F9"/>
    <w:rsid w:val="00E672F0"/>
    <w:rsid w:val="00E67A7E"/>
    <w:rsid w:val="00E67F67"/>
    <w:rsid w:val="00E7018D"/>
    <w:rsid w:val="00E709A2"/>
    <w:rsid w:val="00E70FEC"/>
    <w:rsid w:val="00E726DC"/>
    <w:rsid w:val="00E72A0B"/>
    <w:rsid w:val="00E72BB5"/>
    <w:rsid w:val="00E72EB8"/>
    <w:rsid w:val="00E7353C"/>
    <w:rsid w:val="00E73A2E"/>
    <w:rsid w:val="00E742C0"/>
    <w:rsid w:val="00E75050"/>
    <w:rsid w:val="00E750D3"/>
    <w:rsid w:val="00E75DA3"/>
    <w:rsid w:val="00E76756"/>
    <w:rsid w:val="00E76A5C"/>
    <w:rsid w:val="00E77063"/>
    <w:rsid w:val="00E771A3"/>
    <w:rsid w:val="00E77411"/>
    <w:rsid w:val="00E77920"/>
    <w:rsid w:val="00E77D16"/>
    <w:rsid w:val="00E77F75"/>
    <w:rsid w:val="00E800C9"/>
    <w:rsid w:val="00E80C04"/>
    <w:rsid w:val="00E80DEC"/>
    <w:rsid w:val="00E81582"/>
    <w:rsid w:val="00E82FE6"/>
    <w:rsid w:val="00E83351"/>
    <w:rsid w:val="00E838E8"/>
    <w:rsid w:val="00E841C0"/>
    <w:rsid w:val="00E85225"/>
    <w:rsid w:val="00E85266"/>
    <w:rsid w:val="00E85584"/>
    <w:rsid w:val="00E86518"/>
    <w:rsid w:val="00E86B56"/>
    <w:rsid w:val="00E86CE3"/>
    <w:rsid w:val="00E86EB1"/>
    <w:rsid w:val="00E86F22"/>
    <w:rsid w:val="00E87213"/>
    <w:rsid w:val="00E8743E"/>
    <w:rsid w:val="00E87548"/>
    <w:rsid w:val="00E91DFD"/>
    <w:rsid w:val="00E9277B"/>
    <w:rsid w:val="00E92C4B"/>
    <w:rsid w:val="00E92D01"/>
    <w:rsid w:val="00E93277"/>
    <w:rsid w:val="00E9424F"/>
    <w:rsid w:val="00E94566"/>
    <w:rsid w:val="00E949DB"/>
    <w:rsid w:val="00E95144"/>
    <w:rsid w:val="00E954E9"/>
    <w:rsid w:val="00E970C8"/>
    <w:rsid w:val="00E9725D"/>
    <w:rsid w:val="00E979A3"/>
    <w:rsid w:val="00E97A68"/>
    <w:rsid w:val="00EA1898"/>
    <w:rsid w:val="00EA1ADB"/>
    <w:rsid w:val="00EA1DD0"/>
    <w:rsid w:val="00EA2129"/>
    <w:rsid w:val="00EA22C0"/>
    <w:rsid w:val="00EA2494"/>
    <w:rsid w:val="00EA2A5E"/>
    <w:rsid w:val="00EA35DF"/>
    <w:rsid w:val="00EA3966"/>
    <w:rsid w:val="00EA3B11"/>
    <w:rsid w:val="00EA4767"/>
    <w:rsid w:val="00EA4C3B"/>
    <w:rsid w:val="00EA5468"/>
    <w:rsid w:val="00EA5812"/>
    <w:rsid w:val="00EA5927"/>
    <w:rsid w:val="00EA5A3D"/>
    <w:rsid w:val="00EA61D6"/>
    <w:rsid w:val="00EA6788"/>
    <w:rsid w:val="00EB012C"/>
    <w:rsid w:val="00EB1E5E"/>
    <w:rsid w:val="00EB215F"/>
    <w:rsid w:val="00EB2DF3"/>
    <w:rsid w:val="00EB33E5"/>
    <w:rsid w:val="00EB39F5"/>
    <w:rsid w:val="00EB405D"/>
    <w:rsid w:val="00EB428A"/>
    <w:rsid w:val="00EB4331"/>
    <w:rsid w:val="00EB4D6B"/>
    <w:rsid w:val="00EB4FCB"/>
    <w:rsid w:val="00EB61A1"/>
    <w:rsid w:val="00EB7281"/>
    <w:rsid w:val="00EB7536"/>
    <w:rsid w:val="00EB7952"/>
    <w:rsid w:val="00EC0515"/>
    <w:rsid w:val="00EC0964"/>
    <w:rsid w:val="00EC0D05"/>
    <w:rsid w:val="00EC0E96"/>
    <w:rsid w:val="00EC29BC"/>
    <w:rsid w:val="00EC2B52"/>
    <w:rsid w:val="00EC2BA8"/>
    <w:rsid w:val="00EC2EDC"/>
    <w:rsid w:val="00EC36EB"/>
    <w:rsid w:val="00EC3CE4"/>
    <w:rsid w:val="00EC5194"/>
    <w:rsid w:val="00EC5A2A"/>
    <w:rsid w:val="00EC5EC1"/>
    <w:rsid w:val="00EC62FC"/>
    <w:rsid w:val="00EC6D4C"/>
    <w:rsid w:val="00EC737D"/>
    <w:rsid w:val="00EC7590"/>
    <w:rsid w:val="00EC7C09"/>
    <w:rsid w:val="00EC7D3B"/>
    <w:rsid w:val="00ED0BC0"/>
    <w:rsid w:val="00ED0D84"/>
    <w:rsid w:val="00ED0DF8"/>
    <w:rsid w:val="00ED13AD"/>
    <w:rsid w:val="00ED1776"/>
    <w:rsid w:val="00ED1BA6"/>
    <w:rsid w:val="00ED2121"/>
    <w:rsid w:val="00ED2735"/>
    <w:rsid w:val="00ED2975"/>
    <w:rsid w:val="00ED2CE0"/>
    <w:rsid w:val="00ED3016"/>
    <w:rsid w:val="00ED47E1"/>
    <w:rsid w:val="00ED48D9"/>
    <w:rsid w:val="00ED4CD3"/>
    <w:rsid w:val="00ED4D40"/>
    <w:rsid w:val="00ED50CC"/>
    <w:rsid w:val="00ED6865"/>
    <w:rsid w:val="00ED6DD5"/>
    <w:rsid w:val="00EE03EE"/>
    <w:rsid w:val="00EE0608"/>
    <w:rsid w:val="00EE0BF7"/>
    <w:rsid w:val="00EE0E48"/>
    <w:rsid w:val="00EE1533"/>
    <w:rsid w:val="00EE1C3C"/>
    <w:rsid w:val="00EE1D82"/>
    <w:rsid w:val="00EE1E37"/>
    <w:rsid w:val="00EE235E"/>
    <w:rsid w:val="00EE23CD"/>
    <w:rsid w:val="00EE2ACF"/>
    <w:rsid w:val="00EE351C"/>
    <w:rsid w:val="00EE3D5B"/>
    <w:rsid w:val="00EE3F83"/>
    <w:rsid w:val="00EE4151"/>
    <w:rsid w:val="00EE434F"/>
    <w:rsid w:val="00EE45E6"/>
    <w:rsid w:val="00EE48BE"/>
    <w:rsid w:val="00EE502A"/>
    <w:rsid w:val="00EE50A0"/>
    <w:rsid w:val="00EE50CC"/>
    <w:rsid w:val="00EE5D8E"/>
    <w:rsid w:val="00EE5F87"/>
    <w:rsid w:val="00EE63CB"/>
    <w:rsid w:val="00EE684D"/>
    <w:rsid w:val="00EE6D06"/>
    <w:rsid w:val="00EE72BB"/>
    <w:rsid w:val="00EE7556"/>
    <w:rsid w:val="00EE7AAB"/>
    <w:rsid w:val="00EE7DE6"/>
    <w:rsid w:val="00EE7F4F"/>
    <w:rsid w:val="00EF079A"/>
    <w:rsid w:val="00EF0FB8"/>
    <w:rsid w:val="00EF1A28"/>
    <w:rsid w:val="00EF1FD8"/>
    <w:rsid w:val="00EF22E1"/>
    <w:rsid w:val="00EF259B"/>
    <w:rsid w:val="00EF291E"/>
    <w:rsid w:val="00EF2C61"/>
    <w:rsid w:val="00EF336F"/>
    <w:rsid w:val="00EF3687"/>
    <w:rsid w:val="00EF3B9C"/>
    <w:rsid w:val="00EF3C26"/>
    <w:rsid w:val="00EF3CAC"/>
    <w:rsid w:val="00EF3E22"/>
    <w:rsid w:val="00EF408B"/>
    <w:rsid w:val="00EF4107"/>
    <w:rsid w:val="00EF43B6"/>
    <w:rsid w:val="00EF449A"/>
    <w:rsid w:val="00EF5E9A"/>
    <w:rsid w:val="00EF5F34"/>
    <w:rsid w:val="00EF7234"/>
    <w:rsid w:val="00EF7380"/>
    <w:rsid w:val="00F006F3"/>
    <w:rsid w:val="00F00B39"/>
    <w:rsid w:val="00F010C6"/>
    <w:rsid w:val="00F01384"/>
    <w:rsid w:val="00F0165D"/>
    <w:rsid w:val="00F017FC"/>
    <w:rsid w:val="00F028DB"/>
    <w:rsid w:val="00F02BC5"/>
    <w:rsid w:val="00F02C47"/>
    <w:rsid w:val="00F02CE4"/>
    <w:rsid w:val="00F02D08"/>
    <w:rsid w:val="00F0344C"/>
    <w:rsid w:val="00F0496B"/>
    <w:rsid w:val="00F04D7A"/>
    <w:rsid w:val="00F053B5"/>
    <w:rsid w:val="00F05456"/>
    <w:rsid w:val="00F056D9"/>
    <w:rsid w:val="00F05B02"/>
    <w:rsid w:val="00F06F4B"/>
    <w:rsid w:val="00F07842"/>
    <w:rsid w:val="00F07D99"/>
    <w:rsid w:val="00F102FB"/>
    <w:rsid w:val="00F10855"/>
    <w:rsid w:val="00F109FE"/>
    <w:rsid w:val="00F10B7E"/>
    <w:rsid w:val="00F112B2"/>
    <w:rsid w:val="00F121B8"/>
    <w:rsid w:val="00F12C42"/>
    <w:rsid w:val="00F14347"/>
    <w:rsid w:val="00F15F39"/>
    <w:rsid w:val="00F16422"/>
    <w:rsid w:val="00F16610"/>
    <w:rsid w:val="00F16734"/>
    <w:rsid w:val="00F174DE"/>
    <w:rsid w:val="00F179A3"/>
    <w:rsid w:val="00F20005"/>
    <w:rsid w:val="00F20820"/>
    <w:rsid w:val="00F20DE4"/>
    <w:rsid w:val="00F21185"/>
    <w:rsid w:val="00F21C1C"/>
    <w:rsid w:val="00F21CFB"/>
    <w:rsid w:val="00F22764"/>
    <w:rsid w:val="00F22B3E"/>
    <w:rsid w:val="00F234D7"/>
    <w:rsid w:val="00F23A7B"/>
    <w:rsid w:val="00F23C57"/>
    <w:rsid w:val="00F23CBE"/>
    <w:rsid w:val="00F24153"/>
    <w:rsid w:val="00F244D7"/>
    <w:rsid w:val="00F246A9"/>
    <w:rsid w:val="00F2474F"/>
    <w:rsid w:val="00F257B5"/>
    <w:rsid w:val="00F25934"/>
    <w:rsid w:val="00F25AF8"/>
    <w:rsid w:val="00F25BC9"/>
    <w:rsid w:val="00F261E3"/>
    <w:rsid w:val="00F26803"/>
    <w:rsid w:val="00F2697E"/>
    <w:rsid w:val="00F26B48"/>
    <w:rsid w:val="00F279F9"/>
    <w:rsid w:val="00F27B59"/>
    <w:rsid w:val="00F27E03"/>
    <w:rsid w:val="00F27F2E"/>
    <w:rsid w:val="00F30019"/>
    <w:rsid w:val="00F308C0"/>
    <w:rsid w:val="00F30925"/>
    <w:rsid w:val="00F30C44"/>
    <w:rsid w:val="00F31060"/>
    <w:rsid w:val="00F318E1"/>
    <w:rsid w:val="00F31DD2"/>
    <w:rsid w:val="00F3240F"/>
    <w:rsid w:val="00F32907"/>
    <w:rsid w:val="00F33D23"/>
    <w:rsid w:val="00F34072"/>
    <w:rsid w:val="00F34AEA"/>
    <w:rsid w:val="00F34BD7"/>
    <w:rsid w:val="00F34DF4"/>
    <w:rsid w:val="00F350DF"/>
    <w:rsid w:val="00F3667B"/>
    <w:rsid w:val="00F37397"/>
    <w:rsid w:val="00F377AB"/>
    <w:rsid w:val="00F402BF"/>
    <w:rsid w:val="00F4058A"/>
    <w:rsid w:val="00F4122B"/>
    <w:rsid w:val="00F419C6"/>
    <w:rsid w:val="00F41AC6"/>
    <w:rsid w:val="00F42A11"/>
    <w:rsid w:val="00F42A36"/>
    <w:rsid w:val="00F42A49"/>
    <w:rsid w:val="00F42C20"/>
    <w:rsid w:val="00F43419"/>
    <w:rsid w:val="00F44774"/>
    <w:rsid w:val="00F44A9D"/>
    <w:rsid w:val="00F44B2A"/>
    <w:rsid w:val="00F4527C"/>
    <w:rsid w:val="00F458FB"/>
    <w:rsid w:val="00F461A4"/>
    <w:rsid w:val="00F463CF"/>
    <w:rsid w:val="00F46862"/>
    <w:rsid w:val="00F51351"/>
    <w:rsid w:val="00F51475"/>
    <w:rsid w:val="00F51532"/>
    <w:rsid w:val="00F51576"/>
    <w:rsid w:val="00F51DBA"/>
    <w:rsid w:val="00F51E87"/>
    <w:rsid w:val="00F51EC9"/>
    <w:rsid w:val="00F52819"/>
    <w:rsid w:val="00F53098"/>
    <w:rsid w:val="00F54485"/>
    <w:rsid w:val="00F5458F"/>
    <w:rsid w:val="00F5480D"/>
    <w:rsid w:val="00F548A3"/>
    <w:rsid w:val="00F54936"/>
    <w:rsid w:val="00F54C5F"/>
    <w:rsid w:val="00F55169"/>
    <w:rsid w:val="00F55B6F"/>
    <w:rsid w:val="00F56C65"/>
    <w:rsid w:val="00F5756B"/>
    <w:rsid w:val="00F575D3"/>
    <w:rsid w:val="00F57C44"/>
    <w:rsid w:val="00F57D80"/>
    <w:rsid w:val="00F607C3"/>
    <w:rsid w:val="00F60C30"/>
    <w:rsid w:val="00F60F3C"/>
    <w:rsid w:val="00F61352"/>
    <w:rsid w:val="00F61AA6"/>
    <w:rsid w:val="00F622ED"/>
    <w:rsid w:val="00F623E9"/>
    <w:rsid w:val="00F624AA"/>
    <w:rsid w:val="00F624E6"/>
    <w:rsid w:val="00F62A68"/>
    <w:rsid w:val="00F6361A"/>
    <w:rsid w:val="00F639F8"/>
    <w:rsid w:val="00F63B07"/>
    <w:rsid w:val="00F63D51"/>
    <w:rsid w:val="00F64B4D"/>
    <w:rsid w:val="00F6556E"/>
    <w:rsid w:val="00F65884"/>
    <w:rsid w:val="00F6602A"/>
    <w:rsid w:val="00F66892"/>
    <w:rsid w:val="00F66AC4"/>
    <w:rsid w:val="00F66DF2"/>
    <w:rsid w:val="00F6748D"/>
    <w:rsid w:val="00F67C74"/>
    <w:rsid w:val="00F701C2"/>
    <w:rsid w:val="00F702F7"/>
    <w:rsid w:val="00F70529"/>
    <w:rsid w:val="00F71445"/>
    <w:rsid w:val="00F7148D"/>
    <w:rsid w:val="00F71763"/>
    <w:rsid w:val="00F72FF1"/>
    <w:rsid w:val="00F7345A"/>
    <w:rsid w:val="00F74E8D"/>
    <w:rsid w:val="00F7543A"/>
    <w:rsid w:val="00F76347"/>
    <w:rsid w:val="00F76980"/>
    <w:rsid w:val="00F77FD7"/>
    <w:rsid w:val="00F81155"/>
    <w:rsid w:val="00F81EA8"/>
    <w:rsid w:val="00F82356"/>
    <w:rsid w:val="00F827CC"/>
    <w:rsid w:val="00F82B11"/>
    <w:rsid w:val="00F82F38"/>
    <w:rsid w:val="00F83165"/>
    <w:rsid w:val="00F83EF5"/>
    <w:rsid w:val="00F83F0A"/>
    <w:rsid w:val="00F85309"/>
    <w:rsid w:val="00F85CA7"/>
    <w:rsid w:val="00F85D0C"/>
    <w:rsid w:val="00F85EC3"/>
    <w:rsid w:val="00F860F1"/>
    <w:rsid w:val="00F865C2"/>
    <w:rsid w:val="00F86A28"/>
    <w:rsid w:val="00F86A40"/>
    <w:rsid w:val="00F86A5B"/>
    <w:rsid w:val="00F86F0D"/>
    <w:rsid w:val="00F87AB0"/>
    <w:rsid w:val="00F9084B"/>
    <w:rsid w:val="00F90CA7"/>
    <w:rsid w:val="00F91588"/>
    <w:rsid w:val="00F9172A"/>
    <w:rsid w:val="00F9183E"/>
    <w:rsid w:val="00F91BC6"/>
    <w:rsid w:val="00F92B5A"/>
    <w:rsid w:val="00F92D14"/>
    <w:rsid w:val="00F92FE1"/>
    <w:rsid w:val="00F93479"/>
    <w:rsid w:val="00F93A30"/>
    <w:rsid w:val="00F94934"/>
    <w:rsid w:val="00F94BEB"/>
    <w:rsid w:val="00F9545F"/>
    <w:rsid w:val="00F9596C"/>
    <w:rsid w:val="00F95FEE"/>
    <w:rsid w:val="00F96478"/>
    <w:rsid w:val="00F965E5"/>
    <w:rsid w:val="00F967F8"/>
    <w:rsid w:val="00F96C1E"/>
    <w:rsid w:val="00F96D07"/>
    <w:rsid w:val="00F9725D"/>
    <w:rsid w:val="00F974C5"/>
    <w:rsid w:val="00FA0174"/>
    <w:rsid w:val="00FA1802"/>
    <w:rsid w:val="00FA18F1"/>
    <w:rsid w:val="00FA2046"/>
    <w:rsid w:val="00FA2F0D"/>
    <w:rsid w:val="00FA3241"/>
    <w:rsid w:val="00FA3829"/>
    <w:rsid w:val="00FA4C7E"/>
    <w:rsid w:val="00FA4DDE"/>
    <w:rsid w:val="00FA52BA"/>
    <w:rsid w:val="00FA577D"/>
    <w:rsid w:val="00FA58D7"/>
    <w:rsid w:val="00FA5C3B"/>
    <w:rsid w:val="00FA6774"/>
    <w:rsid w:val="00FA6825"/>
    <w:rsid w:val="00FA6B15"/>
    <w:rsid w:val="00FA6D42"/>
    <w:rsid w:val="00FA77D9"/>
    <w:rsid w:val="00FA797E"/>
    <w:rsid w:val="00FA79D6"/>
    <w:rsid w:val="00FB02E2"/>
    <w:rsid w:val="00FB074D"/>
    <w:rsid w:val="00FB11EC"/>
    <w:rsid w:val="00FB13E4"/>
    <w:rsid w:val="00FB1909"/>
    <w:rsid w:val="00FB19BB"/>
    <w:rsid w:val="00FB1D45"/>
    <w:rsid w:val="00FB282C"/>
    <w:rsid w:val="00FB28EE"/>
    <w:rsid w:val="00FB2D28"/>
    <w:rsid w:val="00FB3A6F"/>
    <w:rsid w:val="00FB3ECD"/>
    <w:rsid w:val="00FB42C4"/>
    <w:rsid w:val="00FB54DA"/>
    <w:rsid w:val="00FB5ACA"/>
    <w:rsid w:val="00FB6B5C"/>
    <w:rsid w:val="00FB7E27"/>
    <w:rsid w:val="00FC0AD0"/>
    <w:rsid w:val="00FC0F91"/>
    <w:rsid w:val="00FC118D"/>
    <w:rsid w:val="00FC1950"/>
    <w:rsid w:val="00FC1CA0"/>
    <w:rsid w:val="00FC2DD3"/>
    <w:rsid w:val="00FC37C3"/>
    <w:rsid w:val="00FC3803"/>
    <w:rsid w:val="00FC383E"/>
    <w:rsid w:val="00FC3D2B"/>
    <w:rsid w:val="00FC3E25"/>
    <w:rsid w:val="00FC4BBE"/>
    <w:rsid w:val="00FC4BC8"/>
    <w:rsid w:val="00FC4FD8"/>
    <w:rsid w:val="00FC58E7"/>
    <w:rsid w:val="00FC5C2B"/>
    <w:rsid w:val="00FC5EA2"/>
    <w:rsid w:val="00FC6765"/>
    <w:rsid w:val="00FC749E"/>
    <w:rsid w:val="00FC7AD0"/>
    <w:rsid w:val="00FC7AD8"/>
    <w:rsid w:val="00FC7E8E"/>
    <w:rsid w:val="00FD04A5"/>
    <w:rsid w:val="00FD04C7"/>
    <w:rsid w:val="00FD077F"/>
    <w:rsid w:val="00FD0DF2"/>
    <w:rsid w:val="00FD1130"/>
    <w:rsid w:val="00FD1675"/>
    <w:rsid w:val="00FD1C7B"/>
    <w:rsid w:val="00FD2B51"/>
    <w:rsid w:val="00FD3086"/>
    <w:rsid w:val="00FD40DF"/>
    <w:rsid w:val="00FD4E9F"/>
    <w:rsid w:val="00FD6343"/>
    <w:rsid w:val="00FD6AA1"/>
    <w:rsid w:val="00FD743A"/>
    <w:rsid w:val="00FD7539"/>
    <w:rsid w:val="00FD7902"/>
    <w:rsid w:val="00FD7B68"/>
    <w:rsid w:val="00FD7BEE"/>
    <w:rsid w:val="00FE0760"/>
    <w:rsid w:val="00FE2967"/>
    <w:rsid w:val="00FE2DA0"/>
    <w:rsid w:val="00FE3184"/>
    <w:rsid w:val="00FE5D62"/>
    <w:rsid w:val="00FE6B07"/>
    <w:rsid w:val="00FE6B97"/>
    <w:rsid w:val="00FE7289"/>
    <w:rsid w:val="00FE7B57"/>
    <w:rsid w:val="00FF0924"/>
    <w:rsid w:val="00FF0E46"/>
    <w:rsid w:val="00FF0FCE"/>
    <w:rsid w:val="00FF1628"/>
    <w:rsid w:val="00FF1717"/>
    <w:rsid w:val="00FF1755"/>
    <w:rsid w:val="00FF1CA2"/>
    <w:rsid w:val="00FF2189"/>
    <w:rsid w:val="00FF21BD"/>
    <w:rsid w:val="00FF24F6"/>
    <w:rsid w:val="00FF4D25"/>
    <w:rsid w:val="00FF56BC"/>
    <w:rsid w:val="00FF6A3A"/>
    <w:rsid w:val="00FF6F07"/>
    <w:rsid w:val="00FF7655"/>
    <w:rsid w:val="02777BFD"/>
    <w:rsid w:val="02D70BBC"/>
    <w:rsid w:val="046A2609"/>
    <w:rsid w:val="04C35BB6"/>
    <w:rsid w:val="04C40016"/>
    <w:rsid w:val="05812B41"/>
    <w:rsid w:val="06040FED"/>
    <w:rsid w:val="06196297"/>
    <w:rsid w:val="06394017"/>
    <w:rsid w:val="07043363"/>
    <w:rsid w:val="071A41EC"/>
    <w:rsid w:val="075F5104"/>
    <w:rsid w:val="077227F5"/>
    <w:rsid w:val="078A03D3"/>
    <w:rsid w:val="083A7CC8"/>
    <w:rsid w:val="08962DA7"/>
    <w:rsid w:val="0A4F4DA1"/>
    <w:rsid w:val="0ADD081A"/>
    <w:rsid w:val="0BDC13D1"/>
    <w:rsid w:val="0C50326D"/>
    <w:rsid w:val="0C554FCB"/>
    <w:rsid w:val="0CA00214"/>
    <w:rsid w:val="0CA81CA9"/>
    <w:rsid w:val="0D0B144E"/>
    <w:rsid w:val="0D424F63"/>
    <w:rsid w:val="0DC844B2"/>
    <w:rsid w:val="0E2520B0"/>
    <w:rsid w:val="0E664FCA"/>
    <w:rsid w:val="0EF435C5"/>
    <w:rsid w:val="0F0C5B71"/>
    <w:rsid w:val="103C4234"/>
    <w:rsid w:val="10581936"/>
    <w:rsid w:val="11737CC0"/>
    <w:rsid w:val="11D81F38"/>
    <w:rsid w:val="12B05511"/>
    <w:rsid w:val="133F2C82"/>
    <w:rsid w:val="1356059D"/>
    <w:rsid w:val="14702D3A"/>
    <w:rsid w:val="148E0471"/>
    <w:rsid w:val="14C8487A"/>
    <w:rsid w:val="152817C5"/>
    <w:rsid w:val="1679052A"/>
    <w:rsid w:val="16923B57"/>
    <w:rsid w:val="17795D6E"/>
    <w:rsid w:val="185A2B22"/>
    <w:rsid w:val="19A4163F"/>
    <w:rsid w:val="19F91FB2"/>
    <w:rsid w:val="1A6B70F8"/>
    <w:rsid w:val="1AB23A71"/>
    <w:rsid w:val="1AC063DE"/>
    <w:rsid w:val="1AD559B1"/>
    <w:rsid w:val="1C0C5329"/>
    <w:rsid w:val="1C3B4DCB"/>
    <w:rsid w:val="1CF06FD5"/>
    <w:rsid w:val="1DA91A6B"/>
    <w:rsid w:val="1DB337A5"/>
    <w:rsid w:val="1DDC0BCE"/>
    <w:rsid w:val="1E35555F"/>
    <w:rsid w:val="1EBE473D"/>
    <w:rsid w:val="1F890898"/>
    <w:rsid w:val="201C373B"/>
    <w:rsid w:val="207506CD"/>
    <w:rsid w:val="20D53C01"/>
    <w:rsid w:val="2254749D"/>
    <w:rsid w:val="232B5651"/>
    <w:rsid w:val="23681054"/>
    <w:rsid w:val="24212E47"/>
    <w:rsid w:val="246758CC"/>
    <w:rsid w:val="25091D0C"/>
    <w:rsid w:val="25753D18"/>
    <w:rsid w:val="25971AB4"/>
    <w:rsid w:val="26215C0B"/>
    <w:rsid w:val="265C7550"/>
    <w:rsid w:val="269B7AAF"/>
    <w:rsid w:val="26FC4F31"/>
    <w:rsid w:val="276E0D2B"/>
    <w:rsid w:val="27A61EA5"/>
    <w:rsid w:val="27D37F32"/>
    <w:rsid w:val="29736E12"/>
    <w:rsid w:val="2976468E"/>
    <w:rsid w:val="2A56543D"/>
    <w:rsid w:val="2A7340D0"/>
    <w:rsid w:val="2C5D2C57"/>
    <w:rsid w:val="2E232138"/>
    <w:rsid w:val="2E3F3AB3"/>
    <w:rsid w:val="2E4E3407"/>
    <w:rsid w:val="2E7C01C6"/>
    <w:rsid w:val="2ECD0A22"/>
    <w:rsid w:val="2EF0415C"/>
    <w:rsid w:val="2FA8162C"/>
    <w:rsid w:val="303B772F"/>
    <w:rsid w:val="31FC33CC"/>
    <w:rsid w:val="32087FC3"/>
    <w:rsid w:val="32265FD5"/>
    <w:rsid w:val="324178CF"/>
    <w:rsid w:val="329F26D5"/>
    <w:rsid w:val="32D56359"/>
    <w:rsid w:val="32FE6971"/>
    <w:rsid w:val="33273069"/>
    <w:rsid w:val="33D91E14"/>
    <w:rsid w:val="34246CC3"/>
    <w:rsid w:val="345D2A1D"/>
    <w:rsid w:val="345E211C"/>
    <w:rsid w:val="34817CEF"/>
    <w:rsid w:val="348441CE"/>
    <w:rsid w:val="34880F47"/>
    <w:rsid w:val="34DF0AA9"/>
    <w:rsid w:val="357455F1"/>
    <w:rsid w:val="35F86C9B"/>
    <w:rsid w:val="36582A9C"/>
    <w:rsid w:val="36993545"/>
    <w:rsid w:val="39203E44"/>
    <w:rsid w:val="394E3863"/>
    <w:rsid w:val="39730401"/>
    <w:rsid w:val="3B0B75E8"/>
    <w:rsid w:val="3C5462DE"/>
    <w:rsid w:val="3DF14E3C"/>
    <w:rsid w:val="3E60767B"/>
    <w:rsid w:val="3EE945C3"/>
    <w:rsid w:val="3F3C6A4D"/>
    <w:rsid w:val="3FA44AFA"/>
    <w:rsid w:val="3FBD6AD6"/>
    <w:rsid w:val="3FD140EA"/>
    <w:rsid w:val="3FE411B1"/>
    <w:rsid w:val="4015635A"/>
    <w:rsid w:val="4089760D"/>
    <w:rsid w:val="42D65F34"/>
    <w:rsid w:val="44365AE6"/>
    <w:rsid w:val="453E18DA"/>
    <w:rsid w:val="45693886"/>
    <w:rsid w:val="45715C8C"/>
    <w:rsid w:val="460F1C96"/>
    <w:rsid w:val="473F5DDD"/>
    <w:rsid w:val="477517FF"/>
    <w:rsid w:val="47A02B21"/>
    <w:rsid w:val="47B15066"/>
    <w:rsid w:val="47CA1B4A"/>
    <w:rsid w:val="47EE5E9B"/>
    <w:rsid w:val="486024AF"/>
    <w:rsid w:val="48C04CFB"/>
    <w:rsid w:val="495B713C"/>
    <w:rsid w:val="498C34BA"/>
    <w:rsid w:val="4A425141"/>
    <w:rsid w:val="4A613290"/>
    <w:rsid w:val="4AAE7501"/>
    <w:rsid w:val="4B991F60"/>
    <w:rsid w:val="4C685FF5"/>
    <w:rsid w:val="4C6C1422"/>
    <w:rsid w:val="4CE42BFA"/>
    <w:rsid w:val="4CEB1255"/>
    <w:rsid w:val="4D577C4A"/>
    <w:rsid w:val="4DB43C8A"/>
    <w:rsid w:val="4DBA3214"/>
    <w:rsid w:val="4E173610"/>
    <w:rsid w:val="4E321D7A"/>
    <w:rsid w:val="4ED81617"/>
    <w:rsid w:val="4F7E481F"/>
    <w:rsid w:val="4F953D47"/>
    <w:rsid w:val="5026588C"/>
    <w:rsid w:val="504C2DF0"/>
    <w:rsid w:val="50A85454"/>
    <w:rsid w:val="50BE4F60"/>
    <w:rsid w:val="518E0501"/>
    <w:rsid w:val="52BE04FE"/>
    <w:rsid w:val="52C825DD"/>
    <w:rsid w:val="53AF5E42"/>
    <w:rsid w:val="53C95448"/>
    <w:rsid w:val="54492049"/>
    <w:rsid w:val="54514662"/>
    <w:rsid w:val="547D0BAA"/>
    <w:rsid w:val="54A67298"/>
    <w:rsid w:val="559B397E"/>
    <w:rsid w:val="564407D3"/>
    <w:rsid w:val="56D3300B"/>
    <w:rsid w:val="57662666"/>
    <w:rsid w:val="58365CA8"/>
    <w:rsid w:val="58807673"/>
    <w:rsid w:val="58F55A17"/>
    <w:rsid w:val="5959151F"/>
    <w:rsid w:val="59723DF0"/>
    <w:rsid w:val="59A43A02"/>
    <w:rsid w:val="5A940ED3"/>
    <w:rsid w:val="5B266C40"/>
    <w:rsid w:val="5B3D5AF1"/>
    <w:rsid w:val="5BD8454B"/>
    <w:rsid w:val="5C4821F4"/>
    <w:rsid w:val="5E457D25"/>
    <w:rsid w:val="5E706C46"/>
    <w:rsid w:val="5F287C61"/>
    <w:rsid w:val="5F2C6AB4"/>
    <w:rsid w:val="5F57670E"/>
    <w:rsid w:val="5FA82844"/>
    <w:rsid w:val="5FCC080D"/>
    <w:rsid w:val="60146F80"/>
    <w:rsid w:val="625578E4"/>
    <w:rsid w:val="62576659"/>
    <w:rsid w:val="62A40365"/>
    <w:rsid w:val="63337752"/>
    <w:rsid w:val="639B76DD"/>
    <w:rsid w:val="648D6791"/>
    <w:rsid w:val="656F4510"/>
    <w:rsid w:val="65F21201"/>
    <w:rsid w:val="66BB2698"/>
    <w:rsid w:val="671465AA"/>
    <w:rsid w:val="67352362"/>
    <w:rsid w:val="67B73C13"/>
    <w:rsid w:val="685B7298"/>
    <w:rsid w:val="68D76DDA"/>
    <w:rsid w:val="6AA302AD"/>
    <w:rsid w:val="6B811C71"/>
    <w:rsid w:val="6BDA5F51"/>
    <w:rsid w:val="6C9F4AA4"/>
    <w:rsid w:val="6D1902BC"/>
    <w:rsid w:val="6D817B44"/>
    <w:rsid w:val="6DB77BCC"/>
    <w:rsid w:val="6E4F38C6"/>
    <w:rsid w:val="6E603D3C"/>
    <w:rsid w:val="70071D76"/>
    <w:rsid w:val="7036571F"/>
    <w:rsid w:val="708E7A0F"/>
    <w:rsid w:val="70AA28E3"/>
    <w:rsid w:val="72181E6B"/>
    <w:rsid w:val="724E4528"/>
    <w:rsid w:val="725635DD"/>
    <w:rsid w:val="72AE5598"/>
    <w:rsid w:val="72B66F8B"/>
    <w:rsid w:val="72D37256"/>
    <w:rsid w:val="735E614C"/>
    <w:rsid w:val="738564EC"/>
    <w:rsid w:val="74192FC4"/>
    <w:rsid w:val="748E25CA"/>
    <w:rsid w:val="74A70471"/>
    <w:rsid w:val="75081759"/>
    <w:rsid w:val="751F29F5"/>
    <w:rsid w:val="75AC3C0D"/>
    <w:rsid w:val="774B7FC3"/>
    <w:rsid w:val="777547E2"/>
    <w:rsid w:val="787D0AF9"/>
    <w:rsid w:val="79030169"/>
    <w:rsid w:val="79585130"/>
    <w:rsid w:val="797A042B"/>
    <w:rsid w:val="79E1494E"/>
    <w:rsid w:val="7AE63EBE"/>
    <w:rsid w:val="7C5E4916"/>
    <w:rsid w:val="7CD159DE"/>
    <w:rsid w:val="7CD75B94"/>
    <w:rsid w:val="7D781125"/>
    <w:rsid w:val="7DF764EE"/>
    <w:rsid w:val="7E5908C8"/>
    <w:rsid w:val="7E851D4C"/>
    <w:rsid w:val="7EFE38AC"/>
    <w:rsid w:val="7FFF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5">
    <w:name w:val="Plain Text"/>
    <w:basedOn w:val="1"/>
    <w:link w:val="15"/>
    <w:unhideWhenUsed/>
    <w:qFormat/>
    <w:uiPriority w:val="99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4"/>
    <w:next w:val="4"/>
    <w:link w:val="24"/>
    <w:semiHidden/>
    <w:unhideWhenUsed/>
    <w:qFormat/>
    <w:uiPriority w:val="99"/>
    <w:rPr>
      <w:b/>
      <w:bCs/>
    </w:rPr>
  </w:style>
  <w:style w:type="character" w:styleId="12">
    <w:name w:val="FollowedHyperlink"/>
    <w:basedOn w:val="11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basedOn w:val="11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5">
    <w:name w:val="纯文本 Char"/>
    <w:basedOn w:val="11"/>
    <w:link w:val="5"/>
    <w:qFormat/>
    <w:uiPriority w:val="99"/>
    <w:rPr>
      <w:rFonts w:ascii="宋体" w:hAnsi="Courier New" w:eastAsia="宋体" w:cs="Courier New"/>
      <w:szCs w:val="21"/>
    </w:rPr>
  </w:style>
  <w:style w:type="character" w:customStyle="1" w:styleId="16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8">
    <w:name w:val="conrtib-corresp"/>
    <w:basedOn w:val="11"/>
    <w:qFormat/>
    <w:uiPriority w:val="0"/>
  </w:style>
  <w:style w:type="character" w:customStyle="1" w:styleId="19">
    <w:name w:val="标题 3 Char"/>
    <w:basedOn w:val="11"/>
    <w:link w:val="3"/>
    <w:semiHidden/>
    <w:qFormat/>
    <w:uiPriority w:val="9"/>
    <w:rPr>
      <w:b/>
      <w:bCs/>
      <w:sz w:val="32"/>
      <w:szCs w:val="32"/>
    </w:rPr>
  </w:style>
  <w:style w:type="character" w:customStyle="1" w:styleId="20">
    <w:name w:val="标题 2 Char"/>
    <w:basedOn w:val="11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1">
    <w:name w:val="author-typ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author-name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批注文字 Char"/>
    <w:basedOn w:val="11"/>
    <w:link w:val="4"/>
    <w:semiHidden/>
    <w:qFormat/>
    <w:uiPriority w:val="99"/>
  </w:style>
  <w:style w:type="character" w:customStyle="1" w:styleId="24">
    <w:name w:val="批注主题 Char"/>
    <w:basedOn w:val="23"/>
    <w:link w:val="9"/>
    <w:semiHidden/>
    <w:qFormat/>
    <w:uiPriority w:val="99"/>
    <w:rPr>
      <w:b/>
      <w:bCs/>
    </w:rPr>
  </w:style>
  <w:style w:type="character" w:customStyle="1" w:styleId="25">
    <w:name w:val="批注框文本 Char"/>
    <w:basedOn w:val="11"/>
    <w:link w:val="6"/>
    <w:semiHidden/>
    <w:qFormat/>
    <w:uiPriority w:val="99"/>
    <w:rPr>
      <w:sz w:val="18"/>
      <w:szCs w:val="18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6B772-4990-47B6-95DB-C25F7D09A9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44</Pages>
  <Words>9137</Words>
  <Characters>61429</Characters>
  <Lines>1</Lines>
  <Paragraphs>1</Paragraphs>
  <TotalTime>2</TotalTime>
  <ScaleCrop>false</ScaleCrop>
  <LinksUpToDate>false</LinksUpToDate>
  <CharactersWithSpaces>70185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2026-04-20T01:10:00Z</dcterms:created>
  <dc:creator>bnds</dc:creator>
  <cp:lastModifiedBy>朱晓丽</cp:lastModifiedBy>
  <dcterms:modified xsi:type="dcterms:W3CDTF">2026-09-01T02:24:44Z</dcterms:modified>
  <cp:revision>347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eyJoZGlkIjoiMzYwOTRkYTgyYmFkYWY1OGIzMTE1N2NiY2ZlNjY2NzMiLCJ1c2VySWQiOiI1NDAxMTY4MjQifQ==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C508DD65B27542B4AB085974D6D2E0DB_12</vt:lpwstr>
  </property>
</Properties>
</file>