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1E5D" w:rsidRPr="00842D92" w:rsidRDefault="002D1E5D" w:rsidP="002D1E5D">
      <w:pPr>
        <w:spacing w:line="360" w:lineRule="auto"/>
        <w:jc w:val="center"/>
        <w:rPr>
          <w:rFonts w:ascii="宋体" w:eastAsia="宋体" w:hAnsi="宋体" w:cs="宋体"/>
          <w:b/>
          <w:sz w:val="28"/>
          <w:szCs w:val="28"/>
        </w:rPr>
      </w:pPr>
      <w:r w:rsidRPr="00842D92">
        <w:rPr>
          <w:rFonts w:ascii="宋体" w:eastAsia="宋体" w:hAnsi="宋体" w:cs="宋体" w:hint="eastAsia"/>
          <w:b/>
          <w:sz w:val="28"/>
          <w:szCs w:val="28"/>
        </w:rPr>
        <w:t>202</w:t>
      </w:r>
      <w:r w:rsidR="001148A1">
        <w:rPr>
          <w:rFonts w:ascii="宋体" w:eastAsia="宋体" w:hAnsi="宋体" w:cs="宋体"/>
          <w:b/>
          <w:sz w:val="28"/>
          <w:szCs w:val="28"/>
        </w:rPr>
        <w:t>6</w:t>
      </w:r>
      <w:r w:rsidRPr="00842D92">
        <w:rPr>
          <w:rFonts w:ascii="宋体" w:eastAsia="宋体" w:hAnsi="宋体" w:cs="宋体" w:hint="eastAsia"/>
          <w:b/>
          <w:sz w:val="28"/>
          <w:szCs w:val="28"/>
        </w:rPr>
        <w:t>年第</w:t>
      </w:r>
      <w:r w:rsidR="009C7953">
        <w:rPr>
          <w:rFonts w:ascii="宋体" w:eastAsia="宋体" w:hAnsi="宋体" w:cs="宋体"/>
          <w:b/>
          <w:sz w:val="28"/>
          <w:szCs w:val="28"/>
        </w:rPr>
        <w:t>3</w:t>
      </w:r>
      <w:r w:rsidR="00F0165D">
        <w:rPr>
          <w:rFonts w:ascii="宋体" w:eastAsia="宋体" w:hAnsi="宋体" w:cs="宋体"/>
          <w:b/>
          <w:sz w:val="28"/>
          <w:szCs w:val="28"/>
        </w:rPr>
        <w:t>4</w:t>
      </w:r>
      <w:r w:rsidRPr="00842D92">
        <w:rPr>
          <w:rFonts w:ascii="宋体" w:eastAsia="宋体" w:hAnsi="宋体" w:cs="宋体" w:hint="eastAsia"/>
          <w:b/>
          <w:sz w:val="28"/>
          <w:szCs w:val="28"/>
        </w:rPr>
        <w:t>周</w:t>
      </w:r>
    </w:p>
    <w:p w:rsidR="002D1E5D" w:rsidRPr="00842D92" w:rsidRDefault="00B45EF4" w:rsidP="002D1E5D">
      <w:pPr>
        <w:spacing w:line="360" w:lineRule="auto"/>
        <w:jc w:val="center"/>
        <w:rPr>
          <w:rFonts w:ascii="宋体" w:eastAsia="宋体" w:hAnsi="宋体" w:cs="宋体"/>
          <w:b/>
          <w:sz w:val="28"/>
          <w:szCs w:val="28"/>
        </w:rPr>
      </w:pPr>
      <w:r>
        <w:rPr>
          <w:rFonts w:ascii="宋体" w:eastAsia="宋体" w:hAnsi="宋体" w:cs="宋体" w:hint="eastAsia"/>
          <w:b/>
          <w:sz w:val="28"/>
          <w:szCs w:val="28"/>
        </w:rPr>
        <w:t>中国</w:t>
      </w:r>
      <w:r w:rsidR="002D1E5D" w:rsidRPr="00842D92">
        <w:rPr>
          <w:rFonts w:ascii="宋体" w:eastAsia="宋体" w:hAnsi="宋体" w:cs="宋体" w:hint="eastAsia"/>
          <w:b/>
          <w:sz w:val="28"/>
          <w:szCs w:val="28"/>
        </w:rPr>
        <w:t>大陆学者发表的结核病英文文章摘要</w:t>
      </w:r>
    </w:p>
    <w:p w:rsidR="002D1E5D" w:rsidRPr="00842D92" w:rsidRDefault="002D1E5D" w:rsidP="002D1E5D">
      <w:pPr>
        <w:spacing w:line="360" w:lineRule="auto"/>
        <w:jc w:val="center"/>
        <w:rPr>
          <w:rFonts w:ascii="宋体" w:eastAsia="宋体" w:hAnsi="宋体" w:cs="宋体"/>
          <w:b/>
          <w:sz w:val="28"/>
          <w:szCs w:val="28"/>
        </w:rPr>
      </w:pPr>
      <w:r w:rsidRPr="00842D92">
        <w:rPr>
          <w:rFonts w:ascii="宋体" w:eastAsia="宋体" w:hAnsi="宋体" w:cs="宋体" w:hint="eastAsia"/>
          <w:b/>
          <w:sz w:val="28"/>
          <w:szCs w:val="28"/>
        </w:rPr>
        <w:t>（</w:t>
      </w:r>
      <w:r w:rsidR="004E4DF0">
        <w:rPr>
          <w:rFonts w:ascii="宋体" w:eastAsia="宋体" w:hAnsi="宋体" w:cs="宋体" w:hint="eastAsia"/>
          <w:b/>
          <w:sz w:val="28"/>
          <w:szCs w:val="28"/>
        </w:rPr>
        <w:t>3</w:t>
      </w:r>
      <w:r w:rsidR="004E4DF0">
        <w:rPr>
          <w:rFonts w:ascii="宋体" w:eastAsia="宋体" w:hAnsi="宋体" w:cs="宋体"/>
          <w:b/>
          <w:sz w:val="28"/>
          <w:szCs w:val="28"/>
        </w:rPr>
        <w:t>0</w:t>
      </w:r>
      <w:bookmarkStart w:id="0" w:name="_GoBack"/>
      <w:bookmarkEnd w:id="0"/>
      <w:r w:rsidRPr="00842D92">
        <w:rPr>
          <w:rFonts w:ascii="宋体" w:eastAsia="宋体" w:hAnsi="宋体" w:cs="宋体" w:hint="eastAsia"/>
          <w:b/>
          <w:sz w:val="28"/>
          <w:szCs w:val="28"/>
        </w:rPr>
        <w:t>篇）</w:t>
      </w:r>
    </w:p>
    <w:p w:rsidR="002D1E5D" w:rsidRPr="003F76D8" w:rsidRDefault="002D1E5D" w:rsidP="002D1E5D">
      <w:pPr>
        <w:jc w:val="left"/>
        <w:rPr>
          <w:rFonts w:ascii="宋体" w:eastAsia="宋体" w:hAnsi="宋体" w:cs="宋体"/>
          <w:szCs w:val="24"/>
        </w:rPr>
      </w:pPr>
    </w:p>
    <w:p w:rsidR="002D1E5D" w:rsidRPr="00842D92" w:rsidRDefault="002D1E5D" w:rsidP="002D1E5D">
      <w:pPr>
        <w:jc w:val="left"/>
        <w:rPr>
          <w:rFonts w:ascii="宋体" w:eastAsia="宋体" w:hAnsi="宋体" w:cs="宋体"/>
          <w:b/>
          <w:color w:val="FF0000"/>
          <w:szCs w:val="24"/>
        </w:rPr>
      </w:pPr>
      <w:r w:rsidRPr="00842D92">
        <w:rPr>
          <w:rFonts w:ascii="宋体" w:eastAsia="宋体" w:hAnsi="宋体" w:cs="宋体" w:hint="eastAsia"/>
          <w:b/>
          <w:color w:val="FF0000"/>
          <w:szCs w:val="24"/>
        </w:rPr>
        <w:t>PubMed  Publication date: 202</w:t>
      </w:r>
      <w:r w:rsidR="00A73204">
        <w:rPr>
          <w:rFonts w:ascii="宋体" w:eastAsia="宋体" w:hAnsi="宋体" w:cs="宋体"/>
          <w:b/>
          <w:color w:val="FF0000"/>
          <w:szCs w:val="24"/>
        </w:rPr>
        <w:t>6</w:t>
      </w:r>
      <w:r w:rsidR="000E3E6F" w:rsidRPr="00842D92">
        <w:rPr>
          <w:rFonts w:ascii="宋体" w:eastAsia="宋体" w:hAnsi="宋体" w:cs="宋体" w:hint="eastAsia"/>
          <w:b/>
          <w:color w:val="FF0000"/>
          <w:szCs w:val="24"/>
        </w:rPr>
        <w:t>/</w:t>
      </w:r>
      <w:r w:rsidR="00F4058A">
        <w:rPr>
          <w:rFonts w:ascii="宋体" w:eastAsia="宋体" w:hAnsi="宋体" w:cs="宋体"/>
          <w:b/>
          <w:color w:val="FF0000"/>
          <w:szCs w:val="24"/>
        </w:rPr>
        <w:t>8</w:t>
      </w:r>
      <w:r w:rsidRPr="00842D92">
        <w:rPr>
          <w:rFonts w:ascii="宋体" w:eastAsia="宋体" w:hAnsi="宋体" w:cs="宋体" w:hint="eastAsia"/>
          <w:b/>
          <w:color w:val="FF0000"/>
          <w:szCs w:val="24"/>
        </w:rPr>
        <w:t>/</w:t>
      </w:r>
      <w:r w:rsidR="00AE1F7A">
        <w:rPr>
          <w:rFonts w:ascii="宋体" w:eastAsia="宋体" w:hAnsi="宋体" w:cs="宋体"/>
          <w:b/>
          <w:color w:val="FF0000"/>
          <w:szCs w:val="24"/>
        </w:rPr>
        <w:t>1</w:t>
      </w:r>
      <w:r w:rsidR="00F0165D">
        <w:rPr>
          <w:rFonts w:ascii="宋体" w:eastAsia="宋体" w:hAnsi="宋体" w:cs="宋体"/>
          <w:b/>
          <w:color w:val="FF0000"/>
          <w:szCs w:val="24"/>
        </w:rPr>
        <w:t>7</w:t>
      </w:r>
      <w:r w:rsidRPr="00842D92">
        <w:rPr>
          <w:rFonts w:ascii="宋体" w:eastAsia="宋体" w:hAnsi="宋体" w:cs="宋体" w:hint="eastAsia"/>
          <w:b/>
          <w:color w:val="FF0000"/>
          <w:szCs w:val="24"/>
        </w:rPr>
        <w:t>---202</w:t>
      </w:r>
      <w:r w:rsidR="001148A1">
        <w:rPr>
          <w:rFonts w:ascii="宋体" w:eastAsia="宋体" w:hAnsi="宋体" w:cs="宋体"/>
          <w:b/>
          <w:color w:val="FF0000"/>
          <w:szCs w:val="24"/>
        </w:rPr>
        <w:t>6</w:t>
      </w:r>
      <w:r w:rsidRPr="00842D92">
        <w:rPr>
          <w:rFonts w:ascii="宋体" w:eastAsia="宋体" w:hAnsi="宋体" w:cs="宋体" w:hint="eastAsia"/>
          <w:b/>
          <w:color w:val="FF0000"/>
          <w:szCs w:val="24"/>
        </w:rPr>
        <w:t>/</w:t>
      </w:r>
      <w:r w:rsidR="000B73F6">
        <w:rPr>
          <w:rFonts w:ascii="宋体" w:eastAsia="宋体" w:hAnsi="宋体" w:cs="宋体"/>
          <w:b/>
          <w:color w:val="FF0000"/>
          <w:szCs w:val="24"/>
        </w:rPr>
        <w:t>8</w:t>
      </w:r>
      <w:r w:rsidRPr="00842D92">
        <w:rPr>
          <w:rFonts w:ascii="宋体" w:eastAsia="宋体" w:hAnsi="宋体" w:cs="宋体" w:hint="eastAsia"/>
          <w:b/>
          <w:color w:val="FF0000"/>
          <w:szCs w:val="24"/>
        </w:rPr>
        <w:t>/</w:t>
      </w:r>
      <w:r w:rsidR="00F0165D">
        <w:rPr>
          <w:rFonts w:ascii="宋体" w:eastAsia="宋体" w:hAnsi="宋体" w:cs="宋体"/>
          <w:b/>
          <w:color w:val="FF0000"/>
          <w:szCs w:val="24"/>
        </w:rPr>
        <w:t>23</w:t>
      </w:r>
    </w:p>
    <w:p w:rsidR="002D1E5D" w:rsidRDefault="002D1E5D" w:rsidP="002D1E5D">
      <w:pPr>
        <w:jc w:val="left"/>
        <w:rPr>
          <w:rFonts w:ascii="宋体" w:eastAsia="宋体" w:hAnsi="宋体" w:cs="宋体"/>
          <w:b/>
          <w:color w:val="FF0000"/>
          <w:szCs w:val="21"/>
        </w:rPr>
      </w:pPr>
      <w:r w:rsidRPr="00842D92">
        <w:rPr>
          <w:rFonts w:ascii="宋体" w:eastAsia="宋体" w:hAnsi="宋体" w:cs="宋体" w:hint="eastAsia"/>
          <w:b/>
          <w:color w:val="FF0000"/>
          <w:szCs w:val="21"/>
        </w:rPr>
        <w:t>(tuberculosis[Title/Abstract]) AND (English[Language]) AND</w:t>
      </w:r>
      <w:r w:rsidRPr="00842D92">
        <w:rPr>
          <w:rFonts w:ascii="宋体" w:eastAsia="宋体" w:hAnsi="宋体" w:cs="宋体"/>
          <w:b/>
          <w:color w:val="FF0000"/>
          <w:szCs w:val="21"/>
        </w:rPr>
        <w:t xml:space="preserve"> </w:t>
      </w:r>
      <w:r w:rsidRPr="00842D92">
        <w:rPr>
          <w:rFonts w:ascii="宋体" w:eastAsia="宋体" w:hAnsi="宋体" w:cs="宋体" w:hint="eastAsia"/>
          <w:b/>
          <w:color w:val="FF0000"/>
          <w:szCs w:val="21"/>
        </w:rPr>
        <w:t>(China[Affiliation])</w:t>
      </w:r>
    </w:p>
    <w:p w:rsidR="00E42EE8" w:rsidRDefault="00E42EE8" w:rsidP="002D1E5D">
      <w:pPr>
        <w:jc w:val="left"/>
        <w:rPr>
          <w:rFonts w:ascii="宋体" w:eastAsia="宋体" w:hAnsi="宋体" w:cs="宋体"/>
          <w:b/>
          <w:color w:val="FF0000"/>
          <w:szCs w:val="21"/>
        </w:rPr>
      </w:pPr>
    </w:p>
    <w:p w:rsidR="009A0EB0" w:rsidRPr="006D30B7" w:rsidRDefault="008076BC" w:rsidP="009A0EB0">
      <w:pPr>
        <w:rPr>
          <w:rFonts w:ascii="宋体" w:eastAsia="宋体" w:hAnsi="宋体" w:cs="宋体"/>
          <w:b/>
          <w:color w:val="FF0000"/>
          <w:szCs w:val="24"/>
        </w:rPr>
      </w:pPr>
      <w:r>
        <w:rPr>
          <w:rFonts w:ascii="宋体" w:eastAsia="宋体" w:hAnsi="宋体" w:cs="宋体"/>
          <w:b/>
          <w:color w:val="FF0000"/>
          <w:szCs w:val="24"/>
        </w:rPr>
        <w:t>1</w:t>
      </w:r>
      <w:r w:rsidR="009A0EB0" w:rsidRPr="006D30B7">
        <w:rPr>
          <w:rFonts w:ascii="宋体" w:eastAsia="宋体" w:hAnsi="宋体" w:cs="宋体"/>
          <w:b/>
          <w:color w:val="FF0000"/>
          <w:szCs w:val="24"/>
        </w:rPr>
        <w:t>. J Biol Dyn. 2026 Dec 31;20(1):2715881. doi: 10.1080/17513758.2026.2715881. Epub 2026 Aug 11.</w:t>
      </w:r>
    </w:p>
    <w:p w:rsidR="009A0EB0" w:rsidRPr="00051820" w:rsidRDefault="009A0EB0" w:rsidP="009A0EB0">
      <w:pPr>
        <w:rPr>
          <w:rFonts w:ascii="宋体" w:eastAsia="宋体" w:hAnsi="宋体" w:cs="宋体"/>
          <w:color w:val="000000" w:themeColor="text1"/>
          <w:szCs w:val="24"/>
        </w:rPr>
      </w:pPr>
    </w:p>
    <w:p w:rsidR="009A0EB0" w:rsidRPr="00051820" w:rsidRDefault="009A0EB0" w:rsidP="009A0EB0">
      <w:pPr>
        <w:rPr>
          <w:rFonts w:ascii="宋体" w:eastAsia="宋体" w:hAnsi="宋体" w:cs="宋体"/>
          <w:color w:val="000000" w:themeColor="text1"/>
          <w:szCs w:val="24"/>
        </w:rPr>
      </w:pPr>
      <w:r w:rsidRPr="00051820">
        <w:rPr>
          <w:rFonts w:ascii="宋体" w:eastAsia="宋体" w:hAnsi="宋体" w:cs="宋体"/>
          <w:color w:val="000000" w:themeColor="text1"/>
          <w:szCs w:val="24"/>
        </w:rPr>
        <w:t xml:space="preserve">Modelling the role of macrophage polarization during pulmonary infection of </w:t>
      </w:r>
    </w:p>
    <w:p w:rsidR="009A0EB0" w:rsidRPr="00051820" w:rsidRDefault="009A0EB0" w:rsidP="009A0EB0">
      <w:pPr>
        <w:rPr>
          <w:rFonts w:ascii="宋体" w:eastAsia="宋体" w:hAnsi="宋体" w:cs="宋体"/>
          <w:color w:val="000000" w:themeColor="text1"/>
          <w:szCs w:val="24"/>
        </w:rPr>
      </w:pPr>
      <w:r w:rsidRPr="00051820">
        <w:rPr>
          <w:rFonts w:ascii="宋体" w:eastAsia="宋体" w:hAnsi="宋体" w:cs="宋体"/>
          <w:color w:val="000000" w:themeColor="text1"/>
          <w:szCs w:val="24"/>
        </w:rPr>
        <w:t>Mycobacterium tuberculosis with cellular immunity.</w:t>
      </w:r>
    </w:p>
    <w:p w:rsidR="009A0EB0" w:rsidRPr="00051820" w:rsidRDefault="009A0EB0" w:rsidP="009A0EB0">
      <w:pPr>
        <w:rPr>
          <w:rFonts w:ascii="宋体" w:eastAsia="宋体" w:hAnsi="宋体" w:cs="宋体"/>
          <w:color w:val="000000" w:themeColor="text1"/>
          <w:szCs w:val="24"/>
        </w:rPr>
      </w:pPr>
    </w:p>
    <w:p w:rsidR="009A0EB0" w:rsidRPr="00051820" w:rsidRDefault="009A0EB0" w:rsidP="009A0EB0">
      <w:pPr>
        <w:rPr>
          <w:rFonts w:ascii="宋体" w:eastAsia="宋体" w:hAnsi="宋体" w:cs="宋体"/>
          <w:color w:val="000000" w:themeColor="text1"/>
          <w:szCs w:val="24"/>
        </w:rPr>
      </w:pPr>
      <w:r w:rsidRPr="00051820">
        <w:rPr>
          <w:rFonts w:ascii="宋体" w:eastAsia="宋体" w:hAnsi="宋体" w:cs="宋体"/>
          <w:color w:val="000000" w:themeColor="text1"/>
          <w:szCs w:val="24"/>
        </w:rPr>
        <w:t>Ding R(1)(2), Dong C(1)(2), Zhang L(1)(2), Teng Z(3).</w:t>
      </w:r>
    </w:p>
    <w:p w:rsidR="009A0EB0" w:rsidRDefault="009A0EB0" w:rsidP="009A0EB0">
      <w:pPr>
        <w:rPr>
          <w:rFonts w:ascii="宋体" w:eastAsia="宋体" w:hAnsi="宋体" w:cs="宋体"/>
          <w:color w:val="000000" w:themeColor="text1"/>
          <w:szCs w:val="24"/>
        </w:rPr>
      </w:pPr>
    </w:p>
    <w:p w:rsidR="009A0EB0" w:rsidRPr="00436C44" w:rsidRDefault="009A0EB0" w:rsidP="009A0EB0">
      <w:pPr>
        <w:rPr>
          <w:rFonts w:ascii="宋体" w:eastAsia="宋体" w:hAnsi="宋体" w:cs="宋体"/>
          <w:b/>
          <w:color w:val="0070C0"/>
          <w:szCs w:val="24"/>
        </w:rPr>
      </w:pPr>
      <w:r w:rsidRPr="00436C44">
        <w:rPr>
          <w:rFonts w:ascii="宋体" w:eastAsia="宋体" w:hAnsi="宋体" w:cs="宋体"/>
          <w:b/>
          <w:color w:val="0070C0"/>
          <w:szCs w:val="24"/>
        </w:rPr>
        <w:t>Ruidi Ding, Cunjuan Dong, Long Zhang</w:t>
      </w:r>
      <w:r w:rsidR="006E18EA">
        <w:rPr>
          <w:rFonts w:ascii="宋体" w:eastAsia="宋体" w:hAnsi="宋体" w:cs="宋体" w:hint="eastAsia"/>
          <w:b/>
          <w:color w:val="0070C0"/>
          <w:szCs w:val="24"/>
        </w:rPr>
        <w:t>*</w:t>
      </w:r>
      <w:r w:rsidRPr="00436C44">
        <w:rPr>
          <w:rFonts w:ascii="宋体" w:eastAsia="宋体" w:hAnsi="宋体" w:cs="宋体"/>
          <w:b/>
          <w:color w:val="0070C0"/>
          <w:szCs w:val="24"/>
        </w:rPr>
        <w:t>, Zhidong Teng</w:t>
      </w:r>
    </w:p>
    <w:p w:rsidR="009A0EB0" w:rsidRPr="006E18EA" w:rsidRDefault="006E18EA" w:rsidP="009A0EB0">
      <w:pPr>
        <w:rPr>
          <w:rFonts w:ascii="宋体" w:eastAsia="宋体" w:hAnsi="宋体" w:cs="宋体"/>
          <w:b/>
          <w:color w:val="0070C0"/>
          <w:szCs w:val="24"/>
        </w:rPr>
      </w:pPr>
      <w:r w:rsidRPr="006E18EA">
        <w:rPr>
          <w:rFonts w:ascii="宋体" w:eastAsia="宋体" w:hAnsi="宋体" w:cs="宋体" w:hint="eastAsia"/>
          <w:b/>
          <w:color w:val="0070C0"/>
          <w:szCs w:val="24"/>
        </w:rPr>
        <w:t>*</w:t>
      </w:r>
      <w:r w:rsidRPr="006E18EA">
        <w:rPr>
          <w:rFonts w:ascii="宋体" w:eastAsia="宋体" w:hAnsi="宋体" w:cs="宋体"/>
          <w:b/>
          <w:color w:val="0070C0"/>
          <w:szCs w:val="24"/>
        </w:rPr>
        <w:t>CONTACT Long Zhang</w:t>
      </w:r>
      <w:r w:rsidRPr="006E18EA">
        <w:rPr>
          <w:rFonts w:ascii="宋体" w:eastAsia="宋体" w:hAnsi="宋体" w:cs="宋体" w:hint="eastAsia"/>
          <w:b/>
          <w:color w:val="0070C0"/>
          <w:szCs w:val="24"/>
        </w:rPr>
        <w:t>，</w:t>
      </w:r>
      <w:r w:rsidRPr="006E18EA">
        <w:rPr>
          <w:rFonts w:ascii="宋体" w:eastAsia="宋体" w:hAnsi="宋体" w:cs="宋体"/>
          <w:b/>
          <w:color w:val="0070C0"/>
          <w:szCs w:val="24"/>
        </w:rPr>
        <w:t>lzhang@xju.edu.cn</w:t>
      </w:r>
    </w:p>
    <w:p w:rsidR="009A0EB0" w:rsidRDefault="009A0EB0" w:rsidP="009A0EB0">
      <w:pPr>
        <w:rPr>
          <w:rFonts w:ascii="宋体" w:eastAsia="宋体" w:hAnsi="宋体" w:cs="宋体"/>
          <w:color w:val="000000" w:themeColor="text1"/>
          <w:szCs w:val="24"/>
        </w:rPr>
      </w:pPr>
    </w:p>
    <w:p w:rsidR="009A0EB0" w:rsidRPr="00051820" w:rsidRDefault="009A0EB0" w:rsidP="009A0EB0">
      <w:pPr>
        <w:rPr>
          <w:rFonts w:ascii="宋体" w:eastAsia="宋体" w:hAnsi="宋体" w:cs="宋体"/>
          <w:color w:val="000000" w:themeColor="text1"/>
          <w:szCs w:val="24"/>
        </w:rPr>
      </w:pPr>
      <w:r w:rsidRPr="00051820">
        <w:rPr>
          <w:rFonts w:ascii="宋体" w:eastAsia="宋体" w:hAnsi="宋体" w:cs="宋体"/>
          <w:color w:val="000000" w:themeColor="text1"/>
          <w:szCs w:val="24"/>
        </w:rPr>
        <w:t>Author information:</w:t>
      </w:r>
    </w:p>
    <w:p w:rsidR="009A0EB0" w:rsidRPr="00051820" w:rsidRDefault="009A0EB0" w:rsidP="009A0EB0">
      <w:pPr>
        <w:rPr>
          <w:rFonts w:ascii="宋体" w:eastAsia="宋体" w:hAnsi="宋体" w:cs="宋体"/>
          <w:color w:val="000000" w:themeColor="text1"/>
          <w:szCs w:val="24"/>
        </w:rPr>
      </w:pPr>
      <w:r w:rsidRPr="00051820">
        <w:rPr>
          <w:rFonts w:ascii="宋体" w:eastAsia="宋体" w:hAnsi="宋体" w:cs="宋体"/>
          <w:color w:val="000000" w:themeColor="text1"/>
          <w:szCs w:val="24"/>
        </w:rPr>
        <w:t xml:space="preserve">(1)College of Mathematics and Systems Science, Xinjiang University, Urumqi, </w:t>
      </w:r>
    </w:p>
    <w:p w:rsidR="009A0EB0" w:rsidRPr="00051820" w:rsidRDefault="009A0EB0" w:rsidP="009A0EB0">
      <w:pPr>
        <w:rPr>
          <w:rFonts w:ascii="宋体" w:eastAsia="宋体" w:hAnsi="宋体" w:cs="宋体"/>
          <w:color w:val="000000" w:themeColor="text1"/>
          <w:szCs w:val="24"/>
        </w:rPr>
      </w:pPr>
      <w:r w:rsidRPr="00051820">
        <w:rPr>
          <w:rFonts w:ascii="宋体" w:eastAsia="宋体" w:hAnsi="宋体" w:cs="宋体"/>
          <w:color w:val="000000" w:themeColor="text1"/>
          <w:szCs w:val="24"/>
        </w:rPr>
        <w:t>People's Republic of China.</w:t>
      </w:r>
    </w:p>
    <w:p w:rsidR="009A0EB0" w:rsidRPr="00051820" w:rsidRDefault="009A0EB0" w:rsidP="009A0EB0">
      <w:pPr>
        <w:rPr>
          <w:rFonts w:ascii="宋体" w:eastAsia="宋体" w:hAnsi="宋体" w:cs="宋体"/>
          <w:color w:val="000000" w:themeColor="text1"/>
          <w:szCs w:val="24"/>
        </w:rPr>
      </w:pPr>
      <w:r w:rsidRPr="00051820">
        <w:rPr>
          <w:rFonts w:ascii="宋体" w:eastAsia="宋体" w:hAnsi="宋体" w:cs="宋体"/>
          <w:color w:val="000000" w:themeColor="text1"/>
          <w:szCs w:val="24"/>
        </w:rPr>
        <w:t xml:space="preserve">(2)The Key Laboratory of Applied Mathematics of Xinjiang Uygur Autonomous </w:t>
      </w:r>
    </w:p>
    <w:p w:rsidR="009A0EB0" w:rsidRPr="00051820" w:rsidRDefault="009A0EB0" w:rsidP="009A0EB0">
      <w:pPr>
        <w:rPr>
          <w:rFonts w:ascii="宋体" w:eastAsia="宋体" w:hAnsi="宋体" w:cs="宋体"/>
          <w:color w:val="000000" w:themeColor="text1"/>
          <w:szCs w:val="24"/>
        </w:rPr>
      </w:pPr>
      <w:r w:rsidRPr="00051820">
        <w:rPr>
          <w:rFonts w:ascii="宋体" w:eastAsia="宋体" w:hAnsi="宋体" w:cs="宋体"/>
          <w:color w:val="000000" w:themeColor="text1"/>
          <w:szCs w:val="24"/>
        </w:rPr>
        <w:t>Region, Xinjiang University, Urumqi, People's Republic of China.</w:t>
      </w:r>
    </w:p>
    <w:p w:rsidR="009A0EB0" w:rsidRPr="00051820" w:rsidRDefault="009A0EB0" w:rsidP="009A0EB0">
      <w:pPr>
        <w:rPr>
          <w:rFonts w:ascii="宋体" w:eastAsia="宋体" w:hAnsi="宋体" w:cs="宋体"/>
          <w:color w:val="000000" w:themeColor="text1"/>
          <w:szCs w:val="24"/>
        </w:rPr>
      </w:pPr>
      <w:r w:rsidRPr="00051820">
        <w:rPr>
          <w:rFonts w:ascii="宋体" w:eastAsia="宋体" w:hAnsi="宋体" w:cs="宋体"/>
          <w:color w:val="000000" w:themeColor="text1"/>
          <w:szCs w:val="24"/>
        </w:rPr>
        <w:t xml:space="preserve">(3)College of Medical Engineering and Technology, Xinjiang Medical University, </w:t>
      </w:r>
    </w:p>
    <w:p w:rsidR="009A0EB0" w:rsidRPr="00051820" w:rsidRDefault="009A0EB0" w:rsidP="009A0EB0">
      <w:pPr>
        <w:rPr>
          <w:rFonts w:ascii="宋体" w:eastAsia="宋体" w:hAnsi="宋体" w:cs="宋体"/>
          <w:color w:val="000000" w:themeColor="text1"/>
          <w:szCs w:val="24"/>
        </w:rPr>
      </w:pPr>
      <w:r w:rsidRPr="00051820">
        <w:rPr>
          <w:rFonts w:ascii="宋体" w:eastAsia="宋体" w:hAnsi="宋体" w:cs="宋体"/>
          <w:color w:val="000000" w:themeColor="text1"/>
          <w:szCs w:val="24"/>
        </w:rPr>
        <w:t>Urumqi, People's Republic of China.</w:t>
      </w:r>
    </w:p>
    <w:p w:rsidR="009A0EB0" w:rsidRPr="00051820" w:rsidRDefault="009A0EB0" w:rsidP="009A0EB0">
      <w:pPr>
        <w:rPr>
          <w:rFonts w:ascii="宋体" w:eastAsia="宋体" w:hAnsi="宋体" w:cs="宋体"/>
          <w:color w:val="000000" w:themeColor="text1"/>
          <w:szCs w:val="24"/>
        </w:rPr>
      </w:pPr>
    </w:p>
    <w:p w:rsidR="009A0EB0" w:rsidRPr="00051820" w:rsidRDefault="009A0EB0" w:rsidP="009A0EB0">
      <w:pPr>
        <w:rPr>
          <w:rFonts w:ascii="宋体" w:eastAsia="宋体" w:hAnsi="宋体" w:cs="宋体"/>
          <w:color w:val="000000" w:themeColor="text1"/>
          <w:szCs w:val="24"/>
        </w:rPr>
      </w:pPr>
      <w:r w:rsidRPr="00051820">
        <w:rPr>
          <w:rFonts w:ascii="宋体" w:eastAsia="宋体" w:hAnsi="宋体" w:cs="宋体"/>
          <w:color w:val="000000" w:themeColor="text1"/>
          <w:szCs w:val="24"/>
        </w:rPr>
        <w:t xml:space="preserve">This paper proposes a within-host Mycobacterium tuberculosis (Mtb) infection </w:t>
      </w:r>
    </w:p>
    <w:p w:rsidR="009A0EB0" w:rsidRPr="00051820" w:rsidRDefault="009A0EB0" w:rsidP="009A0EB0">
      <w:pPr>
        <w:rPr>
          <w:rFonts w:ascii="宋体" w:eastAsia="宋体" w:hAnsi="宋体" w:cs="宋体"/>
          <w:color w:val="000000" w:themeColor="text1"/>
          <w:szCs w:val="24"/>
        </w:rPr>
      </w:pPr>
      <w:r w:rsidRPr="00051820">
        <w:rPr>
          <w:rFonts w:ascii="宋体" w:eastAsia="宋体" w:hAnsi="宋体" w:cs="宋体"/>
          <w:color w:val="000000" w:themeColor="text1"/>
          <w:szCs w:val="24"/>
        </w:rPr>
        <w:t xml:space="preserve">model integrating M1/M2 macrophage conversion to explore macrophage polarization </w:t>
      </w:r>
    </w:p>
    <w:p w:rsidR="009A0EB0" w:rsidRPr="00051820" w:rsidRDefault="009A0EB0" w:rsidP="009A0EB0">
      <w:pPr>
        <w:rPr>
          <w:rFonts w:ascii="宋体" w:eastAsia="宋体" w:hAnsi="宋体" w:cs="宋体"/>
          <w:color w:val="000000" w:themeColor="text1"/>
          <w:szCs w:val="24"/>
        </w:rPr>
      </w:pPr>
      <w:r w:rsidRPr="00051820">
        <w:rPr>
          <w:rFonts w:ascii="宋体" w:eastAsia="宋体" w:hAnsi="宋体" w:cs="宋体"/>
          <w:color w:val="000000" w:themeColor="text1"/>
          <w:szCs w:val="24"/>
        </w:rPr>
        <w:t xml:space="preserve">regulation in pulmonary infection with cellular immunity. The basic reproduction </w:t>
      </w:r>
    </w:p>
    <w:p w:rsidR="009A0EB0" w:rsidRPr="00051820" w:rsidRDefault="009A0EB0" w:rsidP="009A0EB0">
      <w:pPr>
        <w:rPr>
          <w:rFonts w:ascii="宋体" w:eastAsia="宋体" w:hAnsi="宋体" w:cs="宋体"/>
          <w:color w:val="000000" w:themeColor="text1"/>
          <w:szCs w:val="24"/>
        </w:rPr>
      </w:pPr>
      <w:r w:rsidRPr="00051820">
        <w:rPr>
          <w:rFonts w:ascii="宋体" w:eastAsia="宋体" w:hAnsi="宋体" w:cs="宋体"/>
          <w:color w:val="000000" w:themeColor="text1"/>
          <w:szCs w:val="24"/>
        </w:rPr>
        <w:t xml:space="preserve">number R0 is calculated, and criteria on the locally and globally asymptotic </w:t>
      </w:r>
    </w:p>
    <w:p w:rsidR="009A0EB0" w:rsidRPr="00051820" w:rsidRDefault="009A0EB0" w:rsidP="009A0EB0">
      <w:pPr>
        <w:rPr>
          <w:rFonts w:ascii="宋体" w:eastAsia="宋体" w:hAnsi="宋体" w:cs="宋体"/>
          <w:color w:val="000000" w:themeColor="text1"/>
          <w:szCs w:val="24"/>
        </w:rPr>
      </w:pPr>
      <w:r w:rsidRPr="00051820">
        <w:rPr>
          <w:rFonts w:ascii="宋体" w:eastAsia="宋体" w:hAnsi="宋体" w:cs="宋体"/>
          <w:color w:val="000000" w:themeColor="text1"/>
          <w:szCs w:val="24"/>
        </w:rPr>
        <w:t xml:space="preserve">stability of infection-free equilibrium E0 are established if R0 &lt; 1. Criteria </w:t>
      </w:r>
    </w:p>
    <w:p w:rsidR="009A0EB0" w:rsidRPr="00051820" w:rsidRDefault="009A0EB0" w:rsidP="009A0EB0">
      <w:pPr>
        <w:rPr>
          <w:rFonts w:ascii="宋体" w:eastAsia="宋体" w:hAnsi="宋体" w:cs="宋体"/>
          <w:color w:val="000000" w:themeColor="text1"/>
          <w:szCs w:val="24"/>
        </w:rPr>
      </w:pPr>
      <w:r w:rsidRPr="00051820">
        <w:rPr>
          <w:rFonts w:ascii="宋体" w:eastAsia="宋体" w:hAnsi="宋体" w:cs="宋体"/>
          <w:color w:val="000000" w:themeColor="text1"/>
          <w:szCs w:val="24"/>
        </w:rPr>
        <w:t xml:space="preserve">on the existence and locally asymptotic stability of immune-free infection </w:t>
      </w:r>
    </w:p>
    <w:p w:rsidR="009A0EB0" w:rsidRPr="00051820" w:rsidRDefault="009A0EB0" w:rsidP="009A0EB0">
      <w:pPr>
        <w:rPr>
          <w:rFonts w:ascii="宋体" w:eastAsia="宋体" w:hAnsi="宋体" w:cs="宋体"/>
          <w:color w:val="000000" w:themeColor="text1"/>
          <w:szCs w:val="24"/>
        </w:rPr>
      </w:pPr>
      <w:r w:rsidRPr="00051820">
        <w:rPr>
          <w:rFonts w:ascii="宋体" w:eastAsia="宋体" w:hAnsi="宋体" w:cs="宋体"/>
          <w:color w:val="000000" w:themeColor="text1"/>
          <w:szCs w:val="24"/>
        </w:rPr>
        <w:t>equilibrium E¯ and immune-activated infection equilibrium E</w:t>
      </w:r>
      <w:r w:rsidRPr="00051820">
        <w:rPr>
          <w:rFonts w:ascii="MS Gothic" w:eastAsia="宋体" w:hAnsi="MS Gothic" w:cs="MS Gothic"/>
          <w:color w:val="000000" w:themeColor="text1"/>
          <w:szCs w:val="24"/>
        </w:rPr>
        <w:t>∗</w:t>
      </w:r>
      <w:r w:rsidRPr="00051820">
        <w:rPr>
          <w:rFonts w:ascii="宋体" w:eastAsia="宋体" w:hAnsi="宋体" w:cs="宋体"/>
          <w:color w:val="000000" w:themeColor="text1"/>
          <w:szCs w:val="24"/>
        </w:rPr>
        <w:t xml:space="preserve"> are further </w:t>
      </w:r>
    </w:p>
    <w:p w:rsidR="009A0EB0" w:rsidRPr="00051820" w:rsidRDefault="009A0EB0" w:rsidP="009A0EB0">
      <w:pPr>
        <w:rPr>
          <w:rFonts w:ascii="宋体" w:eastAsia="宋体" w:hAnsi="宋体" w:cs="宋体"/>
          <w:color w:val="000000" w:themeColor="text1"/>
          <w:szCs w:val="24"/>
        </w:rPr>
      </w:pPr>
      <w:r w:rsidRPr="00051820">
        <w:rPr>
          <w:rFonts w:ascii="宋体" w:eastAsia="宋体" w:hAnsi="宋体" w:cs="宋体"/>
          <w:color w:val="000000" w:themeColor="text1"/>
          <w:szCs w:val="24"/>
        </w:rPr>
        <w:t xml:space="preserve">obtained if R0 &gt; 1. Moreover, the model exhibits forward, backward and </w:t>
      </w:r>
    </w:p>
    <w:p w:rsidR="009A0EB0" w:rsidRPr="00051820" w:rsidRDefault="009A0EB0" w:rsidP="009A0EB0">
      <w:pPr>
        <w:rPr>
          <w:rFonts w:ascii="宋体" w:eastAsia="宋体" w:hAnsi="宋体" w:cs="宋体"/>
          <w:color w:val="000000" w:themeColor="text1"/>
          <w:szCs w:val="24"/>
        </w:rPr>
      </w:pPr>
      <w:r w:rsidRPr="00051820">
        <w:rPr>
          <w:rFonts w:ascii="宋体" w:eastAsia="宋体" w:hAnsi="宋体" w:cs="宋体"/>
          <w:color w:val="000000" w:themeColor="text1"/>
          <w:szCs w:val="24"/>
        </w:rPr>
        <w:t xml:space="preserve">saddle-node bifurcations at E¯, as well as Hopf bifurcation and chaotic dynamics </w:t>
      </w:r>
    </w:p>
    <w:p w:rsidR="009A0EB0" w:rsidRPr="00051820" w:rsidRDefault="009A0EB0" w:rsidP="009A0EB0">
      <w:pPr>
        <w:rPr>
          <w:rFonts w:ascii="宋体" w:eastAsia="宋体" w:hAnsi="宋体" w:cs="宋体"/>
          <w:color w:val="000000" w:themeColor="text1"/>
          <w:szCs w:val="24"/>
        </w:rPr>
      </w:pPr>
      <w:r w:rsidRPr="00051820">
        <w:rPr>
          <w:rFonts w:ascii="宋体" w:eastAsia="宋体" w:hAnsi="宋体" w:cs="宋体"/>
          <w:color w:val="000000" w:themeColor="text1"/>
          <w:szCs w:val="24"/>
        </w:rPr>
        <w:t>at E</w:t>
      </w:r>
      <w:r w:rsidRPr="00051820">
        <w:rPr>
          <w:rFonts w:ascii="MS Gothic" w:eastAsia="宋体" w:hAnsi="MS Gothic" w:cs="MS Gothic"/>
          <w:color w:val="000000" w:themeColor="text1"/>
          <w:szCs w:val="24"/>
        </w:rPr>
        <w:t>∗</w:t>
      </w:r>
      <w:r w:rsidRPr="00051820">
        <w:rPr>
          <w:rFonts w:ascii="宋体" w:eastAsia="宋体" w:hAnsi="宋体" w:cs="宋体"/>
          <w:color w:val="000000" w:themeColor="text1"/>
          <w:szCs w:val="24"/>
        </w:rPr>
        <w:t xml:space="preserve">, indicating that Mtb infection is highly sensitive to the dynamic shifts </w:t>
      </w:r>
    </w:p>
    <w:p w:rsidR="009A0EB0" w:rsidRPr="00051820" w:rsidRDefault="009A0EB0" w:rsidP="009A0EB0">
      <w:pPr>
        <w:rPr>
          <w:rFonts w:ascii="宋体" w:eastAsia="宋体" w:hAnsi="宋体" w:cs="宋体"/>
          <w:color w:val="000000" w:themeColor="text1"/>
          <w:szCs w:val="24"/>
        </w:rPr>
      </w:pPr>
      <w:r w:rsidRPr="00051820">
        <w:rPr>
          <w:rFonts w:ascii="宋体" w:eastAsia="宋体" w:hAnsi="宋体" w:cs="宋体"/>
          <w:color w:val="000000" w:themeColor="text1"/>
          <w:szCs w:val="24"/>
        </w:rPr>
        <w:t xml:space="preserve">during macrophage polarization. Numerical simulations verify theoretical </w:t>
      </w:r>
    </w:p>
    <w:p w:rsidR="009A0EB0" w:rsidRPr="00051820" w:rsidRDefault="009A0EB0" w:rsidP="009A0EB0">
      <w:pPr>
        <w:rPr>
          <w:rFonts w:ascii="宋体" w:eastAsia="宋体" w:hAnsi="宋体" w:cs="宋体"/>
          <w:color w:val="000000" w:themeColor="text1"/>
          <w:szCs w:val="24"/>
        </w:rPr>
      </w:pPr>
      <w:r w:rsidRPr="00051820">
        <w:rPr>
          <w:rFonts w:ascii="宋体" w:eastAsia="宋体" w:hAnsi="宋体" w:cs="宋体"/>
          <w:color w:val="000000" w:themeColor="text1"/>
          <w:szCs w:val="24"/>
        </w:rPr>
        <w:t xml:space="preserve">results, revealing that the effective conversion rates γ1 and γ2 between M1 and </w:t>
      </w:r>
    </w:p>
    <w:p w:rsidR="009A0EB0" w:rsidRPr="00051820" w:rsidRDefault="009A0EB0" w:rsidP="009A0EB0">
      <w:pPr>
        <w:rPr>
          <w:rFonts w:ascii="宋体" w:eastAsia="宋体" w:hAnsi="宋体" w:cs="宋体"/>
          <w:color w:val="000000" w:themeColor="text1"/>
          <w:szCs w:val="24"/>
        </w:rPr>
      </w:pPr>
      <w:r w:rsidRPr="00051820">
        <w:rPr>
          <w:rFonts w:ascii="宋体" w:eastAsia="宋体" w:hAnsi="宋体" w:cs="宋体"/>
          <w:color w:val="000000" w:themeColor="text1"/>
          <w:szCs w:val="24"/>
        </w:rPr>
        <w:t xml:space="preserve">M2 macrophages are key regulators of Mtb infection progression, which may </w:t>
      </w:r>
    </w:p>
    <w:p w:rsidR="009A0EB0" w:rsidRPr="00051820" w:rsidRDefault="009A0EB0" w:rsidP="009A0EB0">
      <w:pPr>
        <w:rPr>
          <w:rFonts w:ascii="宋体" w:eastAsia="宋体" w:hAnsi="宋体" w:cs="宋体"/>
          <w:color w:val="000000" w:themeColor="text1"/>
          <w:szCs w:val="24"/>
        </w:rPr>
      </w:pPr>
      <w:r w:rsidRPr="00051820">
        <w:rPr>
          <w:rFonts w:ascii="宋体" w:eastAsia="宋体" w:hAnsi="宋体" w:cs="宋体"/>
          <w:color w:val="000000" w:themeColor="text1"/>
          <w:szCs w:val="24"/>
        </w:rPr>
        <w:t xml:space="preserve">provide theoretical insights into tuberculosis latency and relapse, and offer </w:t>
      </w:r>
    </w:p>
    <w:p w:rsidR="009A0EB0" w:rsidRPr="00051820" w:rsidRDefault="009A0EB0" w:rsidP="009A0EB0">
      <w:pPr>
        <w:rPr>
          <w:rFonts w:ascii="宋体" w:eastAsia="宋体" w:hAnsi="宋体" w:cs="宋体"/>
          <w:color w:val="000000" w:themeColor="text1"/>
          <w:szCs w:val="24"/>
        </w:rPr>
      </w:pPr>
      <w:r w:rsidRPr="00051820">
        <w:rPr>
          <w:rFonts w:ascii="宋体" w:eastAsia="宋体" w:hAnsi="宋体" w:cs="宋体"/>
          <w:color w:val="000000" w:themeColor="text1"/>
          <w:szCs w:val="24"/>
        </w:rPr>
        <w:t>testable predictions for immunotherapeutic strategies.</w:t>
      </w:r>
    </w:p>
    <w:p w:rsidR="009A0EB0" w:rsidRPr="00051820" w:rsidRDefault="009A0EB0" w:rsidP="009A0EB0">
      <w:pPr>
        <w:rPr>
          <w:rFonts w:ascii="宋体" w:eastAsia="宋体" w:hAnsi="宋体" w:cs="宋体"/>
          <w:color w:val="000000" w:themeColor="text1"/>
          <w:szCs w:val="24"/>
        </w:rPr>
      </w:pPr>
    </w:p>
    <w:p w:rsidR="009A0EB0" w:rsidRPr="00051820" w:rsidRDefault="009A0EB0" w:rsidP="009A0EB0">
      <w:pPr>
        <w:rPr>
          <w:rFonts w:ascii="宋体" w:eastAsia="宋体" w:hAnsi="宋体" w:cs="宋体"/>
          <w:color w:val="000000" w:themeColor="text1"/>
          <w:szCs w:val="24"/>
        </w:rPr>
      </w:pPr>
      <w:r w:rsidRPr="00051820">
        <w:rPr>
          <w:rFonts w:ascii="宋体" w:eastAsia="宋体" w:hAnsi="宋体" w:cs="宋体"/>
          <w:color w:val="000000" w:themeColor="text1"/>
          <w:szCs w:val="24"/>
        </w:rPr>
        <w:t>DOI: 10.1080/17513758.2026.2715881</w:t>
      </w:r>
    </w:p>
    <w:p w:rsidR="009A0EB0" w:rsidRPr="00051820" w:rsidRDefault="009A0EB0" w:rsidP="009A0EB0">
      <w:pPr>
        <w:rPr>
          <w:rFonts w:ascii="宋体" w:eastAsia="宋体" w:hAnsi="宋体" w:cs="宋体"/>
          <w:color w:val="000000" w:themeColor="text1"/>
          <w:szCs w:val="24"/>
        </w:rPr>
      </w:pPr>
      <w:r w:rsidRPr="00051820">
        <w:rPr>
          <w:rFonts w:ascii="宋体" w:eastAsia="宋体" w:hAnsi="宋体" w:cs="宋体"/>
          <w:color w:val="000000" w:themeColor="text1"/>
          <w:szCs w:val="24"/>
        </w:rPr>
        <w:t>PMID: 42579631 [Indexed for MEDLINE]</w:t>
      </w:r>
    </w:p>
    <w:p w:rsidR="009A0EB0" w:rsidRDefault="009A0EB0" w:rsidP="009A0EB0">
      <w:pPr>
        <w:rPr>
          <w:rFonts w:ascii="宋体" w:eastAsia="宋体" w:hAnsi="宋体" w:cs="宋体"/>
          <w:color w:val="000000" w:themeColor="text1"/>
          <w:szCs w:val="24"/>
        </w:rPr>
      </w:pPr>
    </w:p>
    <w:p w:rsidR="00C53741" w:rsidRPr="0014218A" w:rsidRDefault="004E4DF0" w:rsidP="00C53741">
      <w:pPr>
        <w:rPr>
          <w:rFonts w:ascii="宋体" w:eastAsia="宋体" w:hAnsi="宋体" w:cs="宋体"/>
          <w:b/>
          <w:color w:val="FF0000"/>
          <w:szCs w:val="24"/>
        </w:rPr>
      </w:pPr>
      <w:r>
        <w:rPr>
          <w:rFonts w:ascii="宋体" w:eastAsia="宋体" w:hAnsi="宋体" w:cs="宋体"/>
          <w:b/>
          <w:color w:val="FF0000"/>
          <w:szCs w:val="24"/>
        </w:rPr>
        <w:t>2</w:t>
      </w:r>
      <w:r w:rsidR="00C53741" w:rsidRPr="0014218A">
        <w:rPr>
          <w:rFonts w:ascii="宋体" w:eastAsia="宋体" w:hAnsi="宋体" w:cs="宋体"/>
          <w:b/>
          <w:color w:val="FF0000"/>
          <w:szCs w:val="24"/>
        </w:rPr>
        <w:t>. J Infect. 2026 Aug 22:106838. doi: 10.1016/j.jin</w:t>
      </w:r>
      <w:r w:rsidR="0014218A">
        <w:rPr>
          <w:rFonts w:ascii="宋体" w:eastAsia="宋体" w:hAnsi="宋体" w:cs="宋体"/>
          <w:b/>
          <w:color w:val="FF0000"/>
          <w:szCs w:val="24"/>
        </w:rPr>
        <w:t xml:space="preserve">f.2026.106838. Online ahead of </w:t>
      </w:r>
      <w:r w:rsidR="00C53741" w:rsidRPr="0014218A">
        <w:rPr>
          <w:rFonts w:ascii="宋体" w:eastAsia="宋体" w:hAnsi="宋体" w:cs="宋体"/>
          <w:b/>
          <w:color w:val="FF0000"/>
          <w:szCs w:val="24"/>
        </w:rPr>
        <w:t>print.</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Early sputum bacterial load dynamics predict treatment response in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multidrug-resistant/rifampicin-resistant tuberculosis: a multicenter prospective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cohort study.</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Zhang F(1), Yang Z(2), Jiang M(3), Hu X(4), Li J(5), Liu K(6), Wang Y(7), Hu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Y(8), Dong Y(9), Qin M(10), Li Q(11), Li L(12), Pang Y(13).</w:t>
      </w:r>
    </w:p>
    <w:p w:rsidR="00C53741" w:rsidRDefault="00C53741" w:rsidP="00C53741">
      <w:pPr>
        <w:rPr>
          <w:rFonts w:ascii="宋体" w:eastAsia="宋体" w:hAnsi="宋体" w:cs="宋体"/>
          <w:color w:val="000000" w:themeColor="text1"/>
          <w:szCs w:val="24"/>
        </w:rPr>
      </w:pPr>
    </w:p>
    <w:p w:rsidR="009F49CB" w:rsidRPr="009F49CB" w:rsidRDefault="009F49CB" w:rsidP="00C53741">
      <w:pPr>
        <w:rPr>
          <w:rFonts w:ascii="宋体" w:eastAsia="宋体" w:hAnsi="宋体" w:cs="宋体"/>
          <w:b/>
          <w:color w:val="0070C0"/>
          <w:szCs w:val="24"/>
        </w:rPr>
      </w:pPr>
      <w:r w:rsidRPr="009F49CB">
        <w:rPr>
          <w:rFonts w:ascii="宋体" w:eastAsia="宋体" w:hAnsi="宋体" w:cs="宋体"/>
          <w:b/>
          <w:color w:val="0070C0"/>
          <w:szCs w:val="24"/>
        </w:rPr>
        <w:t>Fuzhen Zhang, Zilong Yang, Min Jiang, Xiaomeng Hu, Jun Li, Kewei Liu, Yilin Wang, Yan Hu, Yu Dong, Mingyang Qin, Qiang Li, Liang Li, Yu Pang</w:t>
      </w:r>
      <w:r w:rsidRPr="009F49CB">
        <w:rPr>
          <w:rFonts w:ascii="宋体" w:eastAsia="宋体" w:hAnsi="宋体" w:cs="宋体" w:hint="eastAsia"/>
          <w:b/>
          <w:color w:val="0070C0"/>
          <w:szCs w:val="24"/>
        </w:rPr>
        <w:t>*</w:t>
      </w:r>
    </w:p>
    <w:p w:rsidR="009F49CB" w:rsidRPr="009F49CB" w:rsidRDefault="009F49CB" w:rsidP="00C53741">
      <w:pPr>
        <w:rPr>
          <w:rFonts w:ascii="宋体" w:eastAsia="宋体" w:hAnsi="宋体" w:cs="宋体"/>
          <w:b/>
          <w:color w:val="0070C0"/>
          <w:szCs w:val="24"/>
        </w:rPr>
      </w:pPr>
      <w:r w:rsidRPr="009F49CB">
        <w:rPr>
          <w:rFonts w:ascii="宋体" w:eastAsia="宋体" w:hAnsi="宋体" w:cs="宋体" w:hint="eastAsia"/>
          <w:b/>
          <w:color w:val="0070C0"/>
          <w:szCs w:val="24"/>
        </w:rPr>
        <w:t>*</w:t>
      </w:r>
      <w:r w:rsidRPr="009F49CB">
        <w:rPr>
          <w:rFonts w:ascii="宋体" w:eastAsia="宋体" w:hAnsi="宋体" w:cs="宋体"/>
          <w:b/>
          <w:color w:val="0070C0"/>
          <w:szCs w:val="24"/>
        </w:rPr>
        <w:t>Corresponding author: Yu Pang</w:t>
      </w:r>
      <w:r w:rsidRPr="009F49CB">
        <w:rPr>
          <w:rFonts w:ascii="宋体" w:eastAsia="宋体" w:hAnsi="宋体" w:cs="宋体" w:hint="eastAsia"/>
          <w:b/>
          <w:color w:val="0070C0"/>
          <w:szCs w:val="24"/>
        </w:rPr>
        <w:t>，</w:t>
      </w:r>
      <w:r w:rsidRPr="009F49CB">
        <w:rPr>
          <w:rFonts w:ascii="宋体" w:eastAsia="宋体" w:hAnsi="宋体" w:cs="宋体"/>
          <w:b/>
          <w:color w:val="0070C0"/>
          <w:szCs w:val="24"/>
        </w:rPr>
        <w:t>E-mail: pangyupound@163.com</w:t>
      </w:r>
    </w:p>
    <w:p w:rsidR="009F49CB" w:rsidRDefault="009F49CB"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Author information:</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(1)Department of Bacteriology and Immunology, Beijing Chest Hospital, Capital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Medical University/Beijing Tuberculosis &amp; Thoracic Tumor Research Institute,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Beijing, 101149, PR China; School of Public Health (Shenzhen), Shenzhen Key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Laboratory of Pathogenic Microbes and Biosafety, Shenzhen Campus of Sun Yat-sen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University, Sun Yat-sen University, Guangdong, 518107, PR China. Electronic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address: zhangfzh23@mail.sysu.edu.cn.</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(2)Department of Tuberculosis, Guangzhou Chest Hospital/ Guangzhou Key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Laboratory of Tuberculosis Research/ State Key Laboratory of Respiratory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Disease, Guangzhou, 510095, PR China. Electronic address: 1104389588@qq.com.</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(3)Department of Tuberculosis, Guangzhou Chest Hospital/ Guangzhou Key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Laboratory of Tuberculosis Research/ State Key Laboratory of Respiratory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Disease, Guangzhou, 510095, PR China. Electronic address: 731991502@qq.com.</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(4)Wuhan Pulmonary Hospital, Wuhan Institute for Tuberculosis Control, Wuhan,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Hubei Province, 430030, PR China. Electronic address: 576580110@qq.com.</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(5)Wuhan Pulmonary Hospital, Wuhan Institute for Tuberculosis Control, Wuhan,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Hubei Province, 430030, PR China. Electronic address: lee_juns@126.com.</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(6)Department of Tuberculosis, Beijing Chest Hospital, Capital Medical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University/Beijing Tuberculosis and Thoracic Tumor Research Institute, Beijing,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101149, PR China. Electronic address: keweiliu2018@163.com.</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(7)Department of Bacteriology and Immunology, Beijing Chest Hospital, Capital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Medical University/Beijing Tuberculosis &amp; Thoracic Tumor Research Institute,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Beijing, 101149, PR China. Electronic address: 15040356701@163.com.</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(8)Wuhan Pulmonary Hospital, Wuhan Institute for Tuberculosis Control, Wuhan,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Hubei Province, 430030, PR China. Electronic address: yanhu838442376@163.com.</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(9)Department of Bacteriology and Immunology, Beijing Chest Hospital, Capital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lastRenderedPageBreak/>
        <w:t xml:space="preserve">Medical University/Beijing Tuberculosis &amp; Thoracic Tumor Research Institute,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Beijing, 101149, PR China. Electronic address: 18225845750@163.com.</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(10)Department of Bacteriology and Immunology, Beijing Chest Hospital, Capital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Medical University/Beijing Tuberculosis &amp; Thoracic Tumor Research Institute,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Beijing, 101149, PR China. Electronic address: 1519174099@qq.com.</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(11)Department of Tuberculosis, Beijing Chest Hospital, Capital Medical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University/Beijing Tuberculosis and Thoracic Tumor Research Institute, Beijing,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101149, PR China. Electronic address: liqliq2008@126.com.</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(12)Department of Bacteriology and Immunology, Beijing Chest Hospital, Capital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Medical University/Beijing Tuberculosis &amp; Thoracic Tumor Research Institute,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Beijing, 101149, PR China. Electronic address: liliang69@vip.sina.com.</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(13)Department of Bacteriology and Immunology, Beijing Chest Hospital, Capital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Medical University/Beijing Tuberculosis &amp; Thoracic Tumor Research Institute,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Beijing, 101149, PR China. Electronic address: pangyupound@163.com.</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t>OBJECTIVES:</w:t>
      </w:r>
      <w:r w:rsidRPr="00C53741">
        <w:rPr>
          <w:rFonts w:ascii="宋体" w:eastAsia="宋体" w:hAnsi="宋体" w:cs="宋体"/>
          <w:color w:val="000000" w:themeColor="text1"/>
          <w:szCs w:val="24"/>
        </w:rPr>
        <w:t xml:space="preserve"> Early assessment of treatment response is critical for optimizing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the management of multidrug-resistant/rifampicin-resistant tuberculosis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(MDR/RR-TB). We aimed to establish a molecular bacterial load assay (MBLA) and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evaluate early bacterial load dynamics for predicting 6-month treatment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response.</w:t>
      </w: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t xml:space="preserve">METHODS: </w:t>
      </w:r>
      <w:r w:rsidRPr="00C53741">
        <w:rPr>
          <w:rFonts w:ascii="宋体" w:eastAsia="宋体" w:hAnsi="宋体" w:cs="宋体"/>
          <w:color w:val="000000" w:themeColor="text1"/>
          <w:szCs w:val="24"/>
        </w:rPr>
        <w:t xml:space="preserve">A multicenter prospective cohort study enrolled patients with MDR/RR-TB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in China. MBLA was established and validated against conventional culture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methods. Generalized linear mixed models (GLMM) and artificial neural network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(ANN) models were constructed by integrating 14-day and 2-month bacterial load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changes, and evaluated using area under the curve (AUC), accuracy, sensitivity,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specificity, and F1 score.</w:t>
      </w: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t>RESULTS:</w:t>
      </w:r>
      <w:r w:rsidRPr="00C53741">
        <w:rPr>
          <w:rFonts w:ascii="宋体" w:eastAsia="宋体" w:hAnsi="宋体" w:cs="宋体"/>
          <w:color w:val="000000" w:themeColor="text1"/>
          <w:szCs w:val="24"/>
        </w:rPr>
        <w:t xml:space="preserve"> MBLA enabled quantification within 24hours and strongly correlated with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conventional culture (r = 0.792, -0.790; both P &lt; 0.001). Patients with 6-month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sputum culture conversion showed a rapid decline in sputum bacterial load,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especially within the first 14 days after treatment initiation. Sputum bacterial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load changes over the first 14</w:t>
      </w:r>
      <w:r w:rsidRPr="00C53741">
        <w:rPr>
          <w:rFonts w:ascii="Times New Roman" w:eastAsia="宋体" w:hAnsi="Times New Roman" w:cs="Times New Roman"/>
          <w:color w:val="000000" w:themeColor="text1"/>
          <w:szCs w:val="24"/>
        </w:rPr>
        <w:t> </w:t>
      </w:r>
      <w:r w:rsidRPr="00C53741">
        <w:rPr>
          <w:rFonts w:ascii="宋体" w:eastAsia="宋体" w:hAnsi="宋体" w:cs="宋体"/>
          <w:color w:val="000000" w:themeColor="text1"/>
          <w:szCs w:val="24"/>
        </w:rPr>
        <w:t xml:space="preserve">days of treatment yielded acceptable prognostic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performance for predicting 6-month treatment response, albeit inferior to those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obtained at 2</w:t>
      </w:r>
      <w:r w:rsidRPr="00C53741">
        <w:rPr>
          <w:rFonts w:ascii="Times New Roman" w:eastAsia="宋体" w:hAnsi="Times New Roman" w:cs="Times New Roman"/>
          <w:color w:val="000000" w:themeColor="text1"/>
          <w:szCs w:val="24"/>
        </w:rPr>
        <w:t> </w:t>
      </w:r>
      <w:r w:rsidRPr="00C53741">
        <w:rPr>
          <w:rFonts w:ascii="宋体" w:eastAsia="宋体" w:hAnsi="宋体" w:cs="宋体"/>
          <w:color w:val="000000" w:themeColor="text1"/>
          <w:szCs w:val="24"/>
        </w:rPr>
        <w:t xml:space="preserve">months. The ANN model outperformed the GLMM, with testing set AUCs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of 0.91 (14-day) and 0.98 (2-month).</w:t>
      </w: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t xml:space="preserve">CONCLUSIONS: </w:t>
      </w:r>
      <w:r w:rsidRPr="00C53741">
        <w:rPr>
          <w:rFonts w:ascii="宋体" w:eastAsia="宋体" w:hAnsi="宋体" w:cs="宋体"/>
          <w:color w:val="000000" w:themeColor="text1"/>
          <w:szCs w:val="24"/>
        </w:rPr>
        <w:t xml:space="preserve">MBLA enables rapid quantification of viable sputum bacterial load.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The ANN model incorporating 14-day bacterial load dynamics achieves a favorable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AUC for predicting 6-month sputum culture conversion. It may only serve as an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auxiliary early-warning indicator to supplement routine clinical assessment for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MDR/RR-TB patients. Prospective interventional trials and independent external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validation are required before any consideration of its use to inform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personalised anti-tuberculosis treatment decisions.</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Copyright © 2026. Published by Elsevier Ltd.</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lastRenderedPageBreak/>
        <w:t>DOI: 10.1016/j.jinf.2026.106838</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PMID: 42632488</w:t>
      </w:r>
    </w:p>
    <w:p w:rsidR="00C53741" w:rsidRPr="00C53741" w:rsidRDefault="00C53741" w:rsidP="00C53741">
      <w:pPr>
        <w:rPr>
          <w:rFonts w:ascii="宋体" w:eastAsia="宋体" w:hAnsi="宋体" w:cs="宋体"/>
          <w:color w:val="000000" w:themeColor="text1"/>
          <w:szCs w:val="24"/>
        </w:rPr>
      </w:pPr>
    </w:p>
    <w:p w:rsidR="00C53741" w:rsidRPr="0014218A" w:rsidRDefault="004E4DF0" w:rsidP="00C53741">
      <w:pPr>
        <w:rPr>
          <w:rFonts w:ascii="宋体" w:eastAsia="宋体" w:hAnsi="宋体" w:cs="宋体"/>
          <w:b/>
          <w:color w:val="FF0000"/>
          <w:szCs w:val="24"/>
        </w:rPr>
      </w:pPr>
      <w:r>
        <w:rPr>
          <w:rFonts w:ascii="宋体" w:eastAsia="宋体" w:hAnsi="宋体" w:cs="宋体"/>
          <w:b/>
          <w:color w:val="FF0000"/>
          <w:szCs w:val="24"/>
        </w:rPr>
        <w:t>3</w:t>
      </w:r>
      <w:r w:rsidR="00C53741" w:rsidRPr="0014218A">
        <w:rPr>
          <w:rFonts w:ascii="宋体" w:eastAsia="宋体" w:hAnsi="宋体" w:cs="宋体"/>
          <w:b/>
          <w:color w:val="FF0000"/>
          <w:szCs w:val="24"/>
        </w:rPr>
        <w:t xml:space="preserve">. J Appl Microbiol. 2026 Aug 22:lxag210. doi: 10.1093/jambio/lxag210. Online </w:t>
      </w:r>
      <w:r w:rsidR="0014218A" w:rsidRPr="0014218A">
        <w:rPr>
          <w:rFonts w:ascii="宋体" w:eastAsia="宋体" w:hAnsi="宋体" w:cs="宋体"/>
          <w:b/>
          <w:color w:val="FF0000"/>
          <w:szCs w:val="24"/>
        </w:rPr>
        <w:t xml:space="preserve">ahead </w:t>
      </w:r>
      <w:r w:rsidR="00C53741" w:rsidRPr="0014218A">
        <w:rPr>
          <w:rFonts w:ascii="宋体" w:eastAsia="宋体" w:hAnsi="宋体" w:cs="宋体"/>
          <w:b/>
          <w:color w:val="FF0000"/>
          <w:szCs w:val="24"/>
        </w:rPr>
        <w:t>of print.</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The transcriptional regulator CasR controls mycobacterial antioxidant defense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and biofilm formation via multiple direct targets.</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Chen H(1), Li Y(1), Zheng J(1), Liu X(1), Lu J(1), Li W(1).</w:t>
      </w:r>
    </w:p>
    <w:p w:rsidR="00C53741" w:rsidRDefault="00C53741" w:rsidP="00C53741">
      <w:pPr>
        <w:rPr>
          <w:rFonts w:ascii="宋体" w:eastAsia="宋体" w:hAnsi="宋体" w:cs="宋体"/>
          <w:color w:val="000000" w:themeColor="text1"/>
          <w:szCs w:val="24"/>
        </w:rPr>
      </w:pPr>
    </w:p>
    <w:p w:rsidR="00B806F9" w:rsidRPr="00B806F9" w:rsidRDefault="00B806F9" w:rsidP="00C53741">
      <w:pPr>
        <w:rPr>
          <w:rFonts w:ascii="宋体" w:eastAsia="宋体" w:hAnsi="宋体" w:cs="宋体"/>
          <w:b/>
          <w:color w:val="0070C0"/>
          <w:szCs w:val="24"/>
        </w:rPr>
      </w:pPr>
      <w:r w:rsidRPr="00B806F9">
        <w:rPr>
          <w:rFonts w:ascii="宋体" w:eastAsia="宋体" w:hAnsi="宋体" w:cs="宋体"/>
          <w:b/>
          <w:color w:val="0070C0"/>
          <w:szCs w:val="24"/>
        </w:rPr>
        <w:t>Huizi Chen, Yuanpeng Li, Jiachen Zheng, Xiaolin Liu, Jie Lu</w:t>
      </w:r>
      <w:r w:rsidR="00417731">
        <w:rPr>
          <w:rFonts w:ascii="宋体" w:eastAsia="宋体" w:hAnsi="宋体" w:cs="宋体" w:hint="eastAsia"/>
          <w:b/>
          <w:color w:val="0070C0"/>
          <w:szCs w:val="24"/>
        </w:rPr>
        <w:t>*</w:t>
      </w:r>
      <w:r w:rsidRPr="00B806F9">
        <w:rPr>
          <w:rFonts w:ascii="宋体" w:eastAsia="宋体" w:hAnsi="宋体" w:cs="宋体"/>
          <w:b/>
          <w:color w:val="0070C0"/>
          <w:szCs w:val="24"/>
        </w:rPr>
        <w:t>, Weihui Li</w:t>
      </w:r>
      <w:r w:rsidR="00417731">
        <w:rPr>
          <w:rFonts w:ascii="宋体" w:eastAsia="宋体" w:hAnsi="宋体" w:cs="宋体" w:hint="eastAsia"/>
          <w:b/>
          <w:color w:val="0070C0"/>
          <w:szCs w:val="24"/>
        </w:rPr>
        <w:t>*</w:t>
      </w:r>
    </w:p>
    <w:p w:rsidR="00B806F9" w:rsidRPr="00417731" w:rsidRDefault="00417731" w:rsidP="00C53741">
      <w:pPr>
        <w:rPr>
          <w:rFonts w:ascii="宋体" w:eastAsia="宋体" w:hAnsi="宋体" w:cs="宋体"/>
          <w:b/>
          <w:color w:val="0070C0"/>
          <w:szCs w:val="24"/>
        </w:rPr>
      </w:pPr>
      <w:r w:rsidRPr="00417731">
        <w:rPr>
          <w:rFonts w:ascii="宋体" w:eastAsia="宋体" w:hAnsi="宋体" w:cs="宋体" w:hint="eastAsia"/>
          <w:b/>
          <w:color w:val="0070C0"/>
          <w:szCs w:val="24"/>
        </w:rPr>
        <w:t>*</w:t>
      </w:r>
      <w:r w:rsidRPr="00417731">
        <w:rPr>
          <w:rFonts w:ascii="宋体" w:eastAsia="宋体" w:hAnsi="宋体" w:cs="宋体"/>
          <w:b/>
          <w:color w:val="0070C0"/>
          <w:szCs w:val="24"/>
        </w:rPr>
        <w:t>To whom correspondence should be addressed:</w:t>
      </w:r>
      <w:r w:rsidRPr="00417731">
        <w:rPr>
          <w:b/>
          <w:color w:val="0070C0"/>
        </w:rPr>
        <w:t xml:space="preserve"> </w:t>
      </w:r>
      <w:r w:rsidRPr="00417731">
        <w:rPr>
          <w:rFonts w:ascii="宋体" w:eastAsia="宋体" w:hAnsi="宋体" w:cs="宋体"/>
          <w:b/>
          <w:color w:val="0070C0"/>
          <w:szCs w:val="24"/>
        </w:rPr>
        <w:t>Email: Jie Lu, jlu92@163.com; Weihui Li, lwhlbx@163.com</w:t>
      </w:r>
    </w:p>
    <w:p w:rsidR="00B806F9" w:rsidRDefault="00B806F9"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Author information:</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(1)College of Life Science and Technology, Guangxi University, Guangxi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Technology Innovation Center for Microbial Resources Development and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Utilization, State Key Laboratory for Conservation and Utilization of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Subtropical Agro-Bioresources, Nanning, 530004, China.</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t>AIMS:</w:t>
      </w:r>
      <w:r w:rsidRPr="00C53741">
        <w:rPr>
          <w:rFonts w:ascii="宋体" w:eastAsia="宋体" w:hAnsi="宋体" w:cs="宋体"/>
          <w:color w:val="000000" w:themeColor="text1"/>
          <w:szCs w:val="24"/>
        </w:rPr>
        <w:t xml:space="preserve"> The antioxidant defense system of Mycobacterium tuberculosis is critical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for pathogenicity and persistence within macrophages, yet the regulatory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networks remain poorly understood. This study aims to elucidate the molecular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mechanism by which the transcription factor CasR regulates antioxidant defense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in mycobacteria through delineation of the regulatory axis linking CasR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activity, target gene expression, and the antioxidant phenotype.</w:t>
      </w: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t xml:space="preserve">METHODS AND RESULTS: </w:t>
      </w:r>
      <w:r w:rsidRPr="00C53741">
        <w:rPr>
          <w:rFonts w:ascii="宋体" w:eastAsia="宋体" w:hAnsi="宋体" w:cs="宋体"/>
          <w:color w:val="000000" w:themeColor="text1"/>
          <w:szCs w:val="24"/>
        </w:rPr>
        <w:t xml:space="preserve">Using Mycobacterium smegmatis as a model organism, we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demonstrate that overexpression of CasR renders the bacteria significantly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susceptible to hydrogen peroxide. Electrophoretic Mobility Shift Assay (EMSA)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and β-galactosidase reporter analyses reveal that CasR directly binds and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represses the promoter of cyp144, an uncharacterized cytochrome P450-encoding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gene. Deletion of casRMsmreduces biofilm formation, consistent with the expected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derepression of cyp144Msm, a gene that negatively regulates both biofilm and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oxidative stress tolerance. EMSA and β-galactosidase activity assays also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demonstrate that CasR negatively regulates antioxidant gene katGI, suggesting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that CasR exerts a broader, global regulatory role within the mycobacterial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antioxidant defense network. Furthermore, we identify isoleucine 18 as a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critical residue for the DNA-binding and regulatory function of CasR.</w:t>
      </w: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t xml:space="preserve">CONCLUSION: </w:t>
      </w:r>
      <w:r w:rsidRPr="00C53741">
        <w:rPr>
          <w:rFonts w:ascii="宋体" w:eastAsia="宋体" w:hAnsi="宋体" w:cs="宋体"/>
          <w:color w:val="000000" w:themeColor="text1"/>
          <w:szCs w:val="24"/>
        </w:rPr>
        <w:t xml:space="preserve">This study establishes CasR as a pleiotropic transcriptional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regulator that directly controls multiple antioxidant genes, including cyp144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and katGI, in mycobacteria. We report a previously unrecognized role for a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cytochrome P450 family member in suppressing bacterial antioxidant capacity, as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cyp144 overexpression reduces biofilm formation. These findings provide a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lastRenderedPageBreak/>
        <w:t xml:space="preserve">valuable reference for further investigation into mycobacterial antioxidant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mechanisms and identify CasR and Cyp144 as potential targets for the development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of anti-tuberculosis drugs.</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hint="eastAsia"/>
          <w:color w:val="000000" w:themeColor="text1"/>
          <w:szCs w:val="24"/>
        </w:rPr>
        <w:t>©</w:t>
      </w:r>
      <w:r w:rsidRPr="00C53741">
        <w:rPr>
          <w:rFonts w:ascii="宋体" w:eastAsia="宋体" w:hAnsi="宋体" w:cs="宋体"/>
          <w:color w:val="000000" w:themeColor="text1"/>
          <w:szCs w:val="24"/>
        </w:rPr>
        <w:t xml:space="preserve"> The Author(s) 2026. Published by Oxford University Press on behalf of Applied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Microbiology International. All rights reserved. For commercial re-use, please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contact reprints@oup.com for reprints and translation rights for reprints. All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other permissions can be obtained through our RightsLink service via the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Permissions link on the article page on our site-for further information please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contact journals.permissions@oup.com.</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DOI: 10.1093/jambio/lxag210</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PMID: 42631632</w:t>
      </w:r>
    </w:p>
    <w:p w:rsidR="00C53741" w:rsidRPr="00C53741" w:rsidRDefault="00C53741" w:rsidP="00C53741">
      <w:pPr>
        <w:rPr>
          <w:rFonts w:ascii="宋体" w:eastAsia="宋体" w:hAnsi="宋体" w:cs="宋体"/>
          <w:color w:val="000000" w:themeColor="text1"/>
          <w:szCs w:val="24"/>
        </w:rPr>
      </w:pPr>
    </w:p>
    <w:p w:rsidR="00C53741" w:rsidRPr="0014218A" w:rsidRDefault="004E4DF0" w:rsidP="00C53741">
      <w:pPr>
        <w:rPr>
          <w:rFonts w:ascii="宋体" w:eastAsia="宋体" w:hAnsi="宋体" w:cs="宋体"/>
          <w:b/>
          <w:color w:val="FF0000"/>
          <w:szCs w:val="24"/>
        </w:rPr>
      </w:pPr>
      <w:r>
        <w:rPr>
          <w:rFonts w:ascii="宋体" w:eastAsia="宋体" w:hAnsi="宋体" w:cs="宋体"/>
          <w:b/>
          <w:color w:val="FF0000"/>
          <w:szCs w:val="24"/>
        </w:rPr>
        <w:t>4</w:t>
      </w:r>
      <w:r w:rsidR="00C53741" w:rsidRPr="0014218A">
        <w:rPr>
          <w:rFonts w:ascii="宋体" w:eastAsia="宋体" w:hAnsi="宋体" w:cs="宋体"/>
          <w:b/>
          <w:color w:val="FF0000"/>
          <w:szCs w:val="24"/>
        </w:rPr>
        <w:t xml:space="preserve">. Medicine (Baltimore). 2026 Aug 21;105(34):e50332. doi: </w:t>
      </w:r>
    </w:p>
    <w:p w:rsidR="00C53741" w:rsidRPr="0014218A" w:rsidRDefault="00C53741" w:rsidP="00C53741">
      <w:pPr>
        <w:rPr>
          <w:rFonts w:ascii="宋体" w:eastAsia="宋体" w:hAnsi="宋体" w:cs="宋体"/>
          <w:b/>
          <w:color w:val="FF0000"/>
          <w:szCs w:val="24"/>
        </w:rPr>
      </w:pPr>
      <w:r w:rsidRPr="0014218A">
        <w:rPr>
          <w:rFonts w:ascii="宋体" w:eastAsia="宋体" w:hAnsi="宋体" w:cs="宋体"/>
          <w:b/>
          <w:color w:val="FF0000"/>
          <w:szCs w:val="24"/>
        </w:rPr>
        <w:t>10.1097/MD.0000000000050332.</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Small intestine melanosis caused by clofazimine: A case report.</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Wang WQ(1), Li P, Tang GM, Li Z, Chen ZM.</w:t>
      </w:r>
    </w:p>
    <w:p w:rsidR="00C53741" w:rsidRDefault="00C53741" w:rsidP="00C53741">
      <w:pPr>
        <w:rPr>
          <w:rFonts w:ascii="宋体" w:eastAsia="宋体" w:hAnsi="宋体" w:cs="宋体"/>
          <w:color w:val="000000" w:themeColor="text1"/>
          <w:szCs w:val="24"/>
        </w:rPr>
      </w:pPr>
    </w:p>
    <w:p w:rsidR="00B806F9" w:rsidRPr="00B806F9" w:rsidRDefault="00B806F9" w:rsidP="00C53741">
      <w:pPr>
        <w:rPr>
          <w:rFonts w:ascii="宋体" w:eastAsia="宋体" w:hAnsi="宋体" w:cs="宋体"/>
          <w:b/>
          <w:color w:val="0070C0"/>
          <w:szCs w:val="24"/>
        </w:rPr>
      </w:pPr>
      <w:r w:rsidRPr="00B806F9">
        <w:rPr>
          <w:rFonts w:ascii="宋体" w:eastAsia="宋体" w:hAnsi="宋体" w:cs="宋体"/>
          <w:b/>
          <w:color w:val="0070C0"/>
          <w:szCs w:val="24"/>
        </w:rPr>
        <w:t>Wei-Qiang Wang</w:t>
      </w:r>
      <w:r w:rsidRPr="00B806F9">
        <w:rPr>
          <w:rFonts w:ascii="宋体" w:eastAsia="宋体" w:hAnsi="宋体" w:cs="宋体" w:hint="eastAsia"/>
          <w:b/>
          <w:color w:val="0070C0"/>
          <w:szCs w:val="24"/>
        </w:rPr>
        <w:t>*</w:t>
      </w:r>
      <w:r w:rsidRPr="00B806F9">
        <w:rPr>
          <w:rFonts w:ascii="宋体" w:eastAsia="宋体" w:hAnsi="宋体" w:cs="宋体"/>
          <w:b/>
          <w:color w:val="0070C0"/>
          <w:szCs w:val="24"/>
        </w:rPr>
        <w:t>, Peng Li, Guang-Ming Tang, Zhao Li, Zhong-Min Chen</w:t>
      </w:r>
    </w:p>
    <w:p w:rsidR="00B806F9" w:rsidRPr="00B806F9" w:rsidRDefault="00B806F9" w:rsidP="00C53741">
      <w:pPr>
        <w:rPr>
          <w:rFonts w:ascii="宋体" w:eastAsia="宋体" w:hAnsi="宋体" w:cs="宋体"/>
          <w:b/>
          <w:color w:val="0070C0"/>
          <w:szCs w:val="24"/>
        </w:rPr>
      </w:pPr>
      <w:r w:rsidRPr="00B806F9">
        <w:rPr>
          <w:rFonts w:ascii="宋体" w:eastAsia="宋体" w:hAnsi="宋体" w:cs="宋体" w:hint="eastAsia"/>
          <w:b/>
          <w:color w:val="0070C0"/>
          <w:szCs w:val="24"/>
        </w:rPr>
        <w:t>*</w:t>
      </w:r>
      <w:r w:rsidRPr="00B806F9">
        <w:rPr>
          <w:rFonts w:ascii="宋体" w:eastAsia="宋体" w:hAnsi="宋体" w:cs="宋体"/>
          <w:b/>
          <w:color w:val="0070C0"/>
          <w:szCs w:val="24"/>
        </w:rPr>
        <w:t>Correspondence: Wei-qiang Wang, (e-mail: wangweiqiangdoctor@163.com).</w:t>
      </w:r>
    </w:p>
    <w:p w:rsidR="00B806F9" w:rsidRDefault="00B806F9"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Author information:</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(1)Department of Gastroenterology, Central Hospital Affiliated to Chongqing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University of Technology, Chongqing, China.</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t xml:space="preserve">RATIONALE: </w:t>
      </w:r>
      <w:r w:rsidRPr="00C53741">
        <w:rPr>
          <w:rFonts w:ascii="宋体" w:eastAsia="宋体" w:hAnsi="宋体" w:cs="宋体"/>
          <w:color w:val="000000" w:themeColor="text1"/>
          <w:szCs w:val="24"/>
        </w:rPr>
        <w:t xml:space="preserve">Melanosis coli is a rare condition characterized by abnormal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pigmentation of the gastrointestinal mucosa, most commonly involving the colon.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Involvement of the small intestine is exceedingly rare, with only a few cases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documented in the literature. Here, we present a case of small-intestinal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melanosis and explore its potential pathogenesis and clinical significance.</w:t>
      </w: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t xml:space="preserve">PATIENT CONCERNS: </w:t>
      </w:r>
      <w:r w:rsidRPr="00C53741">
        <w:rPr>
          <w:rFonts w:ascii="宋体" w:eastAsia="宋体" w:hAnsi="宋体" w:cs="宋体"/>
          <w:color w:val="000000" w:themeColor="text1"/>
          <w:szCs w:val="24"/>
        </w:rPr>
        <w:t xml:space="preserve">A 40-year-old male presented with a 6-month history of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abdominal pain and altered bowel habits. He had been taking clofazimine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(100</w:t>
      </w:r>
      <w:r w:rsidRPr="00C53741">
        <w:rPr>
          <w:rFonts w:ascii="MS Gothic" w:eastAsia="MS Gothic" w:hAnsi="MS Gothic" w:cs="MS Gothic" w:hint="eastAsia"/>
          <w:color w:val="000000" w:themeColor="text1"/>
          <w:szCs w:val="24"/>
        </w:rPr>
        <w:t> </w:t>
      </w:r>
      <w:r w:rsidRPr="00C53741">
        <w:rPr>
          <w:rFonts w:ascii="宋体" w:eastAsia="宋体" w:hAnsi="宋体" w:cs="宋体"/>
          <w:color w:val="000000" w:themeColor="text1"/>
          <w:szCs w:val="24"/>
        </w:rPr>
        <w:t xml:space="preserve">mg/d) for pulmonary tuberculosis for 7 months. Notably, his symptoms and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skin hyperpigmentation began 1 month after initiating clofazimine therapy. Total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enteroscopy revealed diffuse gray pigmentation of the duodenal, jejunal, and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ileal mucosa. Histological analysis showed lipofuscin-like granules resembling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those observed in colonic melanosis. Methylene blue staining demonstrated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uniform uptake, with brownish granules at the villous tips, producing a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coral-like appearance. Histopathological examination confirmed the presence of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chronic inflammation with mucosal pigment deposition.</w:t>
      </w: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t>DIAGNOSES:</w:t>
      </w:r>
      <w:r w:rsidRPr="00C53741">
        <w:rPr>
          <w:rFonts w:ascii="宋体" w:eastAsia="宋体" w:hAnsi="宋体" w:cs="宋体"/>
          <w:color w:val="000000" w:themeColor="text1"/>
          <w:szCs w:val="24"/>
        </w:rPr>
        <w:t xml:space="preserve"> Small-intestinal melanosis secondary to clofazimine therapy.</w:t>
      </w: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lastRenderedPageBreak/>
        <w:t>INTERVENTIONS:</w:t>
      </w:r>
      <w:r w:rsidRPr="00C53741">
        <w:rPr>
          <w:rFonts w:ascii="宋体" w:eastAsia="宋体" w:hAnsi="宋体" w:cs="宋体"/>
          <w:color w:val="000000" w:themeColor="text1"/>
          <w:szCs w:val="24"/>
        </w:rPr>
        <w:t xml:space="preserve"> Clofazimine was discontinued, and no further treatment was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administered.</w:t>
      </w: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t>OUTCOMES:</w:t>
      </w:r>
      <w:r w:rsidRPr="00C53741">
        <w:rPr>
          <w:rFonts w:ascii="宋体" w:eastAsia="宋体" w:hAnsi="宋体" w:cs="宋体"/>
          <w:color w:val="000000" w:themeColor="text1"/>
          <w:szCs w:val="24"/>
        </w:rPr>
        <w:t xml:space="preserve"> Three months after stopping clofazimine, the patient's symptoms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resolved, skin pigmentation faded, and follow-up enteroscopy showed normal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mucosal color throughout the small intestine.</w:t>
      </w: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t>LESSONS:</w:t>
      </w:r>
      <w:r w:rsidRPr="00C53741">
        <w:rPr>
          <w:rFonts w:ascii="宋体" w:eastAsia="宋体" w:hAnsi="宋体" w:cs="宋体"/>
          <w:color w:val="000000" w:themeColor="text1"/>
          <w:szCs w:val="24"/>
        </w:rPr>
        <w:t xml:space="preserve"> Intestinal melanosis is a rare disease that, in this case, may be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related to long-term clofazimine use. Clinicians should consider this diagnosis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in patients with unexplained intestinal pigmentation, particularly in those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taking clofazimine. Further research is needed to elucidate its natural history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and underlying mechanisms.</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Copyright © 2026 the Author(s). Published by Wolters Kluwer Health, LLC.</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DOI: 10.1097/MD.0000000000050332</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PMID: 42629751 [Indexed for MEDLINE]</w:t>
      </w:r>
    </w:p>
    <w:p w:rsidR="00C53741" w:rsidRPr="00C53741" w:rsidRDefault="00C53741" w:rsidP="00C53741">
      <w:pPr>
        <w:rPr>
          <w:rFonts w:ascii="宋体" w:eastAsia="宋体" w:hAnsi="宋体" w:cs="宋体"/>
          <w:color w:val="000000" w:themeColor="text1"/>
          <w:szCs w:val="24"/>
        </w:rPr>
      </w:pPr>
    </w:p>
    <w:p w:rsidR="00C53741" w:rsidRPr="0014218A" w:rsidRDefault="004E4DF0" w:rsidP="00C53741">
      <w:pPr>
        <w:rPr>
          <w:rFonts w:ascii="宋体" w:eastAsia="宋体" w:hAnsi="宋体" w:cs="宋体"/>
          <w:b/>
          <w:color w:val="FF0000"/>
          <w:szCs w:val="24"/>
        </w:rPr>
      </w:pPr>
      <w:r>
        <w:rPr>
          <w:rFonts w:ascii="宋体" w:eastAsia="宋体" w:hAnsi="宋体" w:cs="宋体"/>
          <w:b/>
          <w:color w:val="FF0000"/>
          <w:szCs w:val="24"/>
        </w:rPr>
        <w:t>5</w:t>
      </w:r>
      <w:r w:rsidR="00C53741" w:rsidRPr="0014218A">
        <w:rPr>
          <w:rFonts w:ascii="宋体" w:eastAsia="宋体" w:hAnsi="宋体" w:cs="宋体"/>
          <w:b/>
          <w:color w:val="FF0000"/>
          <w:szCs w:val="24"/>
        </w:rPr>
        <w:t xml:space="preserve">. Crit Rev Oncol Hematol. 2026 Aug 21:105555. doi: </w:t>
      </w:r>
    </w:p>
    <w:p w:rsidR="00C53741" w:rsidRPr="0014218A" w:rsidRDefault="00C53741" w:rsidP="00C53741">
      <w:pPr>
        <w:rPr>
          <w:rFonts w:ascii="宋体" w:eastAsia="宋体" w:hAnsi="宋体" w:cs="宋体"/>
          <w:b/>
          <w:color w:val="FF0000"/>
          <w:szCs w:val="24"/>
        </w:rPr>
      </w:pPr>
      <w:r w:rsidRPr="0014218A">
        <w:rPr>
          <w:rFonts w:ascii="宋体" w:eastAsia="宋体" w:hAnsi="宋体" w:cs="宋体"/>
          <w:b/>
          <w:color w:val="FF0000"/>
          <w:szCs w:val="24"/>
        </w:rPr>
        <w:t>10.1016/j.critrevonc.2026.105555. Online ahead of print.</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From Granulomas to Nanomotors: Active surveillance and microenvironment mapping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in the post-tuberculosis Lung.</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Kawuribi V(1), Dou P(2), Deng X(1), Wang W(3), Tang H(4), Zheng S(5), Wang Q(6).</w:t>
      </w:r>
    </w:p>
    <w:p w:rsidR="00C53741" w:rsidRDefault="00C53741" w:rsidP="00C53741">
      <w:pPr>
        <w:rPr>
          <w:rFonts w:ascii="宋体" w:eastAsia="宋体" w:hAnsi="宋体" w:cs="宋体"/>
          <w:color w:val="000000" w:themeColor="text1"/>
          <w:szCs w:val="24"/>
        </w:rPr>
      </w:pPr>
    </w:p>
    <w:p w:rsidR="00805F99" w:rsidRPr="00805F99" w:rsidRDefault="00805F99" w:rsidP="00C53741">
      <w:pPr>
        <w:rPr>
          <w:rFonts w:ascii="宋体" w:eastAsia="宋体" w:hAnsi="宋体" w:cs="宋体"/>
          <w:b/>
          <w:color w:val="0070C0"/>
          <w:szCs w:val="24"/>
        </w:rPr>
      </w:pPr>
      <w:r w:rsidRPr="00805F99">
        <w:rPr>
          <w:rFonts w:ascii="宋体" w:eastAsia="宋体" w:hAnsi="宋体" w:cs="宋体"/>
          <w:b/>
          <w:color w:val="0070C0"/>
          <w:szCs w:val="24"/>
        </w:rPr>
        <w:t>Vincent Kawuribi, Peipei Dou, Xiaomei Deng, Wenjun Wang, Heyun Tang</w:t>
      </w:r>
      <w:r w:rsidR="00F63036">
        <w:rPr>
          <w:rFonts w:ascii="宋体" w:eastAsia="宋体" w:hAnsi="宋体" w:cs="宋体" w:hint="eastAsia"/>
          <w:b/>
          <w:color w:val="0070C0"/>
          <w:szCs w:val="24"/>
        </w:rPr>
        <w:t>*</w:t>
      </w:r>
      <w:r w:rsidRPr="00805F99">
        <w:rPr>
          <w:rFonts w:ascii="宋体" w:eastAsia="宋体" w:hAnsi="宋体" w:cs="宋体"/>
          <w:b/>
          <w:color w:val="0070C0"/>
          <w:szCs w:val="24"/>
        </w:rPr>
        <w:t>, Shaohui Zheng</w:t>
      </w:r>
      <w:r w:rsidR="00F63036">
        <w:rPr>
          <w:rFonts w:ascii="宋体" w:eastAsia="宋体" w:hAnsi="宋体" w:cs="宋体" w:hint="eastAsia"/>
          <w:b/>
          <w:color w:val="0070C0"/>
          <w:szCs w:val="24"/>
        </w:rPr>
        <w:t>*</w:t>
      </w:r>
      <w:r w:rsidRPr="00805F99">
        <w:rPr>
          <w:rFonts w:ascii="宋体" w:eastAsia="宋体" w:hAnsi="宋体" w:cs="宋体"/>
          <w:b/>
          <w:color w:val="0070C0"/>
          <w:szCs w:val="24"/>
        </w:rPr>
        <w:t>, Qiang Wang</w:t>
      </w:r>
      <w:r w:rsidR="00F63036">
        <w:rPr>
          <w:rFonts w:ascii="宋体" w:eastAsia="宋体" w:hAnsi="宋体" w:cs="宋体" w:hint="eastAsia"/>
          <w:b/>
          <w:color w:val="0070C0"/>
          <w:szCs w:val="24"/>
        </w:rPr>
        <w:t>*</w:t>
      </w:r>
    </w:p>
    <w:p w:rsidR="00805F99" w:rsidRPr="00F63036" w:rsidRDefault="00F63036" w:rsidP="00F63036">
      <w:pPr>
        <w:jc w:val="left"/>
        <w:rPr>
          <w:rFonts w:ascii="宋体" w:eastAsia="宋体" w:hAnsi="宋体" w:cs="宋体"/>
          <w:b/>
          <w:color w:val="0070C0"/>
          <w:szCs w:val="24"/>
        </w:rPr>
      </w:pPr>
      <w:r w:rsidRPr="00F63036">
        <w:rPr>
          <w:rFonts w:ascii="宋体" w:eastAsia="宋体" w:hAnsi="宋体" w:cs="宋体"/>
          <w:b/>
          <w:color w:val="0070C0"/>
          <w:szCs w:val="24"/>
        </w:rPr>
        <w:t>*Corresponding authors: thy@xzhmu.edu.cn (Heyun Tang), shaohui19910@163.com (Shaohui Zheng), xzzlyyfl66@163.com (Qiang Wang</w:t>
      </w:r>
      <w:r>
        <w:rPr>
          <w:rFonts w:ascii="宋体" w:eastAsia="宋体" w:hAnsi="宋体" w:cs="宋体" w:hint="eastAsia"/>
          <w:b/>
          <w:color w:val="0070C0"/>
          <w:szCs w:val="24"/>
        </w:rPr>
        <w:t>)</w:t>
      </w:r>
    </w:p>
    <w:p w:rsidR="00805F99" w:rsidRDefault="00805F99"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Author information:</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(1)School of Medical Imaging, Xuzhou Medical University, Xuzhou, 221006, China.</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(2)Department of Radiology, Affiliated Hospital of Xuzhou Medical University,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Xuzhou 221004, China.</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(3)Department of Radiation Oncology, Xuzhou Cancer Hospital, Xuzhou 221005,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China.</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(4)School of Medical Imaging, Xuzhou Medical University, Xuzhou, 221006, China.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Electronic address: thy@xzhmu.edu.cn.</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(5)School of Medical Imaging, Xuzhou Medical University, Xuzhou, 221006, China.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Electronic address: shaohui19910@163.com.</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(6)Department of Radiation Oncology, Xuzhou Cancer Hospital, Xuzhou 221005,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China. Electronic address: xzzlyyfl66@163.com.</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Microbiological cure of tuberculosis (TB) does not restore normal lung health.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Roughly half of TB survivors develop post-tuberculosis lung disease (PTLD),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lastRenderedPageBreak/>
        <w:t xml:space="preserve">characterized by fibrosis, cavitation, bronchiectasis, and chronic inflammation,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and lung cancers frequently arise in or near residual TB scars. This oncogenic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risk is under-recognized, and post-TB surveillance remains largely passive,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relying on static imaging and low-sensitivity biomarkers that perform poorly in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structurally complex lungs. We argue that the central limitation of current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surveillance is a mismatch between a dynamic, spatially heterogeneous pathology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and inherently static diagnostic tools. Synthesizing clinical and mechanistic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evidence, we describe how the post-TB lung is reshaped along three converging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axes, namely structural remodeling, immune dysfunction, and metabolic stress,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that together recapitulate features of the tumor microenvironment. We then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examine nanomotors, a class of self-propelled diagnostic agents able to navigate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complex biological media, overcome diffusion and sampling limits, and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functionally map high-risk niches. Prioritizing translational feasibility, we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focus on near-term applications such as ex vivo biomarker enrichment in sputum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and bronchoalveolar lavage fluid, and we place more speculative sensing and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therapeutic uses on a staged roadmap. This framework reframes the post-TB lung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as an active scar and outlines a biologically aligned strategy for earlier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cancer detection and risk-modifying intervention in TB survivors.</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Copyright © 2026. Published by Elsevier B.V.</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DOI: 10.1016/j.critrevonc.2026.105555</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PMID: 42628609</w:t>
      </w:r>
    </w:p>
    <w:p w:rsidR="00C53741" w:rsidRPr="00C53741" w:rsidRDefault="00C53741" w:rsidP="00C53741">
      <w:pPr>
        <w:rPr>
          <w:rFonts w:ascii="宋体" w:eastAsia="宋体" w:hAnsi="宋体" w:cs="宋体"/>
          <w:color w:val="000000" w:themeColor="text1"/>
          <w:szCs w:val="24"/>
        </w:rPr>
      </w:pPr>
    </w:p>
    <w:p w:rsidR="00C53741" w:rsidRPr="0014218A" w:rsidRDefault="004E4DF0" w:rsidP="00C53741">
      <w:pPr>
        <w:rPr>
          <w:rFonts w:ascii="宋体" w:eastAsia="宋体" w:hAnsi="宋体" w:cs="宋体"/>
          <w:b/>
          <w:color w:val="FF0000"/>
          <w:szCs w:val="24"/>
        </w:rPr>
      </w:pPr>
      <w:r>
        <w:rPr>
          <w:rFonts w:ascii="宋体" w:eastAsia="宋体" w:hAnsi="宋体" w:cs="宋体"/>
          <w:b/>
          <w:color w:val="FF0000"/>
          <w:szCs w:val="24"/>
        </w:rPr>
        <w:t>6</w:t>
      </w:r>
      <w:r w:rsidR="00C53741" w:rsidRPr="0014218A">
        <w:rPr>
          <w:rFonts w:ascii="宋体" w:eastAsia="宋体" w:hAnsi="宋体" w:cs="宋体"/>
          <w:b/>
          <w:color w:val="FF0000"/>
          <w:szCs w:val="24"/>
        </w:rPr>
        <w:t>. J Clin Microbiol. 2026 Aug 20:e0044626. doi: 10.1</w:t>
      </w:r>
      <w:r w:rsidR="0014218A">
        <w:rPr>
          <w:rFonts w:ascii="宋体" w:eastAsia="宋体" w:hAnsi="宋体" w:cs="宋体"/>
          <w:b/>
          <w:color w:val="FF0000"/>
          <w:szCs w:val="24"/>
        </w:rPr>
        <w:t xml:space="preserve">128/jcm.00446-26. Online ahead </w:t>
      </w:r>
      <w:r w:rsidR="00C53741" w:rsidRPr="0014218A">
        <w:rPr>
          <w:rFonts w:ascii="宋体" w:eastAsia="宋体" w:hAnsi="宋体" w:cs="宋体"/>
          <w:b/>
          <w:color w:val="FF0000"/>
          <w:szCs w:val="24"/>
        </w:rPr>
        <w:t>of print.</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Etiologic diagnosis of suspected tuberculous meningitis by multiplex PCR of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cerebrospinal fluid.</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Wang H(#)(1), Huang M(#)(2), Song J(#)(1)(3), Zhang J(1), Yang S(2), Zhang X(1),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He Y(1), Liao Y(1), Xu Y(1)(4), Li Q(1).</w:t>
      </w:r>
    </w:p>
    <w:p w:rsidR="00C53741" w:rsidRDefault="00C53741" w:rsidP="00C53741">
      <w:pPr>
        <w:rPr>
          <w:rFonts w:ascii="宋体" w:eastAsia="宋体" w:hAnsi="宋体" w:cs="宋体"/>
          <w:color w:val="000000" w:themeColor="text1"/>
          <w:szCs w:val="24"/>
        </w:rPr>
      </w:pPr>
    </w:p>
    <w:p w:rsidR="006B6267" w:rsidRPr="006B6267" w:rsidRDefault="006B6267" w:rsidP="00C53741">
      <w:pPr>
        <w:rPr>
          <w:rFonts w:ascii="宋体" w:eastAsia="宋体" w:hAnsi="宋体" w:cs="宋体"/>
          <w:b/>
          <w:color w:val="0070C0"/>
          <w:szCs w:val="24"/>
        </w:rPr>
      </w:pPr>
      <w:r w:rsidRPr="006B6267">
        <w:rPr>
          <w:rFonts w:ascii="宋体" w:eastAsia="宋体" w:hAnsi="宋体" w:cs="宋体"/>
          <w:b/>
          <w:color w:val="0070C0"/>
          <w:szCs w:val="24"/>
        </w:rPr>
        <w:t>Haohao Wang, Mingxiang Huang, Jiabao Song, Jinding Zhang, Shangying Yang, Xiaoxing Zhang, Yongzhen He, Yiqun Liao, Ye Xu</w:t>
      </w:r>
      <w:r w:rsidR="006E1F4C">
        <w:rPr>
          <w:rFonts w:ascii="宋体" w:eastAsia="宋体" w:hAnsi="宋体" w:cs="宋体" w:hint="eastAsia"/>
          <w:b/>
          <w:color w:val="0070C0"/>
          <w:szCs w:val="24"/>
        </w:rPr>
        <w:t>*</w:t>
      </w:r>
      <w:r w:rsidRPr="006B6267">
        <w:rPr>
          <w:rFonts w:ascii="宋体" w:eastAsia="宋体" w:hAnsi="宋体" w:cs="宋体"/>
          <w:b/>
          <w:color w:val="0070C0"/>
          <w:szCs w:val="24"/>
        </w:rPr>
        <w:t>, Qingge Li</w:t>
      </w:r>
      <w:r w:rsidR="006E1F4C">
        <w:rPr>
          <w:rFonts w:ascii="宋体" w:eastAsia="宋体" w:hAnsi="宋体" w:cs="宋体" w:hint="eastAsia"/>
          <w:b/>
          <w:color w:val="0070C0"/>
          <w:szCs w:val="24"/>
        </w:rPr>
        <w:t>*</w:t>
      </w:r>
    </w:p>
    <w:p w:rsidR="006B6267" w:rsidRPr="006E1F4C" w:rsidRDefault="006E1F4C" w:rsidP="00C53741">
      <w:pPr>
        <w:rPr>
          <w:rFonts w:ascii="宋体" w:eastAsia="宋体" w:hAnsi="宋体" w:cs="宋体"/>
          <w:b/>
          <w:color w:val="0070C0"/>
          <w:szCs w:val="24"/>
        </w:rPr>
      </w:pPr>
      <w:r w:rsidRPr="006E1F4C">
        <w:rPr>
          <w:rFonts w:ascii="宋体" w:eastAsia="宋体" w:hAnsi="宋体" w:cs="宋体" w:hint="eastAsia"/>
          <w:b/>
          <w:color w:val="0070C0"/>
          <w:szCs w:val="24"/>
        </w:rPr>
        <w:t>*</w:t>
      </w:r>
      <w:r w:rsidRPr="006E1F4C">
        <w:rPr>
          <w:rFonts w:ascii="宋体" w:eastAsia="宋体" w:hAnsi="宋体" w:cs="宋体"/>
          <w:b/>
          <w:color w:val="0070C0"/>
          <w:szCs w:val="24"/>
        </w:rPr>
        <w:t>Address correspondence to Ye Xu, xuye@xmu.edu.cn, or Qingge Li, qgli@xmu.edu.cn.</w:t>
      </w:r>
    </w:p>
    <w:p w:rsidR="006B6267" w:rsidRDefault="006B6267"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Author information:</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(1)Engineering Research Centre of Molecular Diagnostics of the Ministry of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Education, Xiamen Key Laboratory of Multi-Target and Automated Genetic Testing,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School of Life Sciences, Xiamen University, Xiamen, Fujian, China.</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(2)Fuzhou Pulmonary Hospital, Fuzhou, Fujian, China.</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(3)Department of Clinical Laboratory, The Second Affiliated Hospital of Fujian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University of Traditional Chinese Medicine, Fuzhou, Fujian, China.</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lastRenderedPageBreak/>
        <w:t xml:space="preserve">(4)State Key Laboratory of Vaccines for Infectious Diseases, Xiang'an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Biomedicine Laboratory, Xiamen, Fujian, China.</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(#)Contributed equally</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Distinguishing tuberculous meningitis (TBM) from other causes of meningitis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remains challenging in high-burden settings because clinical features overlap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and existing assays often delay etiologic confirmation. We evaluated MeltArray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CNS, a highly multiplexed PCR assay targeting 85 meningitis-associated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pathogens, for etiologic diagnosis in patients with suspected meningitis.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Analytical performance was assessed using pre-characterized targets. MeltArray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was compared head-to-head with metagenomic next-generation sequencing (mNGS) in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79 cerebrospinal fluid (CSF) specimens, with discrepant results adjudicated by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Sanger sequencing, and was then prospectively evaluated in 255 consecutive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patients with suspected meningitis. Biomarker-based models using routine CSF and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serum parameters were also explored. The assay achieved limits of detection of 5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copies/reaction for Mycobacterium tuberculosis (MTB) and 50 copies/reaction for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other targets, with no false-positive results in analytical specificity testing.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Within its targeted range, MeltArray yielded more confirmed detections than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mNGS. In the prospective cohort, MeltArray showed 100.00% sensitivity for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definite TBM (35/35; 95% confidence interval [CI], 90.11-100.00%) and 100.00%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specificity for MTB detection among non-TBM meningitis cases (39/39; 95% CI,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89.32-100.00%). Among 49 MTB-positive TBM cases, 21 (42.86%) showed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co-detections of additional pathogens. Test areas under the curve (AUCs) were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0.877 (95% CI, 0.760-0.994) for distinguishing infectious meningitis from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noninfectious mimics and 0.776 (95% CI, 0.617-0.934) for distinguishing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MTB-positive from MTB-negative cases. MeltArray enables rapid etiologic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confirmation and may facilitate earlier TBM diagnosis in high-burden settings.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Co-detections highlight microbiologic complexity with potential treatment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implications, although viral findings should be interpreted cautiously.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Biomarker models may aid triage and risk stratification but do not replace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pathogen confirmation.</w:t>
      </w: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t>IMPORTANCE:</w:t>
      </w:r>
      <w:r w:rsidRPr="00C53741">
        <w:rPr>
          <w:rFonts w:ascii="宋体" w:eastAsia="宋体" w:hAnsi="宋体" w:cs="宋体"/>
          <w:color w:val="000000" w:themeColor="text1"/>
          <w:szCs w:val="24"/>
        </w:rPr>
        <w:t xml:space="preserve"> Tuberculous meningitis (TBM) is a life-threatening infection that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requires a rapid and accurate diagnosis to guide effective treatment.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Conventional diagnostic methods are often slow or insufficiently sensitive,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leading to delays in therapy and potential exposure to unnecessary medications.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In this study, we evaluated a rapid multiplex molecular assay for patients with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suspected tuberculous meningitis. Rapid detection of Mycobacterium tuberculosis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together with alternative infectious causes of meningitis was achieved within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approximately 2.5 h, supporting earlier etiologic clarification during initial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clinical evaluation. Detection of additional pathogens in some patients further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supported the value of broad-spectrum molecular testing in the differential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diagnosis of central nervous system infections in high-burden settings. Routine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laboratory biomarkers may assist clinical triage but do not replace rapid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pathogen confirmation.</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DOI: 10.1128/jcm.00446-26</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PMID: 42623488</w:t>
      </w:r>
    </w:p>
    <w:p w:rsidR="00C53741" w:rsidRPr="00C53741" w:rsidRDefault="00C53741" w:rsidP="00C53741">
      <w:pPr>
        <w:rPr>
          <w:rFonts w:ascii="宋体" w:eastAsia="宋体" w:hAnsi="宋体" w:cs="宋体"/>
          <w:color w:val="000000" w:themeColor="text1"/>
          <w:szCs w:val="24"/>
        </w:rPr>
      </w:pPr>
    </w:p>
    <w:p w:rsidR="00C53741" w:rsidRPr="0014218A" w:rsidRDefault="004E4DF0" w:rsidP="00C53741">
      <w:pPr>
        <w:rPr>
          <w:rFonts w:ascii="宋体" w:eastAsia="宋体" w:hAnsi="宋体" w:cs="宋体"/>
          <w:b/>
          <w:color w:val="FF0000"/>
          <w:szCs w:val="24"/>
        </w:rPr>
      </w:pPr>
      <w:r>
        <w:rPr>
          <w:rFonts w:ascii="宋体" w:eastAsia="宋体" w:hAnsi="宋体" w:cs="宋体"/>
          <w:b/>
          <w:color w:val="FF0000"/>
          <w:szCs w:val="24"/>
        </w:rPr>
        <w:t>7</w:t>
      </w:r>
      <w:r w:rsidR="00C53741" w:rsidRPr="0014218A">
        <w:rPr>
          <w:rFonts w:ascii="宋体" w:eastAsia="宋体" w:hAnsi="宋体" w:cs="宋体"/>
          <w:b/>
          <w:color w:val="FF0000"/>
          <w:szCs w:val="24"/>
        </w:rPr>
        <w:t xml:space="preserve">. Immunol Invest. 2026 Aug 20:1-28. doi: 10.1080/08820139.2026.2719695. Online </w:t>
      </w:r>
    </w:p>
    <w:p w:rsidR="00C53741" w:rsidRPr="0014218A" w:rsidRDefault="00C53741" w:rsidP="00C53741">
      <w:pPr>
        <w:rPr>
          <w:rFonts w:ascii="宋体" w:eastAsia="宋体" w:hAnsi="宋体" w:cs="宋体"/>
          <w:b/>
          <w:color w:val="FF0000"/>
          <w:szCs w:val="24"/>
        </w:rPr>
      </w:pPr>
      <w:r w:rsidRPr="0014218A">
        <w:rPr>
          <w:rFonts w:ascii="宋体" w:eastAsia="宋体" w:hAnsi="宋体" w:cs="宋体"/>
          <w:b/>
          <w:color w:val="FF0000"/>
          <w:szCs w:val="24"/>
        </w:rPr>
        <w:t>ahead of print.</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Beyond the Bug: Reshaping the Immune Landscape - A New Era of Host-Directed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Therapies for Tuberculosis.</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Zhao J(1), Wang C(2), Li N(1), Zhang J(1).</w:t>
      </w:r>
    </w:p>
    <w:p w:rsidR="00C53741" w:rsidRDefault="00C53741" w:rsidP="00C53741">
      <w:pPr>
        <w:rPr>
          <w:rFonts w:ascii="宋体" w:eastAsia="宋体" w:hAnsi="宋体" w:cs="宋体"/>
          <w:color w:val="000000" w:themeColor="text1"/>
          <w:szCs w:val="24"/>
        </w:rPr>
      </w:pPr>
    </w:p>
    <w:p w:rsidR="006B6267" w:rsidRPr="006B6267" w:rsidRDefault="006B6267" w:rsidP="00C53741">
      <w:pPr>
        <w:rPr>
          <w:rFonts w:ascii="宋体" w:eastAsia="宋体" w:hAnsi="宋体" w:cs="宋体"/>
          <w:b/>
          <w:color w:val="0070C0"/>
          <w:szCs w:val="24"/>
        </w:rPr>
      </w:pPr>
      <w:r w:rsidRPr="006B6267">
        <w:rPr>
          <w:rFonts w:ascii="宋体" w:eastAsia="宋体" w:hAnsi="宋体" w:cs="宋体"/>
          <w:b/>
          <w:color w:val="0070C0"/>
          <w:szCs w:val="24"/>
        </w:rPr>
        <w:t>Jing Zhao, Chao Wang, Nan Li, Jingmei Zhang</w:t>
      </w:r>
      <w:r w:rsidR="00014A65">
        <w:rPr>
          <w:rFonts w:ascii="宋体" w:eastAsia="宋体" w:hAnsi="宋体" w:cs="宋体" w:hint="eastAsia"/>
          <w:b/>
          <w:color w:val="0070C0"/>
          <w:szCs w:val="24"/>
        </w:rPr>
        <w:t>*</w:t>
      </w:r>
    </w:p>
    <w:p w:rsidR="006B6267" w:rsidRPr="00014A65" w:rsidRDefault="00014A65" w:rsidP="00C53741">
      <w:pPr>
        <w:rPr>
          <w:rFonts w:ascii="宋体" w:eastAsia="宋体" w:hAnsi="宋体" w:cs="宋体"/>
          <w:b/>
          <w:color w:val="0070C0"/>
          <w:szCs w:val="24"/>
        </w:rPr>
      </w:pPr>
      <w:r w:rsidRPr="00014A65">
        <w:rPr>
          <w:rFonts w:ascii="宋体" w:eastAsia="宋体" w:hAnsi="宋体" w:cs="宋体" w:hint="eastAsia"/>
          <w:b/>
          <w:color w:val="0070C0"/>
          <w:szCs w:val="24"/>
        </w:rPr>
        <w:t>*</w:t>
      </w:r>
      <w:r w:rsidRPr="00014A65">
        <w:rPr>
          <w:rFonts w:ascii="宋体" w:eastAsia="宋体" w:hAnsi="宋体" w:cs="宋体"/>
          <w:b/>
          <w:color w:val="0070C0"/>
          <w:szCs w:val="24"/>
        </w:rPr>
        <w:t>CONTACT Jingmei Zhang</w:t>
      </w:r>
      <w:r w:rsidRPr="00014A65">
        <w:rPr>
          <w:rFonts w:ascii="宋体" w:eastAsia="宋体" w:hAnsi="宋体" w:cs="宋体" w:hint="eastAsia"/>
          <w:b/>
          <w:color w:val="0070C0"/>
          <w:szCs w:val="24"/>
        </w:rPr>
        <w:t>，</w:t>
      </w:r>
      <w:r w:rsidRPr="00014A65">
        <w:rPr>
          <w:rFonts w:ascii="宋体" w:eastAsia="宋体" w:hAnsi="宋体" w:cs="宋体"/>
          <w:b/>
          <w:color w:val="0070C0"/>
          <w:szCs w:val="24"/>
        </w:rPr>
        <w:t>zzwlyjk@outlook.com</w:t>
      </w:r>
    </w:p>
    <w:p w:rsidR="006B6267" w:rsidRPr="00C53741" w:rsidRDefault="006B6267"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Author information:</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(1)Department of Pharmacy, Qingdao Public Health Clinical Center, Qingdao,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ShanDong, China.</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(2)Department of Equipment and Instrumentation, Qingdao Public Health Clinical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Center, Qingdao, ShanDong, China.</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t xml:space="preserve">BACKGROUND: </w:t>
      </w:r>
      <w:r w:rsidRPr="00C53741">
        <w:rPr>
          <w:rFonts w:ascii="宋体" w:eastAsia="宋体" w:hAnsi="宋体" w:cs="宋体"/>
          <w:color w:val="000000" w:themeColor="text1"/>
          <w:szCs w:val="24"/>
        </w:rPr>
        <w:t xml:space="preserve">Tuberculosis (TB) remains a leading cause of infectious mortality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worldwide. Although host inflammatory responses are essential for controlling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Mycobacterium tuberculosis (Mtb), excessive or spatially dysregulated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inflammation promotes granuloma necrosis, cavitation, tissue destruction, and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transmission. Conventional antimicrobial therapy primarily targets the bacillus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and does not directly resolve this host-pathogen paradox. Host-directed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therapies (HDTs) are therefore evolving from broad immunomodulatory approaches,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conceptualized here as HDT 1.0, toward mechanistically and spatially precise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interventions, termed HDT 2.0.</w:t>
      </w: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t>OBJECTIVE:</w:t>
      </w:r>
      <w:r w:rsidRPr="00C53741">
        <w:rPr>
          <w:rFonts w:ascii="宋体" w:eastAsia="宋体" w:hAnsi="宋体" w:cs="宋体"/>
          <w:color w:val="000000" w:themeColor="text1"/>
          <w:szCs w:val="24"/>
        </w:rPr>
        <w:t xml:space="preserve"> This narrative review examines the granuloma as an integrated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pharmacologic target and proposes a next-generation framework for HDT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development that addresses the spatial, metabolic, immunologic, and structural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features that permit Mtb persistence and limit sterilizing therapy.</w:t>
      </w: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t>KEY FINDINGS:</w:t>
      </w:r>
      <w:r w:rsidRPr="00C53741">
        <w:rPr>
          <w:rFonts w:ascii="宋体" w:eastAsia="宋体" w:hAnsi="宋体" w:cs="宋体"/>
          <w:color w:val="000000" w:themeColor="text1"/>
          <w:szCs w:val="24"/>
        </w:rPr>
        <w:t xml:space="preserve"> Spatial transcriptomics, high-plex imaging, and advanced lesion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profiling have revealed pronounced intralesional heterogeneity within TB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granulomas, including avascular necrotic caseum, lipid-rich foamy macrophage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zones, immune-excluded regions, and fibrotic cuffs. These microenvironments can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restrict antibiotic penetration, impair T-cell trafficking and function, and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create metabolically permissive niches for persistent bacilli. Accordingly, HDT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2.0 should address three interconnected therapeutic bottlenecks: improving drug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access to poorly vascularized caseous lesions, disrupting lipid-dependent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metabolic sanctuaries, and restoring spatially effective adaptive immunity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without exacerbating immunopathology. Emerging approaches include spatially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lastRenderedPageBreak/>
        <w:t xml:space="preserve">restricted immune-checkpoint modulation, itaconate-centered metabolic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reprogramming, calibrated inflammasome targeting, investigation of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IL-22-mediated epithelial protection, and controlled extracellular-matrix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remodeling to improve antimicrobial delivery. Translation should follow a tiered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strategy rather than assuming universal deployment of advanced technologies.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Transcriptomic endotyping, spatial profiling, and PET-CT may be particularly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valuable for patient enrichment, mechanistic phenotyping, and pharmacodynamic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assessment in early-phase trials and specialized referral centers, whereas their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limited accessibility in many high-burden and resource-constrained settings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currently precludes their use as routine prerequisites for HDT implementation.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Conventional microbiologic outcomes should also be complemented by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mechanistically informative endpoints, including time-to-positivity,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radiographic cavity closure, lesion resolution, and restoration of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tissue-resident memory T-cell responses.</w:t>
      </w: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t>CONCLUSIONS:</w:t>
      </w:r>
      <w:r w:rsidRPr="00C53741">
        <w:rPr>
          <w:rFonts w:ascii="宋体" w:eastAsia="宋体" w:hAnsi="宋体" w:cs="宋体"/>
          <w:color w:val="000000" w:themeColor="text1"/>
          <w:szCs w:val="24"/>
        </w:rPr>
        <w:t xml:space="preserve"> The next phase of TB therapeutics may depend not only on developing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additional antimicrobials but also on dismantling the host-derived niches that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sustain Mtb persistence. Treating the granuloma as a spatially organized,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metabolically active, and immunologically heterogeneous therapeutic ecosystem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provides a framework for developing precise HDTs that complement antibiotics,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accelerate lesion sterilization, limit tissue damage, and potentially reduce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relapse and transmission.</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DOI: 10.1080/08820139.2026.2719695</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PMID: 42622542</w:t>
      </w:r>
    </w:p>
    <w:p w:rsidR="00C53741" w:rsidRPr="00C53741" w:rsidRDefault="00C53741" w:rsidP="00C53741">
      <w:pPr>
        <w:rPr>
          <w:rFonts w:ascii="宋体" w:eastAsia="宋体" w:hAnsi="宋体" w:cs="宋体"/>
          <w:color w:val="000000" w:themeColor="text1"/>
          <w:szCs w:val="24"/>
        </w:rPr>
      </w:pPr>
    </w:p>
    <w:p w:rsidR="00C53741" w:rsidRPr="0014218A" w:rsidRDefault="004E4DF0" w:rsidP="00C53741">
      <w:pPr>
        <w:rPr>
          <w:rFonts w:ascii="宋体" w:eastAsia="宋体" w:hAnsi="宋体" w:cs="宋体"/>
          <w:b/>
          <w:color w:val="FF0000"/>
          <w:szCs w:val="24"/>
        </w:rPr>
      </w:pPr>
      <w:r>
        <w:rPr>
          <w:rFonts w:ascii="宋体" w:eastAsia="宋体" w:hAnsi="宋体" w:cs="宋体"/>
          <w:b/>
          <w:color w:val="FF0000"/>
          <w:szCs w:val="24"/>
        </w:rPr>
        <w:t>8</w:t>
      </w:r>
      <w:r w:rsidR="00C53741" w:rsidRPr="0014218A">
        <w:rPr>
          <w:rFonts w:ascii="宋体" w:eastAsia="宋体" w:hAnsi="宋体" w:cs="宋体"/>
          <w:b/>
          <w:color w:val="FF0000"/>
          <w:szCs w:val="24"/>
        </w:rPr>
        <w:t xml:space="preserve">. Hum Vaccin Immunother. 2026 Dec;22(1):2713901. doi: </w:t>
      </w:r>
    </w:p>
    <w:p w:rsidR="00C53741" w:rsidRPr="0014218A" w:rsidRDefault="00C53741" w:rsidP="00C53741">
      <w:pPr>
        <w:rPr>
          <w:rFonts w:ascii="宋体" w:eastAsia="宋体" w:hAnsi="宋体" w:cs="宋体"/>
          <w:b/>
          <w:color w:val="FF0000"/>
          <w:szCs w:val="24"/>
        </w:rPr>
      </w:pPr>
      <w:r w:rsidRPr="0014218A">
        <w:rPr>
          <w:rFonts w:ascii="宋体" w:eastAsia="宋体" w:hAnsi="宋体" w:cs="宋体"/>
          <w:b/>
          <w:color w:val="FF0000"/>
          <w:szCs w:val="24"/>
        </w:rPr>
        <w:t>10.1080/21645515.2026.2713901. Epub 2026 Aug 19.</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Toxicological evaluation of a synthetic QS-21 adjuvant in a tuberculosis vaccine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candidate-Demonstrating safety and immunological equivalence to natural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reference.</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Ping H(1), Li Y(2), Ding Y(2), Qin L(2), Zou Y(2), Wang Y(3), Chen Q(3), Zhang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Y(3), Zhou C(3), Yi Q(3), Liu Y(1).</w:t>
      </w:r>
    </w:p>
    <w:p w:rsidR="00C53741" w:rsidRDefault="00C53741" w:rsidP="00C53741">
      <w:pPr>
        <w:rPr>
          <w:rFonts w:ascii="宋体" w:eastAsia="宋体" w:hAnsi="宋体" w:cs="宋体"/>
          <w:color w:val="000000" w:themeColor="text1"/>
          <w:szCs w:val="24"/>
        </w:rPr>
      </w:pPr>
    </w:p>
    <w:p w:rsidR="008E58D9" w:rsidRPr="008E58D9" w:rsidRDefault="008E58D9" w:rsidP="00C53741">
      <w:pPr>
        <w:rPr>
          <w:rFonts w:ascii="宋体" w:eastAsia="宋体" w:hAnsi="宋体" w:cs="宋体"/>
          <w:b/>
          <w:color w:val="0070C0"/>
          <w:szCs w:val="24"/>
        </w:rPr>
      </w:pPr>
      <w:r w:rsidRPr="008E58D9">
        <w:rPr>
          <w:rFonts w:ascii="宋体" w:eastAsia="宋体" w:hAnsi="宋体" w:cs="宋体"/>
          <w:b/>
          <w:color w:val="0070C0"/>
          <w:szCs w:val="24"/>
        </w:rPr>
        <w:t>Hongmin Ping, Yuanyuan Li, Yanbing Ding, Lili Qin, Yongjuan Zou, Yilin Wang, Qian Chen, Yong Zhang, Chenghao Zhou, Qiang Yi, Yan Liu</w:t>
      </w:r>
      <w:r w:rsidR="002B2C4D">
        <w:rPr>
          <w:rFonts w:ascii="宋体" w:eastAsia="宋体" w:hAnsi="宋体" w:cs="宋体" w:hint="eastAsia"/>
          <w:b/>
          <w:color w:val="0070C0"/>
          <w:szCs w:val="24"/>
        </w:rPr>
        <w:t>*</w:t>
      </w:r>
    </w:p>
    <w:p w:rsidR="008E58D9" w:rsidRPr="002B2C4D" w:rsidRDefault="002B2C4D" w:rsidP="00C53741">
      <w:pPr>
        <w:rPr>
          <w:rFonts w:ascii="宋体" w:eastAsia="宋体" w:hAnsi="宋体" w:cs="宋体"/>
          <w:b/>
          <w:color w:val="0070C0"/>
          <w:szCs w:val="24"/>
        </w:rPr>
      </w:pPr>
      <w:r w:rsidRPr="002B2C4D">
        <w:rPr>
          <w:rFonts w:ascii="宋体" w:eastAsia="宋体" w:hAnsi="宋体" w:cs="宋体" w:hint="eastAsia"/>
          <w:b/>
          <w:color w:val="0070C0"/>
          <w:szCs w:val="24"/>
        </w:rPr>
        <w:t>*</w:t>
      </w:r>
      <w:r w:rsidRPr="002B2C4D">
        <w:rPr>
          <w:rFonts w:ascii="宋体" w:eastAsia="宋体" w:hAnsi="宋体" w:cs="宋体"/>
          <w:b/>
          <w:color w:val="0070C0"/>
          <w:szCs w:val="24"/>
        </w:rPr>
        <w:t>CONTACT Yan Liu</w:t>
      </w:r>
      <w:r w:rsidRPr="002B2C4D">
        <w:rPr>
          <w:rFonts w:ascii="宋体" w:eastAsia="宋体" w:hAnsi="宋体" w:cs="宋体" w:hint="eastAsia"/>
          <w:b/>
          <w:color w:val="0070C0"/>
          <w:szCs w:val="24"/>
        </w:rPr>
        <w:t>，</w:t>
      </w:r>
      <w:r w:rsidRPr="002B2C4D">
        <w:rPr>
          <w:rFonts w:ascii="宋体" w:eastAsia="宋体" w:hAnsi="宋体" w:cs="宋体"/>
          <w:b/>
          <w:color w:val="0070C0"/>
          <w:szCs w:val="24"/>
        </w:rPr>
        <w:t>liuyan_cq023@163.com</w:t>
      </w:r>
    </w:p>
    <w:p w:rsidR="008E58D9" w:rsidRDefault="008E58D9"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Author information:</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(1)College of Pharmacy, Chongqing Medical University, Chongqing, China.</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(2)Patronus Biotech Co., Ltd., Guangzhou, China.</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(3)Chongqing Medleader Bio-Pharm Co., Ltd., Chongqing, China.</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lastRenderedPageBreak/>
        <w:t xml:space="preserve">Synthetic saponin-based adjuvants hold promise for overcoming the supply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instability and purity limitations inherent to naturally derived QS-21. However,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establishing their toxicological and functional equivalence to the natural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reference is a necessary step before clinical use. This study systematically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evaluated the safety and immunogenicity of a recombinant tuberculosis vaccine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(named LYB007) formulated with a synthetic QS-21-Api compared to an identical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formulation using a naturally-derived reference via single- and repeated-dose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toxicity assessments in Sprague-Dawley (SD) rats. Both synthetic and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naturally-derived formulations exhibited highly comparable safety and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immunological profiles. Injection site reactogenicity was self-limiting, with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complete histological resolution by Day 58. Systemic physiological adaptations,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including transient thermal shifts and acute-phase protein fluctuations, were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consistent with the potent immunostimulatory activity of QS-21 and did not have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long-term toxicological significance. Notably, both formulations induced robust,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uniform (100%) seroconversion with identical kinetics of antibody development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and persistence, with peak geometric mean titers (GMTs) consistently attained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between Day 29 and Day 43. The strict seronegativity in negative and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mock-vaccine control groups confirmed that the humoral response was exclusively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driven by the LYB007-adjuvant complex. Histopathological findings, such as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splenic germinal center expansion and extramedullary hematopoiesis, were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identified as expected immunological adaptations rather than manifestations of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systemic toxicity. In conclusion, these findings confirm that the synthetic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QS-21-Api possesses a safety and efficacy profile equivalent to the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naturally-derived reference. The use of a chemically defined and standardized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adjuvant component overcomes key constraints in vaccine scalability and quality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control, supporting the development of future high-efficacy subunit vaccines.</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DOI: 10.1080/21645515.2026.2713901</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PMID: 42617655 [Indexed for MEDLINE]</w:t>
      </w:r>
    </w:p>
    <w:p w:rsidR="00C53741" w:rsidRPr="00C53741" w:rsidRDefault="00C53741" w:rsidP="00C53741">
      <w:pPr>
        <w:rPr>
          <w:rFonts w:ascii="宋体" w:eastAsia="宋体" w:hAnsi="宋体" w:cs="宋体"/>
          <w:color w:val="000000" w:themeColor="text1"/>
          <w:szCs w:val="24"/>
        </w:rPr>
      </w:pPr>
    </w:p>
    <w:p w:rsidR="00C53741" w:rsidRPr="0014218A" w:rsidRDefault="004E4DF0" w:rsidP="00C53741">
      <w:pPr>
        <w:rPr>
          <w:rFonts w:ascii="宋体" w:eastAsia="宋体" w:hAnsi="宋体" w:cs="宋体"/>
          <w:b/>
          <w:color w:val="FF0000"/>
          <w:szCs w:val="24"/>
        </w:rPr>
      </w:pPr>
      <w:r>
        <w:rPr>
          <w:rFonts w:ascii="宋体" w:eastAsia="宋体" w:hAnsi="宋体" w:cs="宋体"/>
          <w:b/>
          <w:color w:val="FF0000"/>
          <w:szCs w:val="24"/>
        </w:rPr>
        <w:t>9</w:t>
      </w:r>
      <w:r w:rsidR="00C53741" w:rsidRPr="0014218A">
        <w:rPr>
          <w:rFonts w:ascii="宋体" w:eastAsia="宋体" w:hAnsi="宋体" w:cs="宋体"/>
          <w:b/>
          <w:color w:val="FF0000"/>
          <w:szCs w:val="24"/>
        </w:rPr>
        <w:t>. J Pediatr Nurs. 2026 Aug 19;91:285-303. doi: 10.1</w:t>
      </w:r>
      <w:r w:rsidR="0014218A">
        <w:rPr>
          <w:rFonts w:ascii="宋体" w:eastAsia="宋体" w:hAnsi="宋体" w:cs="宋体"/>
          <w:b/>
          <w:color w:val="FF0000"/>
          <w:szCs w:val="24"/>
        </w:rPr>
        <w:t xml:space="preserve">016/j.pedn.2026.08.002. Online </w:t>
      </w:r>
      <w:r w:rsidR="00C53741" w:rsidRPr="0014218A">
        <w:rPr>
          <w:rFonts w:ascii="宋体" w:eastAsia="宋体" w:hAnsi="宋体" w:cs="宋体"/>
          <w:b/>
          <w:color w:val="FF0000"/>
          <w:szCs w:val="24"/>
        </w:rPr>
        <w:t>ahead of print.</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Long term nursing management of children with tuberculosis survivors: focus on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sequelae prevention and improve quality of life.</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Shen L(1), Guo Y(2).</w:t>
      </w:r>
    </w:p>
    <w:p w:rsidR="00C53741" w:rsidRDefault="00C53741" w:rsidP="00C53741">
      <w:pPr>
        <w:rPr>
          <w:rFonts w:ascii="宋体" w:eastAsia="宋体" w:hAnsi="宋体" w:cs="宋体"/>
          <w:color w:val="000000" w:themeColor="text1"/>
          <w:szCs w:val="24"/>
        </w:rPr>
      </w:pPr>
    </w:p>
    <w:p w:rsidR="000F092E" w:rsidRPr="000F092E" w:rsidRDefault="000F092E" w:rsidP="00C53741">
      <w:pPr>
        <w:rPr>
          <w:rFonts w:ascii="宋体" w:eastAsia="宋体" w:hAnsi="宋体" w:cs="宋体"/>
          <w:b/>
          <w:color w:val="0070C0"/>
          <w:szCs w:val="24"/>
        </w:rPr>
      </w:pPr>
      <w:r w:rsidRPr="000F092E">
        <w:rPr>
          <w:rFonts w:ascii="宋体" w:eastAsia="宋体" w:hAnsi="宋体" w:cs="宋体"/>
          <w:b/>
          <w:color w:val="0070C0"/>
          <w:szCs w:val="24"/>
        </w:rPr>
        <w:t>Lianju Shen</w:t>
      </w:r>
      <w:r w:rsidR="00454B68">
        <w:rPr>
          <w:rFonts w:ascii="宋体" w:eastAsia="宋体" w:hAnsi="宋体" w:cs="宋体" w:hint="eastAsia"/>
          <w:b/>
          <w:color w:val="0070C0"/>
          <w:szCs w:val="24"/>
        </w:rPr>
        <w:t>*</w:t>
      </w:r>
      <w:r w:rsidRPr="000F092E">
        <w:rPr>
          <w:rFonts w:ascii="宋体" w:eastAsia="宋体" w:hAnsi="宋体" w:cs="宋体"/>
          <w:b/>
          <w:color w:val="0070C0"/>
          <w:szCs w:val="24"/>
        </w:rPr>
        <w:t>, Yun Guo</w:t>
      </w:r>
    </w:p>
    <w:p w:rsidR="000F092E" w:rsidRPr="00454B68" w:rsidRDefault="00454B68" w:rsidP="00C53741">
      <w:pPr>
        <w:rPr>
          <w:rFonts w:ascii="宋体" w:eastAsia="宋体" w:hAnsi="宋体" w:cs="宋体"/>
          <w:b/>
          <w:color w:val="0070C0"/>
          <w:szCs w:val="24"/>
        </w:rPr>
      </w:pPr>
      <w:r w:rsidRPr="00454B68">
        <w:rPr>
          <w:rFonts w:ascii="Tahoma" w:eastAsia="宋体" w:hAnsi="Tahoma" w:cs="Tahoma"/>
          <w:b/>
          <w:color w:val="0070C0"/>
          <w:szCs w:val="24"/>
        </w:rPr>
        <w:t>⁎</w:t>
      </w:r>
      <w:r w:rsidRPr="00454B68">
        <w:rPr>
          <w:rFonts w:ascii="宋体" w:eastAsia="宋体" w:hAnsi="宋体" w:cs="宋体"/>
          <w:b/>
          <w:color w:val="0070C0"/>
          <w:szCs w:val="24"/>
        </w:rPr>
        <w:t xml:space="preserve"> Corresponding author. </w:t>
      </w:r>
      <w:r w:rsidR="001E4F5C" w:rsidRPr="001E4F5C">
        <w:rPr>
          <w:rFonts w:ascii="宋体" w:eastAsia="宋体" w:hAnsi="宋体" w:cs="宋体"/>
          <w:b/>
          <w:color w:val="0070C0"/>
          <w:szCs w:val="24"/>
        </w:rPr>
        <w:t xml:space="preserve">E-mail addresses: Lianju.shen1000@gmail.com, 15597683708@163.com </w:t>
      </w:r>
      <w:r w:rsidRPr="00454B68">
        <w:rPr>
          <w:rFonts w:ascii="宋体" w:eastAsia="宋体" w:hAnsi="宋体" w:cs="宋体"/>
          <w:b/>
          <w:color w:val="0070C0"/>
          <w:szCs w:val="24"/>
        </w:rPr>
        <w:t>(Lianju Shen).</w:t>
      </w:r>
    </w:p>
    <w:p w:rsidR="000F092E" w:rsidRDefault="000F092E"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Author information:</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(1)Department of Infectious Diseases and Gastroenterology, Oinghai Women and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lastRenderedPageBreak/>
        <w:t xml:space="preserve">Children's Hospital, Xining 81000, Qinhai, China. Electronic address: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Lianju.shen1000@gmail.com.</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(2)Department of Infectious Diseases and Gastroenterology, Oinghai Women and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Children's Hospital, Xining 81000, Qinhai, China.</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t>PURPOSE:</w:t>
      </w:r>
      <w:r w:rsidRPr="00C53741">
        <w:rPr>
          <w:rFonts w:ascii="宋体" w:eastAsia="宋体" w:hAnsi="宋体" w:cs="宋体"/>
          <w:color w:val="000000" w:themeColor="text1"/>
          <w:szCs w:val="24"/>
        </w:rPr>
        <w:t xml:space="preserve"> Pediatric tuberculosis (TB) remains a significant global health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challenge, with high treatment success rates leading to a growing cohort of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survivors who face under-recognized long-term sequelae, including pulmonary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impairment, neurological deficits, musculoskeletal deformities, growth delays,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and psychosocial issues. This review synthesizes evidence on nurse-led long-term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management strategies to prevent sequelae and enhance quality of life (QOL) in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these children.</w:t>
      </w: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t>METHODS:</w:t>
      </w:r>
      <w:r w:rsidRPr="00C53741">
        <w:rPr>
          <w:rFonts w:ascii="宋体" w:eastAsia="宋体" w:hAnsi="宋体" w:cs="宋体"/>
          <w:color w:val="000000" w:themeColor="text1"/>
          <w:szCs w:val="24"/>
        </w:rPr>
        <w:t xml:space="preserve"> This narrative review followed SWiM (Synthesis Without Meta-analysis)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reporting guidelines. We searched PubMed, Embase, CINAHL, Scopus, Web of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Science, and the WHO Global Tuberculosis Database from 1 January 2010 to 31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March 2026, yielding 152 sources after screening. Evidence certainty was graded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using the GRADE framework. Statistical summaries (e.g., p-values, 95% CIs,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z-scores) are reported where available to enhance transparency.</w:t>
      </w: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t>FINDINGS:</w:t>
      </w:r>
      <w:r w:rsidRPr="00C53741">
        <w:rPr>
          <w:rFonts w:ascii="宋体" w:eastAsia="宋体" w:hAnsi="宋体" w:cs="宋体"/>
          <w:color w:val="000000" w:themeColor="text1"/>
          <w:szCs w:val="24"/>
        </w:rPr>
        <w:t xml:space="preserve"> Drawing from pathophysiology insights, we outline a conceptual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framework emphasizing surveillance, early detection, intervention,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rehabilitation, and family-community support. Key nursing interventions include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pulmonary monitoring via spirometry and physiotherapy, neurodevelopmental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screening, nutritional rehabilitation, and mental health support.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Family-centered approaches incorporate home-based care, community health worker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integration, and school interventions, while multidisciplinary collaboration and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assessment tools like PedsQL ensure holistic care. Implementation challenges in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low-resource settings, such as stigma and system barriers, are addressed through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task-shifting, education, and policy advocacy. Future directions highlight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digital tools, AI integration, predictive models, and registries to bridge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research gaps in neurocognitive outcomes.</w:t>
      </w: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t>CONCLUSIONS:</w:t>
      </w:r>
      <w:r w:rsidRPr="00C53741">
        <w:rPr>
          <w:rFonts w:ascii="宋体" w:eastAsia="宋体" w:hAnsi="宋体" w:cs="宋体"/>
          <w:color w:val="000000" w:themeColor="text1"/>
          <w:szCs w:val="24"/>
        </w:rPr>
        <w:t xml:space="preserve"> Integrating structured, evidence-informed survivorship care into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national TB programs is essential to optimize functional outcomes and QOL,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particularly in resource-limited contexts.</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Copyright © 2026 Elsevier Inc. All rights reserved.</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DOI: 10.1016/j.pedn.2026.08.002</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PMID: 42617316</w:t>
      </w:r>
    </w:p>
    <w:p w:rsidR="00C53741" w:rsidRPr="00C53741" w:rsidRDefault="00C53741" w:rsidP="00C53741">
      <w:pPr>
        <w:rPr>
          <w:rFonts w:ascii="宋体" w:eastAsia="宋体" w:hAnsi="宋体" w:cs="宋体"/>
          <w:color w:val="000000" w:themeColor="text1"/>
          <w:szCs w:val="24"/>
        </w:rPr>
      </w:pPr>
    </w:p>
    <w:p w:rsidR="00C53741" w:rsidRPr="0014218A" w:rsidRDefault="004E4DF0" w:rsidP="00C53741">
      <w:pPr>
        <w:rPr>
          <w:rFonts w:ascii="宋体" w:eastAsia="宋体" w:hAnsi="宋体" w:cs="宋体"/>
          <w:b/>
          <w:color w:val="FF0000"/>
          <w:szCs w:val="24"/>
        </w:rPr>
      </w:pPr>
      <w:r>
        <w:rPr>
          <w:rFonts w:ascii="宋体" w:eastAsia="宋体" w:hAnsi="宋体" w:cs="宋体"/>
          <w:b/>
          <w:color w:val="FF0000"/>
          <w:szCs w:val="24"/>
        </w:rPr>
        <w:t>10</w:t>
      </w:r>
      <w:r w:rsidR="00C53741" w:rsidRPr="0014218A">
        <w:rPr>
          <w:rFonts w:ascii="宋体" w:eastAsia="宋体" w:hAnsi="宋体" w:cs="宋体"/>
          <w:b/>
          <w:color w:val="FF0000"/>
          <w:szCs w:val="24"/>
        </w:rPr>
        <w:t xml:space="preserve">. J Adv Res. 2026 Aug 18:S2090-1232(26)00674-0. doi: 10.1016/j.jare.2026.08.042. </w:t>
      </w:r>
    </w:p>
    <w:p w:rsidR="00C53741" w:rsidRPr="0014218A" w:rsidRDefault="00C53741" w:rsidP="00C53741">
      <w:pPr>
        <w:rPr>
          <w:rFonts w:ascii="宋体" w:eastAsia="宋体" w:hAnsi="宋体" w:cs="宋体"/>
          <w:b/>
          <w:color w:val="FF0000"/>
          <w:szCs w:val="24"/>
        </w:rPr>
      </w:pPr>
      <w:r w:rsidRPr="0014218A">
        <w:rPr>
          <w:rFonts w:ascii="宋体" w:eastAsia="宋体" w:hAnsi="宋体" w:cs="宋体"/>
          <w:b/>
          <w:color w:val="FF0000"/>
          <w:szCs w:val="24"/>
        </w:rPr>
        <w:t>Online ahead of print.</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Protective monoclonal antibody targeting mycobacterial HBHA blocks the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interaction with the novel attachment co-receptor NRP1 to inhibit Mycobacterium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lastRenderedPageBreak/>
        <w:t>bovis entry.</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Qu M(1), Zhou X(2), Zhang X(1), Jiang C(1), Zhang Z(1), Hu S(1), Xiao F(1), Quan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X(1), Ge X(2), Bu Z(1), Wang J(1), Wang G(3), He X(4).</w:t>
      </w:r>
    </w:p>
    <w:p w:rsidR="00C53741" w:rsidRDefault="00C53741" w:rsidP="00C53741">
      <w:pPr>
        <w:rPr>
          <w:rFonts w:ascii="宋体" w:eastAsia="宋体" w:hAnsi="宋体" w:cs="宋体"/>
          <w:color w:val="000000" w:themeColor="text1"/>
          <w:szCs w:val="24"/>
        </w:rPr>
      </w:pPr>
    </w:p>
    <w:p w:rsidR="004A15B0" w:rsidRPr="004A15B0" w:rsidRDefault="004A15B0" w:rsidP="00C53741">
      <w:pPr>
        <w:rPr>
          <w:rFonts w:ascii="宋体" w:eastAsia="宋体" w:hAnsi="宋体" w:cs="宋体"/>
          <w:b/>
          <w:color w:val="0070C0"/>
          <w:szCs w:val="24"/>
        </w:rPr>
      </w:pPr>
      <w:r w:rsidRPr="004A15B0">
        <w:rPr>
          <w:rFonts w:ascii="宋体" w:eastAsia="宋体" w:hAnsi="宋体" w:cs="宋体"/>
          <w:b/>
          <w:color w:val="0070C0"/>
          <w:szCs w:val="24"/>
        </w:rPr>
        <w:t>Mengjin Qu, Xiangmei Zhou, Xianfeng Zhang, Chenggang Jiang, Zhuo Zhang, Shouping Hu, Fei Xiao, Xin Quan, Xin Ge, Zhigao Bu, Jingfei Wang, Guangwen Wang</w:t>
      </w:r>
      <w:r w:rsidR="00C75349">
        <w:rPr>
          <w:rFonts w:ascii="宋体" w:eastAsia="宋体" w:hAnsi="宋体" w:cs="宋体" w:hint="eastAsia"/>
          <w:b/>
          <w:color w:val="0070C0"/>
          <w:szCs w:val="24"/>
        </w:rPr>
        <w:t>*</w:t>
      </w:r>
      <w:r w:rsidRPr="004A15B0">
        <w:rPr>
          <w:rFonts w:ascii="宋体" w:eastAsia="宋体" w:hAnsi="宋体" w:cs="宋体"/>
          <w:b/>
          <w:color w:val="0070C0"/>
          <w:szCs w:val="24"/>
        </w:rPr>
        <w:t>, Xijun He</w:t>
      </w:r>
      <w:r w:rsidR="00C75349">
        <w:rPr>
          <w:rFonts w:ascii="宋体" w:eastAsia="宋体" w:hAnsi="宋体" w:cs="宋体" w:hint="eastAsia"/>
          <w:b/>
          <w:color w:val="0070C0"/>
          <w:szCs w:val="24"/>
        </w:rPr>
        <w:t>*</w:t>
      </w:r>
    </w:p>
    <w:p w:rsidR="004A15B0" w:rsidRPr="00C75349" w:rsidRDefault="00C75349" w:rsidP="00C53741">
      <w:pPr>
        <w:rPr>
          <w:rFonts w:ascii="宋体" w:eastAsia="宋体" w:hAnsi="宋体" w:cs="宋体"/>
          <w:b/>
          <w:color w:val="0070C0"/>
          <w:szCs w:val="24"/>
        </w:rPr>
      </w:pPr>
      <w:r w:rsidRPr="00C75349">
        <w:rPr>
          <w:rFonts w:ascii="宋体" w:eastAsia="宋体" w:hAnsi="宋体" w:cs="宋体"/>
          <w:b/>
          <w:color w:val="0070C0"/>
          <w:szCs w:val="24"/>
        </w:rPr>
        <w:t>*Correspondence should be addressed to: Guangwen Wang, wangguangwen@caas.cn; Xijun He, Email: hexijun@caas.cn</w:t>
      </w:r>
    </w:p>
    <w:p w:rsidR="004A15B0" w:rsidRDefault="004A15B0"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Author information:</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(1)State Key Laboratory of Animal Disease Control and Prevention, Harbin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Veterinary Research Institute, Chinese Academy of Agricultural Sciences, Harbin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150069, China.</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(2)State Key Laboratory of Veterinary Public Health and Safety, College of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Veterinary Medicine, China Agricultural University, Beijing 100193, China.</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(3)State Key Laboratory of Animal Disease Control and Prevention, Harbin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Veterinary Research Institute, Chinese Academy of Agricultural Sciences, Harbin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150069, China. Electronic address: wangguangwen@caas.cn.</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(4)State Key Laboratory of Animal Disease Control and Prevention, Harbin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Veterinary Research Institute, Chinese Academy of Agricultural Sciences, Harbin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150069, China. Electronic address: hexijun@caas.cn.</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t>INTRODUCTION:</w:t>
      </w:r>
      <w:r w:rsidRPr="00C53741">
        <w:rPr>
          <w:rFonts w:ascii="宋体" w:eastAsia="宋体" w:hAnsi="宋体" w:cs="宋体"/>
          <w:color w:val="000000" w:themeColor="text1"/>
          <w:szCs w:val="24"/>
        </w:rPr>
        <w:t xml:space="preserve"> The immune protection conferred by Bacillus Calmette-Guérin (BCG)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is insufficient, underscoring the urgent need for novel strategies to control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tuberculosis (TB). Although antibody-mediated responses targeting mycobacterial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cell wall antigens have been observed during infection, the precise mechanism by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which antibodies resist TB pathogens remains unclear.</w:t>
      </w: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t>OBJECTIVES:</w:t>
      </w:r>
      <w:r w:rsidRPr="00C53741">
        <w:rPr>
          <w:rFonts w:ascii="宋体" w:eastAsia="宋体" w:hAnsi="宋体" w:cs="宋体"/>
          <w:color w:val="000000" w:themeColor="text1"/>
          <w:szCs w:val="24"/>
        </w:rPr>
        <w:t xml:space="preserve"> This study aims to elucidate the molecular mechanism by which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protective monoclonal antibodies (mAbs) against Mycobacterium bovis (M. bovis)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cell wall antigens resist M. bovis infection.</w:t>
      </w: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t xml:space="preserve">METHODS: </w:t>
      </w:r>
      <w:r w:rsidRPr="00C53741">
        <w:rPr>
          <w:rFonts w:ascii="宋体" w:eastAsia="宋体" w:hAnsi="宋体" w:cs="宋体"/>
          <w:color w:val="000000" w:themeColor="text1"/>
          <w:szCs w:val="24"/>
        </w:rPr>
        <w:t xml:space="preserve">In this study, we employed immunization with M. bovis cell wall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antigens to screen for protective mAbs and identify their corresponding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antigens. The underlying mechanisms were investigated using Western blotting,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molecular docking, CRISPR/Cas9, flow cytometry, ELISA, surface plasmon resonance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(SPR) and animal experiments.</w:t>
      </w: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t xml:space="preserve">RESULTS: </w:t>
      </w:r>
      <w:r w:rsidRPr="00C53741">
        <w:rPr>
          <w:rFonts w:ascii="宋体" w:eastAsia="宋体" w:hAnsi="宋体" w:cs="宋体"/>
          <w:color w:val="000000" w:themeColor="text1"/>
          <w:szCs w:val="24"/>
        </w:rPr>
        <w:t xml:space="preserve">MAb 2H3 targeted a conserved conformational epitope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(161KKAAPAKKAAPAKKAAPA178) in HBHA's heparin-binding domain, inhibiting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bacterial attachment to epithelial cells and phagocytosis by macrophages and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reducing bacterial loads in mice. HBHA interacted specifically with NRP1-coupled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HS chain, whose interaction can be disrupted by mAb 2H3. ATWLPPR peptide TFA, a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selective NRP1 inhibitor, reduced attachment and virulence of M. bovis through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decreasing the NRP1 expression on cell membrane.</w:t>
      </w: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lastRenderedPageBreak/>
        <w:t>CONCLUSION:</w:t>
      </w:r>
      <w:r w:rsidRPr="00C53741">
        <w:rPr>
          <w:rFonts w:ascii="宋体" w:eastAsia="宋体" w:hAnsi="宋体" w:cs="宋体"/>
          <w:color w:val="000000" w:themeColor="text1"/>
          <w:szCs w:val="24"/>
        </w:rPr>
        <w:t xml:space="preserve"> By screening of a protective mAb (2H3) against cell wall antigens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and elucidating its mechanism in blocking the interaction between adhesin (HBHA)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and host cell co-receptor (NRP1), this work establishes a valuable framework for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advancing anti-tuberculosis research and prophylactic development.</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Copyright © 2026. Published by Elsevier B.V.</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DOI: 10.1016/j.jare.2026.08.042</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PMID: 42612949</w:t>
      </w:r>
    </w:p>
    <w:p w:rsidR="00C53741" w:rsidRPr="00C53741" w:rsidRDefault="00C53741" w:rsidP="00C53741">
      <w:pPr>
        <w:rPr>
          <w:rFonts w:ascii="宋体" w:eastAsia="宋体" w:hAnsi="宋体" w:cs="宋体"/>
          <w:color w:val="000000" w:themeColor="text1"/>
          <w:szCs w:val="24"/>
        </w:rPr>
      </w:pPr>
    </w:p>
    <w:p w:rsidR="00C53741" w:rsidRPr="0014218A" w:rsidRDefault="00C53741" w:rsidP="00C53741">
      <w:pPr>
        <w:rPr>
          <w:rFonts w:ascii="宋体" w:eastAsia="宋体" w:hAnsi="宋体" w:cs="宋体"/>
          <w:b/>
          <w:color w:val="FF0000"/>
          <w:szCs w:val="24"/>
        </w:rPr>
      </w:pPr>
      <w:r w:rsidRPr="0014218A">
        <w:rPr>
          <w:rFonts w:ascii="宋体" w:eastAsia="宋体" w:hAnsi="宋体" w:cs="宋体"/>
          <w:b/>
          <w:color w:val="FF0000"/>
          <w:szCs w:val="24"/>
        </w:rPr>
        <w:t>1</w:t>
      </w:r>
      <w:r w:rsidR="004E4DF0">
        <w:rPr>
          <w:rFonts w:ascii="宋体" w:eastAsia="宋体" w:hAnsi="宋体" w:cs="宋体"/>
          <w:b/>
          <w:color w:val="FF0000"/>
          <w:szCs w:val="24"/>
        </w:rPr>
        <w:t>1</w:t>
      </w:r>
      <w:r w:rsidRPr="0014218A">
        <w:rPr>
          <w:rFonts w:ascii="宋体" w:eastAsia="宋体" w:hAnsi="宋体" w:cs="宋体"/>
          <w:b/>
          <w:color w:val="FF0000"/>
          <w:szCs w:val="24"/>
        </w:rPr>
        <w:t xml:space="preserve">. Eur J Pharm Biopharm. 2026 Aug 18:115217. doi: 10.1016/j.ejpb.2026.115217. </w:t>
      </w:r>
    </w:p>
    <w:p w:rsidR="00C53741" w:rsidRPr="0014218A" w:rsidRDefault="00C53741" w:rsidP="00C53741">
      <w:pPr>
        <w:rPr>
          <w:rFonts w:ascii="宋体" w:eastAsia="宋体" w:hAnsi="宋体" w:cs="宋体"/>
          <w:b/>
          <w:color w:val="FF0000"/>
          <w:szCs w:val="24"/>
        </w:rPr>
      </w:pPr>
      <w:r w:rsidRPr="0014218A">
        <w:rPr>
          <w:rFonts w:ascii="宋体" w:eastAsia="宋体" w:hAnsi="宋体" w:cs="宋体"/>
          <w:b/>
          <w:color w:val="FF0000"/>
          <w:szCs w:val="24"/>
        </w:rPr>
        <w:t>Online ahead of print.</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Towards macrophage-oriented Antituberculosis therapy: nanohydrogel and liposomal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delivery of rifampicin-berberine Co-nanocrystals for enhanced intracellular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Antituberculosis activity.</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Zhang X(1), Liu P(2), Ji S(1), Liu J(1), Cui S(1), Hu X(1), Chai Z(3), Kehinde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IO(4), Mvubu NE(5), Soliman MES(4), Zhang Z(6).</w:t>
      </w:r>
    </w:p>
    <w:p w:rsidR="00C53741" w:rsidRDefault="00C53741" w:rsidP="00C53741">
      <w:pPr>
        <w:rPr>
          <w:rFonts w:ascii="宋体" w:eastAsia="宋体" w:hAnsi="宋体" w:cs="宋体"/>
          <w:color w:val="000000" w:themeColor="text1"/>
          <w:szCs w:val="24"/>
        </w:rPr>
      </w:pPr>
    </w:p>
    <w:p w:rsidR="00B717F4" w:rsidRPr="00B717F4" w:rsidRDefault="00B717F4" w:rsidP="00C53741">
      <w:pPr>
        <w:rPr>
          <w:rFonts w:ascii="宋体" w:eastAsia="宋体" w:hAnsi="宋体" w:cs="宋体"/>
          <w:b/>
          <w:color w:val="0070C0"/>
          <w:szCs w:val="24"/>
        </w:rPr>
      </w:pPr>
      <w:r w:rsidRPr="00B717F4">
        <w:rPr>
          <w:rFonts w:ascii="宋体" w:eastAsia="宋体" w:hAnsi="宋体" w:cs="宋体"/>
          <w:b/>
          <w:color w:val="0070C0"/>
          <w:szCs w:val="24"/>
        </w:rPr>
        <w:t>Xiaoguo Zhang, Ping Liu, Shengwei Ji, Jingxue Liu, Shouhua Cui, Xue Hu, Zhengbin Chai, Ibrahim Oluwatobi Kehinde, Nontobeko E Mvubu, Mahmoud E S Soliman, Zhongfa Zhang</w:t>
      </w:r>
      <w:r w:rsidR="005861E3">
        <w:rPr>
          <w:rFonts w:ascii="宋体" w:eastAsia="宋体" w:hAnsi="宋体" w:cs="宋体" w:hint="eastAsia"/>
          <w:b/>
          <w:color w:val="0070C0"/>
          <w:szCs w:val="24"/>
        </w:rPr>
        <w:t>*</w:t>
      </w:r>
    </w:p>
    <w:p w:rsidR="00B717F4" w:rsidRPr="005861E3" w:rsidRDefault="005861E3" w:rsidP="00C53741">
      <w:pPr>
        <w:rPr>
          <w:rFonts w:ascii="宋体" w:eastAsia="宋体" w:hAnsi="宋体" w:cs="宋体"/>
          <w:b/>
          <w:color w:val="0070C0"/>
          <w:szCs w:val="24"/>
        </w:rPr>
      </w:pPr>
      <w:r w:rsidRPr="005861E3">
        <w:rPr>
          <w:rFonts w:ascii="宋体" w:eastAsia="宋体" w:hAnsi="宋体" w:cs="宋体"/>
          <w:b/>
          <w:color w:val="0070C0"/>
          <w:szCs w:val="24"/>
        </w:rPr>
        <w:t>*Correspondence: Zhongfa Zhang</w:t>
      </w:r>
      <w:r w:rsidRPr="005861E3">
        <w:rPr>
          <w:rFonts w:ascii="宋体" w:eastAsia="宋体" w:hAnsi="宋体" w:cs="宋体" w:hint="eastAsia"/>
          <w:b/>
          <w:color w:val="0070C0"/>
          <w:szCs w:val="24"/>
        </w:rPr>
        <w:t>，</w:t>
      </w:r>
      <w:r w:rsidRPr="005861E3">
        <w:rPr>
          <w:rFonts w:ascii="宋体" w:eastAsia="宋体" w:hAnsi="宋体" w:cs="宋体"/>
          <w:b/>
          <w:color w:val="0070C0"/>
          <w:szCs w:val="24"/>
        </w:rPr>
        <w:t>Email: zzflab@sina.cn</w:t>
      </w:r>
    </w:p>
    <w:p w:rsidR="00B717F4" w:rsidRDefault="00B717F4"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Author information:</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(1)Department of Infectious Diseases, Public Health Clinical Center Affiliated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to Shandong, University, Jinan 250013, China.</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(2)Public Health Clinical Center Affiliated to Shandong University, Jinan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250013, China.</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(3)Department of Clinical Laboratory, Public Health Clinical Center Affiliated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to Shandong University, Jinan 250013, China.</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(4)Molecular Bio-computation and Drug Design Laboratory, School of Health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Sciences, University of KwaZulu-Natal, Westville Campus, Durban 4001, South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Africa.</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(5)Discipline of Medical Microbiology, School of Laboratory Medicine and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Medical, Science, Nelson Mandela Medical School, University of KwaZulu-Natal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(UKZN), South Africa; Department of Medical Biosciences, Faculty of Natural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Sciences, University of the, Western Cape, Cape Town, South Africa.</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(6)Department of Respiratory Medicine, Public Health Clinical Center Affiliated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to, Shandong University, Jinan 250013, China. Electronic address: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zzflab@sina.cn.</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Tuberculosis (TB) remains a major global health threat, compounded by prolonged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lastRenderedPageBreak/>
        <w:t xml:space="preserve">treatment regimens, drug toxicity, and the emergence of multidrug-resistant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Mycobacterium tuberculosis strains. In this study, we present a novel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therapeutic strategy integrating co-crystallization and nanocarrier engineering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to enhance the intracellular delivery and antimicrobial efficacy of rifampicin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and berberine. Rifampicin-Berberine (RIF-BBR) co-crystals were synthesized via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solvent-assisted grinding, and their formation was confirmed through PXRD, NMR,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FTIR, DSC, TGA, and TEM analyses, revealing a new crystalline phase stabilized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by non-covalent interactions and improved physicochemical properties. The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co-crystal was subsequently encapsulated into chitosan-based nanohydrogels and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liposomes, yielding nanocarriers with high entrapment efficiencies, favorable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particle sizes, and enhanced colloidal stability. In vitro drug release studies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demonstrated pH-responsive and sustained release from the nanohydrogel system,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while the liposomes exhibited an initial burst release suited for rapid drug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availability. Antimicrobial evaluation against M. tuberculosis H37Rv showed that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the nanoformulated co-crystal significantly improved inhibitory and bactericidal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activity compared to free rifampicin, berberine, and the co-crystal alone, with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the liposomal formulation displaying the lowest MIC and MBC values.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Collectively, these findings underscore the potential of combining co-crystal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engineering with nanocarrier-based delivery to overcome the limitations of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conventional TB therapy. This dual strategy enhances intracellular drug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accumulation, potentiates antimicrobial activity, and provides a promising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foundation for developing more effective, targeted, and patient-compliant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anti-tuberculosis treatments.</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Copyright © 2026. Published by Elsevier B.V.</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DOI: 10.1016/j.ejpb.2026.115217</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PMID: 42612927</w:t>
      </w:r>
    </w:p>
    <w:p w:rsidR="00C53741" w:rsidRPr="00C53741" w:rsidRDefault="00C53741" w:rsidP="00C53741">
      <w:pPr>
        <w:rPr>
          <w:rFonts w:ascii="宋体" w:eastAsia="宋体" w:hAnsi="宋体" w:cs="宋体"/>
          <w:color w:val="000000" w:themeColor="text1"/>
          <w:szCs w:val="24"/>
        </w:rPr>
      </w:pPr>
    </w:p>
    <w:p w:rsidR="00C53741" w:rsidRPr="0014218A" w:rsidRDefault="00C53741" w:rsidP="00C53741">
      <w:pPr>
        <w:rPr>
          <w:rFonts w:ascii="宋体" w:eastAsia="宋体" w:hAnsi="宋体" w:cs="宋体"/>
          <w:b/>
          <w:color w:val="FF0000"/>
          <w:szCs w:val="24"/>
        </w:rPr>
      </w:pPr>
      <w:r w:rsidRPr="0014218A">
        <w:rPr>
          <w:rFonts w:ascii="宋体" w:eastAsia="宋体" w:hAnsi="宋体" w:cs="宋体"/>
          <w:b/>
          <w:color w:val="FF0000"/>
          <w:szCs w:val="24"/>
        </w:rPr>
        <w:t>1</w:t>
      </w:r>
      <w:r w:rsidR="004E4DF0">
        <w:rPr>
          <w:rFonts w:ascii="宋体" w:eastAsia="宋体" w:hAnsi="宋体" w:cs="宋体"/>
          <w:b/>
          <w:color w:val="FF0000"/>
          <w:szCs w:val="24"/>
        </w:rPr>
        <w:t>2</w:t>
      </w:r>
      <w:r w:rsidRPr="0014218A">
        <w:rPr>
          <w:rFonts w:ascii="宋体" w:eastAsia="宋体" w:hAnsi="宋体" w:cs="宋体"/>
          <w:b/>
          <w:color w:val="FF0000"/>
          <w:szCs w:val="24"/>
        </w:rPr>
        <w:t xml:space="preserve">. Lancet Infect Dis. 2026 Aug 18:S1473-3099(26)00354-3. doi: </w:t>
      </w:r>
    </w:p>
    <w:p w:rsidR="00C53741" w:rsidRPr="0014218A" w:rsidRDefault="00C53741" w:rsidP="00C53741">
      <w:pPr>
        <w:rPr>
          <w:rFonts w:ascii="宋体" w:eastAsia="宋体" w:hAnsi="宋体" w:cs="宋体"/>
          <w:b/>
          <w:color w:val="FF0000"/>
          <w:szCs w:val="24"/>
        </w:rPr>
      </w:pPr>
      <w:r w:rsidRPr="0014218A">
        <w:rPr>
          <w:rFonts w:ascii="宋体" w:eastAsia="宋体" w:hAnsi="宋体" w:cs="宋体"/>
          <w:b/>
          <w:color w:val="FF0000"/>
          <w:szCs w:val="24"/>
        </w:rPr>
        <w:t>10.1016/S1473-3099(26)00354-3. Online ahead of print.</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Congenital tuberculosis presenting as acute cervical lymphadenitis in a 28-week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preterm infant.</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Ge M(1), Zhang L(1), Hu L(2), Zeng M(3), Li T(4), Zhang R(5), Jiang S(6).</w:t>
      </w:r>
    </w:p>
    <w:p w:rsidR="00C53741" w:rsidRDefault="00C53741" w:rsidP="00C53741">
      <w:pPr>
        <w:rPr>
          <w:rFonts w:ascii="宋体" w:eastAsia="宋体" w:hAnsi="宋体" w:cs="宋体"/>
          <w:color w:val="000000" w:themeColor="text1"/>
          <w:szCs w:val="24"/>
        </w:rPr>
      </w:pPr>
    </w:p>
    <w:p w:rsidR="00DE12AC" w:rsidRPr="00DE12AC" w:rsidRDefault="00DE12AC" w:rsidP="00C53741">
      <w:pPr>
        <w:rPr>
          <w:rFonts w:ascii="宋体" w:eastAsia="宋体" w:hAnsi="宋体" w:cs="宋体"/>
          <w:b/>
          <w:color w:val="0070C0"/>
          <w:szCs w:val="24"/>
        </w:rPr>
      </w:pPr>
      <w:r w:rsidRPr="00DE12AC">
        <w:rPr>
          <w:rFonts w:ascii="宋体" w:eastAsia="宋体" w:hAnsi="宋体" w:cs="宋体"/>
          <w:b/>
          <w:color w:val="0070C0"/>
          <w:szCs w:val="24"/>
        </w:rPr>
        <w:t>Mengmeng Ge, Lan Zhang, Liyuan Hu, Mei Zeng, Tao Li, Rong Zhang</w:t>
      </w:r>
      <w:r w:rsidR="005861E3">
        <w:rPr>
          <w:rFonts w:ascii="宋体" w:eastAsia="宋体" w:hAnsi="宋体" w:cs="宋体" w:hint="eastAsia"/>
          <w:b/>
          <w:color w:val="0070C0"/>
          <w:szCs w:val="24"/>
        </w:rPr>
        <w:t>*</w:t>
      </w:r>
      <w:r w:rsidRPr="00DE12AC">
        <w:rPr>
          <w:rFonts w:ascii="宋体" w:eastAsia="宋体" w:hAnsi="宋体" w:cs="宋体"/>
          <w:b/>
          <w:color w:val="0070C0"/>
          <w:szCs w:val="24"/>
        </w:rPr>
        <w:t>, Siyuan Jiang</w:t>
      </w:r>
      <w:r w:rsidR="005861E3">
        <w:rPr>
          <w:rFonts w:ascii="宋体" w:eastAsia="宋体" w:hAnsi="宋体" w:cs="宋体" w:hint="eastAsia"/>
          <w:b/>
          <w:color w:val="0070C0"/>
          <w:szCs w:val="24"/>
        </w:rPr>
        <w:t>*</w:t>
      </w:r>
    </w:p>
    <w:p w:rsidR="00DE12AC" w:rsidRPr="005861E3" w:rsidRDefault="005861E3" w:rsidP="00C53741">
      <w:pPr>
        <w:rPr>
          <w:rFonts w:ascii="宋体" w:eastAsia="宋体" w:hAnsi="宋体" w:cs="宋体"/>
          <w:b/>
          <w:color w:val="0070C0"/>
          <w:szCs w:val="24"/>
        </w:rPr>
      </w:pPr>
      <w:r w:rsidRPr="005861E3">
        <w:rPr>
          <w:rFonts w:ascii="宋体" w:eastAsia="宋体" w:hAnsi="宋体" w:cs="宋体" w:hint="eastAsia"/>
          <w:b/>
          <w:color w:val="0070C0"/>
          <w:szCs w:val="24"/>
        </w:rPr>
        <w:t>*</w:t>
      </w:r>
      <w:r w:rsidRPr="005861E3">
        <w:rPr>
          <w:rFonts w:ascii="宋体" w:eastAsia="宋体" w:hAnsi="宋体" w:cs="宋体"/>
          <w:b/>
          <w:color w:val="0070C0"/>
          <w:szCs w:val="24"/>
        </w:rPr>
        <w:t>Correspondence to: Prof Siyuan Jiang, jiangsiyuan@fudan.edu.cn or Prof Rong Zhang, zhang_rong@fudan.edu.cn</w:t>
      </w:r>
    </w:p>
    <w:p w:rsidR="00DE12AC" w:rsidRDefault="00DE12AC"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Author information:</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(1)Division of Neonatology, Children's Hospital of Fudan University, National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Children's Medical Center, Shanghai, China.</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lastRenderedPageBreak/>
        <w:t xml:space="preserve">(2)Division of Neonatology and Center for Newborn Care, Guangzhou Women and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Children's Medical Center, Guangzhou Medical University, National Children's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Medical Center, Guangzhou, China.</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(3)Department of Infectious Disease, Children's Hospital of Fudan University,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National Children's Medical Center, Shanghai, China.</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(4)Department of Infectious Disease, Huashan Hospital of Fudan University,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Shanghai, China.</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(5)Division of Neonatology, Children's Hospital of Fudan University, National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Children's Medical Center, Shanghai, China. Electronic address: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zhang_rong@fudan.edu.cn.</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(6)Division of Neonatology, Children's Hospital of Fudan University, National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Children's Medical Center, Shanghai, China. Electronic address: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jiangsiyuan@fudan.edu.cn.</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Congenital tuberculosis is a rare infection in infants with extremely low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birthweight. We report the case of an infant born at 28 weeks' gestation who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developed isolated, cervical lymphadenitis at age 84 days. Despite the infant's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continuous hospitalisation in the neonatal intensive care unit and a negative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maternal history, Mycobacterium tuberculosis was identified through culture and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molecular testing of surgical drainage fluid. The diagnosis was substantially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delayed due to several factors: a low index of clinical suspicion based on the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infant's isolation from external sources, the presence of concurrent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cytomegalovirus infection, and the masking effect of empirical linezolid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therapy. A review of 20 case reports suggests a recurrent pattern of association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between maternal urogenital or endometrial tuberculosis and localised neonatal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infection in the head and neck. Congenital tuberculosis in extremely preterm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infants can present atypically as late-onset, localised suppuration. To avoid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diagnostic delays in the neonatal intensive care unit, clinicians should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consider tuberculosis disease when managing localised, antibiotic-refractory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infections. Particularly following in-vitro fertilisation, such clinical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presentations should prompt an immediate evaluation for occult maternal pelvic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tuberculosis.</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Copyright © 2026 Elsevier Ltd. All rights reserved, including those for text and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data mining, AI training, and similar technologies.</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DOI: 10.1016/S1473-3099(26)00354-3</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PMID: 42612669</w:t>
      </w:r>
    </w:p>
    <w:p w:rsidR="00C53741" w:rsidRPr="00C53741" w:rsidRDefault="00C53741" w:rsidP="00C53741">
      <w:pPr>
        <w:rPr>
          <w:rFonts w:ascii="宋体" w:eastAsia="宋体" w:hAnsi="宋体" w:cs="宋体"/>
          <w:color w:val="000000" w:themeColor="text1"/>
          <w:szCs w:val="24"/>
        </w:rPr>
      </w:pPr>
    </w:p>
    <w:p w:rsidR="00C53741" w:rsidRPr="0014218A" w:rsidRDefault="00C53741" w:rsidP="00C53741">
      <w:pPr>
        <w:rPr>
          <w:rFonts w:ascii="宋体" w:eastAsia="宋体" w:hAnsi="宋体" w:cs="宋体"/>
          <w:b/>
          <w:color w:val="FF0000"/>
          <w:szCs w:val="24"/>
        </w:rPr>
      </w:pPr>
      <w:r w:rsidRPr="0014218A">
        <w:rPr>
          <w:rFonts w:ascii="宋体" w:eastAsia="宋体" w:hAnsi="宋体" w:cs="宋体"/>
          <w:b/>
          <w:color w:val="FF0000"/>
          <w:szCs w:val="24"/>
        </w:rPr>
        <w:t>1</w:t>
      </w:r>
      <w:r w:rsidR="004E4DF0">
        <w:rPr>
          <w:rFonts w:ascii="宋体" w:eastAsia="宋体" w:hAnsi="宋体" w:cs="宋体"/>
          <w:b/>
          <w:color w:val="FF0000"/>
          <w:szCs w:val="24"/>
        </w:rPr>
        <w:t>3</w:t>
      </w:r>
      <w:r w:rsidRPr="0014218A">
        <w:rPr>
          <w:rFonts w:ascii="宋体" w:eastAsia="宋体" w:hAnsi="宋体" w:cs="宋体"/>
          <w:b/>
          <w:color w:val="FF0000"/>
          <w:szCs w:val="24"/>
        </w:rPr>
        <w:t>. Microbiol Spectr. 2026 Aug 18:e0191926. doi: 10.1128/</w:t>
      </w:r>
      <w:r w:rsidR="0014218A">
        <w:rPr>
          <w:rFonts w:ascii="宋体" w:eastAsia="宋体" w:hAnsi="宋体" w:cs="宋体"/>
          <w:b/>
          <w:color w:val="FF0000"/>
          <w:szCs w:val="24"/>
        </w:rPr>
        <w:t xml:space="preserve">spectrum.01919-26. Online </w:t>
      </w:r>
      <w:r w:rsidRPr="0014218A">
        <w:rPr>
          <w:rFonts w:ascii="宋体" w:eastAsia="宋体" w:hAnsi="宋体" w:cs="宋体"/>
          <w:b/>
          <w:color w:val="FF0000"/>
          <w:szCs w:val="24"/>
        </w:rPr>
        <w:t>ahead of print.</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Repurposing Penfluridol to combat mycobacteria via bioenergetic collapse.</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lastRenderedPageBreak/>
        <w:t xml:space="preserve">Li Y(#)(1)(2), Li X(#)(1), Zhang G(1), Li C(1), Yin C(1), Li Y(2), Jiang J(1),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Yang Y(1), Yang Z(3)(4), Liu Y(1), Zeng X(1), You J(1), Liu Y(1), Li A(1), Jiang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C(5), Xu C(6), Dong N(1)(4).</w:t>
      </w:r>
    </w:p>
    <w:p w:rsidR="00C53741" w:rsidRDefault="00C53741" w:rsidP="00C53741">
      <w:pPr>
        <w:rPr>
          <w:rFonts w:ascii="宋体" w:eastAsia="宋体" w:hAnsi="宋体" w:cs="宋体"/>
          <w:color w:val="000000" w:themeColor="text1"/>
          <w:szCs w:val="24"/>
        </w:rPr>
      </w:pPr>
    </w:p>
    <w:p w:rsidR="003F25BB" w:rsidRPr="004E4793" w:rsidRDefault="003F25BB" w:rsidP="00C53741">
      <w:pPr>
        <w:rPr>
          <w:rFonts w:ascii="宋体" w:eastAsia="宋体" w:hAnsi="宋体" w:cs="宋体"/>
          <w:b/>
          <w:color w:val="0070C0"/>
          <w:szCs w:val="24"/>
        </w:rPr>
      </w:pPr>
      <w:r w:rsidRPr="004E4793">
        <w:rPr>
          <w:rFonts w:ascii="宋体" w:eastAsia="宋体" w:hAnsi="宋体" w:cs="宋体"/>
          <w:b/>
          <w:color w:val="0070C0"/>
          <w:szCs w:val="24"/>
        </w:rPr>
        <w:t>Yunbing Li, Xiaofan Li, Guangfen Zhang, Chunli Li, Changting Yin, Yuanyuan Li, Jiani Jiang, Yi Yang, Zhiqiang Yang, Yinli Liu, Xiangkun Zeng, Jiayi You, Yi Liu, Ahui Li, Chang Jiang, Chen Xu</w:t>
      </w:r>
      <w:r w:rsidRPr="004E4793">
        <w:rPr>
          <w:rFonts w:ascii="宋体" w:eastAsia="宋体" w:hAnsi="宋体" w:cs="宋体" w:hint="eastAsia"/>
          <w:b/>
          <w:color w:val="0070C0"/>
          <w:szCs w:val="24"/>
        </w:rPr>
        <w:t>*</w:t>
      </w:r>
      <w:r w:rsidRPr="004E4793">
        <w:rPr>
          <w:rFonts w:ascii="宋体" w:eastAsia="宋体" w:hAnsi="宋体" w:cs="宋体"/>
          <w:b/>
          <w:color w:val="0070C0"/>
          <w:szCs w:val="24"/>
        </w:rPr>
        <w:t>, Ning Dong</w:t>
      </w:r>
      <w:r w:rsidRPr="004E4793">
        <w:rPr>
          <w:rFonts w:ascii="宋体" w:eastAsia="宋体" w:hAnsi="宋体" w:cs="宋体" w:hint="eastAsia"/>
          <w:b/>
          <w:color w:val="0070C0"/>
          <w:szCs w:val="24"/>
        </w:rPr>
        <w:t>*</w:t>
      </w:r>
    </w:p>
    <w:p w:rsidR="003F25BB" w:rsidRPr="004E4793" w:rsidRDefault="003F25BB" w:rsidP="003F25BB">
      <w:pPr>
        <w:jc w:val="left"/>
        <w:rPr>
          <w:rFonts w:ascii="宋体" w:eastAsia="宋体" w:hAnsi="宋体" w:cs="宋体"/>
          <w:b/>
          <w:color w:val="0070C0"/>
          <w:szCs w:val="24"/>
        </w:rPr>
      </w:pPr>
      <w:r w:rsidRPr="004E4793">
        <w:rPr>
          <w:rFonts w:ascii="宋体" w:eastAsia="宋体" w:hAnsi="宋体" w:cs="宋体" w:hint="eastAsia"/>
          <w:b/>
          <w:color w:val="0070C0"/>
          <w:szCs w:val="24"/>
        </w:rPr>
        <w:t>*</w:t>
      </w:r>
      <w:r w:rsidRPr="004E4793">
        <w:rPr>
          <w:rFonts w:ascii="宋体" w:eastAsia="宋体" w:hAnsi="宋体" w:cs="宋体"/>
          <w:b/>
          <w:color w:val="0070C0"/>
          <w:szCs w:val="24"/>
        </w:rPr>
        <w:t xml:space="preserve">Address correspondence to Chen Xu, </w:t>
      </w:r>
      <w:hyperlink r:id="rId8" w:history="1">
        <w:r w:rsidRPr="004E4793">
          <w:rPr>
            <w:rStyle w:val="a6"/>
            <w:rFonts w:ascii="宋体" w:eastAsia="宋体" w:hAnsi="宋体" w:cs="宋体"/>
            <w:b/>
            <w:color w:val="0070C0"/>
            <w:szCs w:val="24"/>
            <w:u w:val="none"/>
          </w:rPr>
          <w:t>xu.chen@connect.polyu.hk</w:t>
        </w:r>
      </w:hyperlink>
      <w:r w:rsidRPr="004E4793">
        <w:rPr>
          <w:rFonts w:ascii="宋体" w:eastAsia="宋体" w:hAnsi="宋体" w:cs="宋体"/>
          <w:b/>
          <w:color w:val="0070C0"/>
          <w:szCs w:val="24"/>
        </w:rPr>
        <w:t xml:space="preserve">; Ning Dong, </w:t>
      </w:r>
      <w:hyperlink r:id="rId9" w:history="1">
        <w:r w:rsidRPr="004E4793">
          <w:rPr>
            <w:rStyle w:val="a6"/>
            <w:rFonts w:ascii="宋体" w:eastAsia="宋体" w:hAnsi="宋体" w:cs="宋体"/>
            <w:b/>
            <w:color w:val="0070C0"/>
            <w:szCs w:val="24"/>
            <w:u w:val="none"/>
          </w:rPr>
          <w:t>ningdong@zju.edu.cn</w:t>
        </w:r>
      </w:hyperlink>
    </w:p>
    <w:p w:rsidR="003F25BB" w:rsidRPr="00C53741" w:rsidRDefault="003F25BB"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Author information:</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(1)Department of Emergency Medicine, Second Affiliated Hospital, Zhejiang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University School of Medicine, Hangzhou, China.</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(2)Department of Medical Microbiology, Experimental Center, Suzhou Medical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College of Soochow University, Suzhou, China.</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(3)Key Laboratory of Chemical Biology and Molecular Engineering of Ministry of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Education, Biomedical and Health Laboratory in Shanxi Province, Institutes of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Biomedical Sciences, School of Life Science, Shanxi University, Taiyuan, China.</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(4)Biomedicine and Health Laboratory in Shanxi Province, Taiyuan, China.</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(5)Department of Pathology, Children's Hospital, Zhejiang University School of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Medicine, National Children's Regional Medical Center, National Clinical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Research Center for Child Health, Hangzhou, China.</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(6)Department of Laboratory Medicine, School of Medicine, Jiangsu University,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Zhenjiang, China.</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(#)Contributed equally</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Drug-resistant Mycobacterium tuberculosis (Mtb) infections constitute a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persistent and severe public health crisis worldwide. Standard anti-tuberculosis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(anti-TB) therapies often fail to eradicate resistant strains, resulting in poor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clinical outcomes and underscoring the demand for new treatment options. Drug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repurposing offers a practical and time-efficient approach to accelerate the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development of new anti-mycobacterial regimens. In this work, we evaluated the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antimycobacterial potency of penfluridol (PL), a Food and Drug Administration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(FDA)-approved antipsychotic drug, and explored its functional mechanism against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mycobacteria. Our experimental data revealed that PL compromises mycobacterial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membrane integrity and depletes the proton motive force (PMF), leading to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disrupted energy metabolism and mycobacterial growth inhibition. PMF depletion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disables energy-reliant efflux systems, facilitates intracellular PL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accumulation, and further deteriorates membrane damage, creating a sustained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bactericidal effect. Notably, continuous PL exposure rarely induces stable drug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resistance. These observations suggest that PL can be repurposed for treating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drug-resistant TB and confirm that targeting bacterial bioenergetics is an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effective strategy to overcome clinical antimicrobial resistance.</w:t>
      </w:r>
    </w:p>
    <w:p w:rsidR="00C53741" w:rsidRPr="00C53741" w:rsidRDefault="00C53741" w:rsidP="00C53741">
      <w:pPr>
        <w:rPr>
          <w:rFonts w:ascii="宋体" w:eastAsia="宋体" w:hAnsi="宋体" w:cs="宋体"/>
          <w:color w:val="000000" w:themeColor="text1"/>
          <w:szCs w:val="24"/>
        </w:rPr>
      </w:pPr>
      <w:r w:rsidRPr="0014218A">
        <w:rPr>
          <w:rFonts w:ascii="宋体" w:eastAsia="宋体" w:hAnsi="宋体" w:cs="宋体"/>
          <w:b/>
          <w:color w:val="000000" w:themeColor="text1"/>
          <w:szCs w:val="24"/>
        </w:rPr>
        <w:t xml:space="preserve">IMPORTANCE: </w:t>
      </w:r>
      <w:r w:rsidRPr="00C53741">
        <w:rPr>
          <w:rFonts w:ascii="宋体" w:eastAsia="宋体" w:hAnsi="宋体" w:cs="宋体"/>
          <w:color w:val="000000" w:themeColor="text1"/>
          <w:szCs w:val="24"/>
        </w:rPr>
        <w:t xml:space="preserve">Tuberculosis (TB) remains a major threat to global public health,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lastRenderedPageBreak/>
        <w:t xml:space="preserve">and the widespread emergence of drug-resistant strains has substantially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compromised the efficacy of existing anti-TB regimens. The scarcity of approved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anti-TB drugs, combined with lengthy treatment regimens and frequent therapeutic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failure, further exacerbates the global TB crisis, highlighting an urgent need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for safe and effective alternative therapies. Drug repurposing serves as a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time-saving and reliable strategy to accelerate anti-TB drug development. This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study explores the antimycobacterial efficacy and unique working mechanism of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the clinically approved agent penfluridol (PL). Our findings identify a feasible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 xml:space="preserve">candidate for treating drug-resistant TB and provide a valuable </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bioenergetic-targeting strategy to combat bacterial antimicrobial resistance.</w:t>
      </w:r>
    </w:p>
    <w:p w:rsidR="00C53741" w:rsidRPr="00C53741" w:rsidRDefault="00C53741" w:rsidP="00C53741">
      <w:pPr>
        <w:rPr>
          <w:rFonts w:ascii="宋体" w:eastAsia="宋体" w:hAnsi="宋体" w:cs="宋体"/>
          <w:color w:val="000000" w:themeColor="text1"/>
          <w:szCs w:val="24"/>
        </w:rPr>
      </w:pP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DOI: 10.1128/spectrum.01919-26</w:t>
      </w:r>
    </w:p>
    <w:p w:rsidR="00C53741" w:rsidRPr="00C53741" w:rsidRDefault="00C53741" w:rsidP="00C53741">
      <w:pPr>
        <w:rPr>
          <w:rFonts w:ascii="宋体" w:eastAsia="宋体" w:hAnsi="宋体" w:cs="宋体"/>
          <w:color w:val="000000" w:themeColor="text1"/>
          <w:szCs w:val="24"/>
        </w:rPr>
      </w:pPr>
      <w:r w:rsidRPr="00C53741">
        <w:rPr>
          <w:rFonts w:ascii="宋体" w:eastAsia="宋体" w:hAnsi="宋体" w:cs="宋体"/>
          <w:color w:val="000000" w:themeColor="text1"/>
          <w:szCs w:val="24"/>
        </w:rPr>
        <w:t>PMID: 42610720</w:t>
      </w:r>
    </w:p>
    <w:p w:rsidR="00C53741" w:rsidRPr="00C53741" w:rsidRDefault="00C53741" w:rsidP="00C53741">
      <w:pPr>
        <w:rPr>
          <w:rFonts w:ascii="宋体" w:eastAsia="宋体" w:hAnsi="宋体" w:cs="宋体"/>
          <w:color w:val="000000" w:themeColor="text1"/>
          <w:szCs w:val="24"/>
        </w:rPr>
      </w:pPr>
    </w:p>
    <w:p w:rsidR="00843320" w:rsidRPr="00A20532" w:rsidRDefault="004E4DF0" w:rsidP="00843320">
      <w:pPr>
        <w:rPr>
          <w:rFonts w:ascii="宋体" w:eastAsia="宋体" w:hAnsi="宋体" w:cs="宋体"/>
          <w:b/>
          <w:color w:val="FF0000"/>
          <w:szCs w:val="24"/>
        </w:rPr>
      </w:pPr>
      <w:r>
        <w:rPr>
          <w:rFonts w:ascii="宋体" w:eastAsia="宋体" w:hAnsi="宋体" w:cs="宋体"/>
          <w:b/>
          <w:color w:val="FF0000"/>
          <w:szCs w:val="24"/>
        </w:rPr>
        <w:t>14</w:t>
      </w:r>
      <w:r w:rsidR="00843320" w:rsidRPr="00A20532">
        <w:rPr>
          <w:rFonts w:ascii="宋体" w:eastAsia="宋体" w:hAnsi="宋体" w:cs="宋体"/>
          <w:b/>
          <w:color w:val="FF0000"/>
          <w:szCs w:val="24"/>
        </w:rPr>
        <w:t xml:space="preserve">. Front Immunol. 2026 Aug 7;17:1889315. doi: 10.3389/fimmu.2026.1889315. </w:t>
      </w:r>
    </w:p>
    <w:p w:rsidR="00843320" w:rsidRPr="00A20532" w:rsidRDefault="00843320" w:rsidP="00843320">
      <w:pPr>
        <w:rPr>
          <w:rFonts w:ascii="宋体" w:eastAsia="宋体" w:hAnsi="宋体" w:cs="宋体"/>
          <w:b/>
          <w:color w:val="FF0000"/>
          <w:szCs w:val="24"/>
        </w:rPr>
      </w:pPr>
      <w:r w:rsidRPr="00A20532">
        <w:rPr>
          <w:rFonts w:ascii="宋体" w:eastAsia="宋体" w:hAnsi="宋体" w:cs="宋体"/>
          <w:b/>
          <w:color w:val="FF0000"/>
          <w:szCs w:val="24"/>
        </w:rPr>
        <w:t>eCollection 2026.</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Gut microbiota-driven immunomodulation in tuberculosis: targeting dysbiosis to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overcome drug resistance.</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Nie Q(#)(1)(2), Hu X(#)(1)(3), Zhang Y(#)(1)(3), Pan L(#)(1)(2), Zhang X(1)(2),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Zhou Y(1)(2), Fu T(1)(2), Zheng L(1)(2), Xiao F(1)(2), Liu Y(1)(2), Du S(1)(3),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Liu J(1)(3), Liu L(1)(3), Xiong X(1)(3), Wu Y(1)(3), Fan D(1)(3), Tao L(4), Ren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F(1)(3)(5).</w:t>
      </w:r>
    </w:p>
    <w:p w:rsidR="00843320" w:rsidRDefault="00843320" w:rsidP="00843320">
      <w:pPr>
        <w:rPr>
          <w:rFonts w:ascii="宋体" w:eastAsia="宋体" w:hAnsi="宋体" w:cs="宋体"/>
          <w:color w:val="000000" w:themeColor="text1"/>
          <w:szCs w:val="24"/>
        </w:rPr>
      </w:pPr>
    </w:p>
    <w:p w:rsidR="009F15D6" w:rsidRPr="009F15D6" w:rsidRDefault="009F15D6" w:rsidP="00843320">
      <w:pPr>
        <w:rPr>
          <w:rFonts w:ascii="宋体" w:eastAsia="宋体" w:hAnsi="宋体" w:cs="宋体"/>
          <w:b/>
          <w:color w:val="0070C0"/>
          <w:szCs w:val="24"/>
        </w:rPr>
      </w:pPr>
      <w:r w:rsidRPr="009F15D6">
        <w:rPr>
          <w:rFonts w:ascii="宋体" w:eastAsia="宋体" w:hAnsi="宋体" w:cs="宋体"/>
          <w:b/>
          <w:color w:val="0070C0"/>
          <w:szCs w:val="24"/>
        </w:rPr>
        <w:t>Qi Nie, Xujuan Hu, Yingjie Zhang, Ling Pan, Xiaoqing Zhang, Yong Zhou, Tingting Fu, Lijuan Zheng, Fan Xiao, Yuan Liu, Si Du, Jieguang Liu, Leyiyi Liu, Xianglian Xiong, Yuanjun Wu, Dan Fan, Lixuan Tao</w:t>
      </w:r>
      <w:r w:rsidRPr="009F15D6">
        <w:rPr>
          <w:rFonts w:ascii="宋体" w:eastAsia="宋体" w:hAnsi="宋体" w:cs="宋体" w:hint="eastAsia"/>
          <w:b/>
          <w:color w:val="0070C0"/>
          <w:szCs w:val="24"/>
        </w:rPr>
        <w:t>*</w:t>
      </w:r>
      <w:r w:rsidRPr="009F15D6">
        <w:rPr>
          <w:rFonts w:ascii="宋体" w:eastAsia="宋体" w:hAnsi="宋体" w:cs="宋体"/>
          <w:b/>
          <w:color w:val="0070C0"/>
          <w:szCs w:val="24"/>
        </w:rPr>
        <w:t>, Fuli Ren</w:t>
      </w:r>
      <w:r w:rsidRPr="009F15D6">
        <w:rPr>
          <w:rFonts w:ascii="宋体" w:eastAsia="宋体" w:hAnsi="宋体" w:cs="宋体" w:hint="eastAsia"/>
          <w:b/>
          <w:color w:val="0070C0"/>
          <w:szCs w:val="24"/>
        </w:rPr>
        <w:t>*</w:t>
      </w:r>
    </w:p>
    <w:p w:rsidR="009F15D6" w:rsidRPr="009F15D6" w:rsidRDefault="009F15D6" w:rsidP="00843320">
      <w:pPr>
        <w:rPr>
          <w:rFonts w:ascii="宋体" w:eastAsia="宋体" w:hAnsi="宋体" w:cs="宋体"/>
          <w:b/>
          <w:color w:val="0070C0"/>
          <w:szCs w:val="24"/>
        </w:rPr>
      </w:pPr>
      <w:r w:rsidRPr="009F15D6">
        <w:rPr>
          <w:rFonts w:ascii="宋体" w:eastAsia="宋体" w:hAnsi="宋体" w:cs="宋体"/>
          <w:b/>
          <w:color w:val="0070C0"/>
          <w:szCs w:val="24"/>
        </w:rPr>
        <w:t>*CORRESPONDENCE Lixuan Tao</w:t>
      </w:r>
      <w:r w:rsidRPr="009F15D6">
        <w:rPr>
          <w:rFonts w:ascii="宋体" w:eastAsia="宋体" w:hAnsi="宋体" w:cs="宋体" w:hint="eastAsia"/>
          <w:b/>
          <w:color w:val="0070C0"/>
          <w:szCs w:val="24"/>
        </w:rPr>
        <w:t>，</w:t>
      </w:r>
      <w:r w:rsidRPr="009F15D6">
        <w:rPr>
          <w:rFonts w:ascii="宋体" w:eastAsia="宋体" w:hAnsi="宋体" w:cs="宋体"/>
          <w:b/>
          <w:color w:val="0070C0"/>
          <w:szCs w:val="24"/>
        </w:rPr>
        <w:t xml:space="preserve">309464516@qq.com </w:t>
      </w:r>
      <w:r w:rsidRPr="009F15D6">
        <w:rPr>
          <w:rFonts w:ascii="宋体" w:eastAsia="宋体" w:hAnsi="宋体" w:cs="宋体" w:hint="eastAsia"/>
          <w:b/>
          <w:color w:val="0070C0"/>
          <w:szCs w:val="24"/>
        </w:rPr>
        <w:t>；</w:t>
      </w:r>
      <w:r w:rsidRPr="009F15D6">
        <w:rPr>
          <w:rFonts w:ascii="宋体" w:eastAsia="宋体" w:hAnsi="宋体" w:cs="宋体"/>
          <w:b/>
          <w:color w:val="0070C0"/>
          <w:szCs w:val="24"/>
        </w:rPr>
        <w:t>Fuli Ren</w:t>
      </w:r>
      <w:r w:rsidRPr="009F15D6">
        <w:rPr>
          <w:rFonts w:ascii="宋体" w:eastAsia="宋体" w:hAnsi="宋体" w:cs="宋体" w:hint="eastAsia"/>
          <w:b/>
          <w:color w:val="0070C0"/>
          <w:szCs w:val="24"/>
        </w:rPr>
        <w:t>，</w:t>
      </w:r>
      <w:r w:rsidRPr="009F15D6">
        <w:rPr>
          <w:rFonts w:ascii="宋体" w:eastAsia="宋体" w:hAnsi="宋体" w:cs="宋体"/>
          <w:b/>
          <w:color w:val="0070C0"/>
          <w:szCs w:val="24"/>
        </w:rPr>
        <w:t>renny08@163.com</w:t>
      </w:r>
    </w:p>
    <w:p w:rsidR="009F15D6" w:rsidRDefault="009F15D6"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Author information:</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(1)Wuhan Jinyintan Hospital, Tongji Medical College of Huazhong University of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Science and Technology, Wuhan, Hubei,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(2)Department of Multidrug-resistant/Drug-resistant Tuberculosis (MDR/DR-TB),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Wuhan Jinyintan Hospital, Tongji Medical College of Huazhong University of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Science and Technology, Wuhan, Hubei,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(3)Clinical Biospecimen Resource Center, Wuhan Jinyintan Hospital, Tongji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Medical College of Huazhong University of Science and Technology, Wuhan,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Hubei,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(4)Emergency Department, Puren Hospital, Wuhan University of Science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Technology, Wuhan, Hubei,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(5)State Key Laboratory for Diagnosis and Treatment of Severe Zoonotic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Infectious Diseases, Wuhan, Hubei,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(#)Contributed equally</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Tuberculosis (TB) remains a major global health threat, hampered by the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escalating prevalence of multidrug-resistant (MDR) and extensively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drug-resistant (XDR) strains. Managing these resistant infections demands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protracted, intricate, and frequently hepatotoxic drug regimens with poor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efficacy, toxicity, and adherence issues. This landscape underscores an urgent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need to move beyond a purely antimicrobial-focused paradigm. Converging lines of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evidence now firmly position the gut microbiota-a pivotal orchestrator of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systemic immunity, metabolic homeostasis, and drug metabolism-as a central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determinant in both TB pathogenesis and therapeutic success. Our review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describes a vicious cycle at the heart of contemporary TB management. A critical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and often overlooked trigger is the profound and persistent gut microbiota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dysbiosis induced by the anti-TB medications themselves. Far from an incidental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side effect, this dysbiosis is strongly implicated as a pathological driver in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preclinical models and observational studies. It undermines pulmonary host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defense through the gut-lung axis, aggravates anti-tuberculosis drug-induced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liver injury (ATB-DILI), and cultivates a systemic state of chronic inflammation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coupled with metabolic dysregulation (such as impaired lipid metabolism).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Paradoxically, this host environment fosters Mycobacterium tuberculosis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persistence and disease progression. In drug-resistant TB, this vicious cycle is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amplified, is associated with therapeutic failure and may contribute to the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selection of resistance in correlative studies. To disrupt this cycle, we assess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the translational promise of interventions targeting the microbial ecosystem.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This encompasses a multi-pronged strategy: employing probiotics, prebiotics,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tailored dietary modifications to restore ecological balance; utilizing fecal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microbiota transplantation (FMT) for more profound restoration; and pioneering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the development of novel, narrow-spectrum antimicrobials designed to preserve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commensal flora. We contend that the integration of microbiome stewardship into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TB care is an indispensable evolution in our approach. By concurrently targeting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the pathogen and fortifying the host's intrinsic microbial defenses, this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holistic strategy presents a transformative pathway to surmount drug resistance,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alleviate treatment-related toxicity, and improve patient outcomes.</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Copyright © 2026 Nie, Hu, Zhang, Pan, Zhang, Zhou, Fu, Zheng, Xiao, Liu, Du,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Liu, Liu, Xiong, Wu, Fan, Tao and Ren.</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DOI: 10.3389/fimmu.2026.1889315</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PMCID: PMC13494753</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PMID: 42630573 [Indexed for MEDLINE]</w:t>
      </w:r>
    </w:p>
    <w:p w:rsidR="00843320" w:rsidRPr="00843320" w:rsidRDefault="00843320" w:rsidP="00843320">
      <w:pPr>
        <w:rPr>
          <w:rFonts w:ascii="宋体" w:eastAsia="宋体" w:hAnsi="宋体" w:cs="宋体"/>
          <w:color w:val="000000" w:themeColor="text1"/>
          <w:szCs w:val="24"/>
        </w:rPr>
      </w:pPr>
    </w:p>
    <w:p w:rsidR="00843320" w:rsidRPr="005D07AC" w:rsidRDefault="004E4DF0" w:rsidP="00843320">
      <w:pPr>
        <w:rPr>
          <w:rFonts w:ascii="宋体" w:eastAsia="宋体" w:hAnsi="宋体" w:cs="宋体"/>
          <w:b/>
          <w:color w:val="FF0000"/>
          <w:szCs w:val="24"/>
        </w:rPr>
      </w:pPr>
      <w:r>
        <w:rPr>
          <w:rFonts w:ascii="宋体" w:eastAsia="宋体" w:hAnsi="宋体" w:cs="宋体"/>
          <w:b/>
          <w:color w:val="FF0000"/>
          <w:szCs w:val="24"/>
        </w:rPr>
        <w:t>15</w:t>
      </w:r>
      <w:r w:rsidR="00843320" w:rsidRPr="005D07AC">
        <w:rPr>
          <w:rFonts w:ascii="宋体" w:eastAsia="宋体" w:hAnsi="宋体" w:cs="宋体"/>
          <w:b/>
          <w:color w:val="FF0000"/>
          <w:szCs w:val="24"/>
        </w:rPr>
        <w:t xml:space="preserve">. Am J Transl Res. 2026 Jul 15;18(7):5913-5925. doi: 10.62347/WHMF5727. </w:t>
      </w:r>
    </w:p>
    <w:p w:rsidR="00843320" w:rsidRPr="005D07AC" w:rsidRDefault="00843320" w:rsidP="00843320">
      <w:pPr>
        <w:rPr>
          <w:rFonts w:ascii="宋体" w:eastAsia="宋体" w:hAnsi="宋体" w:cs="宋体"/>
          <w:b/>
          <w:color w:val="FF0000"/>
          <w:szCs w:val="24"/>
        </w:rPr>
      </w:pPr>
      <w:r w:rsidRPr="005D07AC">
        <w:rPr>
          <w:rFonts w:ascii="宋体" w:eastAsia="宋体" w:hAnsi="宋体" w:cs="宋体"/>
          <w:b/>
          <w:color w:val="FF0000"/>
          <w:szCs w:val="24"/>
        </w:rPr>
        <w:t>eCollection 2026.</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Serum HMGB1 and CA19-9 are independently associated with pulmonary cavity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lastRenderedPageBreak/>
        <w:t>formation in patients with non-tuberculous mycobacterial pulmonary disease.</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Zhang Y(1), Jiang Y(2).</w:t>
      </w:r>
    </w:p>
    <w:p w:rsidR="00843320" w:rsidRDefault="00843320" w:rsidP="00843320">
      <w:pPr>
        <w:rPr>
          <w:rFonts w:ascii="宋体" w:eastAsia="宋体" w:hAnsi="宋体" w:cs="宋体"/>
          <w:color w:val="000000" w:themeColor="text1"/>
          <w:szCs w:val="24"/>
        </w:rPr>
      </w:pPr>
    </w:p>
    <w:p w:rsidR="004E0420" w:rsidRPr="004E0420" w:rsidRDefault="004E0420" w:rsidP="00843320">
      <w:pPr>
        <w:rPr>
          <w:rFonts w:ascii="宋体" w:eastAsia="宋体" w:hAnsi="宋体" w:cs="宋体"/>
          <w:b/>
          <w:color w:val="0070C0"/>
          <w:szCs w:val="24"/>
        </w:rPr>
      </w:pPr>
      <w:r w:rsidRPr="004E0420">
        <w:rPr>
          <w:rFonts w:ascii="宋体" w:eastAsia="宋体" w:hAnsi="宋体" w:cs="宋体"/>
          <w:b/>
          <w:color w:val="0070C0"/>
          <w:szCs w:val="24"/>
        </w:rPr>
        <w:t>Yingying Zhang, Yanping Jiang</w:t>
      </w:r>
      <w:r w:rsidRPr="004E0420">
        <w:rPr>
          <w:rFonts w:ascii="宋体" w:eastAsia="宋体" w:hAnsi="宋体" w:cs="宋体" w:hint="eastAsia"/>
          <w:b/>
          <w:color w:val="0070C0"/>
          <w:szCs w:val="24"/>
        </w:rPr>
        <w:t>*</w:t>
      </w:r>
    </w:p>
    <w:p w:rsidR="004E0420" w:rsidRPr="004E0420" w:rsidRDefault="004E0420" w:rsidP="00843320">
      <w:pPr>
        <w:rPr>
          <w:rFonts w:ascii="宋体" w:eastAsia="宋体" w:hAnsi="宋体" w:cs="宋体"/>
          <w:b/>
          <w:color w:val="0070C0"/>
          <w:szCs w:val="24"/>
        </w:rPr>
      </w:pPr>
      <w:r w:rsidRPr="004E0420">
        <w:rPr>
          <w:rFonts w:ascii="宋体" w:eastAsia="宋体" w:hAnsi="宋体" w:cs="宋体" w:hint="eastAsia"/>
          <w:b/>
          <w:color w:val="0070C0"/>
          <w:szCs w:val="24"/>
        </w:rPr>
        <w:t>*</w:t>
      </w:r>
      <w:r w:rsidRPr="004E0420">
        <w:rPr>
          <w:rFonts w:ascii="宋体" w:eastAsia="宋体" w:hAnsi="宋体" w:cs="宋体"/>
          <w:b/>
          <w:color w:val="0070C0"/>
          <w:szCs w:val="24"/>
        </w:rPr>
        <w:t>Address correspondence to: Yanping Jiang, E-mail: jiangyanping@mjc-edu.cn</w:t>
      </w:r>
    </w:p>
    <w:p w:rsidR="004E0420" w:rsidRPr="00843320" w:rsidRDefault="004E04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Author information:</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(1)Department of Tuberculosis, The Sixth People's Hospital of Nantong Nantong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226000, Jiangsu,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(2)Department of Tuberculosis, Affiliated Wuxi Fifth Hospital of Jiangnan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University Wuxi 214000, Jiangsu, China.</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5D07AC">
        <w:rPr>
          <w:rFonts w:ascii="宋体" w:eastAsia="宋体" w:hAnsi="宋体" w:cs="宋体"/>
          <w:b/>
          <w:color w:val="000000" w:themeColor="text1"/>
          <w:szCs w:val="24"/>
        </w:rPr>
        <w:t xml:space="preserve">OBJECTIVES: </w:t>
      </w:r>
      <w:r w:rsidRPr="00843320">
        <w:rPr>
          <w:rFonts w:ascii="宋体" w:eastAsia="宋体" w:hAnsi="宋体" w:cs="宋体"/>
          <w:color w:val="000000" w:themeColor="text1"/>
          <w:szCs w:val="24"/>
        </w:rPr>
        <w:t xml:space="preserve">This work aimed to investigate the changes in serum inflammatory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factors (IFs) in patients with nontuberculous mycobacterial pulmonary disease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(NTM-PD) and to analyze their correlation with the presence of lung cavities.</w:t>
      </w:r>
    </w:p>
    <w:p w:rsidR="00843320" w:rsidRPr="00843320" w:rsidRDefault="00843320" w:rsidP="00843320">
      <w:pPr>
        <w:rPr>
          <w:rFonts w:ascii="宋体" w:eastAsia="宋体" w:hAnsi="宋体" w:cs="宋体"/>
          <w:color w:val="000000" w:themeColor="text1"/>
          <w:szCs w:val="24"/>
        </w:rPr>
      </w:pPr>
      <w:r w:rsidRPr="005D07AC">
        <w:rPr>
          <w:rFonts w:ascii="宋体" w:eastAsia="宋体" w:hAnsi="宋体" w:cs="宋体"/>
          <w:b/>
          <w:color w:val="000000" w:themeColor="text1"/>
          <w:szCs w:val="24"/>
        </w:rPr>
        <w:t>METHODS:</w:t>
      </w:r>
      <w:r w:rsidRPr="00843320">
        <w:rPr>
          <w:rFonts w:ascii="宋体" w:eastAsia="宋体" w:hAnsi="宋体" w:cs="宋体"/>
          <w:color w:val="000000" w:themeColor="text1"/>
          <w:szCs w:val="24"/>
        </w:rPr>
        <w:t xml:space="preserve"> A retrospective study was conducted on 80 NTM-PD patients and 80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non-active pulmonary tuberculosis (Non-ATB) controls. Clinical characteristics,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NTM species distribution, and chest CT findings were analyzed. Serum levels of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C-reactive protein (CRP), tumor necrosis factor-α (TNF-α), procalcitonin (PCT),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interleukin-1 (IL-1), IL-6, IL-8, high mobility group box protein 1 (HMGB1),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Cystatin C (Cys C), and carbohydrate antigen 19-9 (CA 19-9) were measured by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ELISA. Correlations between IFs and cavitation were assessed using Spearman's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test.</w:t>
      </w:r>
    </w:p>
    <w:p w:rsidR="00843320" w:rsidRPr="00843320" w:rsidRDefault="00843320" w:rsidP="00843320">
      <w:pPr>
        <w:rPr>
          <w:rFonts w:ascii="宋体" w:eastAsia="宋体" w:hAnsi="宋体" w:cs="宋体"/>
          <w:color w:val="000000" w:themeColor="text1"/>
          <w:szCs w:val="24"/>
        </w:rPr>
      </w:pPr>
      <w:r w:rsidRPr="005D07AC">
        <w:rPr>
          <w:rFonts w:ascii="宋体" w:eastAsia="宋体" w:hAnsi="宋体" w:cs="宋体"/>
          <w:b/>
          <w:color w:val="000000" w:themeColor="text1"/>
          <w:szCs w:val="24"/>
        </w:rPr>
        <w:t>RESULTS:</w:t>
      </w:r>
      <w:r w:rsidRPr="00843320">
        <w:rPr>
          <w:rFonts w:ascii="宋体" w:eastAsia="宋体" w:hAnsi="宋体" w:cs="宋体"/>
          <w:color w:val="000000" w:themeColor="text1"/>
          <w:szCs w:val="24"/>
        </w:rPr>
        <w:t xml:space="preserve"> Cavitation on CT was present in 31.2% of NTM-PD patients. Compared to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Non-ATB controls, NTM-PD patients showed significantly higher levels of CRP,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TNF-α, IL-6, HMGB1, Cys C, and CA19-9 (all P&lt;0.05). Among NTM-PD patients, those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with cavitation had significantly higher CRP, IL-6, IL-8, HMGB1, Cys C,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CA19-9 than those without cavitation (all P&lt;0.05). Spearman analysis showed that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cavitation positively correlated with CRP (r=0.284, P&lt;0.05), IL-6 (r=0.195),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IL-8 (r=0.189), HMGB1 (r=0.328), Cys C (r=0.272), and CA19-9 (r=0.312) (all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P&lt;0.05). ROC analysis revealed that the combination of HMGB1, CA19-9, and CRP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yielded an AUC of 0.789 (95% CI: 0.672-0.906), with 76.0% sensitivity and 78.2%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specificity. Multivariate logistic regression identified elevated HMGB1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(OR=1.142, 95% CI: 1.043-1.250, P=0.004), elevated CA19-9 (OR=1.067, 95% CI: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1.018-1.118, P=0.007), and coexisting bronchiectasis (OR=2.681, 95% CI: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1.076-6.684, P=0.034) as independent risk factors for cavitation.</w:t>
      </w:r>
    </w:p>
    <w:p w:rsidR="00843320" w:rsidRPr="00843320" w:rsidRDefault="00843320" w:rsidP="00843320">
      <w:pPr>
        <w:rPr>
          <w:rFonts w:ascii="宋体" w:eastAsia="宋体" w:hAnsi="宋体" w:cs="宋体"/>
          <w:color w:val="000000" w:themeColor="text1"/>
          <w:szCs w:val="24"/>
        </w:rPr>
      </w:pPr>
      <w:r w:rsidRPr="005D07AC">
        <w:rPr>
          <w:rFonts w:ascii="宋体" w:eastAsia="宋体" w:hAnsi="宋体" w:cs="宋体"/>
          <w:b/>
          <w:color w:val="000000" w:themeColor="text1"/>
          <w:szCs w:val="24"/>
        </w:rPr>
        <w:t xml:space="preserve">CONCLUSIONS: </w:t>
      </w:r>
      <w:r w:rsidRPr="00843320">
        <w:rPr>
          <w:rFonts w:ascii="宋体" w:eastAsia="宋体" w:hAnsi="宋体" w:cs="宋体"/>
          <w:color w:val="000000" w:themeColor="text1"/>
          <w:szCs w:val="24"/>
        </w:rPr>
        <w:t xml:space="preserve">Serum HMGB1 and CA19-9 were independently associated with lung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cavitation in NTM-PD patients and, together with CRP, may serve as non-invasive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biomarkers for disease severity.</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AJTR Copyright © 2026.</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DOI: 10.62347/WHMF5727</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lastRenderedPageBreak/>
        <w:t>PMCID: PMC13494415</w:t>
      </w:r>
    </w:p>
    <w:p w:rsidR="00843320" w:rsidRPr="00843320" w:rsidRDefault="005D07AC" w:rsidP="00843320">
      <w:pPr>
        <w:rPr>
          <w:rFonts w:ascii="宋体" w:eastAsia="宋体" w:hAnsi="宋体" w:cs="宋体"/>
          <w:color w:val="000000" w:themeColor="text1"/>
          <w:szCs w:val="24"/>
        </w:rPr>
      </w:pPr>
      <w:r>
        <w:rPr>
          <w:rFonts w:ascii="宋体" w:eastAsia="宋体" w:hAnsi="宋体" w:cs="宋体"/>
          <w:color w:val="000000" w:themeColor="text1"/>
          <w:szCs w:val="24"/>
        </w:rPr>
        <w:t>PMID: 42630467</w:t>
      </w:r>
    </w:p>
    <w:p w:rsidR="00843320" w:rsidRPr="00843320" w:rsidRDefault="00843320" w:rsidP="00843320">
      <w:pPr>
        <w:rPr>
          <w:rFonts w:ascii="宋体" w:eastAsia="宋体" w:hAnsi="宋体" w:cs="宋体"/>
          <w:color w:val="000000" w:themeColor="text1"/>
          <w:szCs w:val="24"/>
        </w:rPr>
      </w:pPr>
    </w:p>
    <w:p w:rsidR="00843320" w:rsidRPr="00DE4178" w:rsidRDefault="004E4DF0" w:rsidP="00843320">
      <w:pPr>
        <w:rPr>
          <w:rFonts w:ascii="宋体" w:eastAsia="宋体" w:hAnsi="宋体" w:cs="宋体"/>
          <w:b/>
          <w:color w:val="FF0000"/>
          <w:szCs w:val="24"/>
        </w:rPr>
      </w:pPr>
      <w:r>
        <w:rPr>
          <w:rFonts w:ascii="宋体" w:eastAsia="宋体" w:hAnsi="宋体" w:cs="宋体"/>
          <w:b/>
          <w:color w:val="FF0000"/>
          <w:szCs w:val="24"/>
        </w:rPr>
        <w:t>16</w:t>
      </w:r>
      <w:r w:rsidR="00843320" w:rsidRPr="00DE4178">
        <w:rPr>
          <w:rFonts w:ascii="宋体" w:eastAsia="宋体" w:hAnsi="宋体" w:cs="宋体"/>
          <w:b/>
          <w:color w:val="FF0000"/>
          <w:szCs w:val="24"/>
        </w:rPr>
        <w:t xml:space="preserve">. Front Med (Lausanne). 2026 Aug 7;13:1923293. doi: 10.3389/fmed.2026.1923293. </w:t>
      </w:r>
    </w:p>
    <w:p w:rsidR="00843320" w:rsidRPr="00DE4178" w:rsidRDefault="00843320" w:rsidP="00843320">
      <w:pPr>
        <w:rPr>
          <w:rFonts w:ascii="宋体" w:eastAsia="宋体" w:hAnsi="宋体" w:cs="宋体"/>
          <w:b/>
          <w:color w:val="FF0000"/>
          <w:szCs w:val="24"/>
        </w:rPr>
      </w:pPr>
      <w:r w:rsidRPr="00DE4178">
        <w:rPr>
          <w:rFonts w:ascii="宋体" w:eastAsia="宋体" w:hAnsi="宋体" w:cs="宋体"/>
          <w:b/>
          <w:color w:val="FF0000"/>
          <w:szCs w:val="24"/>
        </w:rPr>
        <w:t>eCollection 2026.</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Frailty and its multidimensional correlates among hospitalized older adults with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pulmonary tuberculosis: a cross-sectional study.</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Wang H(1), Hao M(1), Liu B(1), Mu F(1), Lu X(1).</w:t>
      </w:r>
    </w:p>
    <w:p w:rsidR="00843320" w:rsidRDefault="00843320" w:rsidP="00843320">
      <w:pPr>
        <w:rPr>
          <w:rFonts w:ascii="宋体" w:eastAsia="宋体" w:hAnsi="宋体" w:cs="宋体"/>
          <w:color w:val="000000" w:themeColor="text1"/>
          <w:szCs w:val="24"/>
        </w:rPr>
      </w:pPr>
    </w:p>
    <w:p w:rsidR="00E32FD6" w:rsidRPr="00E32FD6" w:rsidRDefault="00E32FD6" w:rsidP="00843320">
      <w:pPr>
        <w:rPr>
          <w:rFonts w:ascii="宋体" w:eastAsia="宋体" w:hAnsi="宋体" w:cs="宋体"/>
          <w:b/>
          <w:color w:val="0070C0"/>
          <w:szCs w:val="24"/>
        </w:rPr>
      </w:pPr>
      <w:r w:rsidRPr="00E32FD6">
        <w:rPr>
          <w:rFonts w:ascii="宋体" w:eastAsia="宋体" w:hAnsi="宋体" w:cs="宋体"/>
          <w:b/>
          <w:color w:val="0070C0"/>
          <w:szCs w:val="24"/>
        </w:rPr>
        <w:t>Huijuan Wang, Meng Hao, Bofei Liu</w:t>
      </w:r>
      <w:r w:rsidRPr="00E32FD6">
        <w:rPr>
          <w:rFonts w:ascii="宋体" w:eastAsia="宋体" w:hAnsi="宋体" w:cs="宋体" w:hint="eastAsia"/>
          <w:b/>
          <w:color w:val="0070C0"/>
          <w:szCs w:val="24"/>
        </w:rPr>
        <w:t>*</w:t>
      </w:r>
      <w:r w:rsidRPr="00E32FD6">
        <w:rPr>
          <w:rFonts w:ascii="宋体" w:eastAsia="宋体" w:hAnsi="宋体" w:cs="宋体"/>
          <w:b/>
          <w:color w:val="0070C0"/>
          <w:szCs w:val="24"/>
        </w:rPr>
        <w:t>, Fangyuan Mu, Xujuan Lu</w:t>
      </w:r>
    </w:p>
    <w:p w:rsidR="00E32FD6" w:rsidRPr="00E32FD6" w:rsidRDefault="00E32FD6" w:rsidP="00843320">
      <w:pPr>
        <w:rPr>
          <w:rFonts w:ascii="宋体" w:eastAsia="宋体" w:hAnsi="宋体" w:cs="宋体"/>
          <w:b/>
          <w:color w:val="0070C0"/>
          <w:szCs w:val="24"/>
        </w:rPr>
      </w:pPr>
      <w:r w:rsidRPr="00E32FD6">
        <w:rPr>
          <w:rFonts w:ascii="宋体" w:eastAsia="宋体" w:hAnsi="宋体" w:cs="宋体"/>
          <w:b/>
          <w:color w:val="0070C0"/>
          <w:szCs w:val="24"/>
        </w:rPr>
        <w:t>*CORRESPONDENCE Bofei Liu</w:t>
      </w:r>
      <w:r w:rsidRPr="00E32FD6">
        <w:rPr>
          <w:rFonts w:ascii="宋体" w:eastAsia="宋体" w:hAnsi="宋体" w:cs="宋体" w:hint="eastAsia"/>
          <w:b/>
          <w:color w:val="0070C0"/>
          <w:szCs w:val="24"/>
        </w:rPr>
        <w:t>，</w:t>
      </w:r>
      <w:r w:rsidRPr="00E32FD6">
        <w:rPr>
          <w:rFonts w:ascii="宋体" w:eastAsia="宋体" w:hAnsi="宋体" w:cs="宋体"/>
          <w:b/>
          <w:color w:val="0070C0"/>
          <w:szCs w:val="24"/>
        </w:rPr>
        <w:t>lbf071138@163.com</w:t>
      </w:r>
    </w:p>
    <w:p w:rsidR="00E32FD6" w:rsidRDefault="00E32FD6"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Author information:</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(1)Department of Nursing, The Fourth People's Hospital of Ningxia Hui Autonomous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Region, Yinchuan, China.</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DE4178">
        <w:rPr>
          <w:rFonts w:ascii="宋体" w:eastAsia="宋体" w:hAnsi="宋体" w:cs="宋体"/>
          <w:b/>
          <w:color w:val="000000" w:themeColor="text1"/>
          <w:szCs w:val="24"/>
        </w:rPr>
        <w:t>BACKGROUND AND OBJECTIVE:</w:t>
      </w:r>
      <w:r w:rsidRPr="00843320">
        <w:rPr>
          <w:rFonts w:ascii="宋体" w:eastAsia="宋体" w:hAnsi="宋体" w:cs="宋体"/>
          <w:color w:val="000000" w:themeColor="text1"/>
          <w:szCs w:val="24"/>
        </w:rPr>
        <w:t xml:space="preserve"> Frailty is a clinically important geriatric syndrome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that may increase vulnerability to adverse outcomes in older adults with chronic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infectious diseases. Older adults with PTB often experience infection-related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inflammation, nutritional depletion, functional decline, psychological distress,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multimorbidity, and treatment burden, all of which may contribute to frailty.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However, evidence regarding frailty and its associated factors in hospitalized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older adults with PTB remains limited. This study aimed to assess the current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status of frailty and identify multidimensional factors associated with frailty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among hospitalized older adults with PTB.</w:t>
      </w:r>
    </w:p>
    <w:p w:rsidR="00843320" w:rsidRPr="00843320" w:rsidRDefault="00843320" w:rsidP="00843320">
      <w:pPr>
        <w:rPr>
          <w:rFonts w:ascii="宋体" w:eastAsia="宋体" w:hAnsi="宋体" w:cs="宋体"/>
          <w:color w:val="000000" w:themeColor="text1"/>
          <w:szCs w:val="24"/>
        </w:rPr>
      </w:pPr>
      <w:r w:rsidRPr="00DE4178">
        <w:rPr>
          <w:rFonts w:ascii="宋体" w:eastAsia="宋体" w:hAnsi="宋体" w:cs="宋体"/>
          <w:b/>
          <w:color w:val="000000" w:themeColor="text1"/>
          <w:szCs w:val="24"/>
        </w:rPr>
        <w:t>METHODS:</w:t>
      </w:r>
      <w:r w:rsidRPr="00843320">
        <w:rPr>
          <w:rFonts w:ascii="宋体" w:eastAsia="宋体" w:hAnsi="宋体" w:cs="宋体"/>
          <w:color w:val="000000" w:themeColor="text1"/>
          <w:szCs w:val="24"/>
        </w:rPr>
        <w:t xml:space="preserve"> This hospital-based cross-sectional study consecutively enrolled older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adults with PTB from two tuberculosis wards of a tertiary specialist hospital in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Ningxia, China, between January and June 2026. Eligible participants were aged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hint="eastAsia"/>
          <w:color w:val="000000" w:themeColor="text1"/>
          <w:szCs w:val="24"/>
        </w:rPr>
        <w:t>≥</w:t>
      </w:r>
      <w:r w:rsidRPr="00843320">
        <w:rPr>
          <w:rFonts w:ascii="宋体" w:eastAsia="宋体" w:hAnsi="宋体" w:cs="宋体"/>
          <w:color w:val="000000" w:themeColor="text1"/>
          <w:szCs w:val="24"/>
        </w:rPr>
        <w:t>60</w:t>
      </w:r>
      <w:r w:rsidRPr="00843320">
        <w:rPr>
          <w:rFonts w:ascii="Times New Roman" w:eastAsia="宋体" w:hAnsi="Times New Roman" w:cs="Times New Roman"/>
          <w:color w:val="000000" w:themeColor="text1"/>
          <w:szCs w:val="24"/>
        </w:rPr>
        <w:t> </w:t>
      </w:r>
      <w:r w:rsidRPr="00843320">
        <w:rPr>
          <w:rFonts w:ascii="宋体" w:eastAsia="宋体" w:hAnsi="宋体" w:cs="宋体"/>
          <w:color w:val="000000" w:themeColor="text1"/>
          <w:szCs w:val="24"/>
        </w:rPr>
        <w:t xml:space="preserve">years and had bacteriologically confirmed or clinically diagnosed PTB.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Frailty was assessed using the FRAIL scale. Fall risk, anxiety and depressive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symptoms, social support, and activities of daily living were evaluated using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the MFS, HADS, SSRS, and Barthel Index, respectively. Demographic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characteristics, disease-related variables, medication use, and laboratory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indicators were also collected. Non-normally distributed continuous variables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were described as medians and interquartile ranges. Group differences were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analyzed using the Mann-Whitney U test or Kruskal-Wallis H test. Spearman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correlation analysis and multiple linear regression were used to explore factors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associated with FRAIL score.</w:t>
      </w:r>
    </w:p>
    <w:p w:rsidR="00843320" w:rsidRPr="00843320" w:rsidRDefault="00843320" w:rsidP="00843320">
      <w:pPr>
        <w:rPr>
          <w:rFonts w:ascii="宋体" w:eastAsia="宋体" w:hAnsi="宋体" w:cs="宋体"/>
          <w:color w:val="000000" w:themeColor="text1"/>
          <w:szCs w:val="24"/>
        </w:rPr>
      </w:pPr>
      <w:r w:rsidRPr="00DE4178">
        <w:rPr>
          <w:rFonts w:ascii="宋体" w:eastAsia="宋体" w:hAnsi="宋体" w:cs="宋体"/>
          <w:b/>
          <w:color w:val="000000" w:themeColor="text1"/>
          <w:szCs w:val="24"/>
        </w:rPr>
        <w:t xml:space="preserve">RESULTS: </w:t>
      </w:r>
      <w:r w:rsidRPr="00843320">
        <w:rPr>
          <w:rFonts w:ascii="宋体" w:eastAsia="宋体" w:hAnsi="宋体" w:cs="宋体"/>
          <w:color w:val="000000" w:themeColor="text1"/>
          <w:szCs w:val="24"/>
        </w:rPr>
        <w:t xml:space="preserve">A total of 225 questionnaires were distributed, and 219 valid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questionnaires were included, yielding an effective response rate of 97.3%. The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median FRAIL score was 2.00 (1.00-3.00), suggesting that many participants were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in a vulnerable or pre-frail state. The median MFS, HADS-A, HADS-D, SSRS,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lastRenderedPageBreak/>
        <w:t xml:space="preserve">WBC values were 40.08 (25.00-50.00), 9.00 (7.00-11.00), 11.00 (9.00-12.00),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38.00 (34.00-42.00), and 5.30 (4.35-6.44)</w:t>
      </w:r>
      <w:r w:rsidRPr="00843320">
        <w:rPr>
          <w:rFonts w:ascii="Times New Roman" w:eastAsia="宋体" w:hAnsi="Times New Roman" w:cs="Times New Roman"/>
          <w:color w:val="000000" w:themeColor="text1"/>
          <w:szCs w:val="24"/>
        </w:rPr>
        <w:t> </w:t>
      </w:r>
      <w:r w:rsidRPr="00843320">
        <w:rPr>
          <w:rFonts w:ascii="宋体" w:eastAsia="宋体" w:hAnsi="宋体" w:cs="宋体" w:hint="eastAsia"/>
          <w:color w:val="000000" w:themeColor="text1"/>
          <w:szCs w:val="24"/>
        </w:rPr>
        <w:t>×</w:t>
      </w:r>
      <w:r w:rsidRPr="00843320">
        <w:rPr>
          <w:rFonts w:ascii="Times New Roman" w:eastAsia="宋体" w:hAnsi="Times New Roman" w:cs="Times New Roman"/>
          <w:color w:val="000000" w:themeColor="text1"/>
          <w:szCs w:val="24"/>
        </w:rPr>
        <w:t> </w:t>
      </w:r>
      <w:r w:rsidRPr="00843320">
        <w:rPr>
          <w:rFonts w:ascii="宋体" w:eastAsia="宋体" w:hAnsi="宋体" w:cs="宋体"/>
          <w:color w:val="000000" w:themeColor="text1"/>
          <w:szCs w:val="24"/>
        </w:rPr>
        <w:t xml:space="preserve">109/L, respectively. Univariate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analysis showed that FRAIL score differed significantly according to monthly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household income per capita, sputum smear or culture result, and number of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medication types. Spearman correlation analysis showed that FRAIL score was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negatively correlated with MFS and HADS-A scores, but positively correlated with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SSRS score and WBC count. In multivariable linear regression, WBC count, SSRS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score, and MFS score remained independently associated with FRAIL score. The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final model was statistically significant, with an adjusted R 2 of 0.070.</w:t>
      </w:r>
    </w:p>
    <w:p w:rsidR="00843320" w:rsidRPr="00843320" w:rsidRDefault="00843320" w:rsidP="00843320">
      <w:pPr>
        <w:rPr>
          <w:rFonts w:ascii="宋体" w:eastAsia="宋体" w:hAnsi="宋体" w:cs="宋体"/>
          <w:color w:val="000000" w:themeColor="text1"/>
          <w:szCs w:val="24"/>
        </w:rPr>
      </w:pPr>
      <w:r w:rsidRPr="00DE4178">
        <w:rPr>
          <w:rFonts w:ascii="宋体" w:eastAsia="宋体" w:hAnsi="宋体" w:cs="宋体"/>
          <w:b/>
          <w:color w:val="000000" w:themeColor="text1"/>
          <w:szCs w:val="24"/>
        </w:rPr>
        <w:t xml:space="preserve">CONCLUSION: </w:t>
      </w:r>
      <w:r w:rsidRPr="00843320">
        <w:rPr>
          <w:rFonts w:ascii="宋体" w:eastAsia="宋体" w:hAnsi="宋体" w:cs="宋体"/>
          <w:color w:val="000000" w:themeColor="text1"/>
          <w:szCs w:val="24"/>
        </w:rPr>
        <w:t xml:space="preserve">Frailty is an important clinical issue among hospitalized older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adults with PTB and is associated with inflammatory status, social support,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fall-risk-related functional vulnerability. These findings suggest that frailty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assessment should be integrated into routine care for older adults with PTB.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Multidimensional screening that incorporates infection-related indicators,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functional status, psychosocial context, and nursing care needs may help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identify vulnerable patients and support individualized geriatric management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during anti-TB treatment.</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Copyright © 2026 Wang, Hao, Liu, Mu and Lu.</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DOI: 10.3389/fmed.2026.1923293</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PMCID: PMC13493224</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PMID: 42630143</w:t>
      </w:r>
    </w:p>
    <w:p w:rsidR="00843320" w:rsidRPr="00843320" w:rsidRDefault="00843320" w:rsidP="00843320">
      <w:pPr>
        <w:rPr>
          <w:rFonts w:ascii="宋体" w:eastAsia="宋体" w:hAnsi="宋体" w:cs="宋体"/>
          <w:color w:val="000000" w:themeColor="text1"/>
          <w:szCs w:val="24"/>
        </w:rPr>
      </w:pPr>
    </w:p>
    <w:p w:rsidR="00843320" w:rsidRPr="00DE4178" w:rsidRDefault="004E4DF0" w:rsidP="00843320">
      <w:pPr>
        <w:rPr>
          <w:rFonts w:ascii="宋体" w:eastAsia="宋体" w:hAnsi="宋体" w:cs="宋体"/>
          <w:b/>
          <w:color w:val="FF0000"/>
          <w:szCs w:val="24"/>
        </w:rPr>
      </w:pPr>
      <w:r>
        <w:rPr>
          <w:rFonts w:ascii="宋体" w:eastAsia="宋体" w:hAnsi="宋体" w:cs="宋体"/>
          <w:b/>
          <w:color w:val="FF0000"/>
          <w:szCs w:val="24"/>
        </w:rPr>
        <w:t>17</w:t>
      </w:r>
      <w:r w:rsidR="00843320" w:rsidRPr="00DE4178">
        <w:rPr>
          <w:rFonts w:ascii="宋体" w:eastAsia="宋体" w:hAnsi="宋体" w:cs="宋体"/>
          <w:b/>
          <w:color w:val="FF0000"/>
          <w:szCs w:val="24"/>
        </w:rPr>
        <w:t>. Trop Med Health. 2026 Aug 4;54(1):175. doi: 10.1186/s41182-026-01021-6.</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Late vertebral and pulmonary alveolar echinococcosis after hepatic surgery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mimicking spinal and disseminated tuberculosis: a case report.</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Li C(1), Luo F(1), Wang X(2).</w:t>
      </w:r>
    </w:p>
    <w:p w:rsidR="00843320" w:rsidRDefault="00843320" w:rsidP="00843320">
      <w:pPr>
        <w:rPr>
          <w:rFonts w:ascii="宋体" w:eastAsia="宋体" w:hAnsi="宋体" w:cs="宋体"/>
          <w:color w:val="000000" w:themeColor="text1"/>
          <w:szCs w:val="24"/>
        </w:rPr>
      </w:pPr>
    </w:p>
    <w:p w:rsidR="00D32AF5" w:rsidRPr="00D32AF5" w:rsidRDefault="00D32AF5" w:rsidP="00843320">
      <w:pPr>
        <w:rPr>
          <w:rFonts w:ascii="宋体" w:eastAsia="宋体" w:hAnsi="宋体" w:cs="宋体"/>
          <w:b/>
          <w:color w:val="0070C0"/>
          <w:szCs w:val="24"/>
        </w:rPr>
      </w:pPr>
      <w:r w:rsidRPr="00D32AF5">
        <w:rPr>
          <w:rFonts w:ascii="宋体" w:eastAsia="宋体" w:hAnsi="宋体" w:cs="宋体"/>
          <w:b/>
          <w:color w:val="0070C0"/>
          <w:szCs w:val="24"/>
        </w:rPr>
        <w:t>Chenxi Li, Fan Luo, Xinwei Wang</w:t>
      </w:r>
      <w:r w:rsidR="001C413E">
        <w:rPr>
          <w:rFonts w:ascii="宋体" w:eastAsia="宋体" w:hAnsi="宋体" w:cs="宋体" w:hint="eastAsia"/>
          <w:b/>
          <w:color w:val="0070C0"/>
          <w:szCs w:val="24"/>
        </w:rPr>
        <w:t>*</w:t>
      </w:r>
    </w:p>
    <w:p w:rsidR="00D32AF5" w:rsidRPr="001C413E" w:rsidRDefault="001C413E" w:rsidP="00843320">
      <w:pPr>
        <w:rPr>
          <w:rFonts w:ascii="宋体" w:eastAsia="宋体" w:hAnsi="宋体" w:cs="宋体"/>
          <w:b/>
          <w:color w:val="0070C0"/>
          <w:szCs w:val="24"/>
        </w:rPr>
      </w:pPr>
      <w:r w:rsidRPr="001C413E">
        <w:rPr>
          <w:rFonts w:ascii="宋体" w:eastAsia="宋体" w:hAnsi="宋体" w:cs="宋体"/>
          <w:b/>
          <w:color w:val="0070C0"/>
          <w:szCs w:val="24"/>
        </w:rPr>
        <w:t>*Correspondence: Xinwei Wang</w:t>
      </w:r>
      <w:r w:rsidRPr="001C413E">
        <w:rPr>
          <w:rFonts w:ascii="宋体" w:eastAsia="宋体" w:hAnsi="宋体" w:cs="宋体" w:hint="eastAsia"/>
          <w:b/>
          <w:color w:val="0070C0"/>
          <w:szCs w:val="24"/>
        </w:rPr>
        <w:t>，</w:t>
      </w:r>
      <w:r w:rsidRPr="001C413E">
        <w:rPr>
          <w:rFonts w:ascii="宋体" w:eastAsia="宋体" w:hAnsi="宋体" w:cs="宋体"/>
          <w:b/>
          <w:color w:val="0070C0"/>
          <w:szCs w:val="24"/>
        </w:rPr>
        <w:t>wangxinweicdgw@163.com</w:t>
      </w:r>
    </w:p>
    <w:p w:rsidR="00D32AF5" w:rsidRDefault="00D32AF5"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Author information:</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(1)Department of Radiology, Public Health Clinical Center of Chengdu, No. 377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Jingming Road, Jinjiang District, Chengdu, 610066, Sichuan,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(2)Department of Radiology, Public Health Clinical Center of Chengdu, No. 377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Jingming Road, Jinjiang District, Chengdu, 610066, Sichuan, China.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wangxinweicdgw@163.com.</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DE4178">
        <w:rPr>
          <w:rFonts w:ascii="宋体" w:eastAsia="宋体" w:hAnsi="宋体" w:cs="宋体"/>
          <w:b/>
          <w:color w:val="000000" w:themeColor="text1"/>
          <w:szCs w:val="24"/>
        </w:rPr>
        <w:t xml:space="preserve">BACKGROUND: </w:t>
      </w:r>
      <w:r w:rsidRPr="00843320">
        <w:rPr>
          <w:rFonts w:ascii="宋体" w:eastAsia="宋体" w:hAnsi="宋体" w:cs="宋体"/>
          <w:color w:val="000000" w:themeColor="text1"/>
          <w:szCs w:val="24"/>
        </w:rPr>
        <w:t xml:space="preserve">Alveolar echinococcosis (AE) is a rare but potentially fatal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zoonotic disease that primarily affects the liver, while extrahepatic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involvement usually indicates advanced disease and poor prognosis. Vertebral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lastRenderedPageBreak/>
        <w:t xml:space="preserve">pulmonary AE may closely mimic tuberculosis (TB), particularly in TB-endemic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regions, leading to substantial diagnostic challenges. We report a case of late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vertebral and pulmonary AE after previous hepatic hydatid surgery that was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initially misdiagnosed as spinal and disseminated pulmonary TB.</w:t>
      </w:r>
    </w:p>
    <w:p w:rsidR="00843320" w:rsidRPr="00843320" w:rsidRDefault="00843320" w:rsidP="00843320">
      <w:pPr>
        <w:rPr>
          <w:rFonts w:ascii="宋体" w:eastAsia="宋体" w:hAnsi="宋体" w:cs="宋体"/>
          <w:color w:val="000000" w:themeColor="text1"/>
          <w:szCs w:val="24"/>
        </w:rPr>
      </w:pPr>
      <w:r w:rsidRPr="00DE4178">
        <w:rPr>
          <w:rFonts w:ascii="宋体" w:eastAsia="宋体" w:hAnsi="宋体" w:cs="宋体"/>
          <w:b/>
          <w:color w:val="000000" w:themeColor="text1"/>
          <w:szCs w:val="24"/>
        </w:rPr>
        <w:t>CASE PRESENTATION:</w:t>
      </w:r>
      <w:r w:rsidRPr="00843320">
        <w:rPr>
          <w:rFonts w:ascii="宋体" w:eastAsia="宋体" w:hAnsi="宋体" w:cs="宋体"/>
          <w:color w:val="000000" w:themeColor="text1"/>
          <w:szCs w:val="24"/>
        </w:rPr>
        <w:t xml:space="preserve"> A 28-year-old Tibetan woman from a nomadic family presented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with a 7-month history of progressive back pain and a 2-month history of cough.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She had undergone hepatic hydatid cyst resection 8 years earlier with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antiparasitic therapy and had completed treatment for pulmonary TB 3 years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previously. She also reported household exposure to active TB. Spinal CT and MRI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revealed osteolytic destruction of the T12-L2 vertebrae with paravertebral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psoas abscesses, and chest CT showed diffusely distributed bilateral pulmonary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nodules. Based on her epidemiological background, prior TB history, symptoms,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and imaging findings, spinal TB with disseminated pulmonary TB was initially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suspected. Surgical decompression and abscess drainage were performed,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histopathology demonstrated granulomatous inflammation with caseous necrosis,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although acid-fast staining was negative. Despite standard anti-TB therapy,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vertebral destruction, paravertebral involvement, psoas abscesses, and pulmonary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nodules progressed over 12 months. During a second operation, metagenomic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next-generation sequencing of pus identified Echinococcus multilocularis,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establishing the diagnosis of vertebral and pulmonary AE. Anti-TB therapy was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discontinued, and albendazole treatment was initiated. A structured follow-up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protocol was established, including clinical assessment every 3-6 months,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contrast-enhanced MRI of the spine and CT of the chest and abdomen, and routine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laboratory monitoring. Follow-up imaging after 3 months showed marked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improvement, and the patient's symptoms substantially resolved by 6 months.</w:t>
      </w:r>
    </w:p>
    <w:p w:rsidR="00843320" w:rsidRPr="00843320" w:rsidRDefault="00843320" w:rsidP="00843320">
      <w:pPr>
        <w:rPr>
          <w:rFonts w:ascii="宋体" w:eastAsia="宋体" w:hAnsi="宋体" w:cs="宋体"/>
          <w:color w:val="000000" w:themeColor="text1"/>
          <w:szCs w:val="24"/>
        </w:rPr>
      </w:pPr>
      <w:r w:rsidRPr="00DE4178">
        <w:rPr>
          <w:rFonts w:ascii="宋体" w:eastAsia="宋体" w:hAnsi="宋体" w:cs="宋体"/>
          <w:b/>
          <w:color w:val="000000" w:themeColor="text1"/>
          <w:szCs w:val="24"/>
        </w:rPr>
        <w:t xml:space="preserve">CONCLUSIONS: </w:t>
      </w:r>
      <w:r w:rsidRPr="00843320">
        <w:rPr>
          <w:rFonts w:ascii="宋体" w:eastAsia="宋体" w:hAnsi="宋体" w:cs="宋体"/>
          <w:color w:val="000000" w:themeColor="text1"/>
          <w:szCs w:val="24"/>
        </w:rPr>
        <w:t xml:space="preserve">This case highlights the striking clinical and radiological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resemblance between extrahepatic AE and TB, the risk of diagnostic anchoring in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endemic settings, and the diagnostic value of mNGS when conventional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investigations are inconclusive. The 8-year latency after hepatic surgery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underscores the chronic, invasive nature of AE and the need for lifelong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surveillance and multidisciplinary management.</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hint="eastAsia"/>
          <w:color w:val="000000" w:themeColor="text1"/>
          <w:szCs w:val="24"/>
        </w:rPr>
        <w:t>©</w:t>
      </w:r>
      <w:r w:rsidRPr="00843320">
        <w:rPr>
          <w:rFonts w:ascii="宋体" w:eastAsia="宋体" w:hAnsi="宋体" w:cs="宋体"/>
          <w:color w:val="000000" w:themeColor="text1"/>
          <w:szCs w:val="24"/>
        </w:rPr>
        <w:t xml:space="preserve"> 2026. The Author(s).</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DOI: 10.1186/s41182-026-01021-6</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PMCID: PMC13495254</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PMID: 42629577</w:t>
      </w:r>
    </w:p>
    <w:p w:rsidR="00843320" w:rsidRPr="00843320" w:rsidRDefault="00843320" w:rsidP="00843320">
      <w:pPr>
        <w:rPr>
          <w:rFonts w:ascii="宋体" w:eastAsia="宋体" w:hAnsi="宋体" w:cs="宋体"/>
          <w:color w:val="000000" w:themeColor="text1"/>
          <w:szCs w:val="24"/>
        </w:rPr>
      </w:pPr>
    </w:p>
    <w:p w:rsidR="00843320" w:rsidRPr="00DE4178" w:rsidRDefault="004E4DF0" w:rsidP="00843320">
      <w:pPr>
        <w:rPr>
          <w:rFonts w:ascii="宋体" w:eastAsia="宋体" w:hAnsi="宋体" w:cs="宋体"/>
          <w:b/>
          <w:color w:val="FF0000"/>
          <w:szCs w:val="24"/>
        </w:rPr>
      </w:pPr>
      <w:r>
        <w:rPr>
          <w:rFonts w:ascii="宋体" w:eastAsia="宋体" w:hAnsi="宋体" w:cs="宋体"/>
          <w:b/>
          <w:color w:val="FF0000"/>
          <w:szCs w:val="24"/>
        </w:rPr>
        <w:t>18</w:t>
      </w:r>
      <w:r w:rsidR="00843320" w:rsidRPr="00DE4178">
        <w:rPr>
          <w:rFonts w:ascii="宋体" w:eastAsia="宋体" w:hAnsi="宋体" w:cs="宋体"/>
          <w:b/>
          <w:color w:val="FF0000"/>
          <w:szCs w:val="24"/>
        </w:rPr>
        <w:t>. East Mediterr Health J. 2026 Aug 2;32(7):416-423. doi: 10.26719/2026.32.7.416.</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Assessment of depression, anxiety and predictors of mental health burden among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pulmonary tuberculosis patients in Ethiopia.</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Haile GB(1), Gu J(1), Wang P(1), Suo S(1), Wang P(1)(2).</w:t>
      </w:r>
    </w:p>
    <w:p w:rsidR="00843320" w:rsidRDefault="00843320" w:rsidP="00843320">
      <w:pPr>
        <w:rPr>
          <w:rFonts w:ascii="宋体" w:eastAsia="宋体" w:hAnsi="宋体" w:cs="宋体"/>
          <w:color w:val="000000" w:themeColor="text1"/>
          <w:szCs w:val="24"/>
        </w:rPr>
      </w:pPr>
    </w:p>
    <w:p w:rsidR="00E160C0" w:rsidRPr="00E160C0" w:rsidRDefault="00E160C0" w:rsidP="00843320">
      <w:pPr>
        <w:rPr>
          <w:rFonts w:ascii="宋体" w:eastAsia="宋体" w:hAnsi="宋体" w:cs="宋体"/>
          <w:b/>
          <w:color w:val="0070C0"/>
          <w:szCs w:val="24"/>
        </w:rPr>
      </w:pPr>
      <w:r w:rsidRPr="00E160C0">
        <w:rPr>
          <w:rFonts w:ascii="宋体" w:eastAsia="宋体" w:hAnsi="宋体" w:cs="宋体"/>
          <w:b/>
          <w:color w:val="0070C0"/>
          <w:szCs w:val="24"/>
        </w:rPr>
        <w:t>Gebrhud Berihu Haile, Jinjin Gu, Panpan Wang, Shujing Suo, Peng Wang</w:t>
      </w:r>
      <w:r w:rsidRPr="00E160C0">
        <w:rPr>
          <w:rFonts w:ascii="宋体" w:eastAsia="宋体" w:hAnsi="宋体" w:cs="宋体" w:hint="eastAsia"/>
          <w:b/>
          <w:color w:val="0070C0"/>
          <w:szCs w:val="24"/>
        </w:rPr>
        <w:t>*</w:t>
      </w:r>
    </w:p>
    <w:p w:rsidR="00E160C0" w:rsidRPr="00E160C0" w:rsidRDefault="00E160C0" w:rsidP="00843320">
      <w:pPr>
        <w:rPr>
          <w:rFonts w:ascii="宋体" w:eastAsia="宋体" w:hAnsi="宋体" w:cs="宋体"/>
          <w:b/>
          <w:color w:val="0070C0"/>
          <w:szCs w:val="24"/>
        </w:rPr>
      </w:pPr>
      <w:r w:rsidRPr="00E160C0">
        <w:rPr>
          <w:rFonts w:ascii="宋体" w:eastAsia="宋体" w:hAnsi="宋体" w:cs="宋体" w:hint="eastAsia"/>
          <w:b/>
          <w:color w:val="0070C0"/>
          <w:szCs w:val="24"/>
        </w:rPr>
        <w:t>*</w:t>
      </w:r>
      <w:r w:rsidRPr="00E160C0">
        <w:rPr>
          <w:rFonts w:ascii="宋体" w:eastAsia="宋体" w:hAnsi="宋体" w:cs="宋体"/>
          <w:b/>
          <w:color w:val="0070C0"/>
          <w:szCs w:val="24"/>
        </w:rPr>
        <w:t>Correspondence to Peng Wang: upliz@zzu.edu.cn</w:t>
      </w:r>
    </w:p>
    <w:p w:rsidR="00E160C0" w:rsidRPr="00843320" w:rsidRDefault="00E160C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Author information:</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(1)Department of Community Nursing, School of Nursing and Health, Zhengzhou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University, Zhengzhou City,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(2)School of Nursing, Henan Medical University, Xinxiang City, China.</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DE4178">
        <w:rPr>
          <w:rFonts w:ascii="宋体" w:eastAsia="宋体" w:hAnsi="宋体" w:cs="宋体"/>
          <w:b/>
          <w:color w:val="000000" w:themeColor="text1"/>
          <w:szCs w:val="24"/>
        </w:rPr>
        <w:t>BACKGROUND:</w:t>
      </w:r>
      <w:r w:rsidRPr="00843320">
        <w:rPr>
          <w:rFonts w:ascii="宋体" w:eastAsia="宋体" w:hAnsi="宋体" w:cs="宋体"/>
          <w:color w:val="000000" w:themeColor="text1"/>
          <w:szCs w:val="24"/>
        </w:rPr>
        <w:t xml:space="preserve"> Depression and anxiety are prevalent comorbidities and a major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concern for patients with tuberculosis. They are associated with low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quality-of-life, poor treatment adherence and increased risk of mortality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morbidity.</w:t>
      </w:r>
    </w:p>
    <w:p w:rsidR="00843320" w:rsidRPr="00843320" w:rsidRDefault="00843320" w:rsidP="00843320">
      <w:pPr>
        <w:rPr>
          <w:rFonts w:ascii="宋体" w:eastAsia="宋体" w:hAnsi="宋体" w:cs="宋体"/>
          <w:color w:val="000000" w:themeColor="text1"/>
          <w:szCs w:val="24"/>
        </w:rPr>
      </w:pPr>
      <w:r w:rsidRPr="00DE4178">
        <w:rPr>
          <w:rFonts w:ascii="宋体" w:eastAsia="宋体" w:hAnsi="宋体" w:cs="宋体"/>
          <w:b/>
          <w:color w:val="000000" w:themeColor="text1"/>
          <w:szCs w:val="24"/>
        </w:rPr>
        <w:t xml:space="preserve">AIM: </w:t>
      </w:r>
      <w:r w:rsidRPr="00843320">
        <w:rPr>
          <w:rFonts w:ascii="宋体" w:eastAsia="宋体" w:hAnsi="宋体" w:cs="宋体"/>
          <w:color w:val="000000" w:themeColor="text1"/>
          <w:szCs w:val="24"/>
        </w:rPr>
        <w:t xml:space="preserve">To assess the prevalence of depression and anxiety and their predictors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among pulmonary tuberculosis patients in Tigray, Northern Ethiopia.</w:t>
      </w:r>
    </w:p>
    <w:p w:rsidR="00843320" w:rsidRPr="00843320" w:rsidRDefault="00843320" w:rsidP="00843320">
      <w:pPr>
        <w:rPr>
          <w:rFonts w:ascii="宋体" w:eastAsia="宋体" w:hAnsi="宋体" w:cs="宋体"/>
          <w:color w:val="000000" w:themeColor="text1"/>
          <w:szCs w:val="24"/>
        </w:rPr>
      </w:pPr>
      <w:r w:rsidRPr="00DE4178">
        <w:rPr>
          <w:rFonts w:ascii="宋体" w:eastAsia="宋体" w:hAnsi="宋体" w:cs="宋体" w:hint="eastAsia"/>
          <w:b/>
          <w:color w:val="000000" w:themeColor="text1"/>
          <w:szCs w:val="24"/>
        </w:rPr>
        <w:t>METHODS:</w:t>
      </w:r>
      <w:r w:rsidRPr="00843320">
        <w:rPr>
          <w:rFonts w:ascii="宋体" w:eastAsia="宋体" w:hAnsi="宋体" w:cs="宋体" w:hint="eastAsia"/>
          <w:color w:val="000000" w:themeColor="text1"/>
          <w:szCs w:val="24"/>
        </w:rPr>
        <w:t xml:space="preserve"> Between January and April 2025, we interviewed 360 patients aged ≥ 18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years, who were confirmed to have pulmonary tuberculosis and had been receiving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treatment and follow-up for at least 2 weeks in 10 outpatient tuberculosis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clinics in Tigray, Ethiopia. We used the Patient Health Questionnaire 9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Generalized Anxiety Disorder 7 for data collection, and used SPSS version 29 to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analyse the data. Binary logistic regression model was used to identify the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predictors of depression and anxiety.</w:t>
      </w:r>
    </w:p>
    <w:p w:rsidR="00843320" w:rsidRPr="00843320" w:rsidRDefault="00843320" w:rsidP="00843320">
      <w:pPr>
        <w:rPr>
          <w:rFonts w:ascii="宋体" w:eastAsia="宋体" w:hAnsi="宋体" w:cs="宋体"/>
          <w:color w:val="000000" w:themeColor="text1"/>
          <w:szCs w:val="24"/>
        </w:rPr>
      </w:pPr>
      <w:r w:rsidRPr="00DE4178">
        <w:rPr>
          <w:rFonts w:ascii="宋体" w:eastAsia="宋体" w:hAnsi="宋体" w:cs="宋体"/>
          <w:b/>
          <w:color w:val="000000" w:themeColor="text1"/>
          <w:szCs w:val="24"/>
        </w:rPr>
        <w:t>RESULTS:</w:t>
      </w:r>
      <w:r w:rsidRPr="00843320">
        <w:rPr>
          <w:rFonts w:ascii="宋体" w:eastAsia="宋体" w:hAnsi="宋体" w:cs="宋体"/>
          <w:color w:val="000000" w:themeColor="text1"/>
          <w:szCs w:val="24"/>
        </w:rPr>
        <w:t xml:space="preserve"> P revalence of depression among the patients was 56.7% while prevalence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of anxiety was 54.2%. Multivariable regression analysis revealed that smoking,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alcohol consumption, adverse drug effects, and perceived stigma were significant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risk factors for depression, while treatment support was a protective factor.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Smoking, adverse drug effects, HIV/AIDS coinfection, and perceived stigma were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significant risk factors for anxiety.</w:t>
      </w:r>
    </w:p>
    <w:p w:rsidR="00843320" w:rsidRPr="00843320" w:rsidRDefault="00843320" w:rsidP="00843320">
      <w:pPr>
        <w:rPr>
          <w:rFonts w:ascii="宋体" w:eastAsia="宋体" w:hAnsi="宋体" w:cs="宋体"/>
          <w:color w:val="000000" w:themeColor="text1"/>
          <w:szCs w:val="24"/>
        </w:rPr>
      </w:pPr>
      <w:r w:rsidRPr="00DE4178">
        <w:rPr>
          <w:rFonts w:ascii="宋体" w:eastAsia="宋体" w:hAnsi="宋体" w:cs="宋体"/>
          <w:b/>
          <w:color w:val="000000" w:themeColor="text1"/>
          <w:szCs w:val="24"/>
        </w:rPr>
        <w:t>CONCLUSION:</w:t>
      </w:r>
      <w:r w:rsidRPr="00843320">
        <w:rPr>
          <w:rFonts w:ascii="宋体" w:eastAsia="宋体" w:hAnsi="宋体" w:cs="宋体"/>
          <w:color w:val="000000" w:themeColor="text1"/>
          <w:szCs w:val="24"/>
        </w:rPr>
        <w:t xml:space="preserve"> The prevalence of depression and anxiety among patients with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pulmonary tuberculosis in this study was significantly higher than in other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studies. Therefore, there is a need to encourage tuberculosis patients with the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identified risk factors to undergo screening for depression and anxiety and to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incorporate psychological interventions into their treatment plan.</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Copyright © Authors 2026; Licensee: World Health Organization. EMHJ is an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open-access journal. This paper is available under the Creative Commons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Attribution Non-Commercial ShareAlike 3.0 IGO licence (CC BY-NC-SA 3.0 IGO;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https://creativecommons.org/licenses/by-nc-sa/3.0/igo).</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DOI: 10.26719/2026.32.7.416</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PMID: 42626801 [Indexed for MEDLINE]</w:t>
      </w:r>
    </w:p>
    <w:p w:rsidR="00843320" w:rsidRPr="00843320" w:rsidRDefault="00843320" w:rsidP="00843320">
      <w:pPr>
        <w:rPr>
          <w:rFonts w:ascii="宋体" w:eastAsia="宋体" w:hAnsi="宋体" w:cs="宋体"/>
          <w:color w:val="000000" w:themeColor="text1"/>
          <w:szCs w:val="24"/>
        </w:rPr>
      </w:pPr>
    </w:p>
    <w:p w:rsidR="00843320" w:rsidRPr="00591DA7" w:rsidRDefault="004E4DF0" w:rsidP="00843320">
      <w:pPr>
        <w:rPr>
          <w:rFonts w:ascii="宋体" w:eastAsia="宋体" w:hAnsi="宋体" w:cs="宋体"/>
          <w:b/>
          <w:color w:val="FF0000"/>
          <w:szCs w:val="24"/>
        </w:rPr>
      </w:pPr>
      <w:r>
        <w:rPr>
          <w:rFonts w:ascii="宋体" w:eastAsia="宋体" w:hAnsi="宋体" w:cs="宋体"/>
          <w:b/>
          <w:color w:val="FF0000"/>
          <w:szCs w:val="24"/>
        </w:rPr>
        <w:t>19</w:t>
      </w:r>
      <w:r w:rsidR="00843320" w:rsidRPr="00591DA7">
        <w:rPr>
          <w:rFonts w:ascii="宋体" w:eastAsia="宋体" w:hAnsi="宋体" w:cs="宋体"/>
          <w:b/>
          <w:color w:val="FF0000"/>
          <w:szCs w:val="24"/>
        </w:rPr>
        <w:t xml:space="preserve">. Front Med (Lausanne). 2026 Aug 6;13:1877970. doi: 10.3389/fmed.2026.1877970. </w:t>
      </w:r>
    </w:p>
    <w:p w:rsidR="00843320" w:rsidRPr="00591DA7" w:rsidRDefault="00843320" w:rsidP="00843320">
      <w:pPr>
        <w:rPr>
          <w:rFonts w:ascii="宋体" w:eastAsia="宋体" w:hAnsi="宋体" w:cs="宋体"/>
          <w:b/>
          <w:color w:val="FF0000"/>
          <w:szCs w:val="24"/>
        </w:rPr>
      </w:pPr>
      <w:r w:rsidRPr="00591DA7">
        <w:rPr>
          <w:rFonts w:ascii="宋体" w:eastAsia="宋体" w:hAnsi="宋体" w:cs="宋体"/>
          <w:b/>
          <w:color w:val="FF0000"/>
          <w:szCs w:val="24"/>
        </w:rPr>
        <w:t>eCollection 2026.</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Non-bronchial systemic arteries in massive hemoptysis secondary to pulmonary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tuberculosis: risk factors and outcomes of embolization materials. A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retrospective observational study.</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Wu J(#)(1)(2), Liu D(#)(1)(3), Khan MT(1)(3)(4), Zhong P(1)(2), Wang Y(1)(2), Le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Y(1)(2), Yang H(1)(2), Zhang H(1)(2).</w:t>
      </w:r>
    </w:p>
    <w:p w:rsidR="00843320" w:rsidRDefault="00843320" w:rsidP="00843320">
      <w:pPr>
        <w:rPr>
          <w:rFonts w:ascii="宋体" w:eastAsia="宋体" w:hAnsi="宋体" w:cs="宋体"/>
          <w:color w:val="000000" w:themeColor="text1"/>
          <w:szCs w:val="24"/>
        </w:rPr>
      </w:pPr>
    </w:p>
    <w:p w:rsidR="006E54C0" w:rsidRPr="006E54C0" w:rsidRDefault="006E54C0" w:rsidP="00843320">
      <w:pPr>
        <w:rPr>
          <w:rFonts w:ascii="宋体" w:eastAsia="宋体" w:hAnsi="宋体" w:cs="宋体"/>
          <w:b/>
          <w:color w:val="0070C0"/>
          <w:szCs w:val="24"/>
        </w:rPr>
      </w:pPr>
      <w:r w:rsidRPr="006E54C0">
        <w:rPr>
          <w:rFonts w:ascii="宋体" w:eastAsia="宋体" w:hAnsi="宋体" w:cs="宋体"/>
          <w:b/>
          <w:color w:val="0070C0"/>
          <w:szCs w:val="24"/>
        </w:rPr>
        <w:t>Jingqiang Wu, Deqing Liu, Muhammad Tahir Khan, Peng Zhong, Yili Wang, Yongyong Le, Hongzhi Yang, Hui Zhang</w:t>
      </w:r>
      <w:r w:rsidRPr="006E54C0">
        <w:rPr>
          <w:rFonts w:ascii="宋体" w:eastAsia="宋体" w:hAnsi="宋体" w:cs="宋体" w:hint="eastAsia"/>
          <w:b/>
          <w:color w:val="0070C0"/>
          <w:szCs w:val="24"/>
        </w:rPr>
        <w:t>*</w:t>
      </w:r>
    </w:p>
    <w:p w:rsidR="006E54C0" w:rsidRPr="006E54C0" w:rsidRDefault="006E54C0" w:rsidP="00843320">
      <w:pPr>
        <w:rPr>
          <w:rFonts w:ascii="宋体" w:eastAsia="宋体" w:hAnsi="宋体" w:cs="宋体"/>
          <w:b/>
          <w:color w:val="0070C0"/>
          <w:szCs w:val="24"/>
        </w:rPr>
      </w:pPr>
      <w:r w:rsidRPr="006E54C0">
        <w:rPr>
          <w:rFonts w:ascii="宋体" w:eastAsia="宋体" w:hAnsi="宋体" w:cs="宋体"/>
          <w:b/>
          <w:color w:val="0070C0"/>
          <w:szCs w:val="24"/>
        </w:rPr>
        <w:t>*CORRESPONDENCE Hui Zhang</w:t>
      </w:r>
      <w:r w:rsidRPr="006E54C0">
        <w:rPr>
          <w:rFonts w:ascii="宋体" w:eastAsia="宋体" w:hAnsi="宋体" w:cs="宋体" w:hint="eastAsia"/>
          <w:b/>
          <w:color w:val="0070C0"/>
          <w:szCs w:val="24"/>
        </w:rPr>
        <w:t>，</w:t>
      </w:r>
      <w:r w:rsidRPr="006E54C0">
        <w:rPr>
          <w:rFonts w:ascii="宋体" w:eastAsia="宋体" w:hAnsi="宋体" w:cs="宋体"/>
          <w:b/>
          <w:color w:val="0070C0"/>
          <w:szCs w:val="24"/>
        </w:rPr>
        <w:t>449002440@qq.com</w:t>
      </w:r>
    </w:p>
    <w:p w:rsidR="006E54C0" w:rsidRDefault="006E54C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Author information:</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(1)Institute of Tuberculosis, Guangzhou Medical University, Guangzhou,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(2)Department of Radiology, Guangzhou Chest Hospital, Guangzhou,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(3)Department of Tuberculosis, Guangzhou Chest Hospital, Guangzhou,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(4)International Center for Interdisciplinary Research in Sciences (ICIRS), The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University of Lahore, Lahore, Pakistan.</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(#)Contributed equally</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591DA7">
        <w:rPr>
          <w:rFonts w:ascii="宋体" w:eastAsia="宋体" w:hAnsi="宋体" w:cs="宋体"/>
          <w:b/>
          <w:color w:val="000000" w:themeColor="text1"/>
          <w:szCs w:val="24"/>
        </w:rPr>
        <w:t>OBJECTIVES:</w:t>
      </w:r>
      <w:r w:rsidRPr="00843320">
        <w:rPr>
          <w:rFonts w:ascii="宋体" w:eastAsia="宋体" w:hAnsi="宋体" w:cs="宋体"/>
          <w:color w:val="000000" w:themeColor="text1"/>
          <w:szCs w:val="24"/>
        </w:rPr>
        <w:t xml:space="preserve"> To investigate the distribution characteristics, independent risk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factors of non-bronchial systemic arteries (NBSA) in patients with pulmonary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tuberculosis.</w:t>
      </w:r>
    </w:p>
    <w:p w:rsidR="00843320" w:rsidRPr="00843320" w:rsidRDefault="00843320" w:rsidP="00843320">
      <w:pPr>
        <w:rPr>
          <w:rFonts w:ascii="宋体" w:eastAsia="宋体" w:hAnsi="宋体" w:cs="宋体"/>
          <w:color w:val="000000" w:themeColor="text1"/>
          <w:szCs w:val="24"/>
        </w:rPr>
      </w:pPr>
      <w:r w:rsidRPr="00591DA7">
        <w:rPr>
          <w:rFonts w:ascii="宋体" w:eastAsia="宋体" w:hAnsi="宋体" w:cs="宋体"/>
          <w:b/>
          <w:color w:val="000000" w:themeColor="text1"/>
          <w:szCs w:val="24"/>
        </w:rPr>
        <w:t>METHODS:</w:t>
      </w:r>
      <w:r w:rsidRPr="00843320">
        <w:rPr>
          <w:rFonts w:ascii="宋体" w:eastAsia="宋体" w:hAnsi="宋体" w:cs="宋体"/>
          <w:color w:val="000000" w:themeColor="text1"/>
          <w:szCs w:val="24"/>
        </w:rPr>
        <w:t xml:space="preserve"> A retrospective analysis was performed using clinical data of 91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patients (75 males and 16 females) with pulmonary tuberculosis complicated by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massive hemoptysis who underwent bronchial artery embolization (BAE). Patients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were divided into the NBSA group (65 cases) and the non-NBSA group (26 cases).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The NBSA group was further divided into the polyvinyl alcohol (PVA) particle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group (45 cases) and the microsphere group (20 cases) based on the embolization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material used. Univariate and multivariate COX regression analyses were used to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identify independent risk factors for NBSA.</w:t>
      </w:r>
    </w:p>
    <w:p w:rsidR="00843320" w:rsidRPr="00843320" w:rsidRDefault="00843320" w:rsidP="00843320">
      <w:pPr>
        <w:rPr>
          <w:rFonts w:ascii="宋体" w:eastAsia="宋体" w:hAnsi="宋体" w:cs="宋体"/>
          <w:color w:val="000000" w:themeColor="text1"/>
          <w:szCs w:val="24"/>
        </w:rPr>
      </w:pPr>
      <w:r w:rsidRPr="00591DA7">
        <w:rPr>
          <w:rFonts w:ascii="宋体" w:eastAsia="宋体" w:hAnsi="宋体" w:cs="宋体"/>
          <w:b/>
          <w:color w:val="000000" w:themeColor="text1"/>
          <w:szCs w:val="24"/>
        </w:rPr>
        <w:t xml:space="preserve">RESULTS: </w:t>
      </w:r>
      <w:r w:rsidRPr="00843320">
        <w:rPr>
          <w:rFonts w:ascii="宋体" w:eastAsia="宋体" w:hAnsi="宋体" w:cs="宋体"/>
          <w:color w:val="000000" w:themeColor="text1"/>
          <w:szCs w:val="24"/>
        </w:rPr>
        <w:t xml:space="preserve">A total of 130 hemorrhagic lung lobes were involved in 91 patients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(bilateral upper lobes accounting for 85.4%), with 281 responsible blood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vessels, including 131 NBSAs. The main NBSAs were the posterior intercostal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artery (41.98%), internal thoracic artery (35.11%), and lateral thoracic artery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hint="eastAsia"/>
          <w:color w:val="000000" w:themeColor="text1"/>
          <w:szCs w:val="24"/>
        </w:rPr>
        <w:t xml:space="preserve">(9.16%). Aspergillus infection (OR = 87.909, P = 0.006) and pleural thickness ≥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2 mm (OR = 8.532, P = 0.048) were independent risk factors for NBSA occurrence.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There were no statistically significant differences in hemoptysis recurrence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rate at 3 months and 1 year after surgery, median hemoptysis-free survival time,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or incidence of adverse reactions between the PVA group and the microsphere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group (all P &gt; 0.05). The technical success rate of entire group was 100%,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the clinical effectiveness rate was 94.5%.</w:t>
      </w:r>
    </w:p>
    <w:p w:rsidR="00843320" w:rsidRPr="00843320" w:rsidRDefault="00843320" w:rsidP="00843320">
      <w:pPr>
        <w:rPr>
          <w:rFonts w:ascii="宋体" w:eastAsia="宋体" w:hAnsi="宋体" w:cs="宋体"/>
          <w:color w:val="000000" w:themeColor="text1"/>
          <w:szCs w:val="24"/>
        </w:rPr>
      </w:pPr>
      <w:r w:rsidRPr="00591DA7">
        <w:rPr>
          <w:rFonts w:ascii="宋体" w:eastAsia="宋体" w:hAnsi="宋体" w:cs="宋体"/>
          <w:b/>
          <w:color w:val="000000" w:themeColor="text1"/>
          <w:szCs w:val="24"/>
        </w:rPr>
        <w:t>CONCLUSION:</w:t>
      </w:r>
      <w:r w:rsidRPr="00843320">
        <w:rPr>
          <w:rFonts w:ascii="宋体" w:eastAsia="宋体" w:hAnsi="宋体" w:cs="宋体"/>
          <w:color w:val="000000" w:themeColor="text1"/>
          <w:szCs w:val="24"/>
        </w:rPr>
        <w:t xml:space="preserve"> Bronchial artery embolization demonstrated high technical success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and clinical effectiveness in managing massive hemoptysis in pulmonary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lastRenderedPageBreak/>
        <w:t>tuberculosis, with non-bronchial systemic arteries playing a significant role.</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Copyright © 2026 Wu, Liu, Khan, Zhong, Wang, Le, Yang and Zhang.</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DOI: 10.3389/fmed.2026.1877970</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PMCID: PMC13491545</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PMID: 42626526</w:t>
      </w:r>
    </w:p>
    <w:p w:rsidR="00843320" w:rsidRPr="00843320" w:rsidRDefault="00843320" w:rsidP="00843320">
      <w:pPr>
        <w:rPr>
          <w:rFonts w:ascii="宋体" w:eastAsia="宋体" w:hAnsi="宋体" w:cs="宋体"/>
          <w:color w:val="000000" w:themeColor="text1"/>
          <w:szCs w:val="24"/>
        </w:rPr>
      </w:pPr>
    </w:p>
    <w:p w:rsidR="00843320" w:rsidRPr="00591DA7" w:rsidRDefault="004E4DF0" w:rsidP="00843320">
      <w:pPr>
        <w:rPr>
          <w:rFonts w:ascii="宋体" w:eastAsia="宋体" w:hAnsi="宋体" w:cs="宋体"/>
          <w:b/>
          <w:color w:val="FF0000"/>
          <w:szCs w:val="24"/>
        </w:rPr>
      </w:pPr>
      <w:r>
        <w:rPr>
          <w:rFonts w:ascii="宋体" w:eastAsia="宋体" w:hAnsi="宋体" w:cs="宋体"/>
          <w:b/>
          <w:color w:val="FF0000"/>
          <w:szCs w:val="24"/>
        </w:rPr>
        <w:t>20</w:t>
      </w:r>
      <w:r w:rsidR="00843320" w:rsidRPr="00591DA7">
        <w:rPr>
          <w:rFonts w:ascii="宋体" w:eastAsia="宋体" w:hAnsi="宋体" w:cs="宋体"/>
          <w:b/>
          <w:color w:val="FF0000"/>
          <w:szCs w:val="24"/>
        </w:rPr>
        <w:t xml:space="preserve">. Front Public Health. 2026 Aug 5;14:1779279. doi: 10.3389/fpubh.2026.1779279. </w:t>
      </w:r>
    </w:p>
    <w:p w:rsidR="00843320" w:rsidRPr="00591DA7" w:rsidRDefault="00843320" w:rsidP="00843320">
      <w:pPr>
        <w:rPr>
          <w:rFonts w:ascii="宋体" w:eastAsia="宋体" w:hAnsi="宋体" w:cs="宋体"/>
          <w:b/>
          <w:color w:val="FF0000"/>
          <w:szCs w:val="24"/>
        </w:rPr>
      </w:pPr>
      <w:r w:rsidRPr="00591DA7">
        <w:rPr>
          <w:rFonts w:ascii="宋体" w:eastAsia="宋体" w:hAnsi="宋体" w:cs="宋体"/>
          <w:b/>
          <w:color w:val="FF0000"/>
          <w:szCs w:val="24"/>
        </w:rPr>
        <w:t>eCollection 2026.</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Development of an early auxiliary diagnostic model for disseminated tuberculosis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in HIV-negative tuberculosis patients.</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Guo Y(1), Liu X(2), Yang C(1), Gu S(3), Gao W(2), Zeng Y(2).</w:t>
      </w:r>
    </w:p>
    <w:p w:rsidR="00843320" w:rsidRDefault="00843320" w:rsidP="00843320">
      <w:pPr>
        <w:rPr>
          <w:rFonts w:ascii="宋体" w:eastAsia="宋体" w:hAnsi="宋体" w:cs="宋体"/>
          <w:color w:val="000000" w:themeColor="text1"/>
          <w:szCs w:val="24"/>
        </w:rPr>
      </w:pPr>
    </w:p>
    <w:p w:rsidR="00504CF1" w:rsidRPr="00504CF1" w:rsidRDefault="00504CF1" w:rsidP="00843320">
      <w:pPr>
        <w:rPr>
          <w:rFonts w:ascii="宋体" w:eastAsia="宋体" w:hAnsi="宋体" w:cs="宋体"/>
          <w:b/>
          <w:color w:val="0070C0"/>
          <w:szCs w:val="24"/>
        </w:rPr>
      </w:pPr>
      <w:r w:rsidRPr="00504CF1">
        <w:rPr>
          <w:rFonts w:ascii="宋体" w:eastAsia="宋体" w:hAnsi="宋体" w:cs="宋体"/>
          <w:b/>
          <w:color w:val="0070C0"/>
          <w:szCs w:val="24"/>
        </w:rPr>
        <w:t>Yicheng Guo, Xingyu Liu, Chen Yang, Shuanglin Gu, Weiwei Gao</w:t>
      </w:r>
      <w:r w:rsidRPr="00504CF1">
        <w:rPr>
          <w:rFonts w:ascii="宋体" w:eastAsia="宋体" w:hAnsi="宋体" w:cs="宋体" w:hint="eastAsia"/>
          <w:b/>
          <w:color w:val="0070C0"/>
          <w:szCs w:val="24"/>
        </w:rPr>
        <w:t>*</w:t>
      </w:r>
      <w:r w:rsidRPr="00504CF1">
        <w:rPr>
          <w:rFonts w:ascii="宋体" w:eastAsia="宋体" w:hAnsi="宋体" w:cs="宋体"/>
          <w:b/>
          <w:color w:val="0070C0"/>
          <w:szCs w:val="24"/>
        </w:rPr>
        <w:t>, Yi Zeng</w:t>
      </w:r>
      <w:r w:rsidRPr="00504CF1">
        <w:rPr>
          <w:rFonts w:ascii="宋体" w:eastAsia="宋体" w:hAnsi="宋体" w:cs="宋体" w:hint="eastAsia"/>
          <w:b/>
          <w:color w:val="0070C0"/>
          <w:szCs w:val="24"/>
        </w:rPr>
        <w:t>*</w:t>
      </w:r>
    </w:p>
    <w:p w:rsidR="00504CF1" w:rsidRPr="00504CF1" w:rsidRDefault="00504CF1" w:rsidP="00843320">
      <w:pPr>
        <w:rPr>
          <w:rFonts w:ascii="宋体" w:eastAsia="宋体" w:hAnsi="宋体" w:cs="宋体"/>
          <w:b/>
          <w:color w:val="0070C0"/>
          <w:szCs w:val="24"/>
        </w:rPr>
      </w:pPr>
      <w:r w:rsidRPr="00504CF1">
        <w:rPr>
          <w:rFonts w:ascii="宋体" w:eastAsia="宋体" w:hAnsi="宋体" w:cs="宋体"/>
          <w:b/>
          <w:color w:val="0070C0"/>
          <w:szCs w:val="24"/>
        </w:rPr>
        <w:t>*CORRESPONDENCE Yi Zeng</w:t>
      </w:r>
      <w:r w:rsidRPr="00504CF1">
        <w:rPr>
          <w:rFonts w:ascii="宋体" w:eastAsia="宋体" w:hAnsi="宋体" w:cs="宋体" w:hint="eastAsia"/>
          <w:b/>
          <w:color w:val="0070C0"/>
          <w:szCs w:val="24"/>
        </w:rPr>
        <w:t>，</w:t>
      </w:r>
      <w:r w:rsidRPr="00504CF1">
        <w:rPr>
          <w:rFonts w:ascii="宋体" w:eastAsia="宋体" w:hAnsi="宋体" w:cs="宋体"/>
          <w:b/>
          <w:color w:val="0070C0"/>
          <w:szCs w:val="24"/>
        </w:rPr>
        <w:t xml:space="preserve">960559051@qq.com </w:t>
      </w:r>
      <w:r w:rsidRPr="00504CF1">
        <w:rPr>
          <w:rFonts w:ascii="宋体" w:eastAsia="宋体" w:hAnsi="宋体" w:cs="宋体" w:hint="eastAsia"/>
          <w:b/>
          <w:color w:val="0070C0"/>
          <w:szCs w:val="24"/>
        </w:rPr>
        <w:t>；</w:t>
      </w:r>
      <w:r w:rsidRPr="00504CF1">
        <w:rPr>
          <w:rFonts w:ascii="宋体" w:eastAsia="宋体" w:hAnsi="宋体" w:cs="宋体"/>
          <w:b/>
          <w:color w:val="0070C0"/>
          <w:szCs w:val="24"/>
        </w:rPr>
        <w:t>Weiwei Gao</w:t>
      </w:r>
      <w:r w:rsidRPr="00504CF1">
        <w:rPr>
          <w:rFonts w:ascii="宋体" w:eastAsia="宋体" w:hAnsi="宋体" w:cs="宋体" w:hint="eastAsia"/>
          <w:b/>
          <w:color w:val="0070C0"/>
          <w:szCs w:val="24"/>
        </w:rPr>
        <w:t>，</w:t>
      </w:r>
      <w:r w:rsidRPr="00504CF1">
        <w:rPr>
          <w:rFonts w:ascii="宋体" w:eastAsia="宋体" w:hAnsi="宋体" w:cs="宋体"/>
          <w:b/>
          <w:color w:val="0070C0"/>
          <w:szCs w:val="24"/>
        </w:rPr>
        <w:t>weiweigao1106@163.com</w:t>
      </w:r>
    </w:p>
    <w:p w:rsidR="00504CF1" w:rsidRDefault="00504CF1"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Author information:</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(1)Department of Tuberculosis, The School of Public Health of Nanjing Medical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University, The Second Hospital of Nanjing, Nanjing,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(2)Department of Tuberculosis, The Second Hospital of Nanjing, Nanjing,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(3)Department of Clinical Research Center, The Second Hospital of Nanjing,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Nanjing University of Chinese Medicine, Nanjing, China.</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591DA7">
        <w:rPr>
          <w:rFonts w:ascii="宋体" w:eastAsia="宋体" w:hAnsi="宋体" w:cs="宋体"/>
          <w:b/>
          <w:color w:val="000000" w:themeColor="text1"/>
          <w:szCs w:val="24"/>
        </w:rPr>
        <w:t xml:space="preserve">BACKGROUND: </w:t>
      </w:r>
      <w:r w:rsidRPr="00843320">
        <w:rPr>
          <w:rFonts w:ascii="宋体" w:eastAsia="宋体" w:hAnsi="宋体" w:cs="宋体"/>
          <w:color w:val="000000" w:themeColor="text1"/>
          <w:szCs w:val="24"/>
        </w:rPr>
        <w:t xml:space="preserve">Disseminated tuberculosis (DI-TB) can induce multiple organ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dysfunction syndrome and carries a high mortality rate. This study aimed to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establish an early-warning diagnostic model to facilitate the identification of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DI-TB high-risk patients and improve clinical prognosis.</w:t>
      </w:r>
    </w:p>
    <w:p w:rsidR="00843320" w:rsidRPr="00843320" w:rsidRDefault="00843320" w:rsidP="00843320">
      <w:pPr>
        <w:rPr>
          <w:rFonts w:ascii="宋体" w:eastAsia="宋体" w:hAnsi="宋体" w:cs="宋体"/>
          <w:color w:val="000000" w:themeColor="text1"/>
          <w:szCs w:val="24"/>
        </w:rPr>
      </w:pPr>
      <w:r w:rsidRPr="00591DA7">
        <w:rPr>
          <w:rFonts w:ascii="宋体" w:eastAsia="宋体" w:hAnsi="宋体" w:cs="宋体"/>
          <w:b/>
          <w:color w:val="000000" w:themeColor="text1"/>
          <w:szCs w:val="24"/>
        </w:rPr>
        <w:t>METHODS:</w:t>
      </w:r>
      <w:r w:rsidRPr="00843320">
        <w:rPr>
          <w:rFonts w:ascii="宋体" w:eastAsia="宋体" w:hAnsi="宋体" w:cs="宋体"/>
          <w:color w:val="000000" w:themeColor="text1"/>
          <w:szCs w:val="24"/>
        </w:rPr>
        <w:t xml:space="preserve"> We retrospectively enrolled 1,122 HIV-negative hospitalized patients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with disseminated tuberculosis (DI-TB) or pulmonary tuberculosis (PTB) admitted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to Nanjing Second Hospital. Using conventional laboratory tests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multidimensional lymphocyte subset analysis, a diagnostic model was constructed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employing machine learning algorithms. Feature importance analysis was performed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using the Shapley Additive Explanations (SHAP) framework.</w:t>
      </w:r>
    </w:p>
    <w:p w:rsidR="00843320" w:rsidRPr="00843320" w:rsidRDefault="00843320" w:rsidP="00843320">
      <w:pPr>
        <w:rPr>
          <w:rFonts w:ascii="宋体" w:eastAsia="宋体" w:hAnsi="宋体" w:cs="宋体"/>
          <w:color w:val="000000" w:themeColor="text1"/>
          <w:szCs w:val="24"/>
        </w:rPr>
      </w:pPr>
      <w:r w:rsidRPr="00591DA7">
        <w:rPr>
          <w:rFonts w:ascii="宋体" w:eastAsia="宋体" w:hAnsi="宋体" w:cs="宋体"/>
          <w:b/>
          <w:color w:val="000000" w:themeColor="text1"/>
          <w:szCs w:val="24"/>
        </w:rPr>
        <w:t>RESULTS:</w:t>
      </w:r>
      <w:r w:rsidRPr="00843320">
        <w:rPr>
          <w:rFonts w:ascii="宋体" w:eastAsia="宋体" w:hAnsi="宋体" w:cs="宋体"/>
          <w:color w:val="000000" w:themeColor="text1"/>
          <w:szCs w:val="24"/>
        </w:rPr>
        <w:t xml:space="preserve"> We screened nine significant features for model development. The XGB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model demonstrated favorable diagnostic performance in the internal test set,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achieving an AUC of 0.983, a Brier score of 0.025, an accuracy of 0.949,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sensitivity of 0.914, specificity of 0.961, F1-score of 0.897, MCC of 0.864, NPV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of 0.972, and PPV of 0.881. The SHAP interpretability system ranked features by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importance, illustrating their positive or negative contributions to XGB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predictions and explaining how individual features influenced model outputs.</w:t>
      </w:r>
    </w:p>
    <w:p w:rsidR="00843320" w:rsidRPr="00843320" w:rsidRDefault="00843320" w:rsidP="00843320">
      <w:pPr>
        <w:rPr>
          <w:rFonts w:ascii="宋体" w:eastAsia="宋体" w:hAnsi="宋体" w:cs="宋体"/>
          <w:color w:val="000000" w:themeColor="text1"/>
          <w:szCs w:val="24"/>
        </w:rPr>
      </w:pPr>
      <w:r w:rsidRPr="00591DA7">
        <w:rPr>
          <w:rFonts w:ascii="宋体" w:eastAsia="宋体" w:hAnsi="宋体" w:cs="宋体"/>
          <w:b/>
          <w:color w:val="000000" w:themeColor="text1"/>
          <w:szCs w:val="24"/>
        </w:rPr>
        <w:t>CONCLUSION:</w:t>
      </w:r>
      <w:r w:rsidRPr="00843320">
        <w:rPr>
          <w:rFonts w:ascii="宋体" w:eastAsia="宋体" w:hAnsi="宋体" w:cs="宋体"/>
          <w:color w:val="000000" w:themeColor="text1"/>
          <w:szCs w:val="24"/>
        </w:rPr>
        <w:t xml:space="preserve"> This study developed and internally evaluated a machine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lastRenderedPageBreak/>
        <w:t xml:space="preserve">learning-enabled auxiliary risk-stratification model for identifying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dissemination risk among HIV-negative hospitalized TB patients. The XGB model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showed favorable internal performance and may provide a potential auxiliary tool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for early DI-TB risk assessment, but prospective external validation is still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required before routine clinical application.</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Copyright © 2026 Guo, Liu, Yang, Gu, Gao and Zeng.</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DOI: 10.3389/fpubh.2026.1779279</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PMCID: PMC13491642</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PMID: 42626508 [Indexed for MEDLINE]</w:t>
      </w:r>
    </w:p>
    <w:p w:rsidR="00843320" w:rsidRPr="00843320" w:rsidRDefault="00843320" w:rsidP="00843320">
      <w:pPr>
        <w:rPr>
          <w:rFonts w:ascii="宋体" w:eastAsia="宋体" w:hAnsi="宋体" w:cs="宋体"/>
          <w:color w:val="000000" w:themeColor="text1"/>
          <w:szCs w:val="24"/>
        </w:rPr>
      </w:pPr>
    </w:p>
    <w:p w:rsidR="00843320" w:rsidRPr="00591DA7" w:rsidRDefault="004E4DF0" w:rsidP="00843320">
      <w:pPr>
        <w:rPr>
          <w:rFonts w:ascii="宋体" w:eastAsia="宋体" w:hAnsi="宋体" w:cs="宋体"/>
          <w:b/>
          <w:color w:val="FF0000"/>
          <w:szCs w:val="24"/>
        </w:rPr>
      </w:pPr>
      <w:r>
        <w:rPr>
          <w:rFonts w:ascii="宋体" w:eastAsia="宋体" w:hAnsi="宋体" w:cs="宋体"/>
          <w:b/>
          <w:color w:val="FF0000"/>
          <w:szCs w:val="24"/>
        </w:rPr>
        <w:t>21</w:t>
      </w:r>
      <w:r w:rsidR="00843320" w:rsidRPr="00591DA7">
        <w:rPr>
          <w:rFonts w:ascii="宋体" w:eastAsia="宋体" w:hAnsi="宋体" w:cs="宋体"/>
          <w:b/>
          <w:color w:val="FF0000"/>
          <w:szCs w:val="24"/>
        </w:rPr>
        <w:t xml:space="preserve">. Front Cell Infect Microbiol. 2026 Aug 6;16:1772516. doi: </w:t>
      </w:r>
    </w:p>
    <w:p w:rsidR="00843320" w:rsidRPr="00591DA7" w:rsidRDefault="00843320" w:rsidP="00843320">
      <w:pPr>
        <w:rPr>
          <w:rFonts w:ascii="宋体" w:eastAsia="宋体" w:hAnsi="宋体" w:cs="宋体"/>
          <w:b/>
          <w:color w:val="FF0000"/>
          <w:szCs w:val="24"/>
        </w:rPr>
      </w:pPr>
      <w:r w:rsidRPr="00591DA7">
        <w:rPr>
          <w:rFonts w:ascii="宋体" w:eastAsia="宋体" w:hAnsi="宋体" w:cs="宋体"/>
          <w:b/>
          <w:color w:val="FF0000"/>
          <w:szCs w:val="24"/>
        </w:rPr>
        <w:t>10.3389/fcimb.2026.1772516. eCollection 2026.</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Differentiating tuberculous pleurisy from pulmonary tuberculosis using mNGS: a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multicenter cohort analysis.</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Zhang Y(1)(2), Li Z(1)(2), Sun X(3), Wang C(4), Yu Z(1)(2)(5).</w:t>
      </w:r>
    </w:p>
    <w:p w:rsidR="00843320" w:rsidRDefault="00843320" w:rsidP="00843320">
      <w:pPr>
        <w:rPr>
          <w:rFonts w:ascii="宋体" w:eastAsia="宋体" w:hAnsi="宋体" w:cs="宋体"/>
          <w:color w:val="000000" w:themeColor="text1"/>
          <w:szCs w:val="24"/>
        </w:rPr>
      </w:pPr>
    </w:p>
    <w:p w:rsidR="0062195A" w:rsidRPr="0062195A" w:rsidRDefault="0062195A" w:rsidP="00843320">
      <w:pPr>
        <w:rPr>
          <w:rFonts w:ascii="宋体" w:eastAsia="宋体" w:hAnsi="宋体" w:cs="宋体"/>
          <w:b/>
          <w:color w:val="0070C0"/>
          <w:szCs w:val="24"/>
        </w:rPr>
      </w:pPr>
      <w:r w:rsidRPr="0062195A">
        <w:rPr>
          <w:rFonts w:ascii="宋体" w:eastAsia="宋体" w:hAnsi="宋体" w:cs="宋体"/>
          <w:b/>
          <w:color w:val="0070C0"/>
          <w:szCs w:val="24"/>
        </w:rPr>
        <w:t>Yangmiao Zhang, Ziyi Li, Xiaoke Sun, Chuwen Wang, Zujiang Yu</w:t>
      </w:r>
      <w:r w:rsidRPr="0062195A">
        <w:rPr>
          <w:rFonts w:ascii="宋体" w:eastAsia="宋体" w:hAnsi="宋体" w:cs="宋体" w:hint="eastAsia"/>
          <w:b/>
          <w:color w:val="0070C0"/>
          <w:szCs w:val="24"/>
        </w:rPr>
        <w:t>*</w:t>
      </w:r>
    </w:p>
    <w:p w:rsidR="0062195A" w:rsidRPr="0062195A" w:rsidRDefault="0062195A" w:rsidP="00843320">
      <w:pPr>
        <w:rPr>
          <w:rFonts w:ascii="宋体" w:eastAsia="宋体" w:hAnsi="宋体" w:cs="宋体"/>
          <w:b/>
          <w:color w:val="0070C0"/>
          <w:szCs w:val="24"/>
        </w:rPr>
      </w:pPr>
      <w:r w:rsidRPr="0062195A">
        <w:rPr>
          <w:rFonts w:ascii="宋体" w:eastAsia="宋体" w:hAnsi="宋体" w:cs="宋体"/>
          <w:b/>
          <w:color w:val="0070C0"/>
          <w:szCs w:val="24"/>
        </w:rPr>
        <w:t>*CORRESPONDENCE Zujiang Yu</w:t>
      </w:r>
      <w:r w:rsidRPr="0062195A">
        <w:rPr>
          <w:rFonts w:ascii="宋体" w:eastAsia="宋体" w:hAnsi="宋体" w:cs="宋体" w:hint="eastAsia"/>
          <w:b/>
          <w:color w:val="0070C0"/>
          <w:szCs w:val="24"/>
        </w:rPr>
        <w:t>，</w:t>
      </w:r>
      <w:r w:rsidRPr="0062195A">
        <w:rPr>
          <w:rFonts w:ascii="宋体" w:eastAsia="宋体" w:hAnsi="宋体" w:cs="宋体"/>
          <w:b/>
          <w:color w:val="0070C0"/>
          <w:szCs w:val="24"/>
        </w:rPr>
        <w:t>johnyuem@zzu.edu.cn</w:t>
      </w:r>
    </w:p>
    <w:p w:rsidR="0062195A" w:rsidRDefault="0062195A"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Author information:</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(1)State Key Laboratory of Metabolic Dysregulation &amp; Prevention and Treatment of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Esophageal Cancer, Tianjian Laboratory of Advanced Biomedical Sciences, School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of Convergence Medicine, Zhengzhou University, Zhengzhou,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(2)Gene Hospital of Henan Province, The First Affiliated Hospital of Zhengzhou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University, Zhengzhou,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(3)Department of Tuberculosis, The Affiliated Chest Hospital of Zhengzhou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University, Zhengzhou,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(4)Department of Infectious Diseases, The First Affiliated Hospital of Ningbo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University, Ningbo,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(5)Department of Infectious Diseases, The First Affiliated Hospital of Zhengzhou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University, Zhengzhou, China.</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591DA7">
        <w:rPr>
          <w:rFonts w:ascii="宋体" w:eastAsia="宋体" w:hAnsi="宋体" w:cs="宋体"/>
          <w:b/>
          <w:color w:val="000000" w:themeColor="text1"/>
          <w:szCs w:val="24"/>
        </w:rPr>
        <w:t xml:space="preserve">BACKGROUND: </w:t>
      </w:r>
      <w:r w:rsidRPr="00843320">
        <w:rPr>
          <w:rFonts w:ascii="宋体" w:eastAsia="宋体" w:hAnsi="宋体" w:cs="宋体"/>
          <w:color w:val="000000" w:themeColor="text1"/>
          <w:szCs w:val="24"/>
        </w:rPr>
        <w:t xml:space="preserve">Tuberculous pleurisy (TBP), a major extrapulmonary form of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tuberculosis, is characterized by a paucibacillary state that makes diagnosis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challenging. Metagenomic next-generation sequencing (mNGS) has emerged as a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promising approach for MTB detection; however, its discriminatory value between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TBP and pulmonary tuberculosis (PTB) among mNGS-confirmed cases, and its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integration with clinical features for differential diagnosis, remain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insufficiently defined.</w:t>
      </w:r>
    </w:p>
    <w:p w:rsidR="00843320" w:rsidRPr="00843320" w:rsidRDefault="00843320" w:rsidP="00843320">
      <w:pPr>
        <w:rPr>
          <w:rFonts w:ascii="宋体" w:eastAsia="宋体" w:hAnsi="宋体" w:cs="宋体"/>
          <w:color w:val="000000" w:themeColor="text1"/>
          <w:szCs w:val="24"/>
        </w:rPr>
      </w:pPr>
      <w:r w:rsidRPr="00591DA7">
        <w:rPr>
          <w:rFonts w:ascii="宋体" w:eastAsia="宋体" w:hAnsi="宋体" w:cs="宋体"/>
          <w:b/>
          <w:color w:val="000000" w:themeColor="text1"/>
          <w:szCs w:val="24"/>
        </w:rPr>
        <w:t>METHODS:</w:t>
      </w:r>
      <w:r w:rsidRPr="00843320">
        <w:rPr>
          <w:rFonts w:ascii="宋体" w:eastAsia="宋体" w:hAnsi="宋体" w:cs="宋体"/>
          <w:color w:val="000000" w:themeColor="text1"/>
          <w:szCs w:val="24"/>
        </w:rPr>
        <w:t xml:space="preserve"> This multicenter retrospective cohort included hospitalized patients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lastRenderedPageBreak/>
        <w:t xml:space="preserve">with MTB-positive mNGS results from January 2020 to January 2025. As only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mNGS-positive cases were included, overall mNGS diagnostic sensitivity cannot be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estimated. Twelve TBP patients were matched 1:2 with twenty-four PTB patients by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age and sex; patients with immunosuppressive conditions were excluded prior to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matching. Clinical, laboratory, mNGS, and conventional TB test data were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collected. Logistic regression and ROC analyses were performed.</w:t>
      </w:r>
    </w:p>
    <w:p w:rsidR="00843320" w:rsidRPr="00843320" w:rsidRDefault="00843320" w:rsidP="00843320">
      <w:pPr>
        <w:rPr>
          <w:rFonts w:ascii="宋体" w:eastAsia="宋体" w:hAnsi="宋体" w:cs="宋体"/>
          <w:color w:val="000000" w:themeColor="text1"/>
          <w:szCs w:val="24"/>
        </w:rPr>
      </w:pPr>
      <w:r w:rsidRPr="00591DA7">
        <w:rPr>
          <w:rFonts w:ascii="宋体" w:eastAsia="宋体" w:hAnsi="宋体" w:cs="宋体"/>
          <w:b/>
          <w:color w:val="000000" w:themeColor="text1"/>
          <w:szCs w:val="24"/>
        </w:rPr>
        <w:t xml:space="preserve">RESULTS: </w:t>
      </w:r>
      <w:r w:rsidRPr="00843320">
        <w:rPr>
          <w:rFonts w:ascii="宋体" w:eastAsia="宋体" w:hAnsi="宋体" w:cs="宋体"/>
          <w:color w:val="000000" w:themeColor="text1"/>
          <w:szCs w:val="24"/>
        </w:rPr>
        <w:t xml:space="preserve">Conventional tests showed limited sensitivity in TBP despite universal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mNGS positivity. MTB read counts were similar between groups (median 1976.5 vs.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990.0, P = 0.920). Pleural-derived specimens predominated in TBP (41.7% vs.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4.2%, P = 0.007). CRP demonstrated the highest individual discriminatory value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(AUC = 0.658, P = 0.131), though no single predictor reached significance. A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combined model (cough, fever, CRP, WBC) showed modest non-significant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improvement (AUC = 0.722, overall P = 0.359; sensitivity 66.7%, specificity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hint="eastAsia"/>
          <w:color w:val="000000" w:themeColor="text1"/>
          <w:szCs w:val="24"/>
        </w:rPr>
        <w:t xml:space="preserve">83.3%). Given EPV ≈ 3, all findings are exploratory only. No significant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prognostic predictors were identified in TBP; a non-significant trend toward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lower lymphocyte counts was observed in patients with unfavorable outcomes (0.60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vs. 1.10 ×109/L, P = 0.115).</w:t>
      </w:r>
    </w:p>
    <w:p w:rsidR="00843320" w:rsidRPr="00843320" w:rsidRDefault="00843320" w:rsidP="00843320">
      <w:pPr>
        <w:rPr>
          <w:rFonts w:ascii="宋体" w:eastAsia="宋体" w:hAnsi="宋体" w:cs="宋体"/>
          <w:color w:val="000000" w:themeColor="text1"/>
          <w:szCs w:val="24"/>
        </w:rPr>
      </w:pPr>
      <w:r w:rsidRPr="00591DA7">
        <w:rPr>
          <w:rFonts w:ascii="宋体" w:eastAsia="宋体" w:hAnsi="宋体" w:cs="宋体"/>
          <w:b/>
          <w:color w:val="000000" w:themeColor="text1"/>
          <w:szCs w:val="24"/>
        </w:rPr>
        <w:t>CONCLUSIONS:</w:t>
      </w:r>
      <w:r w:rsidRPr="00843320">
        <w:rPr>
          <w:rFonts w:ascii="宋体" w:eastAsia="宋体" w:hAnsi="宋体" w:cs="宋体"/>
          <w:color w:val="000000" w:themeColor="text1"/>
          <w:szCs w:val="24"/>
        </w:rPr>
        <w:t xml:space="preserve"> Among mNGS-confirmed cases, MTB read counts were comparable between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TBP and PTB. No single parameter reliably distinguished the two; a combined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clinical model showed modest improvement but requires prospective validation in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larger cohorts. Integrating mNGS with systematic clinical evaluation remains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essential for accurate TB diagnosis.</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Copyright © 2026 Zhang, Li, Sun, Wang and Yu.</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DOI: 10.3389/fcimb.2026.1772516</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PMCID: PMC13489908</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PMID: 42625649 [Indexed for MEDLINE]</w:t>
      </w:r>
    </w:p>
    <w:p w:rsidR="00843320" w:rsidRPr="00843320" w:rsidRDefault="00843320" w:rsidP="00843320">
      <w:pPr>
        <w:rPr>
          <w:rFonts w:ascii="宋体" w:eastAsia="宋体" w:hAnsi="宋体" w:cs="宋体"/>
          <w:color w:val="000000" w:themeColor="text1"/>
          <w:szCs w:val="24"/>
        </w:rPr>
      </w:pPr>
    </w:p>
    <w:p w:rsidR="00843320" w:rsidRPr="00591DA7" w:rsidRDefault="004E4DF0" w:rsidP="00843320">
      <w:pPr>
        <w:rPr>
          <w:rFonts w:ascii="宋体" w:eastAsia="宋体" w:hAnsi="宋体" w:cs="宋体"/>
          <w:b/>
          <w:color w:val="FF0000"/>
          <w:szCs w:val="24"/>
        </w:rPr>
      </w:pPr>
      <w:r>
        <w:rPr>
          <w:rFonts w:ascii="宋体" w:eastAsia="宋体" w:hAnsi="宋体" w:cs="宋体"/>
          <w:b/>
          <w:color w:val="FF0000"/>
          <w:szCs w:val="24"/>
        </w:rPr>
        <w:t>2</w:t>
      </w:r>
      <w:r w:rsidR="00843320" w:rsidRPr="00591DA7">
        <w:rPr>
          <w:rFonts w:ascii="宋体" w:eastAsia="宋体" w:hAnsi="宋体" w:cs="宋体"/>
          <w:b/>
          <w:color w:val="FF0000"/>
          <w:szCs w:val="24"/>
        </w:rPr>
        <w:t xml:space="preserve">2. Front Cell Infect Microbiol. 2026 Aug 5;16:1838865. doi: </w:t>
      </w:r>
    </w:p>
    <w:p w:rsidR="00843320" w:rsidRPr="00591DA7" w:rsidRDefault="00843320" w:rsidP="00843320">
      <w:pPr>
        <w:rPr>
          <w:rFonts w:ascii="宋体" w:eastAsia="宋体" w:hAnsi="宋体" w:cs="宋体"/>
          <w:b/>
          <w:color w:val="FF0000"/>
          <w:szCs w:val="24"/>
        </w:rPr>
      </w:pPr>
      <w:r w:rsidRPr="00591DA7">
        <w:rPr>
          <w:rFonts w:ascii="宋体" w:eastAsia="宋体" w:hAnsi="宋体" w:cs="宋体"/>
          <w:b/>
          <w:color w:val="FF0000"/>
          <w:szCs w:val="24"/>
        </w:rPr>
        <w:t>10.3389/fcimb.2026.1838865. eCollection 2026.</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Lipid metabolism in the resuscitation of dormant mycobacterium tuberculosis: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molecular resilience, host hijacking, and clinical opportunities.</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Wang C(1), Liu P(1), Tang J(1), Xu L(1), Liu Z(1).</w:t>
      </w:r>
    </w:p>
    <w:p w:rsidR="00843320" w:rsidRDefault="00843320" w:rsidP="00843320">
      <w:pPr>
        <w:rPr>
          <w:rFonts w:ascii="宋体" w:eastAsia="宋体" w:hAnsi="宋体" w:cs="宋体"/>
          <w:color w:val="000000" w:themeColor="text1"/>
          <w:szCs w:val="24"/>
        </w:rPr>
      </w:pPr>
    </w:p>
    <w:p w:rsidR="005C1F89" w:rsidRPr="00F74912" w:rsidRDefault="005C1F89" w:rsidP="00843320">
      <w:pPr>
        <w:rPr>
          <w:rFonts w:ascii="宋体" w:eastAsia="宋体" w:hAnsi="宋体" w:cs="宋体"/>
          <w:b/>
          <w:color w:val="0070C0"/>
          <w:szCs w:val="24"/>
        </w:rPr>
      </w:pPr>
      <w:r w:rsidRPr="00F74912">
        <w:rPr>
          <w:rFonts w:ascii="宋体" w:eastAsia="宋体" w:hAnsi="宋体" w:cs="宋体"/>
          <w:b/>
          <w:color w:val="0070C0"/>
          <w:szCs w:val="24"/>
        </w:rPr>
        <w:t>Chunze Wang,</w:t>
      </w:r>
      <w:r w:rsidR="00F74912" w:rsidRPr="00F74912">
        <w:rPr>
          <w:rFonts w:ascii="宋体" w:eastAsia="宋体" w:hAnsi="宋体" w:cs="宋体"/>
          <w:b/>
          <w:color w:val="0070C0"/>
          <w:szCs w:val="24"/>
        </w:rPr>
        <w:t xml:space="preserve"> </w:t>
      </w:r>
      <w:r w:rsidRPr="00F74912">
        <w:rPr>
          <w:rFonts w:ascii="宋体" w:eastAsia="宋体" w:hAnsi="宋体" w:cs="宋体"/>
          <w:b/>
          <w:color w:val="0070C0"/>
          <w:szCs w:val="24"/>
        </w:rPr>
        <w:t>Pei Liu,</w:t>
      </w:r>
      <w:r w:rsidR="00F74912" w:rsidRPr="00F74912">
        <w:rPr>
          <w:rFonts w:ascii="宋体" w:eastAsia="宋体" w:hAnsi="宋体" w:cs="宋体"/>
          <w:b/>
          <w:color w:val="0070C0"/>
          <w:szCs w:val="24"/>
        </w:rPr>
        <w:t xml:space="preserve"> </w:t>
      </w:r>
      <w:r w:rsidRPr="00F74912">
        <w:rPr>
          <w:rFonts w:ascii="宋体" w:eastAsia="宋体" w:hAnsi="宋体" w:cs="宋体"/>
          <w:b/>
          <w:color w:val="0070C0"/>
          <w:szCs w:val="24"/>
        </w:rPr>
        <w:t>Jingyang Tang,</w:t>
      </w:r>
      <w:r w:rsidR="00F74912" w:rsidRPr="00F74912">
        <w:rPr>
          <w:rFonts w:ascii="宋体" w:eastAsia="宋体" w:hAnsi="宋体" w:cs="宋体"/>
          <w:b/>
          <w:color w:val="0070C0"/>
          <w:szCs w:val="24"/>
        </w:rPr>
        <w:t xml:space="preserve"> </w:t>
      </w:r>
      <w:r w:rsidRPr="00F74912">
        <w:rPr>
          <w:rFonts w:ascii="宋体" w:eastAsia="宋体" w:hAnsi="宋体" w:cs="宋体"/>
          <w:b/>
          <w:color w:val="0070C0"/>
          <w:szCs w:val="24"/>
        </w:rPr>
        <w:t>Lei Xu,</w:t>
      </w:r>
      <w:r w:rsidR="00F74912" w:rsidRPr="00F74912">
        <w:rPr>
          <w:rFonts w:ascii="宋体" w:eastAsia="宋体" w:hAnsi="宋体" w:cs="宋体"/>
          <w:b/>
          <w:color w:val="0070C0"/>
          <w:szCs w:val="24"/>
        </w:rPr>
        <w:t xml:space="preserve"> </w:t>
      </w:r>
      <w:r w:rsidRPr="00F74912">
        <w:rPr>
          <w:rFonts w:ascii="宋体" w:eastAsia="宋体" w:hAnsi="宋体" w:cs="宋体"/>
          <w:b/>
          <w:color w:val="0070C0"/>
          <w:szCs w:val="24"/>
        </w:rPr>
        <w:t>Zhilong Liu</w:t>
      </w:r>
      <w:r w:rsidR="00F74912" w:rsidRPr="00F74912">
        <w:rPr>
          <w:rFonts w:ascii="宋体" w:eastAsia="宋体" w:hAnsi="宋体" w:cs="宋体" w:hint="eastAsia"/>
          <w:b/>
          <w:color w:val="0070C0"/>
          <w:szCs w:val="24"/>
        </w:rPr>
        <w:t>*</w:t>
      </w:r>
    </w:p>
    <w:p w:rsidR="005C1F89" w:rsidRPr="00F74912" w:rsidRDefault="00F74912" w:rsidP="00843320">
      <w:pPr>
        <w:rPr>
          <w:rFonts w:ascii="宋体" w:eastAsia="宋体" w:hAnsi="宋体" w:cs="宋体"/>
          <w:b/>
          <w:color w:val="0070C0"/>
          <w:szCs w:val="24"/>
        </w:rPr>
      </w:pPr>
      <w:r w:rsidRPr="00F74912">
        <w:rPr>
          <w:rFonts w:ascii="宋体" w:eastAsia="宋体" w:hAnsi="宋体" w:cs="宋体"/>
          <w:b/>
          <w:color w:val="0070C0"/>
          <w:szCs w:val="24"/>
        </w:rPr>
        <w:t>*CORRESPONDENCE</w:t>
      </w:r>
      <w:r w:rsidRPr="00F74912">
        <w:rPr>
          <w:rFonts w:ascii="宋体" w:eastAsia="宋体" w:hAnsi="宋体" w:cs="宋体" w:hint="eastAsia"/>
          <w:b/>
          <w:color w:val="0070C0"/>
          <w:szCs w:val="24"/>
        </w:rPr>
        <w:t xml:space="preserve"> </w:t>
      </w:r>
      <w:r w:rsidRPr="00F74912">
        <w:rPr>
          <w:rFonts w:ascii="宋体" w:eastAsia="宋体" w:hAnsi="宋体" w:cs="宋体"/>
          <w:b/>
          <w:color w:val="0070C0"/>
          <w:szCs w:val="24"/>
        </w:rPr>
        <w:t>Zhilong Liu</w:t>
      </w:r>
      <w:r w:rsidRPr="00F74912">
        <w:rPr>
          <w:rFonts w:ascii="宋体" w:eastAsia="宋体" w:hAnsi="宋体" w:cs="宋体" w:hint="eastAsia"/>
          <w:b/>
          <w:color w:val="0070C0"/>
          <w:szCs w:val="24"/>
        </w:rPr>
        <w:t>，</w:t>
      </w:r>
      <w:r w:rsidRPr="00F74912">
        <w:rPr>
          <w:rFonts w:ascii="宋体" w:eastAsia="宋体" w:hAnsi="宋体" w:cs="宋体"/>
          <w:b/>
          <w:color w:val="0070C0"/>
          <w:szCs w:val="24"/>
        </w:rPr>
        <w:t>liuzhilong@gris.org.cn</w:t>
      </w:r>
    </w:p>
    <w:p w:rsidR="005C1F89" w:rsidRPr="00843320" w:rsidRDefault="005C1F89"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Author information:</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(1)Department of Laboratory Medicine, Dazhou Integrated Traditional Chinese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Medicine &amp; Western Medicine Hospital, Dazhou Second People's Hospital,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Dazhou, China.</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Latent infection and reactivation of Mycobacterium tuberculosis (Mtb) represent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key obstacles to the global strategy to end tuberculosis. The 2024 ICE-TB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international consensus redefined tuberculosis as a continuum of pathological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states that includes subclinical forms, with lipid metabolism being the core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mechanism driving Mtb's transition across different disease stages. This review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systematically elucidates the molecular mechanisms by which Mtb maintains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survival through lipidome remodelling under restrictive microenvironments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(phosphate deprivation, oxidative stress), with a focus on the synergistic roles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of key regulatory factors such as MtrA, DosR and OmamC in sensing environmental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signals and initiating the reactivation process. At the host-pathogen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interaction level, this paper discusses Mtb's pathogenic strategies, including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the construction of a lipid-enriched microenvironment by hijacking lysosomal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function through the secretion of 1-TbAd, and the induction of systemic insulin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resistance via the PPE2 protein. Furthermore, this review evaluates the clinical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utility of biomarkers based on lipid metabolic profiles in predicting the risk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of relapse, providing a theoretical basis for the development of novel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intervention strategies targeting lipid metabolic pathways.</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Copyright © 2026 Wang, Liu, Tang, Xu and Liu.</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DOI: 10.3389/fcimb.2026.1838865</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PMCID: PMC13487884</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PMID: 42621499 [Indexed for MEDLINE]</w:t>
      </w:r>
    </w:p>
    <w:p w:rsidR="00843320" w:rsidRPr="00843320" w:rsidRDefault="00843320" w:rsidP="00843320">
      <w:pPr>
        <w:rPr>
          <w:rFonts w:ascii="宋体" w:eastAsia="宋体" w:hAnsi="宋体" w:cs="宋体"/>
          <w:color w:val="000000" w:themeColor="text1"/>
          <w:szCs w:val="24"/>
        </w:rPr>
      </w:pPr>
    </w:p>
    <w:p w:rsidR="00843320" w:rsidRPr="005A205F" w:rsidRDefault="004E4DF0" w:rsidP="00843320">
      <w:pPr>
        <w:rPr>
          <w:rFonts w:ascii="宋体" w:eastAsia="宋体" w:hAnsi="宋体" w:cs="宋体"/>
          <w:b/>
          <w:color w:val="FF0000"/>
          <w:szCs w:val="24"/>
        </w:rPr>
      </w:pPr>
      <w:r>
        <w:rPr>
          <w:rFonts w:ascii="宋体" w:eastAsia="宋体" w:hAnsi="宋体" w:cs="宋体"/>
          <w:b/>
          <w:color w:val="FF0000"/>
          <w:szCs w:val="24"/>
        </w:rPr>
        <w:t>23</w:t>
      </w:r>
      <w:r w:rsidR="00843320" w:rsidRPr="005A205F">
        <w:rPr>
          <w:rFonts w:ascii="宋体" w:eastAsia="宋体" w:hAnsi="宋体" w:cs="宋体"/>
          <w:b/>
          <w:color w:val="FF0000"/>
          <w:szCs w:val="24"/>
        </w:rPr>
        <w:t xml:space="preserve">. Front Microbiol. 2026 Aug 5;17:1865147. doi: 10.3389/fmicb.2026.1865147. </w:t>
      </w:r>
    </w:p>
    <w:p w:rsidR="00843320" w:rsidRPr="005A205F" w:rsidRDefault="00843320" w:rsidP="00843320">
      <w:pPr>
        <w:rPr>
          <w:rFonts w:ascii="宋体" w:eastAsia="宋体" w:hAnsi="宋体" w:cs="宋体"/>
          <w:b/>
          <w:color w:val="FF0000"/>
          <w:szCs w:val="24"/>
        </w:rPr>
      </w:pPr>
      <w:r w:rsidRPr="005A205F">
        <w:rPr>
          <w:rFonts w:ascii="宋体" w:eastAsia="宋体" w:hAnsi="宋体" w:cs="宋体"/>
          <w:b/>
          <w:color w:val="FF0000"/>
          <w:szCs w:val="24"/>
        </w:rPr>
        <w:t>eCollection 2026.</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Peripheral cytokine distinguish recent from Mycobacterium tuberculosis infection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and active tuberculosis.</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Lu P(#)(1), Li Z(#)(2), Ding X(1), Pan J(1), Ding H(1), Yao H(1), Zhu L(1),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Huang L(3), Liu Q(1).</w:t>
      </w:r>
    </w:p>
    <w:p w:rsidR="00843320" w:rsidRDefault="00843320" w:rsidP="00843320">
      <w:pPr>
        <w:rPr>
          <w:rFonts w:ascii="宋体" w:eastAsia="宋体" w:hAnsi="宋体" w:cs="宋体"/>
          <w:color w:val="000000" w:themeColor="text1"/>
          <w:szCs w:val="24"/>
        </w:rPr>
      </w:pPr>
    </w:p>
    <w:p w:rsidR="00083A08" w:rsidRPr="00083A08" w:rsidRDefault="00083A08" w:rsidP="00843320">
      <w:pPr>
        <w:rPr>
          <w:rFonts w:ascii="宋体" w:eastAsia="宋体" w:hAnsi="宋体" w:cs="宋体"/>
          <w:b/>
          <w:color w:val="0070C0"/>
          <w:szCs w:val="24"/>
        </w:rPr>
      </w:pPr>
      <w:r w:rsidRPr="00083A08">
        <w:rPr>
          <w:rFonts w:ascii="宋体" w:eastAsia="宋体" w:hAnsi="宋体" w:cs="宋体"/>
          <w:b/>
          <w:color w:val="0070C0"/>
          <w:szCs w:val="24"/>
        </w:rPr>
        <w:t>Peng Lu, Zhongqi Li, Xiaoyan Ding, Jingjing Pan, Hui Ding, Hanli Yao, Limei Zhu, Lei Huang</w:t>
      </w:r>
      <w:r w:rsidRPr="00083A08">
        <w:rPr>
          <w:rFonts w:ascii="宋体" w:eastAsia="宋体" w:hAnsi="宋体" w:cs="宋体" w:hint="eastAsia"/>
          <w:b/>
          <w:color w:val="0070C0"/>
          <w:szCs w:val="24"/>
        </w:rPr>
        <w:t>*</w:t>
      </w:r>
      <w:r w:rsidRPr="00083A08">
        <w:rPr>
          <w:rFonts w:ascii="宋体" w:eastAsia="宋体" w:hAnsi="宋体" w:cs="宋体"/>
          <w:b/>
          <w:color w:val="0070C0"/>
          <w:szCs w:val="24"/>
        </w:rPr>
        <w:t>, Qiao Liu</w:t>
      </w:r>
      <w:r w:rsidRPr="00083A08">
        <w:rPr>
          <w:rFonts w:ascii="宋体" w:eastAsia="宋体" w:hAnsi="宋体" w:cs="宋体" w:hint="eastAsia"/>
          <w:b/>
          <w:color w:val="0070C0"/>
          <w:szCs w:val="24"/>
        </w:rPr>
        <w:t>*</w:t>
      </w:r>
    </w:p>
    <w:p w:rsidR="00083A08" w:rsidRPr="00083A08" w:rsidRDefault="00083A08" w:rsidP="00843320">
      <w:pPr>
        <w:rPr>
          <w:rFonts w:ascii="宋体" w:eastAsia="宋体" w:hAnsi="宋体" w:cs="宋体"/>
          <w:b/>
          <w:color w:val="0070C0"/>
          <w:szCs w:val="24"/>
        </w:rPr>
      </w:pPr>
      <w:r w:rsidRPr="00083A08">
        <w:rPr>
          <w:rFonts w:ascii="宋体" w:eastAsia="宋体" w:hAnsi="宋体" w:cs="宋体"/>
          <w:b/>
          <w:color w:val="0070C0"/>
          <w:szCs w:val="24"/>
        </w:rPr>
        <w:t>*CORRESPONDENCE Qiao Liu</w:t>
      </w:r>
      <w:r w:rsidRPr="00083A08">
        <w:rPr>
          <w:rFonts w:ascii="宋体" w:eastAsia="宋体" w:hAnsi="宋体" w:cs="宋体" w:hint="eastAsia"/>
          <w:b/>
          <w:color w:val="0070C0"/>
          <w:szCs w:val="24"/>
        </w:rPr>
        <w:t>，</w:t>
      </w:r>
      <w:r w:rsidRPr="00083A08">
        <w:rPr>
          <w:rFonts w:ascii="宋体" w:eastAsia="宋体" w:hAnsi="宋体" w:cs="宋体"/>
          <w:b/>
          <w:color w:val="0070C0"/>
          <w:szCs w:val="24"/>
        </w:rPr>
        <w:t xml:space="preserve">liuqiaonjmu@163.com </w:t>
      </w:r>
      <w:r w:rsidRPr="00083A08">
        <w:rPr>
          <w:rFonts w:ascii="宋体" w:eastAsia="宋体" w:hAnsi="宋体" w:cs="宋体" w:hint="eastAsia"/>
          <w:b/>
          <w:color w:val="0070C0"/>
          <w:szCs w:val="24"/>
        </w:rPr>
        <w:t>；</w:t>
      </w:r>
      <w:r w:rsidRPr="00083A08">
        <w:rPr>
          <w:rFonts w:ascii="宋体" w:eastAsia="宋体" w:hAnsi="宋体" w:cs="宋体"/>
          <w:b/>
          <w:color w:val="0070C0"/>
          <w:szCs w:val="24"/>
        </w:rPr>
        <w:t>Lei Huang</w:t>
      </w:r>
      <w:r w:rsidRPr="00083A08">
        <w:rPr>
          <w:rFonts w:ascii="宋体" w:eastAsia="宋体" w:hAnsi="宋体" w:cs="宋体" w:hint="eastAsia"/>
          <w:b/>
          <w:color w:val="0070C0"/>
          <w:szCs w:val="24"/>
        </w:rPr>
        <w:t>，</w:t>
      </w:r>
      <w:r w:rsidRPr="00083A08">
        <w:rPr>
          <w:rFonts w:ascii="宋体" w:eastAsia="宋体" w:hAnsi="宋体" w:cs="宋体"/>
          <w:b/>
          <w:color w:val="0070C0"/>
          <w:szCs w:val="24"/>
        </w:rPr>
        <w:t>1575167527@qq.com</w:t>
      </w:r>
    </w:p>
    <w:p w:rsidR="00083A08" w:rsidRDefault="00083A08"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Author information:</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(1)Department of Chronic Communicable Disease, Jiangsu Provincial Center for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Disease Control and Prevention, Nanjing,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(2)Anhui Province Clinical Research Center for Critical Respiratory Medicine,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The First Affiliated Hospital of Wannan Medical University (Yijishan Hospital of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Wannan Medical College), Wuhu,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lastRenderedPageBreak/>
        <w:t xml:space="preserve">(3)Department of Public Health, Changzhou Third People's Hospital, Zhouchang,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(#)Contributed equally</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5A205F">
        <w:rPr>
          <w:rFonts w:ascii="宋体" w:eastAsia="宋体" w:hAnsi="宋体" w:cs="宋体"/>
          <w:b/>
          <w:color w:val="000000" w:themeColor="text1"/>
          <w:szCs w:val="24"/>
        </w:rPr>
        <w:t xml:space="preserve">BACKGROUND: </w:t>
      </w:r>
      <w:r w:rsidRPr="00843320">
        <w:rPr>
          <w:rFonts w:ascii="宋体" w:eastAsia="宋体" w:hAnsi="宋体" w:cs="宋体"/>
          <w:color w:val="000000" w:themeColor="text1"/>
          <w:szCs w:val="24"/>
        </w:rPr>
        <w:t xml:space="preserve">Recent Mycobacterium tuberculosis infection (MTB) carries a higher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risk of progression to active tuberculosis (TB) than MTB infection, but the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immune features that distinguish these stages remain unclear.</w:t>
      </w:r>
    </w:p>
    <w:p w:rsidR="00843320" w:rsidRPr="00843320" w:rsidRDefault="00843320" w:rsidP="00843320">
      <w:pPr>
        <w:rPr>
          <w:rFonts w:ascii="宋体" w:eastAsia="宋体" w:hAnsi="宋体" w:cs="宋体"/>
          <w:color w:val="000000" w:themeColor="text1"/>
          <w:szCs w:val="24"/>
        </w:rPr>
      </w:pPr>
      <w:r w:rsidRPr="005A205F">
        <w:rPr>
          <w:rFonts w:ascii="宋体" w:eastAsia="宋体" w:hAnsi="宋体" w:cs="宋体"/>
          <w:b/>
          <w:color w:val="000000" w:themeColor="text1"/>
          <w:szCs w:val="24"/>
        </w:rPr>
        <w:t xml:space="preserve">METHODS: </w:t>
      </w:r>
      <w:r w:rsidRPr="00843320">
        <w:rPr>
          <w:rFonts w:ascii="宋体" w:eastAsia="宋体" w:hAnsi="宋体" w:cs="宋体"/>
          <w:color w:val="000000" w:themeColor="text1"/>
          <w:szCs w:val="24"/>
        </w:rPr>
        <w:t xml:space="preserve">In this multicenter observational study in Jiangsu Province, China, we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enrolled 228 participants with MTB infection (n =</w:t>
      </w:r>
      <w:r w:rsidRPr="00843320">
        <w:rPr>
          <w:rFonts w:ascii="Times New Roman" w:eastAsia="宋体" w:hAnsi="Times New Roman" w:cs="Times New Roman"/>
          <w:color w:val="000000" w:themeColor="text1"/>
          <w:szCs w:val="24"/>
        </w:rPr>
        <w:t> </w:t>
      </w:r>
      <w:r w:rsidRPr="00843320">
        <w:rPr>
          <w:rFonts w:ascii="宋体" w:eastAsia="宋体" w:hAnsi="宋体" w:cs="宋体"/>
          <w:color w:val="000000" w:themeColor="text1"/>
          <w:szCs w:val="24"/>
        </w:rPr>
        <w:t xml:space="preserve">88), recent infection (n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w:t>
      </w:r>
      <w:r w:rsidRPr="00843320">
        <w:rPr>
          <w:rFonts w:ascii="Times New Roman" w:eastAsia="宋体" w:hAnsi="Times New Roman" w:cs="Times New Roman"/>
          <w:color w:val="000000" w:themeColor="text1"/>
          <w:szCs w:val="24"/>
        </w:rPr>
        <w:t> </w:t>
      </w:r>
      <w:r w:rsidRPr="00843320">
        <w:rPr>
          <w:rFonts w:ascii="宋体" w:eastAsia="宋体" w:hAnsi="宋体" w:cs="宋体"/>
          <w:color w:val="000000" w:themeColor="text1"/>
          <w:szCs w:val="24"/>
        </w:rPr>
        <w:t>44), or active TB (n =</w:t>
      </w:r>
      <w:r w:rsidRPr="00843320">
        <w:rPr>
          <w:rFonts w:ascii="Times New Roman" w:eastAsia="宋体" w:hAnsi="Times New Roman" w:cs="Times New Roman"/>
          <w:color w:val="000000" w:themeColor="text1"/>
          <w:szCs w:val="24"/>
        </w:rPr>
        <w:t> </w:t>
      </w:r>
      <w:r w:rsidRPr="00843320">
        <w:rPr>
          <w:rFonts w:ascii="宋体" w:eastAsia="宋体" w:hAnsi="宋体" w:cs="宋体"/>
          <w:color w:val="000000" w:themeColor="text1"/>
          <w:szCs w:val="24"/>
        </w:rPr>
        <w:t xml:space="preserve">96). Twelve plasma cytokines and chemokines were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quantified using a multiplex Luminex platform. Group differences were assessed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using non-parametric tests with a two-stage false discovery rate (FDR)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correction and age- and sex-adjusted residual models. Biomarker performance was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evaluated by repeated Monte Carlo cross-validation using an ensemble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feature-selection framework. Post-hoc power analyses were conducted to evaluate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the robustness of subgroup comparisons.</w:t>
      </w:r>
    </w:p>
    <w:p w:rsidR="00843320" w:rsidRPr="00843320" w:rsidRDefault="00843320" w:rsidP="00843320">
      <w:pPr>
        <w:rPr>
          <w:rFonts w:ascii="宋体" w:eastAsia="宋体" w:hAnsi="宋体" w:cs="宋体"/>
          <w:color w:val="000000" w:themeColor="text1"/>
          <w:szCs w:val="24"/>
        </w:rPr>
      </w:pPr>
      <w:r w:rsidRPr="005A205F">
        <w:rPr>
          <w:rFonts w:ascii="宋体" w:eastAsia="宋体" w:hAnsi="宋体" w:cs="宋体"/>
          <w:b/>
          <w:color w:val="000000" w:themeColor="text1"/>
          <w:szCs w:val="24"/>
        </w:rPr>
        <w:t xml:space="preserve">RESULTS: </w:t>
      </w:r>
      <w:r w:rsidRPr="00843320">
        <w:rPr>
          <w:rFonts w:ascii="宋体" w:eastAsia="宋体" w:hAnsi="宋体" w:cs="宋体"/>
          <w:color w:val="000000" w:themeColor="text1"/>
          <w:szCs w:val="24"/>
        </w:rPr>
        <w:t xml:space="preserve">Age, but not sex, differed across groups. After age- and sex-adjusted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comparisons, six markers differed across groups. While recent infection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exhibited a trend toward higher IL-23 and IL-12 concentrations compared to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remote infection, post-hoc analysis revealed these subgroup differences had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small effect sizes and were statistically underpowered. In the combined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infection-vs.-TB comparison, IL-8 and CCL1 were higher in active TB, whereas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IL-23, IL-12, IL-10, and IL-1ra were lower. Among multivariable models, XGBoost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performed best (mean AUC 0.866), followed by the ensemble model (0.865)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random forest (0.861). Decision curve analysis suggested potential clinical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utility across exploratory threshold probabilities, although no clinically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validated operating point was predefined.</w:t>
      </w:r>
    </w:p>
    <w:p w:rsidR="00843320" w:rsidRPr="00843320" w:rsidRDefault="00843320" w:rsidP="00843320">
      <w:pPr>
        <w:rPr>
          <w:rFonts w:ascii="宋体" w:eastAsia="宋体" w:hAnsi="宋体" w:cs="宋体"/>
          <w:color w:val="000000" w:themeColor="text1"/>
          <w:szCs w:val="24"/>
        </w:rPr>
      </w:pPr>
      <w:r w:rsidRPr="005A205F">
        <w:rPr>
          <w:rFonts w:ascii="宋体" w:eastAsia="宋体" w:hAnsi="宋体" w:cs="宋体"/>
          <w:b/>
          <w:color w:val="000000" w:themeColor="text1"/>
          <w:szCs w:val="24"/>
        </w:rPr>
        <w:t xml:space="preserve">CONCLUSION: </w:t>
      </w:r>
      <w:r w:rsidRPr="00843320">
        <w:rPr>
          <w:rFonts w:ascii="宋体" w:eastAsia="宋体" w:hAnsi="宋体" w:cs="宋体"/>
          <w:color w:val="000000" w:themeColor="text1"/>
          <w:szCs w:val="24"/>
        </w:rPr>
        <w:t xml:space="preserve">Active TB exhibits a distinct peripheral cytokine pattern compared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to MTB infection. Recent infection may represent an exploratory trend toward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preserved Th1/Th17 signaling, though larger longitudinal cohorts are required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for confirmation. Peripheral cytokine profiles integrated into multivariable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models may provide complementary triage information, although external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validation is required before clinical application.</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Copyright © 2026 Lu, Li, Ding, Pan, Ding, Yao, Zhu, Huang and Liu.</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DOI: 10.3389/fmicb.2026.1865147</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PMCID: PMC13486253</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PMID: 42621029</w:t>
      </w:r>
    </w:p>
    <w:p w:rsidR="00843320" w:rsidRPr="00843320" w:rsidRDefault="00843320" w:rsidP="00843320">
      <w:pPr>
        <w:rPr>
          <w:rFonts w:ascii="宋体" w:eastAsia="宋体" w:hAnsi="宋体" w:cs="宋体"/>
          <w:color w:val="000000" w:themeColor="text1"/>
          <w:szCs w:val="24"/>
        </w:rPr>
      </w:pPr>
    </w:p>
    <w:p w:rsidR="00843320" w:rsidRPr="005A205F" w:rsidRDefault="004E4DF0" w:rsidP="00843320">
      <w:pPr>
        <w:rPr>
          <w:rFonts w:ascii="宋体" w:eastAsia="宋体" w:hAnsi="宋体" w:cs="宋体"/>
          <w:b/>
          <w:color w:val="FF0000"/>
          <w:szCs w:val="24"/>
        </w:rPr>
      </w:pPr>
      <w:r>
        <w:rPr>
          <w:rFonts w:ascii="宋体" w:eastAsia="宋体" w:hAnsi="宋体" w:cs="宋体"/>
          <w:b/>
          <w:color w:val="FF0000"/>
          <w:szCs w:val="24"/>
        </w:rPr>
        <w:t>24</w:t>
      </w:r>
      <w:r w:rsidR="00843320" w:rsidRPr="005A205F">
        <w:rPr>
          <w:rFonts w:ascii="宋体" w:eastAsia="宋体" w:hAnsi="宋体" w:cs="宋体"/>
          <w:b/>
          <w:color w:val="FF0000"/>
          <w:szCs w:val="24"/>
        </w:rPr>
        <w:t xml:space="preserve">. Front Med (Lausanne). 2026 Aug 5;13:1849446. doi: 10.3389/fmed.2026.1849446. </w:t>
      </w:r>
    </w:p>
    <w:p w:rsidR="00843320" w:rsidRPr="005A205F" w:rsidRDefault="00843320" w:rsidP="00843320">
      <w:pPr>
        <w:rPr>
          <w:rFonts w:ascii="宋体" w:eastAsia="宋体" w:hAnsi="宋体" w:cs="宋体"/>
          <w:b/>
          <w:color w:val="FF0000"/>
          <w:szCs w:val="24"/>
        </w:rPr>
      </w:pPr>
      <w:r w:rsidRPr="005A205F">
        <w:rPr>
          <w:rFonts w:ascii="宋体" w:eastAsia="宋体" w:hAnsi="宋体" w:cs="宋体"/>
          <w:b/>
          <w:color w:val="FF0000"/>
          <w:szCs w:val="24"/>
        </w:rPr>
        <w:t>eCollection 2026.</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Case Report: Single-cell metabolic labeling probe for diagnosing renal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lastRenderedPageBreak/>
        <w:t>tuberculosis.</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Zou Y(#)(1), Dai G(#)(1), Liu H(#)(1), Lin J(1), Liu D(1), Xu P(1), Lin Z(1),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Dai X(1), Zhou Y(1)(2), Zheng M(1)(3), Lu H(1)(4), Zhao P(1).</w:t>
      </w:r>
    </w:p>
    <w:p w:rsidR="00843320" w:rsidRDefault="00843320" w:rsidP="00843320">
      <w:pPr>
        <w:rPr>
          <w:rFonts w:ascii="宋体" w:eastAsia="宋体" w:hAnsi="宋体" w:cs="宋体"/>
          <w:color w:val="000000" w:themeColor="text1"/>
          <w:szCs w:val="24"/>
        </w:rPr>
      </w:pPr>
    </w:p>
    <w:p w:rsidR="0064016C" w:rsidRPr="00550487" w:rsidRDefault="0064016C" w:rsidP="00843320">
      <w:pPr>
        <w:rPr>
          <w:rFonts w:ascii="宋体" w:eastAsia="宋体" w:hAnsi="宋体" w:cs="宋体"/>
          <w:b/>
          <w:color w:val="0070C0"/>
          <w:szCs w:val="24"/>
        </w:rPr>
      </w:pPr>
      <w:r w:rsidRPr="00550487">
        <w:rPr>
          <w:rFonts w:ascii="宋体" w:eastAsia="宋体" w:hAnsi="宋体" w:cs="宋体"/>
          <w:b/>
          <w:color w:val="0070C0"/>
          <w:szCs w:val="24"/>
        </w:rPr>
        <w:t>Yuanyuan Zou,</w:t>
      </w:r>
      <w:r w:rsidR="00550487" w:rsidRPr="00550487">
        <w:rPr>
          <w:rFonts w:ascii="宋体" w:eastAsia="宋体" w:hAnsi="宋体" w:cs="宋体"/>
          <w:b/>
          <w:color w:val="0070C0"/>
          <w:szCs w:val="24"/>
        </w:rPr>
        <w:t xml:space="preserve"> </w:t>
      </w:r>
      <w:r w:rsidRPr="00550487">
        <w:rPr>
          <w:rFonts w:ascii="宋体" w:eastAsia="宋体" w:hAnsi="宋体" w:cs="宋体"/>
          <w:b/>
          <w:color w:val="0070C0"/>
          <w:szCs w:val="24"/>
        </w:rPr>
        <w:t>Guiqin Dai,</w:t>
      </w:r>
      <w:r w:rsidR="00550487" w:rsidRPr="00550487">
        <w:rPr>
          <w:rFonts w:ascii="宋体" w:eastAsia="宋体" w:hAnsi="宋体" w:cs="宋体"/>
          <w:b/>
          <w:color w:val="0070C0"/>
          <w:szCs w:val="24"/>
        </w:rPr>
        <w:t xml:space="preserve"> </w:t>
      </w:r>
      <w:r w:rsidRPr="00550487">
        <w:rPr>
          <w:rFonts w:ascii="宋体" w:eastAsia="宋体" w:hAnsi="宋体" w:cs="宋体"/>
          <w:b/>
          <w:color w:val="0070C0"/>
          <w:szCs w:val="24"/>
        </w:rPr>
        <w:t>Huiling Liu,</w:t>
      </w:r>
      <w:r w:rsidR="00550487" w:rsidRPr="00550487">
        <w:rPr>
          <w:rFonts w:ascii="宋体" w:eastAsia="宋体" w:hAnsi="宋体" w:cs="宋体"/>
          <w:b/>
          <w:color w:val="0070C0"/>
          <w:szCs w:val="24"/>
        </w:rPr>
        <w:t xml:space="preserve"> </w:t>
      </w:r>
      <w:r w:rsidRPr="00550487">
        <w:rPr>
          <w:rFonts w:ascii="宋体" w:eastAsia="宋体" w:hAnsi="宋体" w:cs="宋体"/>
          <w:b/>
          <w:color w:val="0070C0"/>
          <w:szCs w:val="24"/>
        </w:rPr>
        <w:t>Jie Lin,</w:t>
      </w:r>
      <w:r w:rsidR="00550487" w:rsidRPr="00550487">
        <w:rPr>
          <w:rFonts w:ascii="宋体" w:eastAsia="宋体" w:hAnsi="宋体" w:cs="宋体"/>
          <w:b/>
          <w:color w:val="0070C0"/>
          <w:szCs w:val="24"/>
        </w:rPr>
        <w:t xml:space="preserve"> </w:t>
      </w:r>
      <w:r w:rsidRPr="00550487">
        <w:rPr>
          <w:rFonts w:ascii="宋体" w:eastAsia="宋体" w:hAnsi="宋体" w:cs="宋体"/>
          <w:b/>
          <w:color w:val="0070C0"/>
          <w:szCs w:val="24"/>
        </w:rPr>
        <w:t>Deliang Liu,</w:t>
      </w:r>
      <w:r w:rsidR="00550487" w:rsidRPr="00550487">
        <w:rPr>
          <w:rFonts w:ascii="宋体" w:eastAsia="宋体" w:hAnsi="宋体" w:cs="宋体"/>
          <w:b/>
          <w:color w:val="0070C0"/>
          <w:szCs w:val="24"/>
        </w:rPr>
        <w:t xml:space="preserve"> </w:t>
      </w:r>
      <w:r w:rsidRPr="00550487">
        <w:rPr>
          <w:rFonts w:ascii="宋体" w:eastAsia="宋体" w:hAnsi="宋体" w:cs="宋体"/>
          <w:b/>
          <w:color w:val="0070C0"/>
          <w:szCs w:val="24"/>
        </w:rPr>
        <w:t>Pengli Xu,</w:t>
      </w:r>
      <w:r w:rsidR="00550487" w:rsidRPr="00550487">
        <w:rPr>
          <w:rFonts w:ascii="宋体" w:eastAsia="宋体" w:hAnsi="宋体" w:cs="宋体"/>
          <w:b/>
          <w:color w:val="0070C0"/>
          <w:szCs w:val="24"/>
        </w:rPr>
        <w:t xml:space="preserve"> </w:t>
      </w:r>
      <w:r w:rsidRPr="00550487">
        <w:rPr>
          <w:rFonts w:ascii="宋体" w:eastAsia="宋体" w:hAnsi="宋体" w:cs="宋体"/>
          <w:b/>
          <w:color w:val="0070C0"/>
          <w:szCs w:val="24"/>
        </w:rPr>
        <w:t>Zhiqiang Lin,</w:t>
      </w:r>
      <w:r w:rsidR="00550487" w:rsidRPr="00550487">
        <w:rPr>
          <w:rFonts w:ascii="宋体" w:eastAsia="宋体" w:hAnsi="宋体" w:cs="宋体"/>
          <w:b/>
          <w:color w:val="0070C0"/>
          <w:szCs w:val="24"/>
        </w:rPr>
        <w:t xml:space="preserve"> </w:t>
      </w:r>
      <w:r w:rsidRPr="00550487">
        <w:rPr>
          <w:rFonts w:ascii="宋体" w:eastAsia="宋体" w:hAnsi="宋体" w:cs="宋体"/>
          <w:b/>
          <w:color w:val="0070C0"/>
          <w:szCs w:val="24"/>
        </w:rPr>
        <w:t>Xiafei Dai,</w:t>
      </w:r>
      <w:r w:rsidR="00550487" w:rsidRPr="00550487">
        <w:rPr>
          <w:rFonts w:ascii="宋体" w:eastAsia="宋体" w:hAnsi="宋体" w:cs="宋体"/>
          <w:b/>
          <w:color w:val="0070C0"/>
          <w:szCs w:val="24"/>
        </w:rPr>
        <w:t xml:space="preserve"> </w:t>
      </w:r>
      <w:r w:rsidRPr="00550487">
        <w:rPr>
          <w:rFonts w:ascii="宋体" w:eastAsia="宋体" w:hAnsi="宋体" w:cs="宋体"/>
          <w:b/>
          <w:color w:val="0070C0"/>
          <w:szCs w:val="24"/>
        </w:rPr>
        <w:t>Yang Zhou</w:t>
      </w:r>
      <w:r w:rsidR="00550487" w:rsidRPr="00550487">
        <w:rPr>
          <w:rFonts w:ascii="宋体" w:eastAsia="宋体" w:hAnsi="宋体" w:cs="宋体" w:hint="eastAsia"/>
          <w:b/>
          <w:color w:val="0070C0"/>
          <w:szCs w:val="24"/>
        </w:rPr>
        <w:t>*</w:t>
      </w:r>
      <w:r w:rsidRPr="00550487">
        <w:rPr>
          <w:rFonts w:ascii="宋体" w:eastAsia="宋体" w:hAnsi="宋体" w:cs="宋体"/>
          <w:b/>
          <w:color w:val="0070C0"/>
          <w:szCs w:val="24"/>
        </w:rPr>
        <w:t>,</w:t>
      </w:r>
      <w:r w:rsidR="00550487" w:rsidRPr="00550487">
        <w:rPr>
          <w:rFonts w:ascii="宋体" w:eastAsia="宋体" w:hAnsi="宋体" w:cs="宋体"/>
          <w:b/>
          <w:color w:val="0070C0"/>
          <w:szCs w:val="24"/>
        </w:rPr>
        <w:t xml:space="preserve"> </w:t>
      </w:r>
      <w:r w:rsidRPr="00550487">
        <w:rPr>
          <w:rFonts w:ascii="宋体" w:eastAsia="宋体" w:hAnsi="宋体" w:cs="宋体"/>
          <w:b/>
          <w:color w:val="0070C0"/>
          <w:szCs w:val="24"/>
        </w:rPr>
        <w:t>Mingbin Zheng</w:t>
      </w:r>
      <w:r w:rsidR="00550487" w:rsidRPr="00550487">
        <w:rPr>
          <w:rFonts w:ascii="宋体" w:eastAsia="宋体" w:hAnsi="宋体" w:cs="宋体" w:hint="eastAsia"/>
          <w:b/>
          <w:color w:val="0070C0"/>
          <w:szCs w:val="24"/>
        </w:rPr>
        <w:t>*</w:t>
      </w:r>
      <w:r w:rsidRPr="00550487">
        <w:rPr>
          <w:rFonts w:ascii="宋体" w:eastAsia="宋体" w:hAnsi="宋体" w:cs="宋体"/>
          <w:b/>
          <w:color w:val="0070C0"/>
          <w:szCs w:val="24"/>
        </w:rPr>
        <w:t>,</w:t>
      </w:r>
      <w:r w:rsidR="00550487" w:rsidRPr="00550487">
        <w:rPr>
          <w:rFonts w:ascii="宋体" w:eastAsia="宋体" w:hAnsi="宋体" w:cs="宋体"/>
          <w:b/>
          <w:color w:val="0070C0"/>
          <w:szCs w:val="24"/>
        </w:rPr>
        <w:t xml:space="preserve"> </w:t>
      </w:r>
      <w:r w:rsidRPr="00550487">
        <w:rPr>
          <w:rFonts w:ascii="宋体" w:eastAsia="宋体" w:hAnsi="宋体" w:cs="宋体"/>
          <w:b/>
          <w:color w:val="0070C0"/>
          <w:szCs w:val="24"/>
        </w:rPr>
        <w:t>Hongzhou Lu</w:t>
      </w:r>
      <w:r w:rsidR="00550487" w:rsidRPr="00550487">
        <w:rPr>
          <w:rFonts w:ascii="宋体" w:eastAsia="宋体" w:hAnsi="宋体" w:cs="宋体" w:hint="eastAsia"/>
          <w:b/>
          <w:color w:val="0070C0"/>
          <w:szCs w:val="24"/>
        </w:rPr>
        <w:t>*</w:t>
      </w:r>
      <w:r w:rsidRPr="00550487">
        <w:rPr>
          <w:rFonts w:ascii="宋体" w:eastAsia="宋体" w:hAnsi="宋体" w:cs="宋体"/>
          <w:b/>
          <w:color w:val="0070C0"/>
          <w:szCs w:val="24"/>
        </w:rPr>
        <w:t>,</w:t>
      </w:r>
      <w:r w:rsidR="00550487" w:rsidRPr="00550487">
        <w:rPr>
          <w:rFonts w:ascii="宋体" w:eastAsia="宋体" w:hAnsi="宋体" w:cs="宋体"/>
          <w:b/>
          <w:color w:val="0070C0"/>
          <w:szCs w:val="24"/>
        </w:rPr>
        <w:t xml:space="preserve"> </w:t>
      </w:r>
      <w:r w:rsidRPr="00550487">
        <w:rPr>
          <w:rFonts w:ascii="宋体" w:eastAsia="宋体" w:hAnsi="宋体" w:cs="宋体"/>
          <w:b/>
          <w:color w:val="0070C0"/>
          <w:szCs w:val="24"/>
        </w:rPr>
        <w:t>Pengfei Zhao</w:t>
      </w:r>
      <w:r w:rsidR="00550487" w:rsidRPr="00550487">
        <w:rPr>
          <w:rFonts w:ascii="宋体" w:eastAsia="宋体" w:hAnsi="宋体" w:cs="宋体" w:hint="eastAsia"/>
          <w:b/>
          <w:color w:val="0070C0"/>
          <w:szCs w:val="24"/>
        </w:rPr>
        <w:t>*</w:t>
      </w:r>
    </w:p>
    <w:p w:rsidR="0064016C" w:rsidRPr="00550487" w:rsidRDefault="00550487" w:rsidP="00550487">
      <w:pPr>
        <w:jc w:val="left"/>
        <w:rPr>
          <w:rFonts w:ascii="宋体" w:eastAsia="宋体" w:hAnsi="宋体" w:cs="宋体"/>
          <w:b/>
          <w:color w:val="0070C0"/>
          <w:szCs w:val="24"/>
        </w:rPr>
      </w:pPr>
      <w:r w:rsidRPr="00550487">
        <w:rPr>
          <w:rFonts w:ascii="宋体" w:eastAsia="宋体" w:hAnsi="宋体" w:cs="宋体"/>
          <w:b/>
          <w:color w:val="0070C0"/>
          <w:szCs w:val="24"/>
        </w:rPr>
        <w:t>*CORRESPONDENCE Pengfei Zhao</w:t>
      </w:r>
      <w:r w:rsidRPr="00550487">
        <w:rPr>
          <w:rFonts w:ascii="宋体" w:eastAsia="宋体" w:hAnsi="宋体" w:cs="宋体" w:hint="eastAsia"/>
          <w:b/>
          <w:color w:val="0070C0"/>
          <w:szCs w:val="24"/>
        </w:rPr>
        <w:t>，</w:t>
      </w:r>
      <w:r w:rsidRPr="00550487">
        <w:rPr>
          <w:rFonts w:ascii="宋体" w:eastAsia="宋体" w:hAnsi="宋体" w:cs="宋体"/>
          <w:b/>
          <w:color w:val="0070C0"/>
          <w:szCs w:val="24"/>
        </w:rPr>
        <w:t xml:space="preserve">pengfeizhao@aliyun.com </w:t>
      </w:r>
      <w:r w:rsidRPr="00550487">
        <w:rPr>
          <w:rFonts w:ascii="宋体" w:eastAsia="宋体" w:hAnsi="宋体" w:cs="宋体" w:hint="eastAsia"/>
          <w:b/>
          <w:color w:val="0070C0"/>
          <w:szCs w:val="24"/>
        </w:rPr>
        <w:t>；</w:t>
      </w:r>
      <w:r w:rsidRPr="00550487">
        <w:rPr>
          <w:rFonts w:ascii="宋体" w:eastAsia="宋体" w:hAnsi="宋体" w:cs="宋体"/>
          <w:b/>
          <w:color w:val="0070C0"/>
          <w:szCs w:val="24"/>
        </w:rPr>
        <w:t>Yang Zhou</w:t>
      </w:r>
      <w:r w:rsidRPr="00550487">
        <w:rPr>
          <w:rFonts w:ascii="宋体" w:eastAsia="宋体" w:hAnsi="宋体" w:cs="宋体" w:hint="eastAsia"/>
          <w:b/>
          <w:color w:val="0070C0"/>
          <w:szCs w:val="24"/>
        </w:rPr>
        <w:t>，</w:t>
      </w:r>
      <w:r w:rsidRPr="00550487">
        <w:rPr>
          <w:rFonts w:ascii="宋体" w:eastAsia="宋体" w:hAnsi="宋体" w:cs="宋体"/>
          <w:b/>
          <w:color w:val="0070C0"/>
          <w:szCs w:val="24"/>
        </w:rPr>
        <w:t xml:space="preserve"> yangzhou@szsy.sustech.edu.cn </w:t>
      </w:r>
      <w:r w:rsidRPr="00550487">
        <w:rPr>
          <w:rFonts w:ascii="宋体" w:eastAsia="宋体" w:hAnsi="宋体" w:cs="宋体" w:hint="eastAsia"/>
          <w:b/>
          <w:color w:val="0070C0"/>
          <w:szCs w:val="24"/>
        </w:rPr>
        <w:t>；</w:t>
      </w:r>
      <w:r w:rsidRPr="00550487">
        <w:rPr>
          <w:rFonts w:ascii="宋体" w:eastAsia="宋体" w:hAnsi="宋体" w:cs="宋体"/>
          <w:b/>
          <w:color w:val="0070C0"/>
          <w:szCs w:val="24"/>
        </w:rPr>
        <w:t>Mingbin Zheng</w:t>
      </w:r>
      <w:r w:rsidRPr="00550487">
        <w:rPr>
          <w:rFonts w:ascii="宋体" w:eastAsia="宋体" w:hAnsi="宋体" w:cs="宋体" w:hint="eastAsia"/>
          <w:b/>
          <w:color w:val="0070C0"/>
          <w:szCs w:val="24"/>
        </w:rPr>
        <w:t>，</w:t>
      </w:r>
      <w:r w:rsidRPr="00550487">
        <w:rPr>
          <w:rFonts w:ascii="宋体" w:eastAsia="宋体" w:hAnsi="宋体" w:cs="宋体"/>
          <w:b/>
          <w:color w:val="0070C0"/>
          <w:szCs w:val="24"/>
        </w:rPr>
        <w:t xml:space="preserve">mingbinzheng@126.com </w:t>
      </w:r>
      <w:r w:rsidRPr="00550487">
        <w:rPr>
          <w:rFonts w:ascii="宋体" w:eastAsia="宋体" w:hAnsi="宋体" w:cs="宋体" w:hint="eastAsia"/>
          <w:b/>
          <w:color w:val="0070C0"/>
          <w:szCs w:val="24"/>
        </w:rPr>
        <w:t>；</w:t>
      </w:r>
      <w:r w:rsidRPr="00550487">
        <w:rPr>
          <w:rFonts w:ascii="宋体" w:eastAsia="宋体" w:hAnsi="宋体" w:cs="宋体"/>
          <w:b/>
          <w:color w:val="0070C0"/>
          <w:szCs w:val="24"/>
        </w:rPr>
        <w:t>Hongzhou Lu</w:t>
      </w:r>
      <w:r w:rsidRPr="00550487">
        <w:rPr>
          <w:rFonts w:ascii="宋体" w:eastAsia="宋体" w:hAnsi="宋体" w:cs="宋体" w:hint="eastAsia"/>
          <w:b/>
          <w:color w:val="0070C0"/>
          <w:szCs w:val="24"/>
        </w:rPr>
        <w:t>，</w:t>
      </w:r>
      <w:r w:rsidRPr="00550487">
        <w:rPr>
          <w:rFonts w:ascii="宋体" w:eastAsia="宋体" w:hAnsi="宋体" w:cs="宋体"/>
          <w:b/>
          <w:color w:val="0070C0"/>
          <w:szCs w:val="24"/>
        </w:rPr>
        <w:t>luhongzhou@fudan.edu.cn</w:t>
      </w:r>
    </w:p>
    <w:p w:rsidR="0064016C" w:rsidRDefault="0064016C"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Author information:</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(1)National Clinical Research Center for Infectious Disease, Shenzhen Third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People's Hospital, Southern University of Science and Technology, Shenzhen,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(2)Molecular Biology Research Center and Center for Medical Genetics, School of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Life Sciences, Central South University, Changsha,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(3)The Affiliated Dongguan Songshan Lake Central Hospital, Guangdong Medical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University, Dongguan,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(4)Shenzhen Key Laboratory for Infectious Diseases, Shenzhen Third People's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Hospital, Shenzhen,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(#)Contributed equally</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Extrapulmonary tuberculosis (EPTB) is characterized by low bacterial load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complex matrix in lesion samples. Therefore, current tuberculosis (TB)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diagnostic methods often lose sensitivity to detect Mycobacterium tuberculosis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(Mtb), leading to missed diagnosis and delayed treatment. Herein, we presented a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single-cell metabolic labeling probe for tuberculosis (SCMLP-TB), which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exhibited supporting investigative evidence for diagnosis of renal TB case,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enabled investigative monitoring of therapeutic efficacy of anti-TB regimens. A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51-year-old patient presented with fever, generalized weakness and muscle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soreness on admission. Chest computed tomography (CT) revealed calcified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mediastinal lymph nodes, and relevant renal function indicators were abnormal.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Conventional TB diagnostic methods, including Xpert MTB/RIF, TB-DNA testing,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culture, yielded negative results using sputum, blood, and urine samples.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Notably, SCMLP-TB assay detected Mtb in urine samples, suspecting renal TB.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SCMLP-TB assay further detected gradually decreased bacterial viability along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with anti-TB treatment (isoniazid, rifapentine, ethambutol, and pyrazinamide),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revealing the efficacy of current regimen. The patient's symptom resolution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anemia/renal function improvement provided auxiliary evidence of antimicrobial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efficacy. Ultimately, SCMLP-TB showed great potential for non-invasive,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sensitive detection of suspected renal TB, and enabled investigative monitoring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of the therapeutic efficacy.</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lastRenderedPageBreak/>
        <w:t xml:space="preserve">Copyright © 2026 Zou, Dai, Liu, Lin, Liu, Xu, Lin, Dai, Zhou, Zheng, Lu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Zhao.</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DOI: 10.3389/fmed.2026.1849446</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PMCID: PMC13486178</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PMID: 42621014</w:t>
      </w:r>
    </w:p>
    <w:p w:rsidR="00843320" w:rsidRPr="00843320" w:rsidRDefault="00843320" w:rsidP="00843320">
      <w:pPr>
        <w:rPr>
          <w:rFonts w:ascii="宋体" w:eastAsia="宋体" w:hAnsi="宋体" w:cs="宋体"/>
          <w:color w:val="000000" w:themeColor="text1"/>
          <w:szCs w:val="24"/>
        </w:rPr>
      </w:pPr>
    </w:p>
    <w:p w:rsidR="00843320" w:rsidRPr="005A205F" w:rsidRDefault="004E4DF0" w:rsidP="00843320">
      <w:pPr>
        <w:rPr>
          <w:rFonts w:ascii="宋体" w:eastAsia="宋体" w:hAnsi="宋体" w:cs="宋体"/>
          <w:b/>
          <w:color w:val="FF0000"/>
          <w:szCs w:val="24"/>
        </w:rPr>
      </w:pPr>
      <w:r>
        <w:rPr>
          <w:rFonts w:ascii="宋体" w:eastAsia="宋体" w:hAnsi="宋体" w:cs="宋体"/>
          <w:b/>
          <w:color w:val="FF0000"/>
          <w:szCs w:val="24"/>
        </w:rPr>
        <w:t>25</w:t>
      </w:r>
      <w:r w:rsidR="00843320" w:rsidRPr="005A205F">
        <w:rPr>
          <w:rFonts w:ascii="宋体" w:eastAsia="宋体" w:hAnsi="宋体" w:cs="宋体"/>
          <w:b/>
          <w:color w:val="FF0000"/>
          <w:szCs w:val="24"/>
        </w:rPr>
        <w:t xml:space="preserve">. Front Cell Infect Microbiol. 2026 Aug 5;16:1823104. doi: </w:t>
      </w:r>
    </w:p>
    <w:p w:rsidR="00843320" w:rsidRPr="005A205F" w:rsidRDefault="00843320" w:rsidP="00843320">
      <w:pPr>
        <w:rPr>
          <w:rFonts w:ascii="宋体" w:eastAsia="宋体" w:hAnsi="宋体" w:cs="宋体"/>
          <w:b/>
          <w:color w:val="FF0000"/>
          <w:szCs w:val="24"/>
        </w:rPr>
      </w:pPr>
      <w:r w:rsidRPr="005A205F">
        <w:rPr>
          <w:rFonts w:ascii="宋体" w:eastAsia="宋体" w:hAnsi="宋体" w:cs="宋体"/>
          <w:b/>
          <w:color w:val="FF0000"/>
          <w:szCs w:val="24"/>
        </w:rPr>
        <w:t>10.3389/fcimb.2026.1823104. eCollection 2026.</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Longitudinal dynamics and treatment-associated determinants of interferon-gamma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responses in tuberculosis: a 10-year retrospective QuantiFERON-TB Gold study.</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Yang C(1), Shi X(1), Zhang S(1), Hu H(1), Liu Y(1), Hao X(1), Sha W(1).</w:t>
      </w:r>
    </w:p>
    <w:p w:rsidR="00843320" w:rsidRDefault="00843320" w:rsidP="00843320">
      <w:pPr>
        <w:rPr>
          <w:rFonts w:ascii="宋体" w:eastAsia="宋体" w:hAnsi="宋体" w:cs="宋体"/>
          <w:color w:val="000000" w:themeColor="text1"/>
          <w:szCs w:val="24"/>
        </w:rPr>
      </w:pPr>
    </w:p>
    <w:p w:rsidR="00B24147" w:rsidRPr="00BD63BC" w:rsidRDefault="00B24147" w:rsidP="00843320">
      <w:pPr>
        <w:rPr>
          <w:rFonts w:ascii="宋体" w:eastAsia="宋体" w:hAnsi="宋体" w:cs="宋体"/>
          <w:b/>
          <w:color w:val="0070C0"/>
          <w:szCs w:val="24"/>
        </w:rPr>
      </w:pPr>
      <w:r w:rsidRPr="00BD63BC">
        <w:rPr>
          <w:rFonts w:ascii="宋体" w:eastAsia="宋体" w:hAnsi="宋体" w:cs="宋体"/>
          <w:b/>
          <w:color w:val="0070C0"/>
          <w:szCs w:val="24"/>
        </w:rPr>
        <w:t>Chi Yang</w:t>
      </w:r>
      <w:r w:rsidR="00BD63BC" w:rsidRPr="00BD63BC">
        <w:rPr>
          <w:rFonts w:ascii="宋体" w:eastAsia="宋体" w:hAnsi="宋体" w:cs="宋体" w:hint="eastAsia"/>
          <w:b/>
          <w:color w:val="0070C0"/>
          <w:szCs w:val="24"/>
        </w:rPr>
        <w:t>*</w:t>
      </w:r>
      <w:r w:rsidRPr="00BD63BC">
        <w:rPr>
          <w:rFonts w:ascii="宋体" w:eastAsia="宋体" w:hAnsi="宋体" w:cs="宋体"/>
          <w:b/>
          <w:color w:val="0070C0"/>
          <w:szCs w:val="24"/>
        </w:rPr>
        <w:t>,</w:t>
      </w:r>
      <w:r w:rsidR="00BD63BC" w:rsidRPr="00BD63BC">
        <w:rPr>
          <w:rFonts w:ascii="宋体" w:eastAsia="宋体" w:hAnsi="宋体" w:cs="宋体"/>
          <w:b/>
          <w:color w:val="0070C0"/>
          <w:szCs w:val="24"/>
        </w:rPr>
        <w:t xml:space="preserve"> </w:t>
      </w:r>
      <w:r w:rsidRPr="00BD63BC">
        <w:rPr>
          <w:rFonts w:ascii="宋体" w:eastAsia="宋体" w:hAnsi="宋体" w:cs="宋体"/>
          <w:b/>
          <w:color w:val="0070C0"/>
          <w:szCs w:val="24"/>
        </w:rPr>
        <w:t>Xiang Shi,</w:t>
      </w:r>
      <w:r w:rsidR="00BD63BC" w:rsidRPr="00BD63BC">
        <w:rPr>
          <w:rFonts w:ascii="宋体" w:eastAsia="宋体" w:hAnsi="宋体" w:cs="宋体"/>
          <w:b/>
          <w:color w:val="0070C0"/>
          <w:szCs w:val="24"/>
        </w:rPr>
        <w:t xml:space="preserve"> </w:t>
      </w:r>
      <w:r w:rsidRPr="00BD63BC">
        <w:rPr>
          <w:rFonts w:ascii="宋体" w:eastAsia="宋体" w:hAnsi="宋体" w:cs="宋体"/>
          <w:b/>
          <w:color w:val="0070C0"/>
          <w:szCs w:val="24"/>
        </w:rPr>
        <w:t>Shaojun Zhang,</w:t>
      </w:r>
      <w:r w:rsidR="00BD63BC" w:rsidRPr="00BD63BC">
        <w:rPr>
          <w:rFonts w:ascii="宋体" w:eastAsia="宋体" w:hAnsi="宋体" w:cs="宋体"/>
          <w:b/>
          <w:color w:val="0070C0"/>
          <w:szCs w:val="24"/>
        </w:rPr>
        <w:t xml:space="preserve"> </w:t>
      </w:r>
      <w:r w:rsidRPr="00BD63BC">
        <w:rPr>
          <w:rFonts w:ascii="宋体" w:eastAsia="宋体" w:hAnsi="宋体" w:cs="宋体"/>
          <w:b/>
          <w:color w:val="0070C0"/>
          <w:szCs w:val="24"/>
        </w:rPr>
        <w:t>Haili Hu,</w:t>
      </w:r>
      <w:r w:rsidR="00BD63BC" w:rsidRPr="00BD63BC">
        <w:rPr>
          <w:rFonts w:ascii="宋体" w:eastAsia="宋体" w:hAnsi="宋体" w:cs="宋体"/>
          <w:b/>
          <w:color w:val="0070C0"/>
          <w:szCs w:val="24"/>
        </w:rPr>
        <w:t xml:space="preserve"> </w:t>
      </w:r>
      <w:r w:rsidRPr="00BD63BC">
        <w:rPr>
          <w:rFonts w:ascii="宋体" w:eastAsia="宋体" w:hAnsi="宋体" w:cs="宋体"/>
          <w:b/>
          <w:color w:val="0070C0"/>
          <w:szCs w:val="24"/>
        </w:rPr>
        <w:t>Yidian Liu,</w:t>
      </w:r>
      <w:r w:rsidR="00BD63BC" w:rsidRPr="00BD63BC">
        <w:rPr>
          <w:rFonts w:ascii="宋体" w:eastAsia="宋体" w:hAnsi="宋体" w:cs="宋体"/>
          <w:b/>
          <w:color w:val="0070C0"/>
          <w:szCs w:val="24"/>
        </w:rPr>
        <w:t xml:space="preserve"> </w:t>
      </w:r>
      <w:r w:rsidRPr="00BD63BC">
        <w:rPr>
          <w:rFonts w:ascii="宋体" w:eastAsia="宋体" w:hAnsi="宋体" w:cs="宋体"/>
          <w:b/>
          <w:color w:val="0070C0"/>
          <w:szCs w:val="24"/>
        </w:rPr>
        <w:t>Xiaohui Hao,</w:t>
      </w:r>
      <w:r w:rsidR="00BD63BC" w:rsidRPr="00BD63BC">
        <w:rPr>
          <w:rFonts w:ascii="宋体" w:eastAsia="宋体" w:hAnsi="宋体" w:cs="宋体"/>
          <w:b/>
          <w:color w:val="0070C0"/>
          <w:szCs w:val="24"/>
        </w:rPr>
        <w:t xml:space="preserve"> </w:t>
      </w:r>
      <w:r w:rsidRPr="00BD63BC">
        <w:rPr>
          <w:rFonts w:ascii="宋体" w:eastAsia="宋体" w:hAnsi="宋体" w:cs="宋体"/>
          <w:b/>
          <w:color w:val="0070C0"/>
          <w:szCs w:val="24"/>
        </w:rPr>
        <w:t>Wei Sha</w:t>
      </w:r>
      <w:r w:rsidR="00BD63BC" w:rsidRPr="00BD63BC">
        <w:rPr>
          <w:rFonts w:ascii="宋体" w:eastAsia="宋体" w:hAnsi="宋体" w:cs="宋体" w:hint="eastAsia"/>
          <w:b/>
          <w:color w:val="0070C0"/>
          <w:szCs w:val="24"/>
        </w:rPr>
        <w:t>*</w:t>
      </w:r>
    </w:p>
    <w:p w:rsidR="00B24147" w:rsidRPr="00BD63BC" w:rsidRDefault="00BD63BC" w:rsidP="00843320">
      <w:pPr>
        <w:rPr>
          <w:rFonts w:ascii="宋体" w:eastAsia="宋体" w:hAnsi="宋体" w:cs="宋体"/>
          <w:b/>
          <w:color w:val="0070C0"/>
          <w:szCs w:val="24"/>
        </w:rPr>
      </w:pPr>
      <w:r w:rsidRPr="00BD63BC">
        <w:rPr>
          <w:rFonts w:ascii="宋体" w:eastAsia="宋体" w:hAnsi="宋体" w:cs="宋体"/>
          <w:b/>
          <w:color w:val="0070C0"/>
          <w:szCs w:val="24"/>
        </w:rPr>
        <w:t>*CORRESPONDENCE Wei Sha</w:t>
      </w:r>
      <w:r w:rsidRPr="00BD63BC">
        <w:rPr>
          <w:rFonts w:ascii="宋体" w:eastAsia="宋体" w:hAnsi="宋体" w:cs="宋体" w:hint="eastAsia"/>
          <w:b/>
          <w:color w:val="0070C0"/>
          <w:szCs w:val="24"/>
        </w:rPr>
        <w:t>，</w:t>
      </w:r>
      <w:r w:rsidRPr="00BD63BC">
        <w:rPr>
          <w:rFonts w:ascii="宋体" w:eastAsia="宋体" w:hAnsi="宋体" w:cs="宋体"/>
          <w:b/>
          <w:color w:val="0070C0"/>
          <w:szCs w:val="24"/>
        </w:rPr>
        <w:t xml:space="preserve">shfksw@126.com </w:t>
      </w:r>
      <w:r w:rsidRPr="00BD63BC">
        <w:rPr>
          <w:rFonts w:ascii="宋体" w:eastAsia="宋体" w:hAnsi="宋体" w:cs="宋体" w:hint="eastAsia"/>
          <w:b/>
          <w:color w:val="0070C0"/>
          <w:szCs w:val="24"/>
        </w:rPr>
        <w:t>；</w:t>
      </w:r>
      <w:r w:rsidRPr="00BD63BC">
        <w:rPr>
          <w:rFonts w:ascii="宋体" w:eastAsia="宋体" w:hAnsi="宋体" w:cs="宋体"/>
          <w:b/>
          <w:color w:val="0070C0"/>
          <w:szCs w:val="24"/>
        </w:rPr>
        <w:t>Chi Yang</w:t>
      </w:r>
      <w:r w:rsidRPr="00BD63BC">
        <w:rPr>
          <w:rFonts w:ascii="宋体" w:eastAsia="宋体" w:hAnsi="宋体" w:cs="宋体" w:hint="eastAsia"/>
          <w:b/>
          <w:color w:val="0070C0"/>
          <w:szCs w:val="24"/>
        </w:rPr>
        <w:t>，</w:t>
      </w:r>
      <w:r w:rsidRPr="00BD63BC">
        <w:rPr>
          <w:rFonts w:ascii="宋体" w:eastAsia="宋体" w:hAnsi="宋体" w:cs="宋体"/>
          <w:b/>
          <w:color w:val="0070C0"/>
          <w:szCs w:val="24"/>
        </w:rPr>
        <w:t>yangchi@tongji.edu.cn</w:t>
      </w:r>
    </w:p>
    <w:p w:rsidR="00B24147" w:rsidRDefault="00B24147"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Author information:</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(1)Shanghai Clinical Research Center for Tuberculosis, Shanghai Pulmonary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Hospital, Tongji University School of Medicine, Shanghai, China.</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Monitoring treatment efficacy and detecting recurrence are critical in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tuberculosis (TB) management. However, longitudinal patterns of interferon-gamma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release assay (IGRA) results and the quantitative influence of factors such as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treatment remain poorly characterized, leaving its long-term performance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unclear. This study aimed to investigate longitudinal changes in IGRA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explore their potential utility for monitoring immune dynamics and treatment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response. We retrospectively examined 491 patients with two QuantiFERON-TB Gold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hint="eastAsia"/>
          <w:color w:val="000000" w:themeColor="text1"/>
          <w:szCs w:val="24"/>
        </w:rPr>
        <w:t xml:space="preserve">tests (≥1-month interval) between 2013 and 2024. Analyses included moving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average plots, linear regression, and stratification by time interval, treatment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status, and treatment response. Multivariable regression and receiver operating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characteristic analyses were performed to identify significant predictors.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Longitudinal analysis revealed a significant but weak negative correlation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between interferon-gamma (IFN-γ) levels and time, with an estimated decline of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-0.33 IU/year (r = -0.17, P = 0.0001), albeit with poor model fit (R2 = 0.03,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relative root mean square error = 16.33%). Moving average trajectories showed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significant differences in changes in IFN-γ levels between treated and untreated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subgroups (mean: -0.89 IU/mL, P &lt; 0.001) and between therapy-converted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refractory subgroups (mean: 0.82 IU/mL, P &lt; 0.0001). However, receiver operating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characteristic analyses indicated poor discriminative power for these clinical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hint="eastAsia"/>
          <w:color w:val="000000" w:themeColor="text1"/>
          <w:szCs w:val="24"/>
        </w:rPr>
        <w:t xml:space="preserve">statuses (area under the curve ≤ 0.582). Multivariable regression analysis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confirmed diabetes mellitus as an independent factor associated with IFN-γ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decreases (coefficient: -1.082, P = 0.040), alongside anti-TB treatment and the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lastRenderedPageBreak/>
        <w:t xml:space="preserve">testing interval. The waning of IGRA reactivity was evident during TB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post-TB phases. However, despite significant associations with treatment status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and treatment response, substantial variability limits its clinical utility.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Therefore, QFT trends require cautious interpretation, driving the need for a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more reliable assay or superior biomarkers.</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Copyright © 2026 Yang, Shi, Zhang, Hu, Liu, Hao and Sha.</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DOI: 10.3389/fcimb.2026.1823104</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PMCID: PMC13485823</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PMID: 42620789 [Indexed for MEDLINE]</w:t>
      </w:r>
    </w:p>
    <w:p w:rsidR="00843320" w:rsidRPr="00843320" w:rsidRDefault="00843320" w:rsidP="00843320">
      <w:pPr>
        <w:rPr>
          <w:rFonts w:ascii="宋体" w:eastAsia="宋体" w:hAnsi="宋体" w:cs="宋体"/>
          <w:color w:val="000000" w:themeColor="text1"/>
          <w:szCs w:val="24"/>
        </w:rPr>
      </w:pPr>
    </w:p>
    <w:p w:rsidR="00843320" w:rsidRPr="005A205F" w:rsidRDefault="004E4DF0" w:rsidP="00843320">
      <w:pPr>
        <w:rPr>
          <w:rFonts w:ascii="宋体" w:eastAsia="宋体" w:hAnsi="宋体" w:cs="宋体"/>
          <w:b/>
          <w:color w:val="FF0000"/>
          <w:szCs w:val="24"/>
        </w:rPr>
      </w:pPr>
      <w:r>
        <w:rPr>
          <w:rFonts w:ascii="宋体" w:eastAsia="宋体" w:hAnsi="宋体" w:cs="宋体"/>
          <w:b/>
          <w:color w:val="FF0000"/>
          <w:szCs w:val="24"/>
        </w:rPr>
        <w:t>26</w:t>
      </w:r>
      <w:r w:rsidR="00843320" w:rsidRPr="005A205F">
        <w:rPr>
          <w:rFonts w:ascii="宋体" w:eastAsia="宋体" w:hAnsi="宋体" w:cs="宋体"/>
          <w:b/>
          <w:color w:val="FF0000"/>
          <w:szCs w:val="24"/>
        </w:rPr>
        <w:t xml:space="preserve">. Front Microbiol. 2026 Aug 4;17:1893416. doi: 10.3389/fmicb.2026.1893416. </w:t>
      </w:r>
    </w:p>
    <w:p w:rsidR="00843320" w:rsidRPr="005A205F" w:rsidRDefault="00843320" w:rsidP="00843320">
      <w:pPr>
        <w:rPr>
          <w:rFonts w:ascii="宋体" w:eastAsia="宋体" w:hAnsi="宋体" w:cs="宋体"/>
          <w:b/>
          <w:color w:val="FF0000"/>
          <w:szCs w:val="24"/>
        </w:rPr>
      </w:pPr>
      <w:r w:rsidRPr="005A205F">
        <w:rPr>
          <w:rFonts w:ascii="宋体" w:eastAsia="宋体" w:hAnsi="宋体" w:cs="宋体"/>
          <w:b/>
          <w:color w:val="FF0000"/>
          <w:szCs w:val="24"/>
        </w:rPr>
        <w:t>eCollection 2026.</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Drug-resistant tuberculosis and pulmonary co-infections in immunocompromised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patients: from multi-omics to precision therapy.</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Wang A(#)(1), Reheman H(#)(1), Chen X(1), Shang M(1), Abulikemu D(1), Wang H(2).</w:t>
      </w:r>
    </w:p>
    <w:p w:rsidR="00843320" w:rsidRDefault="00843320" w:rsidP="00843320">
      <w:pPr>
        <w:rPr>
          <w:rFonts w:ascii="宋体" w:eastAsia="宋体" w:hAnsi="宋体" w:cs="宋体"/>
          <w:color w:val="000000" w:themeColor="text1"/>
          <w:szCs w:val="24"/>
        </w:rPr>
      </w:pPr>
    </w:p>
    <w:p w:rsidR="00A05ADB" w:rsidRPr="00A05ADB" w:rsidRDefault="00A05ADB" w:rsidP="00843320">
      <w:pPr>
        <w:rPr>
          <w:rFonts w:ascii="宋体" w:eastAsia="宋体" w:hAnsi="宋体" w:cs="宋体"/>
          <w:b/>
          <w:color w:val="0070C0"/>
          <w:szCs w:val="24"/>
        </w:rPr>
      </w:pPr>
      <w:r w:rsidRPr="00A05ADB">
        <w:rPr>
          <w:rFonts w:ascii="宋体" w:eastAsia="宋体" w:hAnsi="宋体" w:cs="宋体"/>
          <w:b/>
          <w:color w:val="0070C0"/>
          <w:szCs w:val="24"/>
        </w:rPr>
        <w:t>Ahong Wang, Hanizaier Reheman, Xiangtao Chen, Moru Shang, Dilinuer Abulikemu, Huaizhen Wang</w:t>
      </w:r>
      <w:r w:rsidRPr="00A05ADB">
        <w:rPr>
          <w:rFonts w:ascii="宋体" w:eastAsia="宋体" w:hAnsi="宋体" w:cs="宋体" w:hint="eastAsia"/>
          <w:b/>
          <w:color w:val="0070C0"/>
          <w:szCs w:val="24"/>
        </w:rPr>
        <w:t>*</w:t>
      </w:r>
    </w:p>
    <w:p w:rsidR="00A05ADB" w:rsidRPr="00A05ADB" w:rsidRDefault="00A05ADB" w:rsidP="00843320">
      <w:pPr>
        <w:rPr>
          <w:rFonts w:ascii="宋体" w:eastAsia="宋体" w:hAnsi="宋体" w:cs="宋体"/>
          <w:b/>
          <w:color w:val="0070C0"/>
          <w:szCs w:val="24"/>
        </w:rPr>
      </w:pPr>
      <w:r w:rsidRPr="00A05ADB">
        <w:rPr>
          <w:rFonts w:ascii="宋体" w:eastAsia="宋体" w:hAnsi="宋体" w:cs="宋体"/>
          <w:b/>
          <w:color w:val="0070C0"/>
          <w:szCs w:val="24"/>
        </w:rPr>
        <w:t>*CORRESPONDENCE Huaizhen Wang</w:t>
      </w:r>
      <w:r w:rsidRPr="00A05ADB">
        <w:rPr>
          <w:rFonts w:ascii="宋体" w:eastAsia="宋体" w:hAnsi="宋体" w:cs="宋体" w:hint="eastAsia"/>
          <w:b/>
          <w:color w:val="0070C0"/>
          <w:szCs w:val="24"/>
        </w:rPr>
        <w:t>，</w:t>
      </w:r>
      <w:r w:rsidRPr="00A05ADB">
        <w:rPr>
          <w:rFonts w:ascii="宋体" w:eastAsia="宋体" w:hAnsi="宋体" w:cs="宋体"/>
          <w:b/>
          <w:color w:val="0070C0"/>
          <w:szCs w:val="24"/>
        </w:rPr>
        <w:t>13657500762@163.com</w:t>
      </w:r>
    </w:p>
    <w:p w:rsidR="00A05ADB" w:rsidRDefault="00A05ADB"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Author information:</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(1)Department of Respiratory and Critical Care Medicine, Kashi Prefecture Second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People's Hospital, Kashi, Xinjiang,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(2)Traditional Medicine Hospital of Kashgar Prefecture, Kashgar,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(#)Contributed equally</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Drug-resistant tuberculosis remains a major global health threat, with an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estimated 400,000 people developing rifampicin-resistant/multidrug-resistant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tuberculosis (RR/MDR-TB) worldwide in 2023, according to the WHO Global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Tuberculosis Report 2024. Immunocompromised populations, including people living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with HIV, transplant recipients, patients receiving immunosuppressive therapies,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and individuals with chronic metabolic diseases, are at particularly high risk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of severe disease and pulmonary co-infections, resulting in delayed diagnosis,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increased treatment complexity, and poor clinical outcomes. Despite advances in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therapeutics, management remains constrained by fragmented diagnostic pathways,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limited pathogen resolution, antimicrobial toxicity, and clinically significant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drug-drug interactions. Recent progress in multi-omics technologies is reshaping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understanding of host-pathogen dynamics in tuberculosis and co-infection states.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Whole-genome sequencing enables rapid resistance prediction and transmission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tracking, whereas transcriptomic, proteomic, metabolomic, and single-cell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lastRenderedPageBreak/>
        <w:t xml:space="preserve">approaches are identifying biomarkers of disease severity, immune dysregulation,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treatment response, and relapse risk. Parallel advances in metagenomic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diagnostics and artificial intelligence-assisted imaging offer opportunities for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earlier detection of mixed infections and improved clinical triage. Therapeutic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paradigms are also evolving. Shorter all-oral regimens, individualized dosing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strategies, therapeutic drug monitoring, and integrated antimicrobial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stewardship are improving outcomes for resistant tuberculosis. Adjunctive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approaches, including host-directed therapies, immunomodulation, inhaled drug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delivery systems, and data-guided precision prescribing, may further enhance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efficacy while reducing toxicity in vulnerable patients with co-infections.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However, implementation remains uneven, and prospective evidence in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immunocompromised populations is limited. Recent advances in multi-omics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technologies including whole-genome sequencing, metagenomics, transcriptomics,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proteomics, metabolomics, single-cell omics, and artificial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intelligence-assisted diagnostics are transforming the diagnosis, biological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stratification, and clinical management of DR-TB. In parallel, precision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therapeutic approaches, including individualized regimen selection, therapeutic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drug monitoring, host-directed therapies, and data-guided clinical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decision-making, are enabling more personalized treatment strategies. This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review integrates these advances into a precision medicine framework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discusses their clinical application, current limitations, and future directions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for improving outcomes in immunocompromised patients with DR-TB and pulmonary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co-infections.</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Copyright © 2026 Wang, Reheman, Chen, Shang, Abulikemu and Wang.</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DOI: 10.3389/fmicb.2026.1893416</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PMCID: PMC13484646</w:t>
      </w:r>
    </w:p>
    <w:p w:rsidR="00843320" w:rsidRPr="00843320" w:rsidRDefault="005A205F" w:rsidP="00843320">
      <w:pPr>
        <w:rPr>
          <w:rFonts w:ascii="宋体" w:eastAsia="宋体" w:hAnsi="宋体" w:cs="宋体"/>
          <w:color w:val="000000" w:themeColor="text1"/>
          <w:szCs w:val="24"/>
        </w:rPr>
      </w:pPr>
      <w:r>
        <w:rPr>
          <w:rFonts w:ascii="宋体" w:eastAsia="宋体" w:hAnsi="宋体" w:cs="宋体"/>
          <w:color w:val="000000" w:themeColor="text1"/>
          <w:szCs w:val="24"/>
        </w:rPr>
        <w:t>PMID: 42614800</w:t>
      </w:r>
    </w:p>
    <w:p w:rsidR="00843320" w:rsidRPr="00843320" w:rsidRDefault="00843320" w:rsidP="00843320">
      <w:pPr>
        <w:rPr>
          <w:rFonts w:ascii="宋体" w:eastAsia="宋体" w:hAnsi="宋体" w:cs="宋体"/>
          <w:color w:val="000000" w:themeColor="text1"/>
          <w:szCs w:val="24"/>
        </w:rPr>
      </w:pPr>
    </w:p>
    <w:p w:rsidR="00843320" w:rsidRPr="004006C7" w:rsidRDefault="00843320" w:rsidP="00843320">
      <w:pPr>
        <w:rPr>
          <w:rFonts w:ascii="宋体" w:eastAsia="宋体" w:hAnsi="宋体" w:cs="宋体"/>
          <w:b/>
          <w:color w:val="FF0000"/>
          <w:szCs w:val="24"/>
        </w:rPr>
      </w:pPr>
      <w:r w:rsidRPr="004006C7">
        <w:rPr>
          <w:rFonts w:ascii="宋体" w:eastAsia="宋体" w:hAnsi="宋体" w:cs="宋体"/>
          <w:b/>
          <w:color w:val="FF0000"/>
          <w:szCs w:val="24"/>
        </w:rPr>
        <w:t>2</w:t>
      </w:r>
      <w:r w:rsidR="004E4DF0">
        <w:rPr>
          <w:rFonts w:ascii="宋体" w:eastAsia="宋体" w:hAnsi="宋体" w:cs="宋体"/>
          <w:b/>
          <w:color w:val="FF0000"/>
          <w:szCs w:val="24"/>
        </w:rPr>
        <w:t>7</w:t>
      </w:r>
      <w:r w:rsidRPr="004006C7">
        <w:rPr>
          <w:rFonts w:ascii="宋体" w:eastAsia="宋体" w:hAnsi="宋体" w:cs="宋体"/>
          <w:b/>
          <w:color w:val="FF0000"/>
          <w:szCs w:val="24"/>
        </w:rPr>
        <w:t xml:space="preserve">. Front Immunol. 2026 Aug 3;17:1884056. doi: 10.3389/fimmu.2026.1884056. </w:t>
      </w:r>
    </w:p>
    <w:p w:rsidR="00843320" w:rsidRPr="004006C7" w:rsidRDefault="00843320" w:rsidP="00843320">
      <w:pPr>
        <w:rPr>
          <w:rFonts w:ascii="宋体" w:eastAsia="宋体" w:hAnsi="宋体" w:cs="宋体"/>
          <w:b/>
          <w:color w:val="FF0000"/>
          <w:szCs w:val="24"/>
        </w:rPr>
      </w:pPr>
      <w:r w:rsidRPr="004006C7">
        <w:rPr>
          <w:rFonts w:ascii="宋体" w:eastAsia="宋体" w:hAnsi="宋体" w:cs="宋体"/>
          <w:b/>
          <w:color w:val="FF0000"/>
          <w:szCs w:val="24"/>
        </w:rPr>
        <w:t>eCollection 2026.</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Vγ9Vδ2 T cells in tuberculosis: protective immunity and translational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perspectives.</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Shi Z(#)(1)(2), Ding Y(#)(3), Jing X(3), Wang F(3), Huang X(1), Wang P(1), Liu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H(4), Niu N(2)(5)(6).</w:t>
      </w:r>
    </w:p>
    <w:p w:rsidR="00843320" w:rsidRDefault="00843320" w:rsidP="00843320">
      <w:pPr>
        <w:rPr>
          <w:rFonts w:ascii="宋体" w:eastAsia="宋体" w:hAnsi="宋体" w:cs="宋体"/>
          <w:color w:val="000000" w:themeColor="text1"/>
          <w:szCs w:val="24"/>
        </w:rPr>
      </w:pPr>
    </w:p>
    <w:p w:rsidR="00204A58" w:rsidRPr="00204A58" w:rsidRDefault="00204A58" w:rsidP="00843320">
      <w:pPr>
        <w:rPr>
          <w:rFonts w:ascii="宋体" w:eastAsia="宋体" w:hAnsi="宋体" w:cs="宋体"/>
          <w:b/>
          <w:color w:val="0070C0"/>
          <w:szCs w:val="24"/>
        </w:rPr>
      </w:pPr>
      <w:r w:rsidRPr="00204A58">
        <w:rPr>
          <w:rFonts w:ascii="宋体" w:eastAsia="宋体" w:hAnsi="宋体" w:cs="宋体"/>
          <w:b/>
          <w:color w:val="0070C0"/>
          <w:szCs w:val="24"/>
        </w:rPr>
        <w:t>Zhiyun Shi, Yixin Ding, Xueyan Jing, Fan Wang, Xuelan Huang, Peng Wang, Hekun Liu</w:t>
      </w:r>
      <w:r w:rsidRPr="00204A58">
        <w:rPr>
          <w:rFonts w:ascii="宋体" w:eastAsia="宋体" w:hAnsi="宋体" w:cs="宋体" w:hint="eastAsia"/>
          <w:b/>
          <w:color w:val="0070C0"/>
          <w:szCs w:val="24"/>
        </w:rPr>
        <w:t>*</w:t>
      </w:r>
      <w:r w:rsidRPr="00204A58">
        <w:rPr>
          <w:rFonts w:ascii="宋体" w:eastAsia="宋体" w:hAnsi="宋体" w:cs="宋体"/>
          <w:b/>
          <w:color w:val="0070C0"/>
          <w:szCs w:val="24"/>
        </w:rPr>
        <w:t>, Ningkui Niu</w:t>
      </w:r>
      <w:r w:rsidRPr="00204A58">
        <w:rPr>
          <w:rFonts w:ascii="宋体" w:eastAsia="宋体" w:hAnsi="宋体" w:cs="宋体" w:hint="eastAsia"/>
          <w:b/>
          <w:color w:val="0070C0"/>
          <w:szCs w:val="24"/>
        </w:rPr>
        <w:t>*</w:t>
      </w:r>
    </w:p>
    <w:p w:rsidR="00204A58" w:rsidRPr="00204A58" w:rsidRDefault="00204A58" w:rsidP="00843320">
      <w:pPr>
        <w:rPr>
          <w:rFonts w:ascii="宋体" w:eastAsia="宋体" w:hAnsi="宋体" w:cs="宋体"/>
          <w:b/>
          <w:color w:val="0070C0"/>
          <w:szCs w:val="24"/>
        </w:rPr>
      </w:pPr>
      <w:r w:rsidRPr="00204A58">
        <w:rPr>
          <w:rFonts w:ascii="宋体" w:eastAsia="宋体" w:hAnsi="宋体" w:cs="宋体"/>
          <w:b/>
          <w:color w:val="0070C0"/>
          <w:szCs w:val="24"/>
        </w:rPr>
        <w:t>*CORRESPONDENCE Hekun Liu</w:t>
      </w:r>
      <w:r w:rsidRPr="00204A58">
        <w:rPr>
          <w:rFonts w:ascii="宋体" w:eastAsia="宋体" w:hAnsi="宋体" w:cs="宋体" w:hint="eastAsia"/>
          <w:b/>
          <w:color w:val="0070C0"/>
          <w:szCs w:val="24"/>
        </w:rPr>
        <w:t>，</w:t>
      </w:r>
      <w:r w:rsidRPr="00204A58">
        <w:rPr>
          <w:rFonts w:ascii="宋体" w:eastAsia="宋体" w:hAnsi="宋体" w:cs="宋体"/>
          <w:b/>
          <w:color w:val="0070C0"/>
          <w:szCs w:val="24"/>
        </w:rPr>
        <w:t xml:space="preserve">fjlhk@163.com </w:t>
      </w:r>
      <w:r w:rsidRPr="00204A58">
        <w:rPr>
          <w:rFonts w:ascii="宋体" w:eastAsia="宋体" w:hAnsi="宋体" w:cs="宋体" w:hint="eastAsia"/>
          <w:b/>
          <w:color w:val="0070C0"/>
          <w:szCs w:val="24"/>
        </w:rPr>
        <w:t>；</w:t>
      </w:r>
      <w:r w:rsidRPr="00204A58">
        <w:rPr>
          <w:rFonts w:ascii="宋体" w:eastAsia="宋体" w:hAnsi="宋体" w:cs="宋体"/>
          <w:b/>
          <w:color w:val="0070C0"/>
          <w:szCs w:val="24"/>
        </w:rPr>
        <w:t>Ningkui Niu</w:t>
      </w:r>
      <w:r w:rsidRPr="00204A58">
        <w:rPr>
          <w:rFonts w:ascii="宋体" w:eastAsia="宋体" w:hAnsi="宋体" w:cs="宋体" w:hint="eastAsia"/>
          <w:b/>
          <w:color w:val="0070C0"/>
          <w:szCs w:val="24"/>
        </w:rPr>
        <w:t>，</w:t>
      </w:r>
      <w:r w:rsidRPr="00204A58">
        <w:rPr>
          <w:rFonts w:ascii="宋体" w:eastAsia="宋体" w:hAnsi="宋体" w:cs="宋体"/>
          <w:b/>
          <w:color w:val="0070C0"/>
          <w:szCs w:val="24"/>
        </w:rPr>
        <w:t>niuningkui6743242@163.com</w:t>
      </w:r>
    </w:p>
    <w:p w:rsidR="00204A58" w:rsidRDefault="00204A58"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Author information:</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lastRenderedPageBreak/>
        <w:t xml:space="preserve">(1)Medical Experiment Center, General Hospital of Ningxia Medical University,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Yinchuan,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(2)Key Laboratory of Clinical Pathogenic Microorganisms, General Hospital of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Ningxia Medical University, Yinchuan,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(3)The First Clinical Medical College, Ningxia Medical University,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Yinchuan,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(4)Department of Cell Biology and Genetics, School of Basic Medical Sciences,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Fujian Medical University, Fuzhou,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(5)Department of Orthopedic, General Hospital of Ningxia Medical University,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Yinchuan,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(6)Research Center for Prevention and Control of Bone and Joint Tuberculosis,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General Hospital of Ningxia Medical University, Yinchuan,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(#)Contributed equally</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4006C7">
        <w:rPr>
          <w:rFonts w:ascii="宋体" w:eastAsia="宋体" w:hAnsi="宋体" w:cs="宋体"/>
          <w:b/>
          <w:color w:val="000000" w:themeColor="text1"/>
          <w:szCs w:val="24"/>
        </w:rPr>
        <w:t>BACKGROUND:</w:t>
      </w:r>
      <w:r w:rsidRPr="00843320">
        <w:rPr>
          <w:rFonts w:ascii="宋体" w:eastAsia="宋体" w:hAnsi="宋体" w:cs="宋体"/>
          <w:color w:val="000000" w:themeColor="text1"/>
          <w:szCs w:val="24"/>
        </w:rPr>
        <w:t xml:space="preserve"> Vγ9Vδ2 T cells constitute the predominant human circulating γδ T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cell subset and serve as key mediators of anti-mycobacterial immunity through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major histocompatibility complex (MHC)-unrestricted phosphoantigen recognition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and rapid effector activation.</w:t>
      </w:r>
    </w:p>
    <w:p w:rsidR="00843320" w:rsidRPr="00843320" w:rsidRDefault="00843320" w:rsidP="00843320">
      <w:pPr>
        <w:rPr>
          <w:rFonts w:ascii="宋体" w:eastAsia="宋体" w:hAnsi="宋体" w:cs="宋体"/>
          <w:color w:val="000000" w:themeColor="text1"/>
          <w:szCs w:val="24"/>
        </w:rPr>
      </w:pPr>
      <w:r w:rsidRPr="004006C7">
        <w:rPr>
          <w:rFonts w:ascii="宋体" w:eastAsia="宋体" w:hAnsi="宋体" w:cs="宋体"/>
          <w:b/>
          <w:color w:val="000000" w:themeColor="text1"/>
          <w:szCs w:val="24"/>
        </w:rPr>
        <w:t>SUMMARY:</w:t>
      </w:r>
      <w:r w:rsidRPr="00843320">
        <w:rPr>
          <w:rFonts w:ascii="宋体" w:eastAsia="宋体" w:hAnsi="宋体" w:cs="宋体"/>
          <w:color w:val="000000" w:themeColor="text1"/>
          <w:szCs w:val="24"/>
        </w:rPr>
        <w:t xml:space="preserve"> This review evaluates Vγ9Vδ2 T cell biology in the context of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tuberculosis (TB). We delineate the three-stage developmental pathway of Vγ9Vδ2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 cells in the postnatal thymus and the butyrophilin 3A1/2A1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(BTN3A1/BTN2A1)-mediated "inside-out" antigen sensing mechanism, noting the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limitations of extrapolating in vitro findings to in vivo TB infection. The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multifaceted activation networks-involving TCR-dependent signaling, cytokine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amplification, and accessory co-receptor pathways-are examined in relation to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distinct phases of Mtb infection. Vγ9Vδ2 T cells exert anti-TB protection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through direct cytotoxicity (perforin/granzyme B, granulysin, FasL/TRAIL),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cytokine-mediated immunoregulation, and orchestration of αβ T cell and dendritic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cell responses; however, the functional significance of granulysin-dependent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hint="eastAsia"/>
          <w:color w:val="000000" w:themeColor="text1"/>
          <w:szCs w:val="24"/>
        </w:rPr>
        <w:t xml:space="preserve">killing and the paradoxical Vδ2→Vδ1 subset shift during chronic infection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warrant further investigation. Mtb immune evasion through metabolic antigen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camouflage and chronic infection-induced exhaustion is also analyzed. Emerging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evidence for Vγ9Vδ2 T cell immunological memory-including BCG-induced trained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immunity and phosphoantigen-driven memory-like expansion in non-human primates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-provides a rationale for novel vaccine strategies, although the translatability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of these findings to human TB remains to be established. Translational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approaches, including synthetic phosphoantigen prodrugs, BTN-targeted monoclonal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antibodies, and adoptive cell therapy, are assessed for their clinical potential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against drug-resistant TB, with discussion of current limitations.</w:t>
      </w:r>
    </w:p>
    <w:p w:rsidR="00843320" w:rsidRPr="00843320" w:rsidRDefault="00843320" w:rsidP="00843320">
      <w:pPr>
        <w:rPr>
          <w:rFonts w:ascii="宋体" w:eastAsia="宋体" w:hAnsi="宋体" w:cs="宋体"/>
          <w:color w:val="000000" w:themeColor="text1"/>
          <w:szCs w:val="24"/>
        </w:rPr>
      </w:pPr>
      <w:r w:rsidRPr="004006C7">
        <w:rPr>
          <w:rFonts w:ascii="宋体" w:eastAsia="宋体" w:hAnsi="宋体" w:cs="宋体"/>
          <w:b/>
          <w:color w:val="000000" w:themeColor="text1"/>
          <w:szCs w:val="24"/>
        </w:rPr>
        <w:t xml:space="preserve">CONCLUSION: </w:t>
      </w:r>
      <w:r w:rsidRPr="00843320">
        <w:rPr>
          <w:rFonts w:ascii="宋体" w:eastAsia="宋体" w:hAnsi="宋体" w:cs="宋体"/>
          <w:color w:val="000000" w:themeColor="text1"/>
          <w:szCs w:val="24"/>
        </w:rPr>
        <w:t xml:space="preserve">Vγ9Vδ2 T cells offer distinct advantages for TB immunotherapy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vaccine design, but significant translational barriers remain. Future studies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must address subset heterogeneity across infection stages, the epigenetic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metabolic reprogramming governing functional fate decisions, standardized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correlates of protection, and BTN-targeted strategies validated in TB-specific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lastRenderedPageBreak/>
        <w:t xml:space="preserve">preclinical models. The integration of single-cell multi-omics and CRISPR-based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functional screening with γδ T cell biology offers a promising path toward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clinical translation.</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Copyright © 2026 Shi, Ding, Jing, Wang, Huang, Wang, Liu and Niu.</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DOI: 10.3389/fimmu.2026.1884056</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PMCID: PMC13478964</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PMID: 42609836 [Indexed for MEDLINE]</w:t>
      </w:r>
    </w:p>
    <w:p w:rsidR="00843320" w:rsidRPr="00843320" w:rsidRDefault="00843320" w:rsidP="00843320">
      <w:pPr>
        <w:rPr>
          <w:rFonts w:ascii="宋体" w:eastAsia="宋体" w:hAnsi="宋体" w:cs="宋体"/>
          <w:color w:val="000000" w:themeColor="text1"/>
          <w:szCs w:val="24"/>
        </w:rPr>
      </w:pPr>
    </w:p>
    <w:p w:rsidR="00843320" w:rsidRPr="004006C7" w:rsidRDefault="00843320" w:rsidP="00843320">
      <w:pPr>
        <w:rPr>
          <w:rFonts w:ascii="宋体" w:eastAsia="宋体" w:hAnsi="宋体" w:cs="宋体"/>
          <w:b/>
          <w:color w:val="FF0000"/>
          <w:szCs w:val="24"/>
        </w:rPr>
      </w:pPr>
      <w:r w:rsidRPr="004006C7">
        <w:rPr>
          <w:rFonts w:ascii="宋体" w:eastAsia="宋体" w:hAnsi="宋体" w:cs="宋体"/>
          <w:b/>
          <w:color w:val="FF0000"/>
          <w:szCs w:val="24"/>
        </w:rPr>
        <w:t>2</w:t>
      </w:r>
      <w:r w:rsidR="004E4DF0">
        <w:rPr>
          <w:rFonts w:ascii="宋体" w:eastAsia="宋体" w:hAnsi="宋体" w:cs="宋体"/>
          <w:b/>
          <w:color w:val="FF0000"/>
          <w:szCs w:val="24"/>
        </w:rPr>
        <w:t>8</w:t>
      </w:r>
      <w:r w:rsidRPr="004006C7">
        <w:rPr>
          <w:rFonts w:ascii="宋体" w:eastAsia="宋体" w:hAnsi="宋体" w:cs="宋体"/>
          <w:b/>
          <w:color w:val="FF0000"/>
          <w:szCs w:val="24"/>
        </w:rPr>
        <w:t xml:space="preserve">. Front Cell Infect Microbiol. 2026 Aug 3;16:1883155. doi: </w:t>
      </w:r>
    </w:p>
    <w:p w:rsidR="00843320" w:rsidRPr="004006C7" w:rsidRDefault="00843320" w:rsidP="00843320">
      <w:pPr>
        <w:rPr>
          <w:rFonts w:ascii="宋体" w:eastAsia="宋体" w:hAnsi="宋体" w:cs="宋体"/>
          <w:b/>
          <w:color w:val="FF0000"/>
          <w:szCs w:val="24"/>
        </w:rPr>
      </w:pPr>
      <w:r w:rsidRPr="004006C7">
        <w:rPr>
          <w:rFonts w:ascii="宋体" w:eastAsia="宋体" w:hAnsi="宋体" w:cs="宋体"/>
          <w:b/>
          <w:color w:val="FF0000"/>
          <w:szCs w:val="24"/>
        </w:rPr>
        <w:t>10.3389/fcimb.2026.1883155. eCollection 2026.</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Epidemiologic and clinical characteristics of Mycobacterium tuberculosis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infection in Guangxi, China, 2018-2023: a retrospective study.</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Bi D(#)(1)(2)(3), Chen C(#)(3)(4), Yu H(#)(1)(2)(3), Ma Q(1)(3), Luo X(2)(3)(5),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He H(3)(6), Tang X(3)(6), Liang C(1)(3), Wen L(3)(6), Xi S(1)(2)(3), Liu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Z(1)(2)(3), Huang W(1)(2)(3), Long Q(1)(2)(3), Su H(1)(3), Luo X(2)(3)(5), Wei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W(1)(3), Pang Z(1)(3), Huang N(1)(3), Wei Z(1)(3), Shao H(3)(6), Xie Z(3)(6).</w:t>
      </w:r>
    </w:p>
    <w:p w:rsidR="00843320" w:rsidRDefault="00843320" w:rsidP="00843320">
      <w:pPr>
        <w:rPr>
          <w:rFonts w:ascii="宋体" w:eastAsia="宋体" w:hAnsi="宋体" w:cs="宋体"/>
          <w:color w:val="000000" w:themeColor="text1"/>
          <w:szCs w:val="24"/>
        </w:rPr>
      </w:pPr>
    </w:p>
    <w:p w:rsidR="003A55A3" w:rsidRPr="003A55A3" w:rsidRDefault="003A55A3" w:rsidP="00843320">
      <w:pPr>
        <w:rPr>
          <w:rFonts w:ascii="宋体" w:eastAsia="宋体" w:hAnsi="宋体" w:cs="宋体"/>
          <w:b/>
          <w:color w:val="0070C0"/>
          <w:szCs w:val="24"/>
        </w:rPr>
      </w:pPr>
      <w:r w:rsidRPr="003A55A3">
        <w:rPr>
          <w:rFonts w:ascii="宋体" w:eastAsia="宋体" w:hAnsi="宋体" w:cs="宋体"/>
          <w:b/>
          <w:color w:val="0070C0"/>
          <w:szCs w:val="24"/>
        </w:rPr>
        <w:t>Dewu Bi</w:t>
      </w:r>
      <w:r w:rsidRPr="003A55A3">
        <w:rPr>
          <w:rFonts w:ascii="宋体" w:eastAsia="宋体" w:hAnsi="宋体" w:cs="宋体" w:hint="eastAsia"/>
          <w:b/>
          <w:color w:val="0070C0"/>
          <w:szCs w:val="24"/>
        </w:rPr>
        <w:t>*</w:t>
      </w:r>
      <w:r w:rsidRPr="003A55A3">
        <w:rPr>
          <w:rFonts w:ascii="宋体" w:eastAsia="宋体" w:hAnsi="宋体" w:cs="宋体"/>
          <w:b/>
          <w:color w:val="0070C0"/>
          <w:szCs w:val="24"/>
        </w:rPr>
        <w:t>, Chaoyou Chen, Hailing Yu, Qiuying Ma, Xiaocheng Luo, Huawei He, Xike Tang, Chaojuan Liang, Lemin Wen, Shaoyong Xi, Zeduan Liu, Wanhong Huang, Qian Long, Hanzhen Su, Xiaolu Luo, Wei Wei, Zizhi Pang, Ningrong Huang, Zongyou Wei, Honghua Shao</w:t>
      </w:r>
      <w:r w:rsidRPr="003A55A3">
        <w:rPr>
          <w:rFonts w:ascii="宋体" w:eastAsia="宋体" w:hAnsi="宋体" w:cs="宋体" w:hint="eastAsia"/>
          <w:b/>
          <w:color w:val="0070C0"/>
          <w:szCs w:val="24"/>
        </w:rPr>
        <w:t>*，</w:t>
      </w:r>
      <w:r w:rsidRPr="003A55A3">
        <w:rPr>
          <w:rFonts w:ascii="宋体" w:eastAsia="宋体" w:hAnsi="宋体" w:cs="宋体"/>
          <w:b/>
          <w:color w:val="0070C0"/>
          <w:szCs w:val="24"/>
        </w:rPr>
        <w:t>Zhouhua Xie</w:t>
      </w:r>
      <w:r w:rsidRPr="003A55A3">
        <w:rPr>
          <w:rFonts w:ascii="宋体" w:eastAsia="宋体" w:hAnsi="宋体" w:cs="宋体" w:hint="eastAsia"/>
          <w:b/>
          <w:color w:val="0070C0"/>
          <w:szCs w:val="24"/>
        </w:rPr>
        <w:t>*</w:t>
      </w:r>
    </w:p>
    <w:p w:rsidR="003A55A3" w:rsidRPr="003A55A3" w:rsidRDefault="003A55A3" w:rsidP="00843320">
      <w:pPr>
        <w:rPr>
          <w:rFonts w:ascii="宋体" w:eastAsia="宋体" w:hAnsi="宋体" w:cs="宋体"/>
          <w:b/>
          <w:color w:val="0070C0"/>
          <w:szCs w:val="24"/>
        </w:rPr>
      </w:pPr>
      <w:r w:rsidRPr="003A55A3">
        <w:rPr>
          <w:rFonts w:ascii="宋体" w:eastAsia="宋体" w:hAnsi="宋体" w:cs="宋体"/>
          <w:b/>
          <w:color w:val="0070C0"/>
          <w:szCs w:val="24"/>
        </w:rPr>
        <w:t>*CORRESPONDENCE Dewu Bi</w:t>
      </w:r>
      <w:r w:rsidRPr="003A55A3">
        <w:rPr>
          <w:rFonts w:ascii="宋体" w:eastAsia="宋体" w:hAnsi="宋体" w:cs="宋体" w:hint="eastAsia"/>
          <w:b/>
          <w:color w:val="0070C0"/>
          <w:szCs w:val="24"/>
        </w:rPr>
        <w:t>，</w:t>
      </w:r>
      <w:r w:rsidRPr="003A55A3">
        <w:rPr>
          <w:rFonts w:ascii="宋体" w:eastAsia="宋体" w:hAnsi="宋体" w:cs="宋体"/>
          <w:b/>
          <w:color w:val="0070C0"/>
          <w:szCs w:val="24"/>
        </w:rPr>
        <w:t xml:space="preserve">dewubi@163.com </w:t>
      </w:r>
      <w:r w:rsidRPr="003A55A3">
        <w:rPr>
          <w:rFonts w:ascii="宋体" w:eastAsia="宋体" w:hAnsi="宋体" w:cs="宋体" w:hint="eastAsia"/>
          <w:b/>
          <w:color w:val="0070C0"/>
          <w:szCs w:val="24"/>
        </w:rPr>
        <w:t>；</w:t>
      </w:r>
      <w:r w:rsidRPr="003A55A3">
        <w:rPr>
          <w:rFonts w:ascii="宋体" w:eastAsia="宋体" w:hAnsi="宋体" w:cs="宋体"/>
          <w:b/>
          <w:color w:val="0070C0"/>
          <w:szCs w:val="24"/>
        </w:rPr>
        <w:t>Honghua Shao</w:t>
      </w:r>
      <w:r w:rsidRPr="003A55A3">
        <w:rPr>
          <w:rFonts w:ascii="宋体" w:eastAsia="宋体" w:hAnsi="宋体" w:cs="宋体" w:hint="eastAsia"/>
          <w:b/>
          <w:color w:val="0070C0"/>
          <w:szCs w:val="24"/>
        </w:rPr>
        <w:t>，</w:t>
      </w:r>
      <w:r w:rsidRPr="003A55A3">
        <w:rPr>
          <w:rFonts w:ascii="宋体" w:eastAsia="宋体" w:hAnsi="宋体" w:cs="宋体"/>
          <w:b/>
          <w:color w:val="0070C0"/>
          <w:szCs w:val="24"/>
        </w:rPr>
        <w:t xml:space="preserve">honghuashao0717@163.com </w:t>
      </w:r>
      <w:r w:rsidRPr="003A55A3">
        <w:rPr>
          <w:rFonts w:ascii="宋体" w:eastAsia="宋体" w:hAnsi="宋体" w:cs="宋体" w:hint="eastAsia"/>
          <w:b/>
          <w:color w:val="0070C0"/>
          <w:szCs w:val="24"/>
        </w:rPr>
        <w:t>；</w:t>
      </w:r>
      <w:r w:rsidRPr="003A55A3">
        <w:rPr>
          <w:rFonts w:ascii="宋体" w:eastAsia="宋体" w:hAnsi="宋体" w:cs="宋体"/>
          <w:b/>
          <w:color w:val="0070C0"/>
          <w:szCs w:val="24"/>
        </w:rPr>
        <w:t>Zhouhua Xie</w:t>
      </w:r>
      <w:r w:rsidRPr="003A55A3">
        <w:rPr>
          <w:rFonts w:ascii="宋体" w:eastAsia="宋体" w:hAnsi="宋体" w:cs="宋体" w:hint="eastAsia"/>
          <w:b/>
          <w:color w:val="0070C0"/>
          <w:szCs w:val="24"/>
        </w:rPr>
        <w:t>，</w:t>
      </w:r>
      <w:r w:rsidRPr="003A55A3">
        <w:rPr>
          <w:rFonts w:ascii="宋体" w:eastAsia="宋体" w:hAnsi="宋体" w:cs="宋体"/>
          <w:b/>
          <w:color w:val="0070C0"/>
          <w:szCs w:val="24"/>
        </w:rPr>
        <w:t>xiezhouhua6711@163.com</w:t>
      </w:r>
    </w:p>
    <w:p w:rsidR="003A55A3" w:rsidRDefault="003A55A3"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Author information:</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(1)Department of Clinical Laboratory, The Fourth People's Hospital of Nanning,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Nanning, Guangxi,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(2)Key Laboratory of Infectious Diseases, The Nanning Municipal Health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Commission, Nanning, Guangxi,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(3)Human Immunodeficiency Virus/Acquired Immune Deficiency Syndrome (HIV/AIDS)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Clinical Treatment Center of Guangxi, Nanning, Guangxi,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(4)Department of Medical Informatics and Statistics, The Fourth People's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Hospital of Nanning, Nanning, Guangxi,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(5)Research Laboratory of Infectious Diseases, The Fourth People's Hospital of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Nanning, Nanning, Guangxi,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(6)Department of Infectious Diseases, The Fourth People's Hospital of Nanning,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Nanning, Guangxi,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(#)Contributed equally</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4006C7">
        <w:rPr>
          <w:rFonts w:ascii="宋体" w:eastAsia="宋体" w:hAnsi="宋体" w:cs="宋体"/>
          <w:b/>
          <w:color w:val="000000" w:themeColor="text1"/>
          <w:szCs w:val="24"/>
        </w:rPr>
        <w:t>BACKGROUND:</w:t>
      </w:r>
      <w:r w:rsidRPr="00843320">
        <w:rPr>
          <w:rFonts w:ascii="宋体" w:eastAsia="宋体" w:hAnsi="宋体" w:cs="宋体"/>
          <w:color w:val="000000" w:themeColor="text1"/>
          <w:szCs w:val="24"/>
        </w:rPr>
        <w:t xml:space="preserve"> Tuberculosis, caused by Mycobacterium tuberculosis, continues to be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lastRenderedPageBreak/>
        <w:t xml:space="preserve">one of the leading causes of death globally. We performed a retrospective cohort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study in which individuals with suspected tuberculosis were evaluated the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differences between tuberculosis and other clinically ill patients.</w:t>
      </w:r>
    </w:p>
    <w:p w:rsidR="00843320" w:rsidRPr="00843320" w:rsidRDefault="00843320" w:rsidP="00843320">
      <w:pPr>
        <w:rPr>
          <w:rFonts w:ascii="宋体" w:eastAsia="宋体" w:hAnsi="宋体" w:cs="宋体"/>
          <w:color w:val="000000" w:themeColor="text1"/>
          <w:szCs w:val="24"/>
        </w:rPr>
      </w:pPr>
      <w:r w:rsidRPr="004006C7">
        <w:rPr>
          <w:rFonts w:ascii="宋体" w:eastAsia="宋体" w:hAnsi="宋体" w:cs="宋体"/>
          <w:b/>
          <w:color w:val="000000" w:themeColor="text1"/>
          <w:szCs w:val="24"/>
        </w:rPr>
        <w:t xml:space="preserve">METHODS: </w:t>
      </w:r>
      <w:r w:rsidRPr="00843320">
        <w:rPr>
          <w:rFonts w:ascii="宋体" w:eastAsia="宋体" w:hAnsi="宋体" w:cs="宋体"/>
          <w:color w:val="000000" w:themeColor="text1"/>
          <w:szCs w:val="24"/>
        </w:rPr>
        <w:t xml:space="preserve">This study retrospectively analyzed patients with suspected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tuberculosis who were hospitalized for pneumonia between January 2018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December 2023 based on an electronic medical records database.</w:t>
      </w:r>
    </w:p>
    <w:p w:rsidR="00843320" w:rsidRPr="00843320" w:rsidRDefault="00843320" w:rsidP="00843320">
      <w:pPr>
        <w:rPr>
          <w:rFonts w:ascii="宋体" w:eastAsia="宋体" w:hAnsi="宋体" w:cs="宋体"/>
          <w:color w:val="000000" w:themeColor="text1"/>
          <w:szCs w:val="24"/>
        </w:rPr>
      </w:pPr>
      <w:r w:rsidRPr="004006C7">
        <w:rPr>
          <w:rFonts w:ascii="宋体" w:eastAsia="宋体" w:hAnsi="宋体" w:cs="宋体"/>
          <w:b/>
          <w:color w:val="000000" w:themeColor="text1"/>
          <w:szCs w:val="24"/>
        </w:rPr>
        <w:t xml:space="preserve">RESULTS: </w:t>
      </w:r>
      <w:r w:rsidRPr="00843320">
        <w:rPr>
          <w:rFonts w:ascii="宋体" w:eastAsia="宋体" w:hAnsi="宋体" w:cs="宋体"/>
          <w:color w:val="000000" w:themeColor="text1"/>
          <w:szCs w:val="24"/>
        </w:rPr>
        <w:t xml:space="preserve">37,204 patients were included in this study, comprising 34,429 patients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with tuberculosis and 2,775 patients with non-tuberculosis lung diseases. Male,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human immunodeficiency virus, hepatitis B virus, cytomegalovirus, diabetes,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stroke are risk factors associated with an increased infection of tuberculosis.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Poor adherence and human immunodeficiency virus infection are linked to the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development of antibiotic resistance in Mycobacterium tuberculosis. Resistance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to first-line antibiotics usually appears before second-line treatments, with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higher resistance rates for first-line antituberculous drugs than for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second-line drugs. Isoniazid resistance developed before rifampicin resistance.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The degree of bacterial coinfection among patients with tuberculosis is diverse.</w:t>
      </w:r>
    </w:p>
    <w:p w:rsidR="00843320" w:rsidRPr="00843320" w:rsidRDefault="00843320" w:rsidP="00843320">
      <w:pPr>
        <w:rPr>
          <w:rFonts w:ascii="宋体" w:eastAsia="宋体" w:hAnsi="宋体" w:cs="宋体"/>
          <w:color w:val="000000" w:themeColor="text1"/>
          <w:szCs w:val="24"/>
        </w:rPr>
      </w:pPr>
      <w:r w:rsidRPr="004006C7">
        <w:rPr>
          <w:rFonts w:ascii="宋体" w:eastAsia="宋体" w:hAnsi="宋体" w:cs="宋体"/>
          <w:b/>
          <w:color w:val="000000" w:themeColor="text1"/>
          <w:szCs w:val="24"/>
        </w:rPr>
        <w:t>CONCLUSION:</w:t>
      </w:r>
      <w:r w:rsidRPr="00843320">
        <w:rPr>
          <w:rFonts w:ascii="宋体" w:eastAsia="宋体" w:hAnsi="宋体" w:cs="宋体"/>
          <w:color w:val="000000" w:themeColor="text1"/>
          <w:szCs w:val="24"/>
        </w:rPr>
        <w:t xml:space="preserve"> This study identified risk factors accounting for the infection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drug resistance of tuberculosis in Guangxi, China, from other illness. The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diversity of coinfections among patients with tuberculosis highlights the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importance of raising awareness about the multiplicity of infections.</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Copyright © 2026 Bi, Chen, Yu, Ma, Luo, He, Tang, Liang, Wen, Xi, Liu, Huang,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Long, Su, Luo, Wei, Pang, Huang, Wei, Shao and Xie.</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DOI: 10.3389/fcimb.2026.1883155</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PMCID: PMC13478008</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PMID: 42609305 [Indexed for MEDLINE]</w:t>
      </w:r>
    </w:p>
    <w:p w:rsidR="00843320" w:rsidRPr="00843320" w:rsidRDefault="00843320" w:rsidP="00843320">
      <w:pPr>
        <w:rPr>
          <w:rFonts w:ascii="宋体" w:eastAsia="宋体" w:hAnsi="宋体" w:cs="宋体"/>
          <w:color w:val="000000" w:themeColor="text1"/>
          <w:szCs w:val="24"/>
        </w:rPr>
      </w:pPr>
    </w:p>
    <w:p w:rsidR="00843320" w:rsidRPr="004006C7" w:rsidRDefault="00843320" w:rsidP="00843320">
      <w:pPr>
        <w:rPr>
          <w:rFonts w:ascii="宋体" w:eastAsia="宋体" w:hAnsi="宋体" w:cs="宋体"/>
          <w:b/>
          <w:color w:val="FF0000"/>
          <w:szCs w:val="24"/>
        </w:rPr>
      </w:pPr>
      <w:r w:rsidRPr="004006C7">
        <w:rPr>
          <w:rFonts w:ascii="宋体" w:eastAsia="宋体" w:hAnsi="宋体" w:cs="宋体"/>
          <w:b/>
          <w:color w:val="FF0000"/>
          <w:szCs w:val="24"/>
        </w:rPr>
        <w:t>2</w:t>
      </w:r>
      <w:r w:rsidR="004E4DF0">
        <w:rPr>
          <w:rFonts w:ascii="宋体" w:eastAsia="宋体" w:hAnsi="宋体" w:cs="宋体"/>
          <w:b/>
          <w:color w:val="FF0000"/>
          <w:szCs w:val="24"/>
        </w:rPr>
        <w:t>9</w:t>
      </w:r>
      <w:r w:rsidRPr="004006C7">
        <w:rPr>
          <w:rFonts w:ascii="宋体" w:eastAsia="宋体" w:hAnsi="宋体" w:cs="宋体"/>
          <w:b/>
          <w:color w:val="FF0000"/>
          <w:szCs w:val="24"/>
        </w:rPr>
        <w:t xml:space="preserve">. Arch Esp Urol. 2026 Jul;79(6):980-991. doi: </w:t>
      </w:r>
    </w:p>
    <w:p w:rsidR="00843320" w:rsidRPr="004006C7" w:rsidRDefault="00843320" w:rsidP="00843320">
      <w:pPr>
        <w:rPr>
          <w:rFonts w:ascii="宋体" w:eastAsia="宋体" w:hAnsi="宋体" w:cs="宋体"/>
          <w:b/>
          <w:color w:val="FF0000"/>
          <w:szCs w:val="24"/>
        </w:rPr>
      </w:pPr>
      <w:r w:rsidRPr="004006C7">
        <w:rPr>
          <w:rFonts w:ascii="宋体" w:eastAsia="宋体" w:hAnsi="宋体" w:cs="宋体"/>
          <w:b/>
          <w:color w:val="FF0000"/>
          <w:szCs w:val="24"/>
        </w:rPr>
        <w:t>10.56434/j.arch.esp.urol.20267906.114.</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Systematic Review and Meta-Analysis of Urine-Based Molecular Testing for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Urogenital Tuberculosis.</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Fang L(1), Chen X(1), Chen J(2), Liao X(1), Lin J(1).</w:t>
      </w:r>
    </w:p>
    <w:p w:rsidR="00843320" w:rsidRDefault="00843320" w:rsidP="00843320">
      <w:pPr>
        <w:rPr>
          <w:rFonts w:ascii="宋体" w:eastAsia="宋体" w:hAnsi="宋体" w:cs="宋体"/>
          <w:color w:val="000000" w:themeColor="text1"/>
          <w:szCs w:val="24"/>
        </w:rPr>
      </w:pPr>
    </w:p>
    <w:p w:rsidR="00800CF5" w:rsidRPr="00800CF5" w:rsidRDefault="00800CF5" w:rsidP="00843320">
      <w:pPr>
        <w:rPr>
          <w:rFonts w:ascii="宋体" w:eastAsia="宋体" w:hAnsi="宋体" w:cs="宋体"/>
          <w:b/>
          <w:color w:val="0070C0"/>
          <w:szCs w:val="24"/>
        </w:rPr>
      </w:pPr>
      <w:r w:rsidRPr="00800CF5">
        <w:rPr>
          <w:rFonts w:ascii="宋体" w:eastAsia="宋体" w:hAnsi="宋体" w:cs="宋体"/>
          <w:b/>
          <w:color w:val="0070C0"/>
          <w:szCs w:val="24"/>
        </w:rPr>
        <w:t>Lin Fang, Xiaohong Chen, Jiangying Chen, Xiaoqin Liao, Jiandong Lin</w:t>
      </w:r>
      <w:r w:rsidRPr="00800CF5">
        <w:rPr>
          <w:rFonts w:ascii="宋体" w:eastAsia="宋体" w:hAnsi="宋体" w:cs="宋体" w:hint="eastAsia"/>
          <w:b/>
          <w:color w:val="0070C0"/>
          <w:szCs w:val="24"/>
        </w:rPr>
        <w:t>*</w:t>
      </w:r>
    </w:p>
    <w:p w:rsidR="00800CF5" w:rsidRPr="00800CF5" w:rsidRDefault="00800CF5" w:rsidP="00843320">
      <w:pPr>
        <w:rPr>
          <w:rFonts w:ascii="宋体" w:eastAsia="宋体" w:hAnsi="宋体" w:cs="宋体"/>
          <w:b/>
          <w:color w:val="0070C0"/>
          <w:szCs w:val="24"/>
        </w:rPr>
      </w:pPr>
      <w:r w:rsidRPr="00800CF5">
        <w:rPr>
          <w:rFonts w:ascii="宋体" w:eastAsia="宋体" w:hAnsi="宋体" w:cs="宋体" w:hint="eastAsia"/>
          <w:b/>
          <w:color w:val="0070C0"/>
          <w:szCs w:val="24"/>
        </w:rPr>
        <w:t>*</w:t>
      </w:r>
      <w:r w:rsidRPr="00800CF5">
        <w:rPr>
          <w:rFonts w:ascii="宋体" w:eastAsia="宋体" w:hAnsi="宋体" w:cs="宋体"/>
          <w:b/>
          <w:color w:val="0070C0"/>
          <w:szCs w:val="24"/>
        </w:rPr>
        <w:t>Correspondence: LinjiandongProf@163.com (Jiandong Lin)</w:t>
      </w:r>
    </w:p>
    <w:p w:rsidR="00800CF5" w:rsidRDefault="00800CF5"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Author information:</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(1)Department of Tuberculosis, Fuzhou Pulmonary Hospital of Fujian, 350008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Fuzhou, Fujian,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(2)Department of Urology, The Affiliated Union Hospital of Fujian Medical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University, 350001 Fuzhou, Fujian, China.</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4006C7">
        <w:rPr>
          <w:rFonts w:ascii="宋体" w:eastAsia="宋体" w:hAnsi="宋体" w:cs="宋体"/>
          <w:b/>
          <w:color w:val="000000" w:themeColor="text1"/>
          <w:szCs w:val="24"/>
        </w:rPr>
        <w:t xml:space="preserve">BACKGROUND: </w:t>
      </w:r>
      <w:r w:rsidRPr="00843320">
        <w:rPr>
          <w:rFonts w:ascii="宋体" w:eastAsia="宋体" w:hAnsi="宋体" w:cs="宋体"/>
          <w:color w:val="000000" w:themeColor="text1"/>
          <w:szCs w:val="24"/>
        </w:rPr>
        <w:t xml:space="preserve">Early confirmation of urogenital tuberculosis (UGTB) remains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challenging in routine practice because conventional culture is slow and has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variable sensitivity. Urine-based molecular testing has emerged as a rapid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alternative, but its performance estimates vary across studies. This systematic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review evaluated the diagnostic value of urine-based molecular testing,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including Xpert Mycobacterium tuberculosis/rifampicin, multiplex polymerase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chain reaction and loop-mediated isothermal amplification, for UGTB.</w:t>
      </w:r>
    </w:p>
    <w:p w:rsidR="00843320" w:rsidRPr="00843320" w:rsidRDefault="00843320" w:rsidP="00843320">
      <w:pPr>
        <w:rPr>
          <w:rFonts w:ascii="宋体" w:eastAsia="宋体" w:hAnsi="宋体" w:cs="宋体"/>
          <w:color w:val="000000" w:themeColor="text1"/>
          <w:szCs w:val="24"/>
        </w:rPr>
      </w:pPr>
      <w:r w:rsidRPr="004006C7">
        <w:rPr>
          <w:rFonts w:ascii="宋体" w:eastAsia="宋体" w:hAnsi="宋体" w:cs="宋体"/>
          <w:b/>
          <w:color w:val="000000" w:themeColor="text1"/>
          <w:szCs w:val="24"/>
        </w:rPr>
        <w:t>METHODS:</w:t>
      </w:r>
      <w:r w:rsidRPr="00843320">
        <w:rPr>
          <w:rFonts w:ascii="宋体" w:eastAsia="宋体" w:hAnsi="宋体" w:cs="宋体"/>
          <w:color w:val="000000" w:themeColor="text1"/>
          <w:szCs w:val="24"/>
        </w:rPr>
        <w:t xml:space="preserve"> Risk of bias was assessed using Quality Assessment of Diagnostic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Accuracy Studies-2. Pooled sensitivity, specificity, positive likelihood ratio,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negative likelihood ratio, and diagnostic odds ratio (DOR) were generated with a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bivariate random-effects model. The summary receiver operating characteristic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(SROC) curve and Fagan nomogram were used for visualization.</w:t>
      </w:r>
    </w:p>
    <w:p w:rsidR="00843320" w:rsidRPr="00843320" w:rsidRDefault="00843320" w:rsidP="00843320">
      <w:pPr>
        <w:rPr>
          <w:rFonts w:ascii="宋体" w:eastAsia="宋体" w:hAnsi="宋体" w:cs="宋体"/>
          <w:color w:val="000000" w:themeColor="text1"/>
          <w:szCs w:val="24"/>
        </w:rPr>
      </w:pPr>
      <w:r w:rsidRPr="004006C7">
        <w:rPr>
          <w:rFonts w:ascii="宋体" w:eastAsia="宋体" w:hAnsi="宋体" w:cs="宋体"/>
          <w:b/>
          <w:color w:val="000000" w:themeColor="text1"/>
          <w:szCs w:val="24"/>
        </w:rPr>
        <w:t xml:space="preserve">RESULTS: </w:t>
      </w:r>
      <w:r w:rsidRPr="00843320">
        <w:rPr>
          <w:rFonts w:ascii="宋体" w:eastAsia="宋体" w:hAnsi="宋体" w:cs="宋体"/>
          <w:color w:val="000000" w:themeColor="text1"/>
          <w:szCs w:val="24"/>
        </w:rPr>
        <w:t xml:space="preserve">A total of 14 diagnostic accuracy studies, comprising 1697 patients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with high clinical suspicion of UGTB, were analysed. Pooled sensitivity was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0.748 (95% confidence interval [CI]: 0.566-0.871), pooled specificity was 0.962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(95% CI: 0.932-0.979), pooled DOR was 121.77 (95% CI: 37.86-391.68), and the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area under the SROC curve was 0.93. Studies using bacterial culture as the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reference standard yielded a pooled specificity of 1.000, whereas those using a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composite reference standard yielded a pooled specificity of 0.934. With a 20%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pre-test probability, a positive test increased the post-test probability to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83%, while a negative test lowered it to 6%.</w:t>
      </w:r>
    </w:p>
    <w:p w:rsidR="00843320" w:rsidRPr="00843320" w:rsidRDefault="00843320" w:rsidP="00843320">
      <w:pPr>
        <w:rPr>
          <w:rFonts w:ascii="宋体" w:eastAsia="宋体" w:hAnsi="宋体" w:cs="宋体"/>
          <w:color w:val="000000" w:themeColor="text1"/>
          <w:szCs w:val="24"/>
        </w:rPr>
      </w:pPr>
      <w:r w:rsidRPr="004006C7">
        <w:rPr>
          <w:rFonts w:ascii="宋体" w:eastAsia="宋体" w:hAnsi="宋体" w:cs="宋体"/>
          <w:b/>
          <w:color w:val="000000" w:themeColor="text1"/>
          <w:szCs w:val="24"/>
        </w:rPr>
        <w:t xml:space="preserve">CONCLUSIONS: </w:t>
      </w:r>
      <w:r w:rsidRPr="00843320">
        <w:rPr>
          <w:rFonts w:ascii="宋体" w:eastAsia="宋体" w:hAnsi="宋体" w:cs="宋体"/>
          <w:color w:val="000000" w:themeColor="text1"/>
          <w:szCs w:val="24"/>
        </w:rPr>
        <w:t xml:space="preserve">Urine-based molecular testing shows high diagnostic accuracy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clinical utility for UGTB. It may serve as an adjunctive test for early rapid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confirmation, especially when interpreted alongside clinical, imaging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culture findings. The PROSPERO Registration: The study was registered on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https://www.crd.york.ac.uk/prospero/ (registration number: CRD420261373256;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registration link: https://www.crd.york.ac.uk/PROSPERO/view/CRD420261373256).</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hint="eastAsia"/>
          <w:color w:val="000000" w:themeColor="text1"/>
          <w:szCs w:val="24"/>
        </w:rPr>
        <w:t>©</w:t>
      </w:r>
      <w:r w:rsidRPr="00843320">
        <w:rPr>
          <w:rFonts w:ascii="宋体" w:eastAsia="宋体" w:hAnsi="宋体" w:cs="宋体"/>
          <w:color w:val="000000" w:themeColor="text1"/>
          <w:szCs w:val="24"/>
        </w:rPr>
        <w:t xml:space="preserve"> 2026 The Author(s).</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DOI: 10.56434/j.arch.esp.urol.20267906.114</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PMID:</w:t>
      </w:r>
      <w:r w:rsidR="004006C7">
        <w:rPr>
          <w:rFonts w:ascii="宋体" w:eastAsia="宋体" w:hAnsi="宋体" w:cs="宋体"/>
          <w:color w:val="000000" w:themeColor="text1"/>
          <w:szCs w:val="24"/>
        </w:rPr>
        <w:t xml:space="preserve"> 42608368 [Indexed for MEDLINE]</w:t>
      </w:r>
    </w:p>
    <w:p w:rsidR="00843320" w:rsidRPr="00843320" w:rsidRDefault="00843320" w:rsidP="00843320">
      <w:pPr>
        <w:rPr>
          <w:rFonts w:ascii="宋体" w:eastAsia="宋体" w:hAnsi="宋体" w:cs="宋体"/>
          <w:color w:val="000000" w:themeColor="text1"/>
          <w:szCs w:val="24"/>
        </w:rPr>
      </w:pPr>
    </w:p>
    <w:p w:rsidR="00843320" w:rsidRPr="004006C7" w:rsidRDefault="004E4DF0" w:rsidP="00843320">
      <w:pPr>
        <w:rPr>
          <w:rFonts w:ascii="宋体" w:eastAsia="宋体" w:hAnsi="宋体" w:cs="宋体"/>
          <w:b/>
          <w:color w:val="FF0000"/>
          <w:szCs w:val="24"/>
        </w:rPr>
      </w:pPr>
      <w:r>
        <w:rPr>
          <w:rFonts w:ascii="宋体" w:eastAsia="宋体" w:hAnsi="宋体" w:cs="宋体"/>
          <w:b/>
          <w:color w:val="FF0000"/>
          <w:szCs w:val="24"/>
        </w:rPr>
        <w:t>30</w:t>
      </w:r>
      <w:r w:rsidR="00843320" w:rsidRPr="004006C7">
        <w:rPr>
          <w:rFonts w:ascii="宋体" w:eastAsia="宋体" w:hAnsi="宋体" w:cs="宋体"/>
          <w:b/>
          <w:color w:val="FF0000"/>
          <w:szCs w:val="24"/>
        </w:rPr>
        <w:t>. Cell Biochem Funct. 2026 Aug;44(8):e70284. doi: 10.1002/cbf.70284.</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Upregulation of CREB1 by Mycobacterium Tuberculosis Transcriptionally Activates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TREM2 to Promote Macrophage M2 Polarization.</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Zhu Y(1), Xu M(1), Liu D(2), Ning W(1), Wang M(1), Huang F(1), An Z(2), Qiu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J(1), Tang X(3), Wang P(2), Tian B(1), Wen L(1).</w:t>
      </w:r>
    </w:p>
    <w:p w:rsidR="00843320" w:rsidRDefault="00843320" w:rsidP="00843320">
      <w:pPr>
        <w:rPr>
          <w:rFonts w:ascii="宋体" w:eastAsia="宋体" w:hAnsi="宋体" w:cs="宋体"/>
          <w:color w:val="000000" w:themeColor="text1"/>
          <w:szCs w:val="24"/>
        </w:rPr>
      </w:pPr>
    </w:p>
    <w:p w:rsidR="004255FA" w:rsidRPr="004255FA" w:rsidRDefault="004255FA" w:rsidP="00843320">
      <w:pPr>
        <w:rPr>
          <w:rFonts w:ascii="宋体" w:eastAsia="宋体" w:hAnsi="宋体" w:cs="宋体"/>
          <w:b/>
          <w:color w:val="0070C0"/>
          <w:szCs w:val="24"/>
        </w:rPr>
      </w:pPr>
      <w:r w:rsidRPr="004255FA">
        <w:rPr>
          <w:rFonts w:ascii="宋体" w:eastAsia="宋体" w:hAnsi="宋体" w:cs="宋体"/>
          <w:b/>
          <w:color w:val="0070C0"/>
          <w:szCs w:val="24"/>
        </w:rPr>
        <w:t>Yufeng Zhu, Mingzhong Xu, Danxia Liu, Wei Ning, Miaomiao Wang, Feifan Huang, Zhen An, Jingsong Qiu, Xian Tang, Peipei Wang, Bin Tian</w:t>
      </w:r>
      <w:r w:rsidRPr="004255FA">
        <w:rPr>
          <w:rFonts w:ascii="宋体" w:eastAsia="宋体" w:hAnsi="宋体" w:cs="宋体" w:hint="eastAsia"/>
          <w:b/>
          <w:color w:val="0070C0"/>
          <w:szCs w:val="24"/>
        </w:rPr>
        <w:t>*</w:t>
      </w:r>
      <w:r w:rsidRPr="004255FA">
        <w:rPr>
          <w:rFonts w:ascii="宋体" w:eastAsia="宋体" w:hAnsi="宋体" w:cs="宋体"/>
          <w:b/>
          <w:color w:val="0070C0"/>
          <w:szCs w:val="24"/>
        </w:rPr>
        <w:t>, Lan Wen</w:t>
      </w:r>
      <w:r w:rsidRPr="004255FA">
        <w:rPr>
          <w:rFonts w:ascii="宋体" w:eastAsia="宋体" w:hAnsi="宋体" w:cs="宋体" w:hint="eastAsia"/>
          <w:b/>
          <w:color w:val="0070C0"/>
          <w:szCs w:val="24"/>
        </w:rPr>
        <w:t>*</w:t>
      </w:r>
    </w:p>
    <w:p w:rsidR="004255FA" w:rsidRPr="004255FA" w:rsidRDefault="004255FA" w:rsidP="00843320">
      <w:pPr>
        <w:rPr>
          <w:rFonts w:ascii="宋体" w:eastAsia="宋体" w:hAnsi="宋体" w:cs="宋体"/>
          <w:b/>
          <w:color w:val="0070C0"/>
          <w:szCs w:val="24"/>
        </w:rPr>
      </w:pPr>
      <w:r w:rsidRPr="004255FA">
        <w:rPr>
          <w:rFonts w:ascii="宋体" w:eastAsia="宋体" w:hAnsi="宋体" w:cs="宋体" w:hint="eastAsia"/>
          <w:b/>
          <w:color w:val="0070C0"/>
          <w:szCs w:val="24"/>
        </w:rPr>
        <w:lastRenderedPageBreak/>
        <w:t>*</w:t>
      </w:r>
      <w:r w:rsidRPr="004255FA">
        <w:rPr>
          <w:rFonts w:ascii="宋体" w:eastAsia="宋体" w:hAnsi="宋体" w:cs="宋体"/>
          <w:b/>
          <w:color w:val="0070C0"/>
          <w:szCs w:val="24"/>
        </w:rPr>
        <w:t>Correspondence: Bin Tian (246502018@csu.edu.cn) | Lan Wen (</w:t>
      </w:r>
      <w:hyperlink r:id="rId10" w:history="1">
        <w:r w:rsidRPr="004255FA">
          <w:rPr>
            <w:rStyle w:val="a6"/>
            <w:rFonts w:ascii="宋体" w:eastAsia="宋体" w:hAnsi="宋体" w:cs="宋体"/>
            <w:b/>
            <w:color w:val="0070C0"/>
            <w:szCs w:val="24"/>
            <w:u w:val="none"/>
          </w:rPr>
          <w:t>13755067029@163.com</w:t>
        </w:r>
      </w:hyperlink>
      <w:r w:rsidRPr="004255FA">
        <w:rPr>
          <w:rFonts w:ascii="宋体" w:eastAsia="宋体" w:hAnsi="宋体" w:cs="宋体" w:hint="eastAsia"/>
          <w:b/>
          <w:color w:val="0070C0"/>
          <w:szCs w:val="24"/>
        </w:rPr>
        <w:t>)</w:t>
      </w:r>
    </w:p>
    <w:p w:rsidR="004255FA" w:rsidRDefault="004255FA"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Author information:</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(1)Department of Clinical Laboratory, Changsha Municipal Center for Disease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Control and Prevention, Changsha, Hunan Province,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(2)Department of Clinical Laboratory, The Central Hospital of Shaoyang,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Shaoyang, Hunan Province, China.</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(3)Department of Clinical Laboratory, Yongzhou Municipal Center for Disease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Control and Prevention, Yongzhou, Hunan Province, China.</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Tuberculosis, caused by Mycobacterium tuberculosis (MTB), affects approximately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25% of people globally as latent infection (LTBI). Although macrophage CREB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activation promotes MTB survival, the underlying mechanisms remain unclear. This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study reveals, for the first time, how MTB modulates M2 macrophage polarization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through the CREB1/TREM2 signaling pathway. Mononuclear macrophages were isolated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from clinical sample. Flow cytometry was used to determine the M2 polarization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ratio. The expression of TNF-α, IL-10, and IL-1β was determined by ELISA. The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mRNA expression of iNOS, IL-1β, CD206, Arg-1, IL-10, CREB1, and TREM2 was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assessed by qPCR. The protein expression of CREB1, CD206, Arg-1, IL-10,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TREM2 was evaluated by western blot. The colony-forming unit (CFU) assay was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used to detect the survival of MTB. CHIP and Dual-luciferase reporter assays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were used to confirm the binding of CREB1 and TREM2. Clinical sample analysis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revealed that the expression levels of CREB1 and TREM2 in peripheral blood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mononuclear macrophages (PBMCs) were significantly upregulated in tuberculosis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patients. Following H37Rv infection, an increase in the M2 macrophage proportion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was observed. Infection with MTB also elevated the protein level of IL-10, as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well as CREB1 mRNA and protein expression. Transfecting sh-CREB1 into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macrophages or adding CREB inhibitors 666-15 markedly reduced intracellular MTB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CFU counts, implying a potential restrictive effect on viable MTB load within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macrophages. Knockdown of TREM2 similarly decreased MTB CFU burden and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restrained macrophage M2 polarization. Furthermore, transfecting sh-CREB1 into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macrophages can suppress the proliferation of MTB within macrophages, and these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 xml:space="preserve">effects could be further counteracted by the action of oe-TREM2. These results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elucidated that MTB promoted M2 macrophage polarization through CREB1/TREM2.</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hint="eastAsia"/>
          <w:color w:val="000000" w:themeColor="text1"/>
          <w:szCs w:val="24"/>
        </w:rPr>
        <w:t>©</w:t>
      </w:r>
      <w:r w:rsidRPr="00843320">
        <w:rPr>
          <w:rFonts w:ascii="宋体" w:eastAsia="宋体" w:hAnsi="宋体" w:cs="宋体"/>
          <w:color w:val="000000" w:themeColor="text1"/>
          <w:szCs w:val="24"/>
        </w:rPr>
        <w:t xml:space="preserve"> 2026 The Author(s). Cell Biochemistry and Function published by John Wiley &amp; </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Sons Ltd.</w:t>
      </w:r>
    </w:p>
    <w:p w:rsidR="00843320" w:rsidRPr="00843320" w:rsidRDefault="00843320" w:rsidP="00843320">
      <w:pPr>
        <w:rPr>
          <w:rFonts w:ascii="宋体" w:eastAsia="宋体" w:hAnsi="宋体" w:cs="宋体"/>
          <w:color w:val="000000" w:themeColor="text1"/>
          <w:szCs w:val="24"/>
        </w:rPr>
      </w:pP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DOI: 10.1002/cbf.70284</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PMCID: PMC13478875</w:t>
      </w:r>
    </w:p>
    <w:p w:rsidR="00843320" w:rsidRPr="00843320" w:rsidRDefault="00843320" w:rsidP="00843320">
      <w:pPr>
        <w:rPr>
          <w:rFonts w:ascii="宋体" w:eastAsia="宋体" w:hAnsi="宋体" w:cs="宋体"/>
          <w:color w:val="000000" w:themeColor="text1"/>
          <w:szCs w:val="24"/>
        </w:rPr>
      </w:pPr>
      <w:r w:rsidRPr="00843320">
        <w:rPr>
          <w:rFonts w:ascii="宋体" w:eastAsia="宋体" w:hAnsi="宋体" w:cs="宋体"/>
          <w:color w:val="000000" w:themeColor="text1"/>
          <w:szCs w:val="24"/>
        </w:rPr>
        <w:t>PMID: 42605552 [Indexed for MEDLINE]</w:t>
      </w:r>
    </w:p>
    <w:p w:rsidR="00843320" w:rsidRPr="00051820" w:rsidRDefault="00843320" w:rsidP="00843320">
      <w:pPr>
        <w:rPr>
          <w:rFonts w:ascii="宋体" w:eastAsia="宋体" w:hAnsi="宋体" w:cs="宋体"/>
          <w:color w:val="000000" w:themeColor="text1"/>
          <w:szCs w:val="24"/>
        </w:rPr>
      </w:pPr>
    </w:p>
    <w:sectPr w:rsidR="00843320" w:rsidRPr="00051820" w:rsidSect="00F92D14">
      <w:pgSz w:w="11906" w:h="16838"/>
      <w:pgMar w:top="1440" w:right="1753" w:bottom="1440" w:left="1753"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F09" w:rsidRDefault="00615F09" w:rsidP="004C39AF">
      <w:r>
        <w:separator/>
      </w:r>
    </w:p>
  </w:endnote>
  <w:endnote w:type="continuationSeparator" w:id="0">
    <w:p w:rsidR="00615F09" w:rsidRDefault="00615F09" w:rsidP="004C3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F09" w:rsidRDefault="00615F09" w:rsidP="004C39AF">
      <w:r>
        <w:separator/>
      </w:r>
    </w:p>
  </w:footnote>
  <w:footnote w:type="continuationSeparator" w:id="0">
    <w:p w:rsidR="00615F09" w:rsidRDefault="00615F09" w:rsidP="004C39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11840"/>
    <w:multiLevelType w:val="hybridMultilevel"/>
    <w:tmpl w:val="905A39FC"/>
    <w:lvl w:ilvl="0" w:tplc="C9CAD3D0">
      <w:numFmt w:val="bullet"/>
      <w:lvlText w:val=""/>
      <w:lvlJc w:val="left"/>
      <w:pPr>
        <w:ind w:left="360" w:hanging="360"/>
      </w:pPr>
      <w:rPr>
        <w:rFonts w:ascii="Wingdings" w:eastAsia="宋体" w:hAnsi="Wingdings" w:cs="宋体"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EE23364"/>
    <w:multiLevelType w:val="hybridMultilevel"/>
    <w:tmpl w:val="63B0B616"/>
    <w:lvl w:ilvl="0" w:tplc="310639EC">
      <w:numFmt w:val="bullet"/>
      <w:lvlText w:val=""/>
      <w:lvlJc w:val="left"/>
      <w:pPr>
        <w:ind w:left="360" w:hanging="360"/>
      </w:pPr>
      <w:rPr>
        <w:rFonts w:ascii="Wingdings" w:eastAsia="宋体" w:hAnsi="Wingdings" w:cs="宋体"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0F376409"/>
    <w:multiLevelType w:val="multilevel"/>
    <w:tmpl w:val="FE86F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7C7289"/>
    <w:multiLevelType w:val="hybridMultilevel"/>
    <w:tmpl w:val="EB5851E0"/>
    <w:lvl w:ilvl="0" w:tplc="7C7063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A45BDD"/>
    <w:multiLevelType w:val="multilevel"/>
    <w:tmpl w:val="F8047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6C0AC5"/>
    <w:multiLevelType w:val="hybridMultilevel"/>
    <w:tmpl w:val="001CACE0"/>
    <w:lvl w:ilvl="0" w:tplc="D49AD62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7EB3630"/>
    <w:multiLevelType w:val="multilevel"/>
    <w:tmpl w:val="10A0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5E3772"/>
    <w:multiLevelType w:val="hybridMultilevel"/>
    <w:tmpl w:val="23F6EB3C"/>
    <w:lvl w:ilvl="0" w:tplc="69BA72A8">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5A61168"/>
    <w:multiLevelType w:val="multilevel"/>
    <w:tmpl w:val="D36C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EF4D4A"/>
    <w:multiLevelType w:val="hybridMultilevel"/>
    <w:tmpl w:val="809A2174"/>
    <w:lvl w:ilvl="0" w:tplc="246CAA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50E110C"/>
    <w:multiLevelType w:val="hybridMultilevel"/>
    <w:tmpl w:val="23E21F6A"/>
    <w:lvl w:ilvl="0" w:tplc="19809D0A">
      <w:numFmt w:val="bullet"/>
      <w:lvlText w:val=""/>
      <w:lvlJc w:val="left"/>
      <w:pPr>
        <w:ind w:left="360" w:hanging="360"/>
      </w:pPr>
      <w:rPr>
        <w:rFonts w:ascii="Wingdings" w:eastAsia="宋体" w:hAnsi="Wingdings" w:cs="宋体"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36E372A6"/>
    <w:multiLevelType w:val="hybridMultilevel"/>
    <w:tmpl w:val="447499D8"/>
    <w:lvl w:ilvl="0" w:tplc="EAF69324">
      <w:start w:val="13"/>
      <w:numFmt w:val="bullet"/>
      <w:lvlText w:val=""/>
      <w:lvlJc w:val="left"/>
      <w:pPr>
        <w:ind w:left="360" w:hanging="360"/>
      </w:pPr>
      <w:rPr>
        <w:rFonts w:ascii="Wingdings" w:eastAsia="宋体" w:hAnsi="Wingdings" w:cs="宋体"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381F2DD9"/>
    <w:multiLevelType w:val="multilevel"/>
    <w:tmpl w:val="13B6B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52C3BEF"/>
    <w:multiLevelType w:val="multilevel"/>
    <w:tmpl w:val="E74CD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ECB52AC"/>
    <w:multiLevelType w:val="hybridMultilevel"/>
    <w:tmpl w:val="B0A4FBA4"/>
    <w:lvl w:ilvl="0" w:tplc="6DF82C08">
      <w:start w:val="13"/>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3086C9A"/>
    <w:multiLevelType w:val="multilevel"/>
    <w:tmpl w:val="551C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E90DEA"/>
    <w:multiLevelType w:val="multilevel"/>
    <w:tmpl w:val="F960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136751A"/>
    <w:multiLevelType w:val="hybridMultilevel"/>
    <w:tmpl w:val="FBCEB74A"/>
    <w:lvl w:ilvl="0" w:tplc="E410C494">
      <w:numFmt w:val="bullet"/>
      <w:lvlText w:val=""/>
      <w:lvlJc w:val="left"/>
      <w:pPr>
        <w:ind w:left="360" w:hanging="360"/>
      </w:pPr>
      <w:rPr>
        <w:rFonts w:ascii="Wingdings" w:eastAsia="宋体" w:hAnsi="Wingdings" w:cs="宋体"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nsid w:val="717D1667"/>
    <w:multiLevelType w:val="multilevel"/>
    <w:tmpl w:val="3C32B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4217901"/>
    <w:multiLevelType w:val="multilevel"/>
    <w:tmpl w:val="CC74F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65271D6"/>
    <w:multiLevelType w:val="multilevel"/>
    <w:tmpl w:val="D668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787F15"/>
    <w:multiLevelType w:val="multilevel"/>
    <w:tmpl w:val="3D728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7"/>
  </w:num>
  <w:num w:numId="3">
    <w:abstractNumId w:val="18"/>
  </w:num>
  <w:num w:numId="4">
    <w:abstractNumId w:val="19"/>
  </w:num>
  <w:num w:numId="5">
    <w:abstractNumId w:val="0"/>
  </w:num>
  <w:num w:numId="6">
    <w:abstractNumId w:val="2"/>
  </w:num>
  <w:num w:numId="7">
    <w:abstractNumId w:val="13"/>
  </w:num>
  <w:num w:numId="8">
    <w:abstractNumId w:val="20"/>
  </w:num>
  <w:num w:numId="9">
    <w:abstractNumId w:val="6"/>
  </w:num>
  <w:num w:numId="10">
    <w:abstractNumId w:val="15"/>
  </w:num>
  <w:num w:numId="11">
    <w:abstractNumId w:val="4"/>
  </w:num>
  <w:num w:numId="12">
    <w:abstractNumId w:val="16"/>
  </w:num>
  <w:num w:numId="13">
    <w:abstractNumId w:val="7"/>
  </w:num>
  <w:num w:numId="14">
    <w:abstractNumId w:val="8"/>
  </w:num>
  <w:num w:numId="15">
    <w:abstractNumId w:val="21"/>
  </w:num>
  <w:num w:numId="16">
    <w:abstractNumId w:val="1"/>
  </w:num>
  <w:num w:numId="17">
    <w:abstractNumId w:val="12"/>
  </w:num>
  <w:num w:numId="18">
    <w:abstractNumId w:val="3"/>
  </w:num>
  <w:num w:numId="19">
    <w:abstractNumId w:val="14"/>
  </w:num>
  <w:num w:numId="20">
    <w:abstractNumId w:val="11"/>
  </w:num>
  <w:num w:numId="21">
    <w:abstractNumId w:val="9"/>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099"/>
    <w:rsid w:val="00000DB9"/>
    <w:rsid w:val="000014AB"/>
    <w:rsid w:val="00001D3A"/>
    <w:rsid w:val="00002158"/>
    <w:rsid w:val="0000344F"/>
    <w:rsid w:val="00003B7D"/>
    <w:rsid w:val="00004B8B"/>
    <w:rsid w:val="00004DDC"/>
    <w:rsid w:val="00004E0D"/>
    <w:rsid w:val="000053D4"/>
    <w:rsid w:val="00005626"/>
    <w:rsid w:val="00005C57"/>
    <w:rsid w:val="00005DF6"/>
    <w:rsid w:val="00006365"/>
    <w:rsid w:val="00006B5E"/>
    <w:rsid w:val="00006BCA"/>
    <w:rsid w:val="00006DF9"/>
    <w:rsid w:val="00007617"/>
    <w:rsid w:val="00007812"/>
    <w:rsid w:val="00007A28"/>
    <w:rsid w:val="00011C35"/>
    <w:rsid w:val="00012109"/>
    <w:rsid w:val="00012461"/>
    <w:rsid w:val="0001360E"/>
    <w:rsid w:val="0001363A"/>
    <w:rsid w:val="00013BEE"/>
    <w:rsid w:val="00014403"/>
    <w:rsid w:val="00014A65"/>
    <w:rsid w:val="00015A87"/>
    <w:rsid w:val="00016B45"/>
    <w:rsid w:val="00016B5F"/>
    <w:rsid w:val="0001711E"/>
    <w:rsid w:val="0001736B"/>
    <w:rsid w:val="0001780F"/>
    <w:rsid w:val="00017F5F"/>
    <w:rsid w:val="0002050B"/>
    <w:rsid w:val="000212B5"/>
    <w:rsid w:val="00021B2B"/>
    <w:rsid w:val="00022216"/>
    <w:rsid w:val="00022C1A"/>
    <w:rsid w:val="00024C92"/>
    <w:rsid w:val="0002517A"/>
    <w:rsid w:val="0002533D"/>
    <w:rsid w:val="0002556C"/>
    <w:rsid w:val="00025EF3"/>
    <w:rsid w:val="00026721"/>
    <w:rsid w:val="00026903"/>
    <w:rsid w:val="00026B44"/>
    <w:rsid w:val="00030C8F"/>
    <w:rsid w:val="00031017"/>
    <w:rsid w:val="00032443"/>
    <w:rsid w:val="0003251D"/>
    <w:rsid w:val="000336F2"/>
    <w:rsid w:val="000341A3"/>
    <w:rsid w:val="000349DB"/>
    <w:rsid w:val="00034C47"/>
    <w:rsid w:val="00035160"/>
    <w:rsid w:val="000369F1"/>
    <w:rsid w:val="000377E0"/>
    <w:rsid w:val="00040D2C"/>
    <w:rsid w:val="000411E9"/>
    <w:rsid w:val="000419D1"/>
    <w:rsid w:val="00041F05"/>
    <w:rsid w:val="00042044"/>
    <w:rsid w:val="00042257"/>
    <w:rsid w:val="00042426"/>
    <w:rsid w:val="00042646"/>
    <w:rsid w:val="000426FD"/>
    <w:rsid w:val="00042BCC"/>
    <w:rsid w:val="00042F87"/>
    <w:rsid w:val="000430FF"/>
    <w:rsid w:val="000439C5"/>
    <w:rsid w:val="00043AA7"/>
    <w:rsid w:val="00043EC1"/>
    <w:rsid w:val="00043F59"/>
    <w:rsid w:val="0004433C"/>
    <w:rsid w:val="0004482E"/>
    <w:rsid w:val="00044BF9"/>
    <w:rsid w:val="00044C1D"/>
    <w:rsid w:val="000467F6"/>
    <w:rsid w:val="00046D3D"/>
    <w:rsid w:val="0004738B"/>
    <w:rsid w:val="0004796A"/>
    <w:rsid w:val="00047D8A"/>
    <w:rsid w:val="00050F4A"/>
    <w:rsid w:val="000512A8"/>
    <w:rsid w:val="000518ED"/>
    <w:rsid w:val="0005269D"/>
    <w:rsid w:val="00052F5C"/>
    <w:rsid w:val="00053092"/>
    <w:rsid w:val="00054174"/>
    <w:rsid w:val="000542D4"/>
    <w:rsid w:val="0005483D"/>
    <w:rsid w:val="00055647"/>
    <w:rsid w:val="000557AE"/>
    <w:rsid w:val="00055A35"/>
    <w:rsid w:val="00055DAE"/>
    <w:rsid w:val="00055E67"/>
    <w:rsid w:val="0005622B"/>
    <w:rsid w:val="00056868"/>
    <w:rsid w:val="00056925"/>
    <w:rsid w:val="00056A0E"/>
    <w:rsid w:val="00056B72"/>
    <w:rsid w:val="0005708E"/>
    <w:rsid w:val="000570CD"/>
    <w:rsid w:val="00057CFD"/>
    <w:rsid w:val="000608E2"/>
    <w:rsid w:val="00061893"/>
    <w:rsid w:val="00061C4A"/>
    <w:rsid w:val="00062457"/>
    <w:rsid w:val="00063178"/>
    <w:rsid w:val="0006337A"/>
    <w:rsid w:val="000637F3"/>
    <w:rsid w:val="00063930"/>
    <w:rsid w:val="00063E49"/>
    <w:rsid w:val="000650D3"/>
    <w:rsid w:val="00065A57"/>
    <w:rsid w:val="00065B56"/>
    <w:rsid w:val="000660CB"/>
    <w:rsid w:val="00066C6B"/>
    <w:rsid w:val="0006702C"/>
    <w:rsid w:val="000672B8"/>
    <w:rsid w:val="00070260"/>
    <w:rsid w:val="0007069D"/>
    <w:rsid w:val="00070FE6"/>
    <w:rsid w:val="000716E0"/>
    <w:rsid w:val="00071D85"/>
    <w:rsid w:val="00071F83"/>
    <w:rsid w:val="00073164"/>
    <w:rsid w:val="0007482C"/>
    <w:rsid w:val="00074A4F"/>
    <w:rsid w:val="00075067"/>
    <w:rsid w:val="000750A2"/>
    <w:rsid w:val="000751FE"/>
    <w:rsid w:val="00075D82"/>
    <w:rsid w:val="00075F42"/>
    <w:rsid w:val="0007684E"/>
    <w:rsid w:val="00076855"/>
    <w:rsid w:val="00076884"/>
    <w:rsid w:val="00076A1E"/>
    <w:rsid w:val="00076E62"/>
    <w:rsid w:val="00076F4D"/>
    <w:rsid w:val="0007729A"/>
    <w:rsid w:val="0007790C"/>
    <w:rsid w:val="0008093D"/>
    <w:rsid w:val="00080EB3"/>
    <w:rsid w:val="00081087"/>
    <w:rsid w:val="000811D4"/>
    <w:rsid w:val="000815C7"/>
    <w:rsid w:val="00082408"/>
    <w:rsid w:val="00082565"/>
    <w:rsid w:val="00082B2E"/>
    <w:rsid w:val="00082B6A"/>
    <w:rsid w:val="00082EB9"/>
    <w:rsid w:val="00083766"/>
    <w:rsid w:val="00083A08"/>
    <w:rsid w:val="00083B28"/>
    <w:rsid w:val="00083C1E"/>
    <w:rsid w:val="00083CDE"/>
    <w:rsid w:val="00083F4F"/>
    <w:rsid w:val="00084611"/>
    <w:rsid w:val="00085CBB"/>
    <w:rsid w:val="00086220"/>
    <w:rsid w:val="000866EC"/>
    <w:rsid w:val="000871EA"/>
    <w:rsid w:val="000878F0"/>
    <w:rsid w:val="000879A2"/>
    <w:rsid w:val="000900A1"/>
    <w:rsid w:val="000904A7"/>
    <w:rsid w:val="00090B79"/>
    <w:rsid w:val="00092343"/>
    <w:rsid w:val="00092419"/>
    <w:rsid w:val="0009252C"/>
    <w:rsid w:val="00092C39"/>
    <w:rsid w:val="00092C59"/>
    <w:rsid w:val="00092F3A"/>
    <w:rsid w:val="00093655"/>
    <w:rsid w:val="00093A63"/>
    <w:rsid w:val="00094139"/>
    <w:rsid w:val="00094FD8"/>
    <w:rsid w:val="00094FDF"/>
    <w:rsid w:val="00095EEB"/>
    <w:rsid w:val="00096767"/>
    <w:rsid w:val="00096770"/>
    <w:rsid w:val="00096805"/>
    <w:rsid w:val="00097075"/>
    <w:rsid w:val="000979C8"/>
    <w:rsid w:val="00097C56"/>
    <w:rsid w:val="00097DBB"/>
    <w:rsid w:val="000A0936"/>
    <w:rsid w:val="000A0C4E"/>
    <w:rsid w:val="000A12C3"/>
    <w:rsid w:val="000A1FB5"/>
    <w:rsid w:val="000A2006"/>
    <w:rsid w:val="000A2735"/>
    <w:rsid w:val="000A2DEE"/>
    <w:rsid w:val="000A361C"/>
    <w:rsid w:val="000A3785"/>
    <w:rsid w:val="000A37B4"/>
    <w:rsid w:val="000A3C36"/>
    <w:rsid w:val="000A3DED"/>
    <w:rsid w:val="000A4B87"/>
    <w:rsid w:val="000A4CEA"/>
    <w:rsid w:val="000A50DC"/>
    <w:rsid w:val="000A5E88"/>
    <w:rsid w:val="000A6D28"/>
    <w:rsid w:val="000A6DBA"/>
    <w:rsid w:val="000A73A3"/>
    <w:rsid w:val="000A7D87"/>
    <w:rsid w:val="000B086A"/>
    <w:rsid w:val="000B1292"/>
    <w:rsid w:val="000B15A4"/>
    <w:rsid w:val="000B1B8A"/>
    <w:rsid w:val="000B1EF2"/>
    <w:rsid w:val="000B2066"/>
    <w:rsid w:val="000B207D"/>
    <w:rsid w:val="000B2A58"/>
    <w:rsid w:val="000B37C0"/>
    <w:rsid w:val="000B4814"/>
    <w:rsid w:val="000B53D7"/>
    <w:rsid w:val="000B644B"/>
    <w:rsid w:val="000B64CA"/>
    <w:rsid w:val="000B73F6"/>
    <w:rsid w:val="000B7415"/>
    <w:rsid w:val="000B74EB"/>
    <w:rsid w:val="000B7C3B"/>
    <w:rsid w:val="000C07C5"/>
    <w:rsid w:val="000C09F8"/>
    <w:rsid w:val="000C0A24"/>
    <w:rsid w:val="000C0F9A"/>
    <w:rsid w:val="000C1141"/>
    <w:rsid w:val="000C11D8"/>
    <w:rsid w:val="000C1C1D"/>
    <w:rsid w:val="000C2025"/>
    <w:rsid w:val="000C2538"/>
    <w:rsid w:val="000C31CF"/>
    <w:rsid w:val="000C3599"/>
    <w:rsid w:val="000C3C2C"/>
    <w:rsid w:val="000C4172"/>
    <w:rsid w:val="000C4425"/>
    <w:rsid w:val="000C48BE"/>
    <w:rsid w:val="000C4AA0"/>
    <w:rsid w:val="000C54B5"/>
    <w:rsid w:val="000C5BD0"/>
    <w:rsid w:val="000C5D65"/>
    <w:rsid w:val="000C64E2"/>
    <w:rsid w:val="000C6757"/>
    <w:rsid w:val="000C6BE6"/>
    <w:rsid w:val="000D04AB"/>
    <w:rsid w:val="000D072C"/>
    <w:rsid w:val="000D088A"/>
    <w:rsid w:val="000D0A87"/>
    <w:rsid w:val="000D111E"/>
    <w:rsid w:val="000D1748"/>
    <w:rsid w:val="000D2140"/>
    <w:rsid w:val="000D229A"/>
    <w:rsid w:val="000D2954"/>
    <w:rsid w:val="000D29AC"/>
    <w:rsid w:val="000D29FE"/>
    <w:rsid w:val="000D2A7B"/>
    <w:rsid w:val="000D2D26"/>
    <w:rsid w:val="000D2E2E"/>
    <w:rsid w:val="000D3106"/>
    <w:rsid w:val="000D3334"/>
    <w:rsid w:val="000D38BB"/>
    <w:rsid w:val="000D3E73"/>
    <w:rsid w:val="000D401D"/>
    <w:rsid w:val="000D48F9"/>
    <w:rsid w:val="000D4DA6"/>
    <w:rsid w:val="000D6767"/>
    <w:rsid w:val="000D6B28"/>
    <w:rsid w:val="000D7130"/>
    <w:rsid w:val="000D7225"/>
    <w:rsid w:val="000E0BA3"/>
    <w:rsid w:val="000E0FAD"/>
    <w:rsid w:val="000E160C"/>
    <w:rsid w:val="000E1ED0"/>
    <w:rsid w:val="000E2070"/>
    <w:rsid w:val="000E321F"/>
    <w:rsid w:val="000E350F"/>
    <w:rsid w:val="000E3685"/>
    <w:rsid w:val="000E3861"/>
    <w:rsid w:val="000E3922"/>
    <w:rsid w:val="000E3998"/>
    <w:rsid w:val="000E3CB5"/>
    <w:rsid w:val="000E3E6F"/>
    <w:rsid w:val="000E3FAA"/>
    <w:rsid w:val="000E515E"/>
    <w:rsid w:val="000E5936"/>
    <w:rsid w:val="000E6910"/>
    <w:rsid w:val="000E6B0B"/>
    <w:rsid w:val="000E7095"/>
    <w:rsid w:val="000E7324"/>
    <w:rsid w:val="000E7332"/>
    <w:rsid w:val="000E782C"/>
    <w:rsid w:val="000F02D4"/>
    <w:rsid w:val="000F031F"/>
    <w:rsid w:val="000F0847"/>
    <w:rsid w:val="000F092E"/>
    <w:rsid w:val="000F1325"/>
    <w:rsid w:val="000F1799"/>
    <w:rsid w:val="000F1C71"/>
    <w:rsid w:val="000F2CAB"/>
    <w:rsid w:val="000F31C8"/>
    <w:rsid w:val="000F352E"/>
    <w:rsid w:val="000F38A7"/>
    <w:rsid w:val="000F4278"/>
    <w:rsid w:val="000F5325"/>
    <w:rsid w:val="000F5B62"/>
    <w:rsid w:val="000F5E34"/>
    <w:rsid w:val="000F64D5"/>
    <w:rsid w:val="000F69E7"/>
    <w:rsid w:val="000F6C96"/>
    <w:rsid w:val="000F6F22"/>
    <w:rsid w:val="000F6FA9"/>
    <w:rsid w:val="000F763E"/>
    <w:rsid w:val="001011E5"/>
    <w:rsid w:val="001014FB"/>
    <w:rsid w:val="00101917"/>
    <w:rsid w:val="00101965"/>
    <w:rsid w:val="0010208F"/>
    <w:rsid w:val="0010233B"/>
    <w:rsid w:val="00102C3A"/>
    <w:rsid w:val="00102CB5"/>
    <w:rsid w:val="00102F6D"/>
    <w:rsid w:val="00104454"/>
    <w:rsid w:val="001054FA"/>
    <w:rsid w:val="001058AC"/>
    <w:rsid w:val="0010615D"/>
    <w:rsid w:val="0010782E"/>
    <w:rsid w:val="0010799E"/>
    <w:rsid w:val="00110110"/>
    <w:rsid w:val="00110765"/>
    <w:rsid w:val="00111272"/>
    <w:rsid w:val="00111661"/>
    <w:rsid w:val="00111A11"/>
    <w:rsid w:val="00112598"/>
    <w:rsid w:val="0011287F"/>
    <w:rsid w:val="00112A13"/>
    <w:rsid w:val="00112A56"/>
    <w:rsid w:val="00112F4B"/>
    <w:rsid w:val="0011324E"/>
    <w:rsid w:val="00113349"/>
    <w:rsid w:val="0011339A"/>
    <w:rsid w:val="001136AC"/>
    <w:rsid w:val="00113A4D"/>
    <w:rsid w:val="00113BD6"/>
    <w:rsid w:val="00114048"/>
    <w:rsid w:val="00114747"/>
    <w:rsid w:val="001148A1"/>
    <w:rsid w:val="00115471"/>
    <w:rsid w:val="00115539"/>
    <w:rsid w:val="00115817"/>
    <w:rsid w:val="00116CC5"/>
    <w:rsid w:val="001170F6"/>
    <w:rsid w:val="00117346"/>
    <w:rsid w:val="001174DF"/>
    <w:rsid w:val="00117773"/>
    <w:rsid w:val="001177F1"/>
    <w:rsid w:val="00117E84"/>
    <w:rsid w:val="00120949"/>
    <w:rsid w:val="001209C1"/>
    <w:rsid w:val="001209CA"/>
    <w:rsid w:val="00120A34"/>
    <w:rsid w:val="00120ED7"/>
    <w:rsid w:val="00122327"/>
    <w:rsid w:val="00122F4E"/>
    <w:rsid w:val="00123068"/>
    <w:rsid w:val="0012347D"/>
    <w:rsid w:val="00123DB0"/>
    <w:rsid w:val="00124801"/>
    <w:rsid w:val="0012481A"/>
    <w:rsid w:val="00125C53"/>
    <w:rsid w:val="001266D9"/>
    <w:rsid w:val="0012692E"/>
    <w:rsid w:val="0012702F"/>
    <w:rsid w:val="00127511"/>
    <w:rsid w:val="00127B6E"/>
    <w:rsid w:val="00127CF5"/>
    <w:rsid w:val="00130E3F"/>
    <w:rsid w:val="00131585"/>
    <w:rsid w:val="00132F43"/>
    <w:rsid w:val="001336F7"/>
    <w:rsid w:val="00133A73"/>
    <w:rsid w:val="00133ACC"/>
    <w:rsid w:val="001346A8"/>
    <w:rsid w:val="00134766"/>
    <w:rsid w:val="00134A12"/>
    <w:rsid w:val="00134A7B"/>
    <w:rsid w:val="00134DEE"/>
    <w:rsid w:val="00135067"/>
    <w:rsid w:val="001356E3"/>
    <w:rsid w:val="0013594B"/>
    <w:rsid w:val="001362DC"/>
    <w:rsid w:val="00136B8B"/>
    <w:rsid w:val="00136FAC"/>
    <w:rsid w:val="001370CD"/>
    <w:rsid w:val="001401A3"/>
    <w:rsid w:val="001405D6"/>
    <w:rsid w:val="00140740"/>
    <w:rsid w:val="0014119D"/>
    <w:rsid w:val="001412B3"/>
    <w:rsid w:val="001415DE"/>
    <w:rsid w:val="00141786"/>
    <w:rsid w:val="00141CE3"/>
    <w:rsid w:val="0014218A"/>
    <w:rsid w:val="00142416"/>
    <w:rsid w:val="00142DBF"/>
    <w:rsid w:val="0014494D"/>
    <w:rsid w:val="00145B48"/>
    <w:rsid w:val="001502F0"/>
    <w:rsid w:val="00150583"/>
    <w:rsid w:val="00150794"/>
    <w:rsid w:val="0015126B"/>
    <w:rsid w:val="00151455"/>
    <w:rsid w:val="00151E7D"/>
    <w:rsid w:val="00152B66"/>
    <w:rsid w:val="0015367E"/>
    <w:rsid w:val="00153B0D"/>
    <w:rsid w:val="001559A6"/>
    <w:rsid w:val="00155C7B"/>
    <w:rsid w:val="00156286"/>
    <w:rsid w:val="001565EA"/>
    <w:rsid w:val="00156FBA"/>
    <w:rsid w:val="00157277"/>
    <w:rsid w:val="00157490"/>
    <w:rsid w:val="00157628"/>
    <w:rsid w:val="001609A6"/>
    <w:rsid w:val="00160D4F"/>
    <w:rsid w:val="00161378"/>
    <w:rsid w:val="001615D7"/>
    <w:rsid w:val="00161BF1"/>
    <w:rsid w:val="00161F92"/>
    <w:rsid w:val="00162F9A"/>
    <w:rsid w:val="00163152"/>
    <w:rsid w:val="00164CBA"/>
    <w:rsid w:val="00165A37"/>
    <w:rsid w:val="00165A5C"/>
    <w:rsid w:val="00166250"/>
    <w:rsid w:val="00166477"/>
    <w:rsid w:val="0016753E"/>
    <w:rsid w:val="0016764C"/>
    <w:rsid w:val="00167748"/>
    <w:rsid w:val="00167E31"/>
    <w:rsid w:val="00170319"/>
    <w:rsid w:val="0017116D"/>
    <w:rsid w:val="00171541"/>
    <w:rsid w:val="00172F22"/>
    <w:rsid w:val="00173B35"/>
    <w:rsid w:val="00174065"/>
    <w:rsid w:val="001743F5"/>
    <w:rsid w:val="00175ACE"/>
    <w:rsid w:val="00175B5A"/>
    <w:rsid w:val="00175C0E"/>
    <w:rsid w:val="00175D6E"/>
    <w:rsid w:val="0017715C"/>
    <w:rsid w:val="0017719B"/>
    <w:rsid w:val="00177548"/>
    <w:rsid w:val="00177C94"/>
    <w:rsid w:val="0018099B"/>
    <w:rsid w:val="0018108C"/>
    <w:rsid w:val="001812F4"/>
    <w:rsid w:val="001816CC"/>
    <w:rsid w:val="0018181D"/>
    <w:rsid w:val="001830BE"/>
    <w:rsid w:val="00183788"/>
    <w:rsid w:val="001837F3"/>
    <w:rsid w:val="00183F32"/>
    <w:rsid w:val="001849FC"/>
    <w:rsid w:val="0018564F"/>
    <w:rsid w:val="0018682D"/>
    <w:rsid w:val="00186BCA"/>
    <w:rsid w:val="00187878"/>
    <w:rsid w:val="001878CF"/>
    <w:rsid w:val="00187A92"/>
    <w:rsid w:val="00187DA7"/>
    <w:rsid w:val="00190484"/>
    <w:rsid w:val="001908EB"/>
    <w:rsid w:val="0019192C"/>
    <w:rsid w:val="00191A50"/>
    <w:rsid w:val="001929C1"/>
    <w:rsid w:val="00192D5E"/>
    <w:rsid w:val="001930F1"/>
    <w:rsid w:val="00193AD7"/>
    <w:rsid w:val="00193ADE"/>
    <w:rsid w:val="00194114"/>
    <w:rsid w:val="00194939"/>
    <w:rsid w:val="00194994"/>
    <w:rsid w:val="00195007"/>
    <w:rsid w:val="00195670"/>
    <w:rsid w:val="00196093"/>
    <w:rsid w:val="001960D3"/>
    <w:rsid w:val="0019652D"/>
    <w:rsid w:val="001967CA"/>
    <w:rsid w:val="00196C1E"/>
    <w:rsid w:val="0019757F"/>
    <w:rsid w:val="001A040E"/>
    <w:rsid w:val="001A06AF"/>
    <w:rsid w:val="001A127F"/>
    <w:rsid w:val="001A18AE"/>
    <w:rsid w:val="001A1B60"/>
    <w:rsid w:val="001A1F66"/>
    <w:rsid w:val="001A220A"/>
    <w:rsid w:val="001A3082"/>
    <w:rsid w:val="001A30F9"/>
    <w:rsid w:val="001A3C89"/>
    <w:rsid w:val="001A3ED6"/>
    <w:rsid w:val="001A4B38"/>
    <w:rsid w:val="001A5EB8"/>
    <w:rsid w:val="001A6CD6"/>
    <w:rsid w:val="001A71D4"/>
    <w:rsid w:val="001A7525"/>
    <w:rsid w:val="001A75BC"/>
    <w:rsid w:val="001A75E8"/>
    <w:rsid w:val="001A77F9"/>
    <w:rsid w:val="001A7832"/>
    <w:rsid w:val="001A79CD"/>
    <w:rsid w:val="001A7ADC"/>
    <w:rsid w:val="001B1480"/>
    <w:rsid w:val="001B14E7"/>
    <w:rsid w:val="001B1623"/>
    <w:rsid w:val="001B183C"/>
    <w:rsid w:val="001B1D7B"/>
    <w:rsid w:val="001B2009"/>
    <w:rsid w:val="001B2688"/>
    <w:rsid w:val="001B26E2"/>
    <w:rsid w:val="001B28A8"/>
    <w:rsid w:val="001B2961"/>
    <w:rsid w:val="001B2D3B"/>
    <w:rsid w:val="001B2EE4"/>
    <w:rsid w:val="001B382E"/>
    <w:rsid w:val="001B468D"/>
    <w:rsid w:val="001B4C3C"/>
    <w:rsid w:val="001B4CE6"/>
    <w:rsid w:val="001B4DC6"/>
    <w:rsid w:val="001B51A9"/>
    <w:rsid w:val="001B578C"/>
    <w:rsid w:val="001B59BF"/>
    <w:rsid w:val="001B5DFD"/>
    <w:rsid w:val="001B6637"/>
    <w:rsid w:val="001B6AA0"/>
    <w:rsid w:val="001B6B80"/>
    <w:rsid w:val="001C0858"/>
    <w:rsid w:val="001C0BA3"/>
    <w:rsid w:val="001C0D59"/>
    <w:rsid w:val="001C0DC6"/>
    <w:rsid w:val="001C1546"/>
    <w:rsid w:val="001C1578"/>
    <w:rsid w:val="001C1881"/>
    <w:rsid w:val="001C20B6"/>
    <w:rsid w:val="001C20EB"/>
    <w:rsid w:val="001C2C76"/>
    <w:rsid w:val="001C2D56"/>
    <w:rsid w:val="001C2D8C"/>
    <w:rsid w:val="001C2F64"/>
    <w:rsid w:val="001C3115"/>
    <w:rsid w:val="001C3C4B"/>
    <w:rsid w:val="001C3EF8"/>
    <w:rsid w:val="001C413E"/>
    <w:rsid w:val="001C5120"/>
    <w:rsid w:val="001C524A"/>
    <w:rsid w:val="001C5712"/>
    <w:rsid w:val="001C57FB"/>
    <w:rsid w:val="001C58F8"/>
    <w:rsid w:val="001C59F0"/>
    <w:rsid w:val="001C62D4"/>
    <w:rsid w:val="001C694D"/>
    <w:rsid w:val="001C69AE"/>
    <w:rsid w:val="001C6E99"/>
    <w:rsid w:val="001D0089"/>
    <w:rsid w:val="001D0B07"/>
    <w:rsid w:val="001D0DD3"/>
    <w:rsid w:val="001D1737"/>
    <w:rsid w:val="001D1D47"/>
    <w:rsid w:val="001D2534"/>
    <w:rsid w:val="001D2C2F"/>
    <w:rsid w:val="001D4E51"/>
    <w:rsid w:val="001D52DD"/>
    <w:rsid w:val="001D5A05"/>
    <w:rsid w:val="001D5FC7"/>
    <w:rsid w:val="001D6262"/>
    <w:rsid w:val="001D69BF"/>
    <w:rsid w:val="001D6D6C"/>
    <w:rsid w:val="001D74AD"/>
    <w:rsid w:val="001D76AC"/>
    <w:rsid w:val="001D7F12"/>
    <w:rsid w:val="001E0201"/>
    <w:rsid w:val="001E02EA"/>
    <w:rsid w:val="001E092D"/>
    <w:rsid w:val="001E0F00"/>
    <w:rsid w:val="001E14F6"/>
    <w:rsid w:val="001E16A8"/>
    <w:rsid w:val="001E179C"/>
    <w:rsid w:val="001E2637"/>
    <w:rsid w:val="001E2B6C"/>
    <w:rsid w:val="001E2D41"/>
    <w:rsid w:val="001E37E1"/>
    <w:rsid w:val="001E4C91"/>
    <w:rsid w:val="001E4D01"/>
    <w:rsid w:val="001E4F5C"/>
    <w:rsid w:val="001E568E"/>
    <w:rsid w:val="001E5B2C"/>
    <w:rsid w:val="001E6528"/>
    <w:rsid w:val="001E697E"/>
    <w:rsid w:val="001E735A"/>
    <w:rsid w:val="001E7838"/>
    <w:rsid w:val="001E7B37"/>
    <w:rsid w:val="001E7CB2"/>
    <w:rsid w:val="001E7CD8"/>
    <w:rsid w:val="001F098B"/>
    <w:rsid w:val="001F0E0C"/>
    <w:rsid w:val="001F1791"/>
    <w:rsid w:val="001F182F"/>
    <w:rsid w:val="001F20FA"/>
    <w:rsid w:val="001F248C"/>
    <w:rsid w:val="001F2638"/>
    <w:rsid w:val="001F2E8E"/>
    <w:rsid w:val="001F3DB3"/>
    <w:rsid w:val="001F4101"/>
    <w:rsid w:val="001F4C90"/>
    <w:rsid w:val="001F55C0"/>
    <w:rsid w:val="001F5BE0"/>
    <w:rsid w:val="001F6243"/>
    <w:rsid w:val="001F6401"/>
    <w:rsid w:val="001F6444"/>
    <w:rsid w:val="001F6920"/>
    <w:rsid w:val="001F6BB5"/>
    <w:rsid w:val="001F7747"/>
    <w:rsid w:val="00200448"/>
    <w:rsid w:val="0020060C"/>
    <w:rsid w:val="00200BFB"/>
    <w:rsid w:val="00201467"/>
    <w:rsid w:val="00201665"/>
    <w:rsid w:val="0020169B"/>
    <w:rsid w:val="00202162"/>
    <w:rsid w:val="00202614"/>
    <w:rsid w:val="0020283E"/>
    <w:rsid w:val="00203136"/>
    <w:rsid w:val="00203B67"/>
    <w:rsid w:val="00203FDE"/>
    <w:rsid w:val="00204A58"/>
    <w:rsid w:val="00204B2F"/>
    <w:rsid w:val="00204F38"/>
    <w:rsid w:val="0020515F"/>
    <w:rsid w:val="0020559A"/>
    <w:rsid w:val="00206265"/>
    <w:rsid w:val="00207513"/>
    <w:rsid w:val="00207993"/>
    <w:rsid w:val="0021097D"/>
    <w:rsid w:val="0021160B"/>
    <w:rsid w:val="00211AE3"/>
    <w:rsid w:val="00212521"/>
    <w:rsid w:val="0021256D"/>
    <w:rsid w:val="00212CBB"/>
    <w:rsid w:val="00212D63"/>
    <w:rsid w:val="0021356B"/>
    <w:rsid w:val="00213DC4"/>
    <w:rsid w:val="00213E9D"/>
    <w:rsid w:val="00214099"/>
    <w:rsid w:val="0021415D"/>
    <w:rsid w:val="002143BF"/>
    <w:rsid w:val="00215009"/>
    <w:rsid w:val="00215036"/>
    <w:rsid w:val="00215D68"/>
    <w:rsid w:val="00215E87"/>
    <w:rsid w:val="00216865"/>
    <w:rsid w:val="00216B2D"/>
    <w:rsid w:val="00216B69"/>
    <w:rsid w:val="00216FE3"/>
    <w:rsid w:val="0021718E"/>
    <w:rsid w:val="002172B8"/>
    <w:rsid w:val="00220849"/>
    <w:rsid w:val="0022112B"/>
    <w:rsid w:val="0022177F"/>
    <w:rsid w:val="00222BF8"/>
    <w:rsid w:val="00222C1F"/>
    <w:rsid w:val="002237B6"/>
    <w:rsid w:val="00223EC7"/>
    <w:rsid w:val="00223F13"/>
    <w:rsid w:val="002246F4"/>
    <w:rsid w:val="002250FB"/>
    <w:rsid w:val="0022537C"/>
    <w:rsid w:val="002260D7"/>
    <w:rsid w:val="00226151"/>
    <w:rsid w:val="002261D7"/>
    <w:rsid w:val="0022635E"/>
    <w:rsid w:val="00226417"/>
    <w:rsid w:val="002264F6"/>
    <w:rsid w:val="002269CE"/>
    <w:rsid w:val="00226A07"/>
    <w:rsid w:val="0023030B"/>
    <w:rsid w:val="0023054B"/>
    <w:rsid w:val="002307BF"/>
    <w:rsid w:val="00231B75"/>
    <w:rsid w:val="00232D98"/>
    <w:rsid w:val="0023387B"/>
    <w:rsid w:val="00233B2D"/>
    <w:rsid w:val="00234A90"/>
    <w:rsid w:val="00234AC9"/>
    <w:rsid w:val="00235153"/>
    <w:rsid w:val="0023622E"/>
    <w:rsid w:val="00236497"/>
    <w:rsid w:val="002366B9"/>
    <w:rsid w:val="002368A3"/>
    <w:rsid w:val="0023793E"/>
    <w:rsid w:val="0024004F"/>
    <w:rsid w:val="0024013D"/>
    <w:rsid w:val="002404BC"/>
    <w:rsid w:val="0024079D"/>
    <w:rsid w:val="00240F93"/>
    <w:rsid w:val="0024111C"/>
    <w:rsid w:val="0024123B"/>
    <w:rsid w:val="002414C7"/>
    <w:rsid w:val="002426DE"/>
    <w:rsid w:val="00242B2B"/>
    <w:rsid w:val="002434F4"/>
    <w:rsid w:val="00244832"/>
    <w:rsid w:val="002449AD"/>
    <w:rsid w:val="002465F0"/>
    <w:rsid w:val="00246901"/>
    <w:rsid w:val="0024704A"/>
    <w:rsid w:val="00247E12"/>
    <w:rsid w:val="00250A8B"/>
    <w:rsid w:val="00251271"/>
    <w:rsid w:val="00251922"/>
    <w:rsid w:val="00252068"/>
    <w:rsid w:val="002520B2"/>
    <w:rsid w:val="00252307"/>
    <w:rsid w:val="00252DE3"/>
    <w:rsid w:val="0025362F"/>
    <w:rsid w:val="0025415A"/>
    <w:rsid w:val="00254609"/>
    <w:rsid w:val="00254919"/>
    <w:rsid w:val="00254E56"/>
    <w:rsid w:val="00254F1F"/>
    <w:rsid w:val="00255583"/>
    <w:rsid w:val="002557EB"/>
    <w:rsid w:val="002558A0"/>
    <w:rsid w:val="0025593F"/>
    <w:rsid w:val="0025671A"/>
    <w:rsid w:val="00256A02"/>
    <w:rsid w:val="00256D18"/>
    <w:rsid w:val="0025701C"/>
    <w:rsid w:val="0025720C"/>
    <w:rsid w:val="002573CF"/>
    <w:rsid w:val="002577B2"/>
    <w:rsid w:val="00257A79"/>
    <w:rsid w:val="00257C61"/>
    <w:rsid w:val="0026071D"/>
    <w:rsid w:val="00260828"/>
    <w:rsid w:val="002609CD"/>
    <w:rsid w:val="0026193B"/>
    <w:rsid w:val="002619A4"/>
    <w:rsid w:val="00261A00"/>
    <w:rsid w:val="0026216B"/>
    <w:rsid w:val="002622F1"/>
    <w:rsid w:val="002629E1"/>
    <w:rsid w:val="00262EA3"/>
    <w:rsid w:val="002640D3"/>
    <w:rsid w:val="00264730"/>
    <w:rsid w:val="00264E66"/>
    <w:rsid w:val="00264E82"/>
    <w:rsid w:val="002658B8"/>
    <w:rsid w:val="00265E5B"/>
    <w:rsid w:val="0026605C"/>
    <w:rsid w:val="002662B8"/>
    <w:rsid w:val="0026666D"/>
    <w:rsid w:val="002667A0"/>
    <w:rsid w:val="002667F6"/>
    <w:rsid w:val="00266D93"/>
    <w:rsid w:val="00266F9B"/>
    <w:rsid w:val="0026754E"/>
    <w:rsid w:val="0026793F"/>
    <w:rsid w:val="00270098"/>
    <w:rsid w:val="00270835"/>
    <w:rsid w:val="002708B4"/>
    <w:rsid w:val="00270CE5"/>
    <w:rsid w:val="00271C0B"/>
    <w:rsid w:val="002723F8"/>
    <w:rsid w:val="002734FB"/>
    <w:rsid w:val="00273BB6"/>
    <w:rsid w:val="00275609"/>
    <w:rsid w:val="00275C21"/>
    <w:rsid w:val="00276213"/>
    <w:rsid w:val="00277640"/>
    <w:rsid w:val="00277768"/>
    <w:rsid w:val="00281323"/>
    <w:rsid w:val="00281B09"/>
    <w:rsid w:val="0028258F"/>
    <w:rsid w:val="002839D1"/>
    <w:rsid w:val="00283F3A"/>
    <w:rsid w:val="002849DB"/>
    <w:rsid w:val="00284ADA"/>
    <w:rsid w:val="00284E2C"/>
    <w:rsid w:val="002850C9"/>
    <w:rsid w:val="00285178"/>
    <w:rsid w:val="00285233"/>
    <w:rsid w:val="00285261"/>
    <w:rsid w:val="002856EB"/>
    <w:rsid w:val="00285E2D"/>
    <w:rsid w:val="00286A3C"/>
    <w:rsid w:val="00286C77"/>
    <w:rsid w:val="00287DB6"/>
    <w:rsid w:val="00290166"/>
    <w:rsid w:val="002904A3"/>
    <w:rsid w:val="00290ED2"/>
    <w:rsid w:val="00290F48"/>
    <w:rsid w:val="0029167E"/>
    <w:rsid w:val="00291877"/>
    <w:rsid w:val="00291C13"/>
    <w:rsid w:val="00291F64"/>
    <w:rsid w:val="00292D3A"/>
    <w:rsid w:val="00294399"/>
    <w:rsid w:val="00294A7A"/>
    <w:rsid w:val="00294FFF"/>
    <w:rsid w:val="0029557A"/>
    <w:rsid w:val="002968AF"/>
    <w:rsid w:val="0029720F"/>
    <w:rsid w:val="002975D6"/>
    <w:rsid w:val="002A0CFE"/>
    <w:rsid w:val="002A1B89"/>
    <w:rsid w:val="002A1DB0"/>
    <w:rsid w:val="002A22D6"/>
    <w:rsid w:val="002A2B49"/>
    <w:rsid w:val="002A3C2A"/>
    <w:rsid w:val="002A3C75"/>
    <w:rsid w:val="002A4094"/>
    <w:rsid w:val="002A46B4"/>
    <w:rsid w:val="002A48D6"/>
    <w:rsid w:val="002A52D6"/>
    <w:rsid w:val="002A5755"/>
    <w:rsid w:val="002A59B9"/>
    <w:rsid w:val="002A5A6B"/>
    <w:rsid w:val="002A5EB6"/>
    <w:rsid w:val="002A5EE6"/>
    <w:rsid w:val="002A65C4"/>
    <w:rsid w:val="002A6BE3"/>
    <w:rsid w:val="002A71C7"/>
    <w:rsid w:val="002A730A"/>
    <w:rsid w:val="002A76E3"/>
    <w:rsid w:val="002A7785"/>
    <w:rsid w:val="002A779F"/>
    <w:rsid w:val="002B0853"/>
    <w:rsid w:val="002B0E05"/>
    <w:rsid w:val="002B1029"/>
    <w:rsid w:val="002B164A"/>
    <w:rsid w:val="002B1915"/>
    <w:rsid w:val="002B26DA"/>
    <w:rsid w:val="002B2853"/>
    <w:rsid w:val="002B2AF0"/>
    <w:rsid w:val="002B2C4D"/>
    <w:rsid w:val="002B2F94"/>
    <w:rsid w:val="002B39FD"/>
    <w:rsid w:val="002B3B3E"/>
    <w:rsid w:val="002B3C03"/>
    <w:rsid w:val="002B3E8B"/>
    <w:rsid w:val="002B4525"/>
    <w:rsid w:val="002B4A2B"/>
    <w:rsid w:val="002B6176"/>
    <w:rsid w:val="002B6D55"/>
    <w:rsid w:val="002B6E03"/>
    <w:rsid w:val="002B75F8"/>
    <w:rsid w:val="002B7C6A"/>
    <w:rsid w:val="002B7C9B"/>
    <w:rsid w:val="002C0178"/>
    <w:rsid w:val="002C0AB2"/>
    <w:rsid w:val="002C0C00"/>
    <w:rsid w:val="002C0D87"/>
    <w:rsid w:val="002C0F7F"/>
    <w:rsid w:val="002C1311"/>
    <w:rsid w:val="002C1B3D"/>
    <w:rsid w:val="002C1EE8"/>
    <w:rsid w:val="002C2D59"/>
    <w:rsid w:val="002C4737"/>
    <w:rsid w:val="002C4820"/>
    <w:rsid w:val="002C56DB"/>
    <w:rsid w:val="002C5B8B"/>
    <w:rsid w:val="002C5C4A"/>
    <w:rsid w:val="002C6CB6"/>
    <w:rsid w:val="002C6DF3"/>
    <w:rsid w:val="002C756E"/>
    <w:rsid w:val="002D0691"/>
    <w:rsid w:val="002D08DE"/>
    <w:rsid w:val="002D097F"/>
    <w:rsid w:val="002D0F60"/>
    <w:rsid w:val="002D1036"/>
    <w:rsid w:val="002D1E5D"/>
    <w:rsid w:val="002D1F08"/>
    <w:rsid w:val="002D1F45"/>
    <w:rsid w:val="002D227E"/>
    <w:rsid w:val="002D2B2D"/>
    <w:rsid w:val="002D2C9F"/>
    <w:rsid w:val="002D2D13"/>
    <w:rsid w:val="002D3321"/>
    <w:rsid w:val="002D4623"/>
    <w:rsid w:val="002D4762"/>
    <w:rsid w:val="002D486C"/>
    <w:rsid w:val="002D4B0D"/>
    <w:rsid w:val="002D5297"/>
    <w:rsid w:val="002D56E1"/>
    <w:rsid w:val="002D5D18"/>
    <w:rsid w:val="002D6980"/>
    <w:rsid w:val="002D7004"/>
    <w:rsid w:val="002D70BC"/>
    <w:rsid w:val="002D7167"/>
    <w:rsid w:val="002E07C7"/>
    <w:rsid w:val="002E141B"/>
    <w:rsid w:val="002E1B94"/>
    <w:rsid w:val="002E2195"/>
    <w:rsid w:val="002E271A"/>
    <w:rsid w:val="002E29E7"/>
    <w:rsid w:val="002E3D81"/>
    <w:rsid w:val="002E4F32"/>
    <w:rsid w:val="002E5FCF"/>
    <w:rsid w:val="002E69D6"/>
    <w:rsid w:val="002E6B73"/>
    <w:rsid w:val="002E731D"/>
    <w:rsid w:val="002E7808"/>
    <w:rsid w:val="002E7ACD"/>
    <w:rsid w:val="002E7E95"/>
    <w:rsid w:val="002F01F9"/>
    <w:rsid w:val="002F0230"/>
    <w:rsid w:val="002F0755"/>
    <w:rsid w:val="002F0D59"/>
    <w:rsid w:val="002F0DE0"/>
    <w:rsid w:val="002F1B7B"/>
    <w:rsid w:val="002F25BC"/>
    <w:rsid w:val="002F2E38"/>
    <w:rsid w:val="002F2E7B"/>
    <w:rsid w:val="002F3C7F"/>
    <w:rsid w:val="002F3DAB"/>
    <w:rsid w:val="002F3FA9"/>
    <w:rsid w:val="002F4386"/>
    <w:rsid w:val="002F453E"/>
    <w:rsid w:val="002F4946"/>
    <w:rsid w:val="002F4B1A"/>
    <w:rsid w:val="002F5970"/>
    <w:rsid w:val="002F5B09"/>
    <w:rsid w:val="002F61DE"/>
    <w:rsid w:val="002F6822"/>
    <w:rsid w:val="002F6EBD"/>
    <w:rsid w:val="002F7159"/>
    <w:rsid w:val="002F723D"/>
    <w:rsid w:val="002F7C4D"/>
    <w:rsid w:val="002F7C8C"/>
    <w:rsid w:val="002F7F3B"/>
    <w:rsid w:val="002F7FC3"/>
    <w:rsid w:val="00300459"/>
    <w:rsid w:val="003004F8"/>
    <w:rsid w:val="00300880"/>
    <w:rsid w:val="00300933"/>
    <w:rsid w:val="00300B17"/>
    <w:rsid w:val="00300B25"/>
    <w:rsid w:val="00300BE1"/>
    <w:rsid w:val="00301A69"/>
    <w:rsid w:val="00301AFE"/>
    <w:rsid w:val="00301C1E"/>
    <w:rsid w:val="00302429"/>
    <w:rsid w:val="003036B5"/>
    <w:rsid w:val="00303AD4"/>
    <w:rsid w:val="003047CA"/>
    <w:rsid w:val="003047D4"/>
    <w:rsid w:val="00304D6E"/>
    <w:rsid w:val="003059EA"/>
    <w:rsid w:val="00305BF3"/>
    <w:rsid w:val="003076BD"/>
    <w:rsid w:val="0030788B"/>
    <w:rsid w:val="00307B4D"/>
    <w:rsid w:val="00310C6D"/>
    <w:rsid w:val="003112ED"/>
    <w:rsid w:val="003115CE"/>
    <w:rsid w:val="00311803"/>
    <w:rsid w:val="00311A4A"/>
    <w:rsid w:val="00311AE8"/>
    <w:rsid w:val="00311EB9"/>
    <w:rsid w:val="00312830"/>
    <w:rsid w:val="00313453"/>
    <w:rsid w:val="0031499F"/>
    <w:rsid w:val="00314BD8"/>
    <w:rsid w:val="00314DA8"/>
    <w:rsid w:val="00315619"/>
    <w:rsid w:val="00315723"/>
    <w:rsid w:val="00316469"/>
    <w:rsid w:val="003164FD"/>
    <w:rsid w:val="00316661"/>
    <w:rsid w:val="003168D6"/>
    <w:rsid w:val="00316EAA"/>
    <w:rsid w:val="00316EFC"/>
    <w:rsid w:val="0031733D"/>
    <w:rsid w:val="00317342"/>
    <w:rsid w:val="00317F7F"/>
    <w:rsid w:val="00321B3B"/>
    <w:rsid w:val="00321BA1"/>
    <w:rsid w:val="00322183"/>
    <w:rsid w:val="00322A9A"/>
    <w:rsid w:val="00322C7B"/>
    <w:rsid w:val="003236C4"/>
    <w:rsid w:val="00324282"/>
    <w:rsid w:val="00324324"/>
    <w:rsid w:val="003250B7"/>
    <w:rsid w:val="00325B57"/>
    <w:rsid w:val="00325C09"/>
    <w:rsid w:val="00325FC1"/>
    <w:rsid w:val="003264B8"/>
    <w:rsid w:val="003264DA"/>
    <w:rsid w:val="00326B51"/>
    <w:rsid w:val="00326C40"/>
    <w:rsid w:val="00327286"/>
    <w:rsid w:val="00327769"/>
    <w:rsid w:val="00327DC3"/>
    <w:rsid w:val="00330EEE"/>
    <w:rsid w:val="00330F68"/>
    <w:rsid w:val="003312A7"/>
    <w:rsid w:val="00331C94"/>
    <w:rsid w:val="00331CA9"/>
    <w:rsid w:val="0033244E"/>
    <w:rsid w:val="00332B82"/>
    <w:rsid w:val="00332ED6"/>
    <w:rsid w:val="003337B2"/>
    <w:rsid w:val="00333C97"/>
    <w:rsid w:val="0033405E"/>
    <w:rsid w:val="0033488D"/>
    <w:rsid w:val="00334CFC"/>
    <w:rsid w:val="003351B7"/>
    <w:rsid w:val="00335356"/>
    <w:rsid w:val="00336B6F"/>
    <w:rsid w:val="00336E81"/>
    <w:rsid w:val="00337DD8"/>
    <w:rsid w:val="00340239"/>
    <w:rsid w:val="00340543"/>
    <w:rsid w:val="0034073E"/>
    <w:rsid w:val="00340832"/>
    <w:rsid w:val="003408F2"/>
    <w:rsid w:val="00341464"/>
    <w:rsid w:val="003431E8"/>
    <w:rsid w:val="003432F0"/>
    <w:rsid w:val="003434A1"/>
    <w:rsid w:val="0034379D"/>
    <w:rsid w:val="0034470F"/>
    <w:rsid w:val="0034535A"/>
    <w:rsid w:val="0034613D"/>
    <w:rsid w:val="00346C3C"/>
    <w:rsid w:val="0034753F"/>
    <w:rsid w:val="00347C38"/>
    <w:rsid w:val="00347F11"/>
    <w:rsid w:val="00350006"/>
    <w:rsid w:val="00350BAF"/>
    <w:rsid w:val="0035124C"/>
    <w:rsid w:val="0035196D"/>
    <w:rsid w:val="00351EE7"/>
    <w:rsid w:val="00353FA5"/>
    <w:rsid w:val="0035436A"/>
    <w:rsid w:val="00354448"/>
    <w:rsid w:val="00354BF4"/>
    <w:rsid w:val="00354D01"/>
    <w:rsid w:val="00354D93"/>
    <w:rsid w:val="0035505B"/>
    <w:rsid w:val="003554CD"/>
    <w:rsid w:val="0035606C"/>
    <w:rsid w:val="00356D07"/>
    <w:rsid w:val="0035704B"/>
    <w:rsid w:val="003578D4"/>
    <w:rsid w:val="00360B6D"/>
    <w:rsid w:val="00360E97"/>
    <w:rsid w:val="00361061"/>
    <w:rsid w:val="0036188C"/>
    <w:rsid w:val="00361922"/>
    <w:rsid w:val="00361AC8"/>
    <w:rsid w:val="00361F88"/>
    <w:rsid w:val="003628DE"/>
    <w:rsid w:val="00362BCA"/>
    <w:rsid w:val="00363137"/>
    <w:rsid w:val="003634E2"/>
    <w:rsid w:val="0036354F"/>
    <w:rsid w:val="00364128"/>
    <w:rsid w:val="00364147"/>
    <w:rsid w:val="003651AB"/>
    <w:rsid w:val="003658FE"/>
    <w:rsid w:val="00365C42"/>
    <w:rsid w:val="003666D3"/>
    <w:rsid w:val="00366949"/>
    <w:rsid w:val="00366985"/>
    <w:rsid w:val="0036725E"/>
    <w:rsid w:val="00367A20"/>
    <w:rsid w:val="00367EDE"/>
    <w:rsid w:val="00367FED"/>
    <w:rsid w:val="003715AF"/>
    <w:rsid w:val="00373035"/>
    <w:rsid w:val="00373E6F"/>
    <w:rsid w:val="00373F21"/>
    <w:rsid w:val="003742AF"/>
    <w:rsid w:val="00374410"/>
    <w:rsid w:val="003746C3"/>
    <w:rsid w:val="00374F06"/>
    <w:rsid w:val="00376182"/>
    <w:rsid w:val="003761D4"/>
    <w:rsid w:val="00376FAF"/>
    <w:rsid w:val="00377921"/>
    <w:rsid w:val="00380554"/>
    <w:rsid w:val="003806FA"/>
    <w:rsid w:val="0038099B"/>
    <w:rsid w:val="00380AAE"/>
    <w:rsid w:val="0038110D"/>
    <w:rsid w:val="0038116D"/>
    <w:rsid w:val="0038141E"/>
    <w:rsid w:val="00381542"/>
    <w:rsid w:val="00381B50"/>
    <w:rsid w:val="00381D42"/>
    <w:rsid w:val="00381E27"/>
    <w:rsid w:val="003821C8"/>
    <w:rsid w:val="003829B9"/>
    <w:rsid w:val="0038322B"/>
    <w:rsid w:val="00383BA7"/>
    <w:rsid w:val="00383D99"/>
    <w:rsid w:val="00384775"/>
    <w:rsid w:val="0038484E"/>
    <w:rsid w:val="00385022"/>
    <w:rsid w:val="0038563A"/>
    <w:rsid w:val="00385E22"/>
    <w:rsid w:val="0039039E"/>
    <w:rsid w:val="0039054F"/>
    <w:rsid w:val="00390BA2"/>
    <w:rsid w:val="00390F4D"/>
    <w:rsid w:val="00391675"/>
    <w:rsid w:val="00391751"/>
    <w:rsid w:val="003918EE"/>
    <w:rsid w:val="00392717"/>
    <w:rsid w:val="003928C1"/>
    <w:rsid w:val="003933E4"/>
    <w:rsid w:val="003936C4"/>
    <w:rsid w:val="0039406E"/>
    <w:rsid w:val="00395A4B"/>
    <w:rsid w:val="00395FEA"/>
    <w:rsid w:val="00396B06"/>
    <w:rsid w:val="003978AB"/>
    <w:rsid w:val="003A01DF"/>
    <w:rsid w:val="003A21DE"/>
    <w:rsid w:val="003A2335"/>
    <w:rsid w:val="003A3232"/>
    <w:rsid w:val="003A396B"/>
    <w:rsid w:val="003A3A4E"/>
    <w:rsid w:val="003A3E49"/>
    <w:rsid w:val="003A55A3"/>
    <w:rsid w:val="003A5979"/>
    <w:rsid w:val="003A6D57"/>
    <w:rsid w:val="003A73D5"/>
    <w:rsid w:val="003B0472"/>
    <w:rsid w:val="003B06D6"/>
    <w:rsid w:val="003B07D2"/>
    <w:rsid w:val="003B1211"/>
    <w:rsid w:val="003B1E9F"/>
    <w:rsid w:val="003B3657"/>
    <w:rsid w:val="003B37D5"/>
    <w:rsid w:val="003B37F0"/>
    <w:rsid w:val="003B4748"/>
    <w:rsid w:val="003B4BC5"/>
    <w:rsid w:val="003B5A29"/>
    <w:rsid w:val="003B61C0"/>
    <w:rsid w:val="003B74B5"/>
    <w:rsid w:val="003B77B1"/>
    <w:rsid w:val="003B797B"/>
    <w:rsid w:val="003C12BF"/>
    <w:rsid w:val="003C12E4"/>
    <w:rsid w:val="003C17B3"/>
    <w:rsid w:val="003C261C"/>
    <w:rsid w:val="003C2964"/>
    <w:rsid w:val="003C2980"/>
    <w:rsid w:val="003C2D78"/>
    <w:rsid w:val="003C2F2F"/>
    <w:rsid w:val="003C2FD6"/>
    <w:rsid w:val="003C3777"/>
    <w:rsid w:val="003C3899"/>
    <w:rsid w:val="003C3B18"/>
    <w:rsid w:val="003C447A"/>
    <w:rsid w:val="003C4B12"/>
    <w:rsid w:val="003C4E94"/>
    <w:rsid w:val="003C5949"/>
    <w:rsid w:val="003C6658"/>
    <w:rsid w:val="003C66AF"/>
    <w:rsid w:val="003C68FA"/>
    <w:rsid w:val="003C6DA0"/>
    <w:rsid w:val="003C798C"/>
    <w:rsid w:val="003C79E8"/>
    <w:rsid w:val="003D042F"/>
    <w:rsid w:val="003D0464"/>
    <w:rsid w:val="003D0890"/>
    <w:rsid w:val="003D1376"/>
    <w:rsid w:val="003D165F"/>
    <w:rsid w:val="003D2B60"/>
    <w:rsid w:val="003D36E0"/>
    <w:rsid w:val="003D4141"/>
    <w:rsid w:val="003D48D8"/>
    <w:rsid w:val="003D4B4E"/>
    <w:rsid w:val="003D4ECD"/>
    <w:rsid w:val="003D54C1"/>
    <w:rsid w:val="003D630D"/>
    <w:rsid w:val="003D65F4"/>
    <w:rsid w:val="003D7524"/>
    <w:rsid w:val="003D7D26"/>
    <w:rsid w:val="003E0336"/>
    <w:rsid w:val="003E09E3"/>
    <w:rsid w:val="003E0B3D"/>
    <w:rsid w:val="003E0E67"/>
    <w:rsid w:val="003E1A75"/>
    <w:rsid w:val="003E2B2B"/>
    <w:rsid w:val="003E2C2D"/>
    <w:rsid w:val="003E2C86"/>
    <w:rsid w:val="003E3935"/>
    <w:rsid w:val="003E3A21"/>
    <w:rsid w:val="003E3CBC"/>
    <w:rsid w:val="003E45FC"/>
    <w:rsid w:val="003E48AC"/>
    <w:rsid w:val="003E48EE"/>
    <w:rsid w:val="003E4E48"/>
    <w:rsid w:val="003E505F"/>
    <w:rsid w:val="003E51FE"/>
    <w:rsid w:val="003E5DD0"/>
    <w:rsid w:val="003E6A35"/>
    <w:rsid w:val="003E726A"/>
    <w:rsid w:val="003E7403"/>
    <w:rsid w:val="003E7CE5"/>
    <w:rsid w:val="003F0284"/>
    <w:rsid w:val="003F03F5"/>
    <w:rsid w:val="003F0687"/>
    <w:rsid w:val="003F0AA6"/>
    <w:rsid w:val="003F0E95"/>
    <w:rsid w:val="003F113C"/>
    <w:rsid w:val="003F24B9"/>
    <w:rsid w:val="003F25BB"/>
    <w:rsid w:val="003F283A"/>
    <w:rsid w:val="003F3631"/>
    <w:rsid w:val="003F3EFD"/>
    <w:rsid w:val="003F4068"/>
    <w:rsid w:val="003F4C2D"/>
    <w:rsid w:val="003F52AD"/>
    <w:rsid w:val="003F562F"/>
    <w:rsid w:val="003F7583"/>
    <w:rsid w:val="003F76D8"/>
    <w:rsid w:val="003F7775"/>
    <w:rsid w:val="003F7C2C"/>
    <w:rsid w:val="003F7D93"/>
    <w:rsid w:val="003F7EAC"/>
    <w:rsid w:val="004006C7"/>
    <w:rsid w:val="004013A4"/>
    <w:rsid w:val="004017ED"/>
    <w:rsid w:val="00401F72"/>
    <w:rsid w:val="00402280"/>
    <w:rsid w:val="004024C7"/>
    <w:rsid w:val="00402545"/>
    <w:rsid w:val="004026D8"/>
    <w:rsid w:val="00403146"/>
    <w:rsid w:val="004035AF"/>
    <w:rsid w:val="00403E00"/>
    <w:rsid w:val="0040422E"/>
    <w:rsid w:val="004048F2"/>
    <w:rsid w:val="00404999"/>
    <w:rsid w:val="00404B86"/>
    <w:rsid w:val="00405665"/>
    <w:rsid w:val="00405FE9"/>
    <w:rsid w:val="00406328"/>
    <w:rsid w:val="004078DF"/>
    <w:rsid w:val="004110AD"/>
    <w:rsid w:val="004114DD"/>
    <w:rsid w:val="00412BC7"/>
    <w:rsid w:val="00414112"/>
    <w:rsid w:val="0041429B"/>
    <w:rsid w:val="00414361"/>
    <w:rsid w:val="00415306"/>
    <w:rsid w:val="004155D7"/>
    <w:rsid w:val="00415BE5"/>
    <w:rsid w:val="00416636"/>
    <w:rsid w:val="00417731"/>
    <w:rsid w:val="00417C19"/>
    <w:rsid w:val="00417DFE"/>
    <w:rsid w:val="00420607"/>
    <w:rsid w:val="004206FE"/>
    <w:rsid w:val="0042083B"/>
    <w:rsid w:val="00420C63"/>
    <w:rsid w:val="00421469"/>
    <w:rsid w:val="00422191"/>
    <w:rsid w:val="00422E5C"/>
    <w:rsid w:val="004238F2"/>
    <w:rsid w:val="00424BB5"/>
    <w:rsid w:val="004255FA"/>
    <w:rsid w:val="00425780"/>
    <w:rsid w:val="00425A90"/>
    <w:rsid w:val="00425E7A"/>
    <w:rsid w:val="0042603D"/>
    <w:rsid w:val="00426138"/>
    <w:rsid w:val="004262E6"/>
    <w:rsid w:val="00426E0C"/>
    <w:rsid w:val="00427861"/>
    <w:rsid w:val="00427DA6"/>
    <w:rsid w:val="00427E77"/>
    <w:rsid w:val="0043103A"/>
    <w:rsid w:val="0043115B"/>
    <w:rsid w:val="0043130F"/>
    <w:rsid w:val="00431A04"/>
    <w:rsid w:val="00431F1C"/>
    <w:rsid w:val="00432041"/>
    <w:rsid w:val="004321C5"/>
    <w:rsid w:val="004324DF"/>
    <w:rsid w:val="004324F1"/>
    <w:rsid w:val="004327EB"/>
    <w:rsid w:val="004333ED"/>
    <w:rsid w:val="00433991"/>
    <w:rsid w:val="00433FD7"/>
    <w:rsid w:val="00434AAA"/>
    <w:rsid w:val="00434D40"/>
    <w:rsid w:val="0043516A"/>
    <w:rsid w:val="004357A5"/>
    <w:rsid w:val="004402E7"/>
    <w:rsid w:val="004407E8"/>
    <w:rsid w:val="00440802"/>
    <w:rsid w:val="004408A5"/>
    <w:rsid w:val="00441188"/>
    <w:rsid w:val="0044128E"/>
    <w:rsid w:val="004414FD"/>
    <w:rsid w:val="0044254E"/>
    <w:rsid w:val="004425FA"/>
    <w:rsid w:val="00442724"/>
    <w:rsid w:val="00443412"/>
    <w:rsid w:val="00443446"/>
    <w:rsid w:val="004437CB"/>
    <w:rsid w:val="00444133"/>
    <w:rsid w:val="00444369"/>
    <w:rsid w:val="00444DB4"/>
    <w:rsid w:val="00445DE8"/>
    <w:rsid w:val="00446216"/>
    <w:rsid w:val="004464BD"/>
    <w:rsid w:val="004477C3"/>
    <w:rsid w:val="0045029C"/>
    <w:rsid w:val="004503C7"/>
    <w:rsid w:val="00450784"/>
    <w:rsid w:val="004507E5"/>
    <w:rsid w:val="00450CBC"/>
    <w:rsid w:val="00451367"/>
    <w:rsid w:val="00451F5A"/>
    <w:rsid w:val="00453E62"/>
    <w:rsid w:val="00453E92"/>
    <w:rsid w:val="00453ED1"/>
    <w:rsid w:val="004541FD"/>
    <w:rsid w:val="00454971"/>
    <w:rsid w:val="00454B68"/>
    <w:rsid w:val="00454B6E"/>
    <w:rsid w:val="00454D1E"/>
    <w:rsid w:val="004555C8"/>
    <w:rsid w:val="00455DA7"/>
    <w:rsid w:val="0045657F"/>
    <w:rsid w:val="00456B60"/>
    <w:rsid w:val="00456DB3"/>
    <w:rsid w:val="00460119"/>
    <w:rsid w:val="004603A0"/>
    <w:rsid w:val="00461010"/>
    <w:rsid w:val="004620E3"/>
    <w:rsid w:val="004624E1"/>
    <w:rsid w:val="00462950"/>
    <w:rsid w:val="00462D96"/>
    <w:rsid w:val="0046350F"/>
    <w:rsid w:val="0046363E"/>
    <w:rsid w:val="0046490E"/>
    <w:rsid w:val="00464FE8"/>
    <w:rsid w:val="00466C06"/>
    <w:rsid w:val="004674FC"/>
    <w:rsid w:val="00470389"/>
    <w:rsid w:val="00471B3F"/>
    <w:rsid w:val="00471C5A"/>
    <w:rsid w:val="004723C7"/>
    <w:rsid w:val="0047320C"/>
    <w:rsid w:val="004732A1"/>
    <w:rsid w:val="00473331"/>
    <w:rsid w:val="004735B6"/>
    <w:rsid w:val="00473A91"/>
    <w:rsid w:val="004742E0"/>
    <w:rsid w:val="004745C0"/>
    <w:rsid w:val="00474746"/>
    <w:rsid w:val="00474ADA"/>
    <w:rsid w:val="0047521A"/>
    <w:rsid w:val="0047579F"/>
    <w:rsid w:val="00475F81"/>
    <w:rsid w:val="004761CD"/>
    <w:rsid w:val="00476675"/>
    <w:rsid w:val="00476B9C"/>
    <w:rsid w:val="00477D7E"/>
    <w:rsid w:val="0048024B"/>
    <w:rsid w:val="00480CC2"/>
    <w:rsid w:val="00480F47"/>
    <w:rsid w:val="00481210"/>
    <w:rsid w:val="00481406"/>
    <w:rsid w:val="0048155D"/>
    <w:rsid w:val="00481DA4"/>
    <w:rsid w:val="0048297D"/>
    <w:rsid w:val="00482BC8"/>
    <w:rsid w:val="00483113"/>
    <w:rsid w:val="004838E2"/>
    <w:rsid w:val="00483E90"/>
    <w:rsid w:val="00484051"/>
    <w:rsid w:val="004844D0"/>
    <w:rsid w:val="00484BD3"/>
    <w:rsid w:val="00484E8E"/>
    <w:rsid w:val="00485132"/>
    <w:rsid w:val="00485492"/>
    <w:rsid w:val="004859E6"/>
    <w:rsid w:val="00485A26"/>
    <w:rsid w:val="004868D8"/>
    <w:rsid w:val="00486AED"/>
    <w:rsid w:val="0048706C"/>
    <w:rsid w:val="00487272"/>
    <w:rsid w:val="004879CD"/>
    <w:rsid w:val="00487B2E"/>
    <w:rsid w:val="00490024"/>
    <w:rsid w:val="00490132"/>
    <w:rsid w:val="00490C54"/>
    <w:rsid w:val="00490D13"/>
    <w:rsid w:val="00492480"/>
    <w:rsid w:val="004926B5"/>
    <w:rsid w:val="00492A94"/>
    <w:rsid w:val="00492C89"/>
    <w:rsid w:val="004933DC"/>
    <w:rsid w:val="004935C4"/>
    <w:rsid w:val="00495080"/>
    <w:rsid w:val="0049619D"/>
    <w:rsid w:val="0049645C"/>
    <w:rsid w:val="00496878"/>
    <w:rsid w:val="00496C86"/>
    <w:rsid w:val="00497113"/>
    <w:rsid w:val="004A0388"/>
    <w:rsid w:val="004A03A0"/>
    <w:rsid w:val="004A0414"/>
    <w:rsid w:val="004A0998"/>
    <w:rsid w:val="004A09E4"/>
    <w:rsid w:val="004A0E6D"/>
    <w:rsid w:val="004A10E1"/>
    <w:rsid w:val="004A14FE"/>
    <w:rsid w:val="004A15B0"/>
    <w:rsid w:val="004A1710"/>
    <w:rsid w:val="004A17A9"/>
    <w:rsid w:val="004A20AB"/>
    <w:rsid w:val="004A20B1"/>
    <w:rsid w:val="004A221A"/>
    <w:rsid w:val="004A24B3"/>
    <w:rsid w:val="004A2703"/>
    <w:rsid w:val="004A32E6"/>
    <w:rsid w:val="004A3E99"/>
    <w:rsid w:val="004A3F28"/>
    <w:rsid w:val="004A405A"/>
    <w:rsid w:val="004A589F"/>
    <w:rsid w:val="004A5D9A"/>
    <w:rsid w:val="004A5F86"/>
    <w:rsid w:val="004A63AC"/>
    <w:rsid w:val="004A70E6"/>
    <w:rsid w:val="004B0063"/>
    <w:rsid w:val="004B131F"/>
    <w:rsid w:val="004B21EC"/>
    <w:rsid w:val="004B2741"/>
    <w:rsid w:val="004B27AC"/>
    <w:rsid w:val="004B2A6F"/>
    <w:rsid w:val="004B2B7F"/>
    <w:rsid w:val="004B2FFD"/>
    <w:rsid w:val="004B460A"/>
    <w:rsid w:val="004B4A8B"/>
    <w:rsid w:val="004B4BC3"/>
    <w:rsid w:val="004B5C90"/>
    <w:rsid w:val="004B5EAA"/>
    <w:rsid w:val="004B652B"/>
    <w:rsid w:val="004B6958"/>
    <w:rsid w:val="004B706D"/>
    <w:rsid w:val="004B7473"/>
    <w:rsid w:val="004B7C58"/>
    <w:rsid w:val="004C0BEF"/>
    <w:rsid w:val="004C163C"/>
    <w:rsid w:val="004C1FE4"/>
    <w:rsid w:val="004C237B"/>
    <w:rsid w:val="004C33DB"/>
    <w:rsid w:val="004C37A0"/>
    <w:rsid w:val="004C39AF"/>
    <w:rsid w:val="004C40BE"/>
    <w:rsid w:val="004C421E"/>
    <w:rsid w:val="004C44DA"/>
    <w:rsid w:val="004C470B"/>
    <w:rsid w:val="004C575A"/>
    <w:rsid w:val="004C5C1E"/>
    <w:rsid w:val="004C655A"/>
    <w:rsid w:val="004C7259"/>
    <w:rsid w:val="004C7734"/>
    <w:rsid w:val="004C7A21"/>
    <w:rsid w:val="004C7A4E"/>
    <w:rsid w:val="004C7F23"/>
    <w:rsid w:val="004D0791"/>
    <w:rsid w:val="004D1099"/>
    <w:rsid w:val="004D1D8C"/>
    <w:rsid w:val="004D1E11"/>
    <w:rsid w:val="004D20D6"/>
    <w:rsid w:val="004D235D"/>
    <w:rsid w:val="004D2500"/>
    <w:rsid w:val="004D2C65"/>
    <w:rsid w:val="004D3BE2"/>
    <w:rsid w:val="004D3CD1"/>
    <w:rsid w:val="004D4BB9"/>
    <w:rsid w:val="004D560C"/>
    <w:rsid w:val="004D5676"/>
    <w:rsid w:val="004D5796"/>
    <w:rsid w:val="004D5835"/>
    <w:rsid w:val="004D5B35"/>
    <w:rsid w:val="004D5C18"/>
    <w:rsid w:val="004D6D9D"/>
    <w:rsid w:val="004D7C08"/>
    <w:rsid w:val="004D7C7C"/>
    <w:rsid w:val="004E01BC"/>
    <w:rsid w:val="004E0420"/>
    <w:rsid w:val="004E0983"/>
    <w:rsid w:val="004E14B8"/>
    <w:rsid w:val="004E1E0B"/>
    <w:rsid w:val="004E1F87"/>
    <w:rsid w:val="004E21D3"/>
    <w:rsid w:val="004E2841"/>
    <w:rsid w:val="004E2E92"/>
    <w:rsid w:val="004E2EF5"/>
    <w:rsid w:val="004E3C7D"/>
    <w:rsid w:val="004E3CC2"/>
    <w:rsid w:val="004E456A"/>
    <w:rsid w:val="004E4747"/>
    <w:rsid w:val="004E477B"/>
    <w:rsid w:val="004E4793"/>
    <w:rsid w:val="004E4A7D"/>
    <w:rsid w:val="004E4CB6"/>
    <w:rsid w:val="004E4DF0"/>
    <w:rsid w:val="004E52E1"/>
    <w:rsid w:val="004E56A1"/>
    <w:rsid w:val="004E6996"/>
    <w:rsid w:val="004E7581"/>
    <w:rsid w:val="004E7687"/>
    <w:rsid w:val="004E775D"/>
    <w:rsid w:val="004F0850"/>
    <w:rsid w:val="004F0C58"/>
    <w:rsid w:val="004F1049"/>
    <w:rsid w:val="004F20CB"/>
    <w:rsid w:val="004F2487"/>
    <w:rsid w:val="004F3762"/>
    <w:rsid w:val="004F484F"/>
    <w:rsid w:val="004F52AA"/>
    <w:rsid w:val="004F531A"/>
    <w:rsid w:val="004F5A0E"/>
    <w:rsid w:val="004F64F4"/>
    <w:rsid w:val="004F76E0"/>
    <w:rsid w:val="0050001C"/>
    <w:rsid w:val="005008A3"/>
    <w:rsid w:val="00500D65"/>
    <w:rsid w:val="00500FB2"/>
    <w:rsid w:val="0050107D"/>
    <w:rsid w:val="005013B8"/>
    <w:rsid w:val="005014D7"/>
    <w:rsid w:val="00501DA9"/>
    <w:rsid w:val="0050212E"/>
    <w:rsid w:val="00502AEF"/>
    <w:rsid w:val="00502B3B"/>
    <w:rsid w:val="00502EE4"/>
    <w:rsid w:val="0050362C"/>
    <w:rsid w:val="00504516"/>
    <w:rsid w:val="00504C5C"/>
    <w:rsid w:val="00504CF1"/>
    <w:rsid w:val="0050541F"/>
    <w:rsid w:val="00505997"/>
    <w:rsid w:val="00505F8E"/>
    <w:rsid w:val="00506493"/>
    <w:rsid w:val="00506F90"/>
    <w:rsid w:val="005073CF"/>
    <w:rsid w:val="00507DC9"/>
    <w:rsid w:val="005106CD"/>
    <w:rsid w:val="00510B8F"/>
    <w:rsid w:val="005117AC"/>
    <w:rsid w:val="00511E33"/>
    <w:rsid w:val="0051229D"/>
    <w:rsid w:val="00512610"/>
    <w:rsid w:val="00512AED"/>
    <w:rsid w:val="00513169"/>
    <w:rsid w:val="00513327"/>
    <w:rsid w:val="00513D1A"/>
    <w:rsid w:val="00514B81"/>
    <w:rsid w:val="0051563E"/>
    <w:rsid w:val="00515F90"/>
    <w:rsid w:val="00515FAC"/>
    <w:rsid w:val="00516223"/>
    <w:rsid w:val="00516566"/>
    <w:rsid w:val="005166E2"/>
    <w:rsid w:val="00516718"/>
    <w:rsid w:val="00516D23"/>
    <w:rsid w:val="00517C63"/>
    <w:rsid w:val="00520EF5"/>
    <w:rsid w:val="00520F44"/>
    <w:rsid w:val="005210D9"/>
    <w:rsid w:val="00521280"/>
    <w:rsid w:val="00521601"/>
    <w:rsid w:val="00521AEE"/>
    <w:rsid w:val="005228C0"/>
    <w:rsid w:val="00522A4E"/>
    <w:rsid w:val="00522D67"/>
    <w:rsid w:val="00524C51"/>
    <w:rsid w:val="00524D3F"/>
    <w:rsid w:val="00525431"/>
    <w:rsid w:val="005256F7"/>
    <w:rsid w:val="00525CB4"/>
    <w:rsid w:val="00526038"/>
    <w:rsid w:val="00526157"/>
    <w:rsid w:val="00526233"/>
    <w:rsid w:val="00526479"/>
    <w:rsid w:val="00526CCB"/>
    <w:rsid w:val="005271DF"/>
    <w:rsid w:val="0052759B"/>
    <w:rsid w:val="00530493"/>
    <w:rsid w:val="00530E25"/>
    <w:rsid w:val="0053112F"/>
    <w:rsid w:val="00531289"/>
    <w:rsid w:val="00531421"/>
    <w:rsid w:val="00532246"/>
    <w:rsid w:val="005328FF"/>
    <w:rsid w:val="00532BEB"/>
    <w:rsid w:val="00533759"/>
    <w:rsid w:val="00534130"/>
    <w:rsid w:val="005347F2"/>
    <w:rsid w:val="00535A76"/>
    <w:rsid w:val="00535C55"/>
    <w:rsid w:val="0053619F"/>
    <w:rsid w:val="005363A7"/>
    <w:rsid w:val="005364EE"/>
    <w:rsid w:val="00536637"/>
    <w:rsid w:val="00536994"/>
    <w:rsid w:val="005369C7"/>
    <w:rsid w:val="00537678"/>
    <w:rsid w:val="00540FD2"/>
    <w:rsid w:val="00541D1C"/>
    <w:rsid w:val="00541E77"/>
    <w:rsid w:val="005425E6"/>
    <w:rsid w:val="00542924"/>
    <w:rsid w:val="00542A65"/>
    <w:rsid w:val="00542A66"/>
    <w:rsid w:val="00542BC0"/>
    <w:rsid w:val="00542DC6"/>
    <w:rsid w:val="0054357B"/>
    <w:rsid w:val="00544A39"/>
    <w:rsid w:val="00544C92"/>
    <w:rsid w:val="00544D1E"/>
    <w:rsid w:val="00544E11"/>
    <w:rsid w:val="00544E84"/>
    <w:rsid w:val="00544F05"/>
    <w:rsid w:val="005452DD"/>
    <w:rsid w:val="00545A46"/>
    <w:rsid w:val="00545D04"/>
    <w:rsid w:val="00545EA8"/>
    <w:rsid w:val="0054613C"/>
    <w:rsid w:val="005463C2"/>
    <w:rsid w:val="00546550"/>
    <w:rsid w:val="005468FB"/>
    <w:rsid w:val="00546D92"/>
    <w:rsid w:val="00546DF0"/>
    <w:rsid w:val="00546EAF"/>
    <w:rsid w:val="0054714C"/>
    <w:rsid w:val="00550487"/>
    <w:rsid w:val="00550993"/>
    <w:rsid w:val="005510A1"/>
    <w:rsid w:val="00551148"/>
    <w:rsid w:val="0055142B"/>
    <w:rsid w:val="00551A02"/>
    <w:rsid w:val="00551B20"/>
    <w:rsid w:val="00553692"/>
    <w:rsid w:val="005539F7"/>
    <w:rsid w:val="00553DB0"/>
    <w:rsid w:val="00553FB0"/>
    <w:rsid w:val="00555606"/>
    <w:rsid w:val="005561D4"/>
    <w:rsid w:val="00557B06"/>
    <w:rsid w:val="005605D2"/>
    <w:rsid w:val="00560709"/>
    <w:rsid w:val="0056090E"/>
    <w:rsid w:val="005613F7"/>
    <w:rsid w:val="00561854"/>
    <w:rsid w:val="00561AC4"/>
    <w:rsid w:val="00561DF9"/>
    <w:rsid w:val="00563250"/>
    <w:rsid w:val="005639AA"/>
    <w:rsid w:val="00563B6E"/>
    <w:rsid w:val="00563BE1"/>
    <w:rsid w:val="00563EFD"/>
    <w:rsid w:val="005641AE"/>
    <w:rsid w:val="00564F2D"/>
    <w:rsid w:val="0056547A"/>
    <w:rsid w:val="00565638"/>
    <w:rsid w:val="00565CDB"/>
    <w:rsid w:val="00565D91"/>
    <w:rsid w:val="0056627D"/>
    <w:rsid w:val="005667B7"/>
    <w:rsid w:val="00567A9C"/>
    <w:rsid w:val="0057123A"/>
    <w:rsid w:val="005717DE"/>
    <w:rsid w:val="00572B13"/>
    <w:rsid w:val="00572D95"/>
    <w:rsid w:val="00573DBC"/>
    <w:rsid w:val="00574256"/>
    <w:rsid w:val="005744AE"/>
    <w:rsid w:val="00574706"/>
    <w:rsid w:val="00574CF6"/>
    <w:rsid w:val="00574EDE"/>
    <w:rsid w:val="005752EC"/>
    <w:rsid w:val="0057566A"/>
    <w:rsid w:val="005757C0"/>
    <w:rsid w:val="0057596A"/>
    <w:rsid w:val="00575A86"/>
    <w:rsid w:val="00575D85"/>
    <w:rsid w:val="00575F35"/>
    <w:rsid w:val="005764F8"/>
    <w:rsid w:val="0057656A"/>
    <w:rsid w:val="0057656C"/>
    <w:rsid w:val="00576C39"/>
    <w:rsid w:val="005771CB"/>
    <w:rsid w:val="005773EC"/>
    <w:rsid w:val="00577446"/>
    <w:rsid w:val="00577753"/>
    <w:rsid w:val="00577F06"/>
    <w:rsid w:val="00577FB7"/>
    <w:rsid w:val="00580229"/>
    <w:rsid w:val="00580629"/>
    <w:rsid w:val="0058087E"/>
    <w:rsid w:val="00581199"/>
    <w:rsid w:val="00581715"/>
    <w:rsid w:val="00581A9B"/>
    <w:rsid w:val="00581C4E"/>
    <w:rsid w:val="00582356"/>
    <w:rsid w:val="00582A9A"/>
    <w:rsid w:val="00582B3C"/>
    <w:rsid w:val="00582F42"/>
    <w:rsid w:val="00583AE4"/>
    <w:rsid w:val="005847E0"/>
    <w:rsid w:val="00584820"/>
    <w:rsid w:val="00584E3C"/>
    <w:rsid w:val="005854E1"/>
    <w:rsid w:val="005854EF"/>
    <w:rsid w:val="00585B55"/>
    <w:rsid w:val="00585C01"/>
    <w:rsid w:val="00586107"/>
    <w:rsid w:val="005861E3"/>
    <w:rsid w:val="00586304"/>
    <w:rsid w:val="0058681F"/>
    <w:rsid w:val="005870C3"/>
    <w:rsid w:val="00587360"/>
    <w:rsid w:val="00587769"/>
    <w:rsid w:val="00587C48"/>
    <w:rsid w:val="00590120"/>
    <w:rsid w:val="005906AE"/>
    <w:rsid w:val="00590D40"/>
    <w:rsid w:val="0059135B"/>
    <w:rsid w:val="005919ED"/>
    <w:rsid w:val="00591C5E"/>
    <w:rsid w:val="00591DA7"/>
    <w:rsid w:val="00592011"/>
    <w:rsid w:val="00592666"/>
    <w:rsid w:val="00592E0A"/>
    <w:rsid w:val="005954AC"/>
    <w:rsid w:val="005954E1"/>
    <w:rsid w:val="00595E76"/>
    <w:rsid w:val="0059632A"/>
    <w:rsid w:val="00597960"/>
    <w:rsid w:val="005A07B1"/>
    <w:rsid w:val="005A0F8A"/>
    <w:rsid w:val="005A1148"/>
    <w:rsid w:val="005A12C9"/>
    <w:rsid w:val="005A1371"/>
    <w:rsid w:val="005A1910"/>
    <w:rsid w:val="005A1A34"/>
    <w:rsid w:val="005A205F"/>
    <w:rsid w:val="005A2514"/>
    <w:rsid w:val="005A32BA"/>
    <w:rsid w:val="005A376D"/>
    <w:rsid w:val="005A3D50"/>
    <w:rsid w:val="005A46D1"/>
    <w:rsid w:val="005A4AC6"/>
    <w:rsid w:val="005A4E75"/>
    <w:rsid w:val="005A4F50"/>
    <w:rsid w:val="005A507A"/>
    <w:rsid w:val="005A53EB"/>
    <w:rsid w:val="005A6971"/>
    <w:rsid w:val="005B0A39"/>
    <w:rsid w:val="005B14FD"/>
    <w:rsid w:val="005B1C1C"/>
    <w:rsid w:val="005B1CFB"/>
    <w:rsid w:val="005B2212"/>
    <w:rsid w:val="005B24F5"/>
    <w:rsid w:val="005B29C0"/>
    <w:rsid w:val="005B2D3A"/>
    <w:rsid w:val="005B3C5A"/>
    <w:rsid w:val="005B484B"/>
    <w:rsid w:val="005B5963"/>
    <w:rsid w:val="005B6734"/>
    <w:rsid w:val="005B6828"/>
    <w:rsid w:val="005B6A8D"/>
    <w:rsid w:val="005B6B3D"/>
    <w:rsid w:val="005B6F08"/>
    <w:rsid w:val="005B6FB7"/>
    <w:rsid w:val="005B727D"/>
    <w:rsid w:val="005C09A6"/>
    <w:rsid w:val="005C09FD"/>
    <w:rsid w:val="005C1D5B"/>
    <w:rsid w:val="005C1F89"/>
    <w:rsid w:val="005C2903"/>
    <w:rsid w:val="005C296D"/>
    <w:rsid w:val="005C339C"/>
    <w:rsid w:val="005C341C"/>
    <w:rsid w:val="005C3616"/>
    <w:rsid w:val="005C36CB"/>
    <w:rsid w:val="005C3744"/>
    <w:rsid w:val="005C3C9A"/>
    <w:rsid w:val="005C4AAA"/>
    <w:rsid w:val="005C5489"/>
    <w:rsid w:val="005C57F9"/>
    <w:rsid w:val="005C5E3B"/>
    <w:rsid w:val="005C60B5"/>
    <w:rsid w:val="005C654F"/>
    <w:rsid w:val="005C74B2"/>
    <w:rsid w:val="005C7630"/>
    <w:rsid w:val="005C768B"/>
    <w:rsid w:val="005C773A"/>
    <w:rsid w:val="005D0735"/>
    <w:rsid w:val="005D07AC"/>
    <w:rsid w:val="005D0C52"/>
    <w:rsid w:val="005D113E"/>
    <w:rsid w:val="005D1DE4"/>
    <w:rsid w:val="005D27E2"/>
    <w:rsid w:val="005D655F"/>
    <w:rsid w:val="005D6CAB"/>
    <w:rsid w:val="005D7495"/>
    <w:rsid w:val="005D763A"/>
    <w:rsid w:val="005D78B7"/>
    <w:rsid w:val="005D791F"/>
    <w:rsid w:val="005D7AD8"/>
    <w:rsid w:val="005E0397"/>
    <w:rsid w:val="005E0676"/>
    <w:rsid w:val="005E08A7"/>
    <w:rsid w:val="005E1D31"/>
    <w:rsid w:val="005E3E9D"/>
    <w:rsid w:val="005E5330"/>
    <w:rsid w:val="005E53FA"/>
    <w:rsid w:val="005E5461"/>
    <w:rsid w:val="005E56C0"/>
    <w:rsid w:val="005E6037"/>
    <w:rsid w:val="005E6523"/>
    <w:rsid w:val="005E7A49"/>
    <w:rsid w:val="005F16BD"/>
    <w:rsid w:val="005F1710"/>
    <w:rsid w:val="005F17C5"/>
    <w:rsid w:val="005F29A3"/>
    <w:rsid w:val="005F325B"/>
    <w:rsid w:val="005F35FE"/>
    <w:rsid w:val="005F4617"/>
    <w:rsid w:val="005F5780"/>
    <w:rsid w:val="005F6618"/>
    <w:rsid w:val="005F67F3"/>
    <w:rsid w:val="005F69FA"/>
    <w:rsid w:val="005F6BCD"/>
    <w:rsid w:val="005F71B3"/>
    <w:rsid w:val="00600E34"/>
    <w:rsid w:val="006012B3"/>
    <w:rsid w:val="00602033"/>
    <w:rsid w:val="00604136"/>
    <w:rsid w:val="006046D8"/>
    <w:rsid w:val="006046E1"/>
    <w:rsid w:val="00604994"/>
    <w:rsid w:val="00604B10"/>
    <w:rsid w:val="00604C3C"/>
    <w:rsid w:val="00604CA8"/>
    <w:rsid w:val="00605A62"/>
    <w:rsid w:val="00605E3D"/>
    <w:rsid w:val="00606339"/>
    <w:rsid w:val="00606E01"/>
    <w:rsid w:val="00606ECC"/>
    <w:rsid w:val="00606F91"/>
    <w:rsid w:val="0060721B"/>
    <w:rsid w:val="006076D5"/>
    <w:rsid w:val="00610403"/>
    <w:rsid w:val="006109CC"/>
    <w:rsid w:val="00610CD3"/>
    <w:rsid w:val="00611BA8"/>
    <w:rsid w:val="0061248D"/>
    <w:rsid w:val="00612BA1"/>
    <w:rsid w:val="00612E69"/>
    <w:rsid w:val="0061356E"/>
    <w:rsid w:val="0061369A"/>
    <w:rsid w:val="00613953"/>
    <w:rsid w:val="00613A12"/>
    <w:rsid w:val="00613A84"/>
    <w:rsid w:val="00613C22"/>
    <w:rsid w:val="00613C37"/>
    <w:rsid w:val="006147C5"/>
    <w:rsid w:val="0061517C"/>
    <w:rsid w:val="00615A71"/>
    <w:rsid w:val="00615C74"/>
    <w:rsid w:val="00615F09"/>
    <w:rsid w:val="006160C7"/>
    <w:rsid w:val="006164FF"/>
    <w:rsid w:val="00616B33"/>
    <w:rsid w:val="00617566"/>
    <w:rsid w:val="00617CAF"/>
    <w:rsid w:val="00617F75"/>
    <w:rsid w:val="0062009C"/>
    <w:rsid w:val="0062034C"/>
    <w:rsid w:val="00620766"/>
    <w:rsid w:val="00620A34"/>
    <w:rsid w:val="006210A8"/>
    <w:rsid w:val="0062176C"/>
    <w:rsid w:val="0062195A"/>
    <w:rsid w:val="00621A24"/>
    <w:rsid w:val="006221E3"/>
    <w:rsid w:val="00622365"/>
    <w:rsid w:val="006227EF"/>
    <w:rsid w:val="0062292E"/>
    <w:rsid w:val="00622948"/>
    <w:rsid w:val="00622E3A"/>
    <w:rsid w:val="00623F5A"/>
    <w:rsid w:val="00623FBD"/>
    <w:rsid w:val="00624871"/>
    <w:rsid w:val="00624DFC"/>
    <w:rsid w:val="0062514F"/>
    <w:rsid w:val="006253AF"/>
    <w:rsid w:val="0062593B"/>
    <w:rsid w:val="00625BE3"/>
    <w:rsid w:val="00625C8E"/>
    <w:rsid w:val="00626126"/>
    <w:rsid w:val="00626678"/>
    <w:rsid w:val="00626868"/>
    <w:rsid w:val="00626C50"/>
    <w:rsid w:val="006274E9"/>
    <w:rsid w:val="006278B1"/>
    <w:rsid w:val="00627D5A"/>
    <w:rsid w:val="00627DB7"/>
    <w:rsid w:val="00627F44"/>
    <w:rsid w:val="0063016C"/>
    <w:rsid w:val="006310BC"/>
    <w:rsid w:val="006313DB"/>
    <w:rsid w:val="006321EE"/>
    <w:rsid w:val="0063254D"/>
    <w:rsid w:val="0063273A"/>
    <w:rsid w:val="00633521"/>
    <w:rsid w:val="006344C0"/>
    <w:rsid w:val="00634963"/>
    <w:rsid w:val="006351B3"/>
    <w:rsid w:val="0063530A"/>
    <w:rsid w:val="0063579D"/>
    <w:rsid w:val="0063580A"/>
    <w:rsid w:val="006358D6"/>
    <w:rsid w:val="00635B56"/>
    <w:rsid w:val="0063602E"/>
    <w:rsid w:val="006368FD"/>
    <w:rsid w:val="00637137"/>
    <w:rsid w:val="00637349"/>
    <w:rsid w:val="006374EA"/>
    <w:rsid w:val="006375B6"/>
    <w:rsid w:val="00637824"/>
    <w:rsid w:val="006378C9"/>
    <w:rsid w:val="0064016C"/>
    <w:rsid w:val="006401CB"/>
    <w:rsid w:val="00640BF2"/>
    <w:rsid w:val="00640E0F"/>
    <w:rsid w:val="00641284"/>
    <w:rsid w:val="00643189"/>
    <w:rsid w:val="006433C2"/>
    <w:rsid w:val="006436AF"/>
    <w:rsid w:val="006438C4"/>
    <w:rsid w:val="00643BD7"/>
    <w:rsid w:val="006448D7"/>
    <w:rsid w:val="006449C1"/>
    <w:rsid w:val="00646CB9"/>
    <w:rsid w:val="006471F4"/>
    <w:rsid w:val="00647474"/>
    <w:rsid w:val="00647D56"/>
    <w:rsid w:val="00647D78"/>
    <w:rsid w:val="006507F4"/>
    <w:rsid w:val="006512B1"/>
    <w:rsid w:val="00651921"/>
    <w:rsid w:val="006520C8"/>
    <w:rsid w:val="00652177"/>
    <w:rsid w:val="0065257E"/>
    <w:rsid w:val="00652780"/>
    <w:rsid w:val="00652B69"/>
    <w:rsid w:val="00652EA4"/>
    <w:rsid w:val="00653FE4"/>
    <w:rsid w:val="006540B2"/>
    <w:rsid w:val="0065417B"/>
    <w:rsid w:val="0065510B"/>
    <w:rsid w:val="006552EE"/>
    <w:rsid w:val="00655605"/>
    <w:rsid w:val="00655A39"/>
    <w:rsid w:val="00655B89"/>
    <w:rsid w:val="006562B2"/>
    <w:rsid w:val="006565EC"/>
    <w:rsid w:val="00657006"/>
    <w:rsid w:val="006601F0"/>
    <w:rsid w:val="0066234C"/>
    <w:rsid w:val="006628F1"/>
    <w:rsid w:val="0066295F"/>
    <w:rsid w:val="0066352E"/>
    <w:rsid w:val="0066463A"/>
    <w:rsid w:val="00665476"/>
    <w:rsid w:val="0066565F"/>
    <w:rsid w:val="006657D3"/>
    <w:rsid w:val="00665B79"/>
    <w:rsid w:val="00667089"/>
    <w:rsid w:val="0066796D"/>
    <w:rsid w:val="00667BA3"/>
    <w:rsid w:val="00670BA4"/>
    <w:rsid w:val="00671092"/>
    <w:rsid w:val="006725FF"/>
    <w:rsid w:val="00672780"/>
    <w:rsid w:val="0067287E"/>
    <w:rsid w:val="00673AF7"/>
    <w:rsid w:val="00673FF7"/>
    <w:rsid w:val="00674D62"/>
    <w:rsid w:val="00674DD3"/>
    <w:rsid w:val="0067748A"/>
    <w:rsid w:val="006816F2"/>
    <w:rsid w:val="006827B4"/>
    <w:rsid w:val="006828B9"/>
    <w:rsid w:val="006828C3"/>
    <w:rsid w:val="00682943"/>
    <w:rsid w:val="00682DBF"/>
    <w:rsid w:val="0068311E"/>
    <w:rsid w:val="00683C75"/>
    <w:rsid w:val="006844D1"/>
    <w:rsid w:val="00684A8B"/>
    <w:rsid w:val="00684AE5"/>
    <w:rsid w:val="00685FAC"/>
    <w:rsid w:val="00686628"/>
    <w:rsid w:val="006869D9"/>
    <w:rsid w:val="00686F90"/>
    <w:rsid w:val="00687164"/>
    <w:rsid w:val="0068748F"/>
    <w:rsid w:val="006902D6"/>
    <w:rsid w:val="006903D9"/>
    <w:rsid w:val="00690B19"/>
    <w:rsid w:val="0069120C"/>
    <w:rsid w:val="00691D36"/>
    <w:rsid w:val="00693332"/>
    <w:rsid w:val="00693BA9"/>
    <w:rsid w:val="00693D4A"/>
    <w:rsid w:val="00694631"/>
    <w:rsid w:val="00694712"/>
    <w:rsid w:val="00695436"/>
    <w:rsid w:val="00695817"/>
    <w:rsid w:val="00695B36"/>
    <w:rsid w:val="00695EC3"/>
    <w:rsid w:val="0069663F"/>
    <w:rsid w:val="006971BB"/>
    <w:rsid w:val="006A0194"/>
    <w:rsid w:val="006A01C9"/>
    <w:rsid w:val="006A0FBB"/>
    <w:rsid w:val="006A1066"/>
    <w:rsid w:val="006A1466"/>
    <w:rsid w:val="006A1684"/>
    <w:rsid w:val="006A2B25"/>
    <w:rsid w:val="006A344E"/>
    <w:rsid w:val="006A3450"/>
    <w:rsid w:val="006A358D"/>
    <w:rsid w:val="006A398A"/>
    <w:rsid w:val="006A39F7"/>
    <w:rsid w:val="006A3AE7"/>
    <w:rsid w:val="006A4766"/>
    <w:rsid w:val="006A5A9E"/>
    <w:rsid w:val="006A5AA2"/>
    <w:rsid w:val="006A5C07"/>
    <w:rsid w:val="006A6A10"/>
    <w:rsid w:val="006A6CC7"/>
    <w:rsid w:val="006B0960"/>
    <w:rsid w:val="006B1E2E"/>
    <w:rsid w:val="006B30F6"/>
    <w:rsid w:val="006B3169"/>
    <w:rsid w:val="006B3571"/>
    <w:rsid w:val="006B3D54"/>
    <w:rsid w:val="006B4698"/>
    <w:rsid w:val="006B52A7"/>
    <w:rsid w:val="006B57E2"/>
    <w:rsid w:val="006B580F"/>
    <w:rsid w:val="006B5C94"/>
    <w:rsid w:val="006B6267"/>
    <w:rsid w:val="006B6C2A"/>
    <w:rsid w:val="006B6D06"/>
    <w:rsid w:val="006B6D37"/>
    <w:rsid w:val="006B71D6"/>
    <w:rsid w:val="006B76B3"/>
    <w:rsid w:val="006C04FA"/>
    <w:rsid w:val="006C0837"/>
    <w:rsid w:val="006C127B"/>
    <w:rsid w:val="006C1ADD"/>
    <w:rsid w:val="006C1B41"/>
    <w:rsid w:val="006C3262"/>
    <w:rsid w:val="006C336D"/>
    <w:rsid w:val="006C3CE3"/>
    <w:rsid w:val="006C43D2"/>
    <w:rsid w:val="006C45C8"/>
    <w:rsid w:val="006C6318"/>
    <w:rsid w:val="006C65D5"/>
    <w:rsid w:val="006C6C80"/>
    <w:rsid w:val="006C7733"/>
    <w:rsid w:val="006D0BD3"/>
    <w:rsid w:val="006D0D5A"/>
    <w:rsid w:val="006D271B"/>
    <w:rsid w:val="006D2CEB"/>
    <w:rsid w:val="006D3077"/>
    <w:rsid w:val="006D3871"/>
    <w:rsid w:val="006D3B09"/>
    <w:rsid w:val="006D42AA"/>
    <w:rsid w:val="006D4387"/>
    <w:rsid w:val="006D4F8F"/>
    <w:rsid w:val="006D5972"/>
    <w:rsid w:val="006D598D"/>
    <w:rsid w:val="006D5A91"/>
    <w:rsid w:val="006D63FA"/>
    <w:rsid w:val="006D657F"/>
    <w:rsid w:val="006D77A6"/>
    <w:rsid w:val="006D7860"/>
    <w:rsid w:val="006D7ADD"/>
    <w:rsid w:val="006D7F99"/>
    <w:rsid w:val="006E05E7"/>
    <w:rsid w:val="006E067D"/>
    <w:rsid w:val="006E0C7E"/>
    <w:rsid w:val="006E1287"/>
    <w:rsid w:val="006E139D"/>
    <w:rsid w:val="006E18EA"/>
    <w:rsid w:val="006E1F4C"/>
    <w:rsid w:val="006E2B3C"/>
    <w:rsid w:val="006E41BB"/>
    <w:rsid w:val="006E4F9B"/>
    <w:rsid w:val="006E5225"/>
    <w:rsid w:val="006E54C0"/>
    <w:rsid w:val="006E5F90"/>
    <w:rsid w:val="006E61FA"/>
    <w:rsid w:val="006E6466"/>
    <w:rsid w:val="006E6AAA"/>
    <w:rsid w:val="006E74CE"/>
    <w:rsid w:val="006F038C"/>
    <w:rsid w:val="006F0464"/>
    <w:rsid w:val="006F14F6"/>
    <w:rsid w:val="006F2099"/>
    <w:rsid w:val="006F2408"/>
    <w:rsid w:val="006F3806"/>
    <w:rsid w:val="006F4189"/>
    <w:rsid w:val="006F4704"/>
    <w:rsid w:val="006F4B57"/>
    <w:rsid w:val="006F57FE"/>
    <w:rsid w:val="006F5A02"/>
    <w:rsid w:val="006F5D99"/>
    <w:rsid w:val="006F6B99"/>
    <w:rsid w:val="006F722C"/>
    <w:rsid w:val="006F7D97"/>
    <w:rsid w:val="00700617"/>
    <w:rsid w:val="00701618"/>
    <w:rsid w:val="007022C0"/>
    <w:rsid w:val="00702454"/>
    <w:rsid w:val="0070247A"/>
    <w:rsid w:val="00702F1A"/>
    <w:rsid w:val="0070328C"/>
    <w:rsid w:val="007037B6"/>
    <w:rsid w:val="00703A1F"/>
    <w:rsid w:val="00703B41"/>
    <w:rsid w:val="00703E18"/>
    <w:rsid w:val="00704113"/>
    <w:rsid w:val="00705125"/>
    <w:rsid w:val="00705B95"/>
    <w:rsid w:val="00705C90"/>
    <w:rsid w:val="007063EB"/>
    <w:rsid w:val="00706602"/>
    <w:rsid w:val="007069A1"/>
    <w:rsid w:val="00706E0B"/>
    <w:rsid w:val="007071E3"/>
    <w:rsid w:val="00707300"/>
    <w:rsid w:val="00707458"/>
    <w:rsid w:val="00707935"/>
    <w:rsid w:val="00711B45"/>
    <w:rsid w:val="007120D6"/>
    <w:rsid w:val="00712616"/>
    <w:rsid w:val="0071390F"/>
    <w:rsid w:val="00714374"/>
    <w:rsid w:val="0071491F"/>
    <w:rsid w:val="0071599D"/>
    <w:rsid w:val="00715ADB"/>
    <w:rsid w:val="00716291"/>
    <w:rsid w:val="007172D2"/>
    <w:rsid w:val="007173E7"/>
    <w:rsid w:val="007204CF"/>
    <w:rsid w:val="00720707"/>
    <w:rsid w:val="00720951"/>
    <w:rsid w:val="00720A47"/>
    <w:rsid w:val="0072136A"/>
    <w:rsid w:val="007218C1"/>
    <w:rsid w:val="00721C7E"/>
    <w:rsid w:val="00722281"/>
    <w:rsid w:val="007227A3"/>
    <w:rsid w:val="00722CAC"/>
    <w:rsid w:val="00722E16"/>
    <w:rsid w:val="0072330E"/>
    <w:rsid w:val="007244E5"/>
    <w:rsid w:val="0072491D"/>
    <w:rsid w:val="00724D65"/>
    <w:rsid w:val="00725154"/>
    <w:rsid w:val="007251FF"/>
    <w:rsid w:val="0072524B"/>
    <w:rsid w:val="00725A44"/>
    <w:rsid w:val="00725D45"/>
    <w:rsid w:val="00727DD7"/>
    <w:rsid w:val="00727F20"/>
    <w:rsid w:val="007300C3"/>
    <w:rsid w:val="00730B4A"/>
    <w:rsid w:val="00731036"/>
    <w:rsid w:val="00731756"/>
    <w:rsid w:val="007317ED"/>
    <w:rsid w:val="00731F1F"/>
    <w:rsid w:val="00732650"/>
    <w:rsid w:val="0073298A"/>
    <w:rsid w:val="00732C78"/>
    <w:rsid w:val="007338C1"/>
    <w:rsid w:val="00733988"/>
    <w:rsid w:val="0073449C"/>
    <w:rsid w:val="00734B72"/>
    <w:rsid w:val="00734BF8"/>
    <w:rsid w:val="00735370"/>
    <w:rsid w:val="00735A6E"/>
    <w:rsid w:val="0073607D"/>
    <w:rsid w:val="007364ED"/>
    <w:rsid w:val="00736915"/>
    <w:rsid w:val="00736ECC"/>
    <w:rsid w:val="007409E0"/>
    <w:rsid w:val="00740B25"/>
    <w:rsid w:val="007414C8"/>
    <w:rsid w:val="00741877"/>
    <w:rsid w:val="00741A39"/>
    <w:rsid w:val="0074266D"/>
    <w:rsid w:val="00742CCE"/>
    <w:rsid w:val="00742E34"/>
    <w:rsid w:val="00742E77"/>
    <w:rsid w:val="00742FDB"/>
    <w:rsid w:val="0074352B"/>
    <w:rsid w:val="00743C01"/>
    <w:rsid w:val="00744274"/>
    <w:rsid w:val="00744723"/>
    <w:rsid w:val="0074481A"/>
    <w:rsid w:val="00744EF4"/>
    <w:rsid w:val="007452A5"/>
    <w:rsid w:val="00745745"/>
    <w:rsid w:val="00745874"/>
    <w:rsid w:val="00745BB2"/>
    <w:rsid w:val="007465DC"/>
    <w:rsid w:val="00746E28"/>
    <w:rsid w:val="00747710"/>
    <w:rsid w:val="0074794D"/>
    <w:rsid w:val="00747A1B"/>
    <w:rsid w:val="00747A2C"/>
    <w:rsid w:val="00750002"/>
    <w:rsid w:val="007502A7"/>
    <w:rsid w:val="00750816"/>
    <w:rsid w:val="00750819"/>
    <w:rsid w:val="00750826"/>
    <w:rsid w:val="00750883"/>
    <w:rsid w:val="00751203"/>
    <w:rsid w:val="00751218"/>
    <w:rsid w:val="0075188B"/>
    <w:rsid w:val="00752D27"/>
    <w:rsid w:val="00752E94"/>
    <w:rsid w:val="0075306C"/>
    <w:rsid w:val="00753214"/>
    <w:rsid w:val="00753B0E"/>
    <w:rsid w:val="00753F11"/>
    <w:rsid w:val="00754F96"/>
    <w:rsid w:val="0075586B"/>
    <w:rsid w:val="007559C9"/>
    <w:rsid w:val="00755E2C"/>
    <w:rsid w:val="00756563"/>
    <w:rsid w:val="007565F5"/>
    <w:rsid w:val="00757186"/>
    <w:rsid w:val="00757B7B"/>
    <w:rsid w:val="00757CC6"/>
    <w:rsid w:val="00757CF9"/>
    <w:rsid w:val="00760B7E"/>
    <w:rsid w:val="00760D38"/>
    <w:rsid w:val="007616CA"/>
    <w:rsid w:val="00761E6D"/>
    <w:rsid w:val="00762957"/>
    <w:rsid w:val="007629B0"/>
    <w:rsid w:val="00763667"/>
    <w:rsid w:val="00763E0C"/>
    <w:rsid w:val="007640F6"/>
    <w:rsid w:val="00765370"/>
    <w:rsid w:val="00765739"/>
    <w:rsid w:val="00766BFB"/>
    <w:rsid w:val="00766DEC"/>
    <w:rsid w:val="00767B63"/>
    <w:rsid w:val="00767FA3"/>
    <w:rsid w:val="00770878"/>
    <w:rsid w:val="00770B16"/>
    <w:rsid w:val="00770E22"/>
    <w:rsid w:val="00771988"/>
    <w:rsid w:val="007720AA"/>
    <w:rsid w:val="0077263B"/>
    <w:rsid w:val="007729F2"/>
    <w:rsid w:val="00772B2A"/>
    <w:rsid w:val="00773480"/>
    <w:rsid w:val="0077401E"/>
    <w:rsid w:val="00774BFA"/>
    <w:rsid w:val="0077537B"/>
    <w:rsid w:val="007756B4"/>
    <w:rsid w:val="00775A9D"/>
    <w:rsid w:val="00775E06"/>
    <w:rsid w:val="0077618A"/>
    <w:rsid w:val="00776350"/>
    <w:rsid w:val="00776970"/>
    <w:rsid w:val="00777321"/>
    <w:rsid w:val="00777371"/>
    <w:rsid w:val="00780249"/>
    <w:rsid w:val="007804AF"/>
    <w:rsid w:val="007808EB"/>
    <w:rsid w:val="00780E89"/>
    <w:rsid w:val="00781810"/>
    <w:rsid w:val="00781CAB"/>
    <w:rsid w:val="00782951"/>
    <w:rsid w:val="00782D2F"/>
    <w:rsid w:val="007831CD"/>
    <w:rsid w:val="0078327D"/>
    <w:rsid w:val="0078407E"/>
    <w:rsid w:val="0078409E"/>
    <w:rsid w:val="007846C1"/>
    <w:rsid w:val="007849AE"/>
    <w:rsid w:val="00784A08"/>
    <w:rsid w:val="00784E2E"/>
    <w:rsid w:val="00787B4B"/>
    <w:rsid w:val="0079009C"/>
    <w:rsid w:val="00790495"/>
    <w:rsid w:val="00790AA2"/>
    <w:rsid w:val="007923CD"/>
    <w:rsid w:val="00792F5C"/>
    <w:rsid w:val="00793120"/>
    <w:rsid w:val="00793CC3"/>
    <w:rsid w:val="00793E4B"/>
    <w:rsid w:val="00794365"/>
    <w:rsid w:val="007947BB"/>
    <w:rsid w:val="0079510A"/>
    <w:rsid w:val="00795863"/>
    <w:rsid w:val="007974B6"/>
    <w:rsid w:val="007A0071"/>
    <w:rsid w:val="007A0AD3"/>
    <w:rsid w:val="007A182C"/>
    <w:rsid w:val="007A201C"/>
    <w:rsid w:val="007A2A43"/>
    <w:rsid w:val="007A2E23"/>
    <w:rsid w:val="007A32DC"/>
    <w:rsid w:val="007A3A3A"/>
    <w:rsid w:val="007A3E59"/>
    <w:rsid w:val="007A46E8"/>
    <w:rsid w:val="007A497C"/>
    <w:rsid w:val="007A5343"/>
    <w:rsid w:val="007A5E30"/>
    <w:rsid w:val="007A73EF"/>
    <w:rsid w:val="007B1938"/>
    <w:rsid w:val="007B1C9B"/>
    <w:rsid w:val="007B3E9A"/>
    <w:rsid w:val="007B499C"/>
    <w:rsid w:val="007B4BFB"/>
    <w:rsid w:val="007B56EA"/>
    <w:rsid w:val="007B57C5"/>
    <w:rsid w:val="007B5963"/>
    <w:rsid w:val="007B6E12"/>
    <w:rsid w:val="007B7F69"/>
    <w:rsid w:val="007C057D"/>
    <w:rsid w:val="007C1D3C"/>
    <w:rsid w:val="007C37A3"/>
    <w:rsid w:val="007C3803"/>
    <w:rsid w:val="007C3BB1"/>
    <w:rsid w:val="007C4351"/>
    <w:rsid w:val="007C476A"/>
    <w:rsid w:val="007C521B"/>
    <w:rsid w:val="007C5251"/>
    <w:rsid w:val="007C58E0"/>
    <w:rsid w:val="007C5D2F"/>
    <w:rsid w:val="007C5F8D"/>
    <w:rsid w:val="007C68BC"/>
    <w:rsid w:val="007C6EFE"/>
    <w:rsid w:val="007C71E8"/>
    <w:rsid w:val="007C77A1"/>
    <w:rsid w:val="007C7BE1"/>
    <w:rsid w:val="007D0957"/>
    <w:rsid w:val="007D09B0"/>
    <w:rsid w:val="007D0E9F"/>
    <w:rsid w:val="007D0F1E"/>
    <w:rsid w:val="007D1F16"/>
    <w:rsid w:val="007D254A"/>
    <w:rsid w:val="007D2CCF"/>
    <w:rsid w:val="007D333F"/>
    <w:rsid w:val="007D38B8"/>
    <w:rsid w:val="007D3AF4"/>
    <w:rsid w:val="007D3F73"/>
    <w:rsid w:val="007D443B"/>
    <w:rsid w:val="007D492A"/>
    <w:rsid w:val="007D4B77"/>
    <w:rsid w:val="007D516D"/>
    <w:rsid w:val="007D541E"/>
    <w:rsid w:val="007D6012"/>
    <w:rsid w:val="007D611B"/>
    <w:rsid w:val="007D66A8"/>
    <w:rsid w:val="007D6BD0"/>
    <w:rsid w:val="007D767C"/>
    <w:rsid w:val="007D77CB"/>
    <w:rsid w:val="007D7944"/>
    <w:rsid w:val="007D7A0E"/>
    <w:rsid w:val="007D7BE7"/>
    <w:rsid w:val="007E0C31"/>
    <w:rsid w:val="007E205F"/>
    <w:rsid w:val="007E283C"/>
    <w:rsid w:val="007E3576"/>
    <w:rsid w:val="007E3BD6"/>
    <w:rsid w:val="007E438C"/>
    <w:rsid w:val="007E4455"/>
    <w:rsid w:val="007E570F"/>
    <w:rsid w:val="007E5BD1"/>
    <w:rsid w:val="007E6545"/>
    <w:rsid w:val="007E6781"/>
    <w:rsid w:val="007E6FA0"/>
    <w:rsid w:val="007E7249"/>
    <w:rsid w:val="007E72FB"/>
    <w:rsid w:val="007E76FE"/>
    <w:rsid w:val="007E798A"/>
    <w:rsid w:val="007E7B3F"/>
    <w:rsid w:val="007E7C36"/>
    <w:rsid w:val="007E7E58"/>
    <w:rsid w:val="007F1CA6"/>
    <w:rsid w:val="007F1E8A"/>
    <w:rsid w:val="007F1F8B"/>
    <w:rsid w:val="007F2D35"/>
    <w:rsid w:val="007F31F5"/>
    <w:rsid w:val="007F3252"/>
    <w:rsid w:val="007F4D0E"/>
    <w:rsid w:val="007F4F76"/>
    <w:rsid w:val="007F5540"/>
    <w:rsid w:val="007F55E1"/>
    <w:rsid w:val="007F58C8"/>
    <w:rsid w:val="007F58DA"/>
    <w:rsid w:val="007F7F42"/>
    <w:rsid w:val="00800133"/>
    <w:rsid w:val="008005C8"/>
    <w:rsid w:val="0080080A"/>
    <w:rsid w:val="00800C4F"/>
    <w:rsid w:val="00800CF5"/>
    <w:rsid w:val="0080111D"/>
    <w:rsid w:val="0080132C"/>
    <w:rsid w:val="008022E1"/>
    <w:rsid w:val="00803553"/>
    <w:rsid w:val="00803BF7"/>
    <w:rsid w:val="00803DD0"/>
    <w:rsid w:val="0080474F"/>
    <w:rsid w:val="008048AB"/>
    <w:rsid w:val="00804E7B"/>
    <w:rsid w:val="008051D7"/>
    <w:rsid w:val="008056A3"/>
    <w:rsid w:val="00805F99"/>
    <w:rsid w:val="00806052"/>
    <w:rsid w:val="00807605"/>
    <w:rsid w:val="008076BC"/>
    <w:rsid w:val="00807B96"/>
    <w:rsid w:val="0081025B"/>
    <w:rsid w:val="00810B62"/>
    <w:rsid w:val="00810DC9"/>
    <w:rsid w:val="00810E83"/>
    <w:rsid w:val="008110B3"/>
    <w:rsid w:val="0081167A"/>
    <w:rsid w:val="00811AD3"/>
    <w:rsid w:val="00811CAC"/>
    <w:rsid w:val="00813473"/>
    <w:rsid w:val="00813D11"/>
    <w:rsid w:val="00813EA5"/>
    <w:rsid w:val="00814DB4"/>
    <w:rsid w:val="00814E14"/>
    <w:rsid w:val="00814F18"/>
    <w:rsid w:val="00815000"/>
    <w:rsid w:val="00815D35"/>
    <w:rsid w:val="00815E5E"/>
    <w:rsid w:val="008162FC"/>
    <w:rsid w:val="00816ABF"/>
    <w:rsid w:val="00817A46"/>
    <w:rsid w:val="008213F1"/>
    <w:rsid w:val="0082171F"/>
    <w:rsid w:val="008217C5"/>
    <w:rsid w:val="00821E18"/>
    <w:rsid w:val="00822648"/>
    <w:rsid w:val="0082315C"/>
    <w:rsid w:val="008234D8"/>
    <w:rsid w:val="00824344"/>
    <w:rsid w:val="008243A3"/>
    <w:rsid w:val="00824894"/>
    <w:rsid w:val="00824D19"/>
    <w:rsid w:val="008252CC"/>
    <w:rsid w:val="008255FE"/>
    <w:rsid w:val="0082581D"/>
    <w:rsid w:val="0082602E"/>
    <w:rsid w:val="0082615F"/>
    <w:rsid w:val="008267E7"/>
    <w:rsid w:val="00827C1C"/>
    <w:rsid w:val="00830FCC"/>
    <w:rsid w:val="008312D6"/>
    <w:rsid w:val="00831DEA"/>
    <w:rsid w:val="00832163"/>
    <w:rsid w:val="008327EB"/>
    <w:rsid w:val="008331AB"/>
    <w:rsid w:val="0083461D"/>
    <w:rsid w:val="00834835"/>
    <w:rsid w:val="00834938"/>
    <w:rsid w:val="00834C1E"/>
    <w:rsid w:val="00834E68"/>
    <w:rsid w:val="00834F5F"/>
    <w:rsid w:val="008357C6"/>
    <w:rsid w:val="00835E68"/>
    <w:rsid w:val="00835F78"/>
    <w:rsid w:val="0083751C"/>
    <w:rsid w:val="008378FC"/>
    <w:rsid w:val="00837ED8"/>
    <w:rsid w:val="00840D42"/>
    <w:rsid w:val="00840DD7"/>
    <w:rsid w:val="00841191"/>
    <w:rsid w:val="008412EA"/>
    <w:rsid w:val="0084154A"/>
    <w:rsid w:val="008418C7"/>
    <w:rsid w:val="00842762"/>
    <w:rsid w:val="00842D92"/>
    <w:rsid w:val="00843320"/>
    <w:rsid w:val="0084332D"/>
    <w:rsid w:val="00843896"/>
    <w:rsid w:val="0084476E"/>
    <w:rsid w:val="00845A61"/>
    <w:rsid w:val="00845E91"/>
    <w:rsid w:val="0084601D"/>
    <w:rsid w:val="008467D3"/>
    <w:rsid w:val="00847049"/>
    <w:rsid w:val="008470D2"/>
    <w:rsid w:val="00850734"/>
    <w:rsid w:val="00850939"/>
    <w:rsid w:val="0085158E"/>
    <w:rsid w:val="00852118"/>
    <w:rsid w:val="00852969"/>
    <w:rsid w:val="00852A4E"/>
    <w:rsid w:val="00853279"/>
    <w:rsid w:val="00853720"/>
    <w:rsid w:val="00853E37"/>
    <w:rsid w:val="008545D7"/>
    <w:rsid w:val="008548A5"/>
    <w:rsid w:val="00854DEB"/>
    <w:rsid w:val="008574D9"/>
    <w:rsid w:val="0085769D"/>
    <w:rsid w:val="00861748"/>
    <w:rsid w:val="00861DD5"/>
    <w:rsid w:val="008620D9"/>
    <w:rsid w:val="00862F54"/>
    <w:rsid w:val="00863919"/>
    <w:rsid w:val="008640E9"/>
    <w:rsid w:val="00864B2A"/>
    <w:rsid w:val="00865F14"/>
    <w:rsid w:val="00865FC1"/>
    <w:rsid w:val="008666F6"/>
    <w:rsid w:val="008675CD"/>
    <w:rsid w:val="008679D8"/>
    <w:rsid w:val="00870312"/>
    <w:rsid w:val="00870492"/>
    <w:rsid w:val="008707AC"/>
    <w:rsid w:val="008721D1"/>
    <w:rsid w:val="00872E28"/>
    <w:rsid w:val="00872FCF"/>
    <w:rsid w:val="00873B5E"/>
    <w:rsid w:val="00873E07"/>
    <w:rsid w:val="00873E74"/>
    <w:rsid w:val="0087627C"/>
    <w:rsid w:val="00876391"/>
    <w:rsid w:val="00876D37"/>
    <w:rsid w:val="008773AF"/>
    <w:rsid w:val="0087758D"/>
    <w:rsid w:val="00877A7E"/>
    <w:rsid w:val="00880AA0"/>
    <w:rsid w:val="00880C94"/>
    <w:rsid w:val="00880E23"/>
    <w:rsid w:val="008810B3"/>
    <w:rsid w:val="0088151C"/>
    <w:rsid w:val="00881543"/>
    <w:rsid w:val="008817D9"/>
    <w:rsid w:val="008819A5"/>
    <w:rsid w:val="00882EDF"/>
    <w:rsid w:val="00883112"/>
    <w:rsid w:val="0088344B"/>
    <w:rsid w:val="00883789"/>
    <w:rsid w:val="008837CA"/>
    <w:rsid w:val="00883A84"/>
    <w:rsid w:val="00883D8A"/>
    <w:rsid w:val="0088433D"/>
    <w:rsid w:val="0088491B"/>
    <w:rsid w:val="008850B3"/>
    <w:rsid w:val="008857EC"/>
    <w:rsid w:val="00885F43"/>
    <w:rsid w:val="00886913"/>
    <w:rsid w:val="00886F39"/>
    <w:rsid w:val="008878C5"/>
    <w:rsid w:val="00887AEB"/>
    <w:rsid w:val="00890E5A"/>
    <w:rsid w:val="008913C1"/>
    <w:rsid w:val="00891566"/>
    <w:rsid w:val="00891B37"/>
    <w:rsid w:val="00891E54"/>
    <w:rsid w:val="0089221B"/>
    <w:rsid w:val="00892EFD"/>
    <w:rsid w:val="00893270"/>
    <w:rsid w:val="00893C50"/>
    <w:rsid w:val="00893D16"/>
    <w:rsid w:val="00893E77"/>
    <w:rsid w:val="00893F70"/>
    <w:rsid w:val="008943C6"/>
    <w:rsid w:val="0089537A"/>
    <w:rsid w:val="00895B68"/>
    <w:rsid w:val="0089653B"/>
    <w:rsid w:val="008968A8"/>
    <w:rsid w:val="0089699F"/>
    <w:rsid w:val="008971FF"/>
    <w:rsid w:val="0089772E"/>
    <w:rsid w:val="0089776F"/>
    <w:rsid w:val="00897DDA"/>
    <w:rsid w:val="00897FE8"/>
    <w:rsid w:val="008A03C4"/>
    <w:rsid w:val="008A0552"/>
    <w:rsid w:val="008A07BB"/>
    <w:rsid w:val="008A1336"/>
    <w:rsid w:val="008A1590"/>
    <w:rsid w:val="008A2631"/>
    <w:rsid w:val="008A26F4"/>
    <w:rsid w:val="008A2D78"/>
    <w:rsid w:val="008A33B8"/>
    <w:rsid w:val="008A376A"/>
    <w:rsid w:val="008A37BE"/>
    <w:rsid w:val="008A39E3"/>
    <w:rsid w:val="008A3A25"/>
    <w:rsid w:val="008A49B6"/>
    <w:rsid w:val="008A502C"/>
    <w:rsid w:val="008A67C7"/>
    <w:rsid w:val="008A7317"/>
    <w:rsid w:val="008B054D"/>
    <w:rsid w:val="008B0785"/>
    <w:rsid w:val="008B10CA"/>
    <w:rsid w:val="008B10D9"/>
    <w:rsid w:val="008B1ED5"/>
    <w:rsid w:val="008B2019"/>
    <w:rsid w:val="008B2B66"/>
    <w:rsid w:val="008B33A6"/>
    <w:rsid w:val="008B3F12"/>
    <w:rsid w:val="008B3F1B"/>
    <w:rsid w:val="008B4B04"/>
    <w:rsid w:val="008B4B63"/>
    <w:rsid w:val="008B4EA0"/>
    <w:rsid w:val="008B63D9"/>
    <w:rsid w:val="008B6B47"/>
    <w:rsid w:val="008B707A"/>
    <w:rsid w:val="008B74C6"/>
    <w:rsid w:val="008B7825"/>
    <w:rsid w:val="008C0B58"/>
    <w:rsid w:val="008C28F9"/>
    <w:rsid w:val="008C2AF7"/>
    <w:rsid w:val="008C3813"/>
    <w:rsid w:val="008C383D"/>
    <w:rsid w:val="008C3C68"/>
    <w:rsid w:val="008C3D49"/>
    <w:rsid w:val="008C5040"/>
    <w:rsid w:val="008C59EE"/>
    <w:rsid w:val="008C5AC6"/>
    <w:rsid w:val="008C6077"/>
    <w:rsid w:val="008C73FF"/>
    <w:rsid w:val="008C75F2"/>
    <w:rsid w:val="008C7978"/>
    <w:rsid w:val="008C7BFF"/>
    <w:rsid w:val="008D0075"/>
    <w:rsid w:val="008D072F"/>
    <w:rsid w:val="008D0BA0"/>
    <w:rsid w:val="008D18F7"/>
    <w:rsid w:val="008D1EAF"/>
    <w:rsid w:val="008D2072"/>
    <w:rsid w:val="008D223E"/>
    <w:rsid w:val="008D25B6"/>
    <w:rsid w:val="008D3198"/>
    <w:rsid w:val="008D4563"/>
    <w:rsid w:val="008D5754"/>
    <w:rsid w:val="008D57B4"/>
    <w:rsid w:val="008D5D64"/>
    <w:rsid w:val="008D6077"/>
    <w:rsid w:val="008D66B9"/>
    <w:rsid w:val="008D6AB7"/>
    <w:rsid w:val="008D6EED"/>
    <w:rsid w:val="008D7649"/>
    <w:rsid w:val="008D7BC9"/>
    <w:rsid w:val="008D7D82"/>
    <w:rsid w:val="008D7DE2"/>
    <w:rsid w:val="008E036A"/>
    <w:rsid w:val="008E0F48"/>
    <w:rsid w:val="008E14EE"/>
    <w:rsid w:val="008E1516"/>
    <w:rsid w:val="008E19AA"/>
    <w:rsid w:val="008E2EB5"/>
    <w:rsid w:val="008E3104"/>
    <w:rsid w:val="008E3C92"/>
    <w:rsid w:val="008E3EB1"/>
    <w:rsid w:val="008E3EF9"/>
    <w:rsid w:val="008E4119"/>
    <w:rsid w:val="008E47B1"/>
    <w:rsid w:val="008E5353"/>
    <w:rsid w:val="008E58D9"/>
    <w:rsid w:val="008E5AF4"/>
    <w:rsid w:val="008E5C1C"/>
    <w:rsid w:val="008E5FC1"/>
    <w:rsid w:val="008E63EC"/>
    <w:rsid w:val="008E6B66"/>
    <w:rsid w:val="008E6E9B"/>
    <w:rsid w:val="008E7131"/>
    <w:rsid w:val="008E72AE"/>
    <w:rsid w:val="008E75FC"/>
    <w:rsid w:val="008E790D"/>
    <w:rsid w:val="008F042A"/>
    <w:rsid w:val="008F0433"/>
    <w:rsid w:val="008F0C02"/>
    <w:rsid w:val="008F18E5"/>
    <w:rsid w:val="008F1BEC"/>
    <w:rsid w:val="008F2B9A"/>
    <w:rsid w:val="008F2BB6"/>
    <w:rsid w:val="008F2CD7"/>
    <w:rsid w:val="008F2FD2"/>
    <w:rsid w:val="008F37ED"/>
    <w:rsid w:val="008F41B4"/>
    <w:rsid w:val="008F4E28"/>
    <w:rsid w:val="008F50C0"/>
    <w:rsid w:val="008F52A3"/>
    <w:rsid w:val="008F5698"/>
    <w:rsid w:val="008F598A"/>
    <w:rsid w:val="008F5CF9"/>
    <w:rsid w:val="008F5D81"/>
    <w:rsid w:val="008F6358"/>
    <w:rsid w:val="008F7445"/>
    <w:rsid w:val="0090037B"/>
    <w:rsid w:val="00900766"/>
    <w:rsid w:val="009014E6"/>
    <w:rsid w:val="009015BF"/>
    <w:rsid w:val="009022C8"/>
    <w:rsid w:val="009028C7"/>
    <w:rsid w:val="00903017"/>
    <w:rsid w:val="009030A8"/>
    <w:rsid w:val="009045D9"/>
    <w:rsid w:val="00904A96"/>
    <w:rsid w:val="00905731"/>
    <w:rsid w:val="00905CD3"/>
    <w:rsid w:val="00906273"/>
    <w:rsid w:val="00906F57"/>
    <w:rsid w:val="00907287"/>
    <w:rsid w:val="00910DA9"/>
    <w:rsid w:val="009116CD"/>
    <w:rsid w:val="00911859"/>
    <w:rsid w:val="009120A0"/>
    <w:rsid w:val="00912DE4"/>
    <w:rsid w:val="00913049"/>
    <w:rsid w:val="0091328C"/>
    <w:rsid w:val="009134D0"/>
    <w:rsid w:val="009136EB"/>
    <w:rsid w:val="0091410C"/>
    <w:rsid w:val="009141E6"/>
    <w:rsid w:val="00914382"/>
    <w:rsid w:val="009151FF"/>
    <w:rsid w:val="0091559E"/>
    <w:rsid w:val="00915E9C"/>
    <w:rsid w:val="0091615E"/>
    <w:rsid w:val="00916502"/>
    <w:rsid w:val="00916D23"/>
    <w:rsid w:val="00916D98"/>
    <w:rsid w:val="009171E9"/>
    <w:rsid w:val="00917A51"/>
    <w:rsid w:val="00920653"/>
    <w:rsid w:val="00920C10"/>
    <w:rsid w:val="0092148B"/>
    <w:rsid w:val="00921C72"/>
    <w:rsid w:val="0092223A"/>
    <w:rsid w:val="009225AD"/>
    <w:rsid w:val="00922924"/>
    <w:rsid w:val="00922D68"/>
    <w:rsid w:val="00923C53"/>
    <w:rsid w:val="00924183"/>
    <w:rsid w:val="00924691"/>
    <w:rsid w:val="0092510D"/>
    <w:rsid w:val="009254F2"/>
    <w:rsid w:val="0092668B"/>
    <w:rsid w:val="00926B00"/>
    <w:rsid w:val="00926D85"/>
    <w:rsid w:val="0092726E"/>
    <w:rsid w:val="00927419"/>
    <w:rsid w:val="00927523"/>
    <w:rsid w:val="009303B8"/>
    <w:rsid w:val="00930ACB"/>
    <w:rsid w:val="009312EB"/>
    <w:rsid w:val="0093164F"/>
    <w:rsid w:val="009319E6"/>
    <w:rsid w:val="00931C56"/>
    <w:rsid w:val="00932229"/>
    <w:rsid w:val="0093236C"/>
    <w:rsid w:val="00932B18"/>
    <w:rsid w:val="00932E05"/>
    <w:rsid w:val="00932FFB"/>
    <w:rsid w:val="009336D0"/>
    <w:rsid w:val="00933728"/>
    <w:rsid w:val="0093382D"/>
    <w:rsid w:val="00933A2A"/>
    <w:rsid w:val="009344F6"/>
    <w:rsid w:val="00934522"/>
    <w:rsid w:val="00934E9F"/>
    <w:rsid w:val="009359D9"/>
    <w:rsid w:val="0093604D"/>
    <w:rsid w:val="0093710E"/>
    <w:rsid w:val="00937CA2"/>
    <w:rsid w:val="00940190"/>
    <w:rsid w:val="00940EAF"/>
    <w:rsid w:val="0094168E"/>
    <w:rsid w:val="00941A10"/>
    <w:rsid w:val="00941A51"/>
    <w:rsid w:val="00941D86"/>
    <w:rsid w:val="00941E85"/>
    <w:rsid w:val="00942234"/>
    <w:rsid w:val="00942B7B"/>
    <w:rsid w:val="00943786"/>
    <w:rsid w:val="009444A0"/>
    <w:rsid w:val="0094452C"/>
    <w:rsid w:val="009456CD"/>
    <w:rsid w:val="00945C6C"/>
    <w:rsid w:val="00945E00"/>
    <w:rsid w:val="00947A3A"/>
    <w:rsid w:val="00947BD7"/>
    <w:rsid w:val="00950783"/>
    <w:rsid w:val="0095087B"/>
    <w:rsid w:val="009509E1"/>
    <w:rsid w:val="009511AD"/>
    <w:rsid w:val="00951ABF"/>
    <w:rsid w:val="00951EA6"/>
    <w:rsid w:val="009521B7"/>
    <w:rsid w:val="009522D1"/>
    <w:rsid w:val="00952EAC"/>
    <w:rsid w:val="00952F0D"/>
    <w:rsid w:val="00952F1C"/>
    <w:rsid w:val="00953057"/>
    <w:rsid w:val="00953162"/>
    <w:rsid w:val="009531B1"/>
    <w:rsid w:val="00953733"/>
    <w:rsid w:val="00953B33"/>
    <w:rsid w:val="00953E5E"/>
    <w:rsid w:val="00954036"/>
    <w:rsid w:val="0095432E"/>
    <w:rsid w:val="00955A08"/>
    <w:rsid w:val="00955C03"/>
    <w:rsid w:val="00956836"/>
    <w:rsid w:val="0095689A"/>
    <w:rsid w:val="009568AE"/>
    <w:rsid w:val="009569F2"/>
    <w:rsid w:val="00956AA7"/>
    <w:rsid w:val="0095773F"/>
    <w:rsid w:val="00957D20"/>
    <w:rsid w:val="009601E6"/>
    <w:rsid w:val="009603AF"/>
    <w:rsid w:val="009604AC"/>
    <w:rsid w:val="009609A9"/>
    <w:rsid w:val="00960D79"/>
    <w:rsid w:val="00960F45"/>
    <w:rsid w:val="00961094"/>
    <w:rsid w:val="00961630"/>
    <w:rsid w:val="0096213B"/>
    <w:rsid w:val="009629D6"/>
    <w:rsid w:val="00962E0E"/>
    <w:rsid w:val="009635D5"/>
    <w:rsid w:val="009639D7"/>
    <w:rsid w:val="00964692"/>
    <w:rsid w:val="00964831"/>
    <w:rsid w:val="00964CD9"/>
    <w:rsid w:val="0096544B"/>
    <w:rsid w:val="00965896"/>
    <w:rsid w:val="00966A0A"/>
    <w:rsid w:val="00966AA0"/>
    <w:rsid w:val="00966C06"/>
    <w:rsid w:val="00966E65"/>
    <w:rsid w:val="0096729F"/>
    <w:rsid w:val="009672C6"/>
    <w:rsid w:val="00967DB8"/>
    <w:rsid w:val="00967E93"/>
    <w:rsid w:val="00970484"/>
    <w:rsid w:val="0097071C"/>
    <w:rsid w:val="00970C2A"/>
    <w:rsid w:val="009725F3"/>
    <w:rsid w:val="009731CB"/>
    <w:rsid w:val="009736A2"/>
    <w:rsid w:val="00975161"/>
    <w:rsid w:val="009758E0"/>
    <w:rsid w:val="0097632C"/>
    <w:rsid w:val="009764AA"/>
    <w:rsid w:val="00976EDA"/>
    <w:rsid w:val="0097773B"/>
    <w:rsid w:val="009777ED"/>
    <w:rsid w:val="00980AAA"/>
    <w:rsid w:val="00980F37"/>
    <w:rsid w:val="00980FB2"/>
    <w:rsid w:val="00981E33"/>
    <w:rsid w:val="00982417"/>
    <w:rsid w:val="009824D5"/>
    <w:rsid w:val="009827C3"/>
    <w:rsid w:val="00982B01"/>
    <w:rsid w:val="0098342E"/>
    <w:rsid w:val="00983A5D"/>
    <w:rsid w:val="0098444D"/>
    <w:rsid w:val="009851A1"/>
    <w:rsid w:val="0098557C"/>
    <w:rsid w:val="00986354"/>
    <w:rsid w:val="00986837"/>
    <w:rsid w:val="009869AF"/>
    <w:rsid w:val="0098780C"/>
    <w:rsid w:val="00990211"/>
    <w:rsid w:val="0099092A"/>
    <w:rsid w:val="00990E13"/>
    <w:rsid w:val="00991F5D"/>
    <w:rsid w:val="00992979"/>
    <w:rsid w:val="00992EA3"/>
    <w:rsid w:val="00993C31"/>
    <w:rsid w:val="00993E99"/>
    <w:rsid w:val="00994389"/>
    <w:rsid w:val="009948D7"/>
    <w:rsid w:val="009955FD"/>
    <w:rsid w:val="00995DD3"/>
    <w:rsid w:val="00995FEC"/>
    <w:rsid w:val="009979E4"/>
    <w:rsid w:val="009A0EB0"/>
    <w:rsid w:val="009A1E12"/>
    <w:rsid w:val="009A2251"/>
    <w:rsid w:val="009A2D40"/>
    <w:rsid w:val="009A3623"/>
    <w:rsid w:val="009A36F2"/>
    <w:rsid w:val="009A3F53"/>
    <w:rsid w:val="009A4770"/>
    <w:rsid w:val="009A4EE1"/>
    <w:rsid w:val="009A55AE"/>
    <w:rsid w:val="009A5612"/>
    <w:rsid w:val="009A59F4"/>
    <w:rsid w:val="009A617C"/>
    <w:rsid w:val="009A63FC"/>
    <w:rsid w:val="009A6C08"/>
    <w:rsid w:val="009A6C15"/>
    <w:rsid w:val="009A6F1C"/>
    <w:rsid w:val="009A771A"/>
    <w:rsid w:val="009B03AC"/>
    <w:rsid w:val="009B29F5"/>
    <w:rsid w:val="009B2BEB"/>
    <w:rsid w:val="009B2E94"/>
    <w:rsid w:val="009B3167"/>
    <w:rsid w:val="009B3326"/>
    <w:rsid w:val="009B34A8"/>
    <w:rsid w:val="009B4B67"/>
    <w:rsid w:val="009B5096"/>
    <w:rsid w:val="009B52CA"/>
    <w:rsid w:val="009B5575"/>
    <w:rsid w:val="009B5700"/>
    <w:rsid w:val="009B6300"/>
    <w:rsid w:val="009B6A48"/>
    <w:rsid w:val="009B6C9A"/>
    <w:rsid w:val="009B7073"/>
    <w:rsid w:val="009B711E"/>
    <w:rsid w:val="009B7422"/>
    <w:rsid w:val="009B7EA1"/>
    <w:rsid w:val="009B7FAB"/>
    <w:rsid w:val="009C0CAC"/>
    <w:rsid w:val="009C0E67"/>
    <w:rsid w:val="009C0EF6"/>
    <w:rsid w:val="009C14B1"/>
    <w:rsid w:val="009C1F8E"/>
    <w:rsid w:val="009C3114"/>
    <w:rsid w:val="009C31DF"/>
    <w:rsid w:val="009C3773"/>
    <w:rsid w:val="009C3AC8"/>
    <w:rsid w:val="009C3E2D"/>
    <w:rsid w:val="009C51AE"/>
    <w:rsid w:val="009C545E"/>
    <w:rsid w:val="009C59D7"/>
    <w:rsid w:val="009C6171"/>
    <w:rsid w:val="009C62F5"/>
    <w:rsid w:val="009C6C2F"/>
    <w:rsid w:val="009C73FF"/>
    <w:rsid w:val="009C7421"/>
    <w:rsid w:val="009C7953"/>
    <w:rsid w:val="009D05E6"/>
    <w:rsid w:val="009D241F"/>
    <w:rsid w:val="009D2A98"/>
    <w:rsid w:val="009D439A"/>
    <w:rsid w:val="009D4C0F"/>
    <w:rsid w:val="009D526D"/>
    <w:rsid w:val="009D5DBC"/>
    <w:rsid w:val="009D5DD8"/>
    <w:rsid w:val="009D60B6"/>
    <w:rsid w:val="009D61DF"/>
    <w:rsid w:val="009D6635"/>
    <w:rsid w:val="009D67A2"/>
    <w:rsid w:val="009D67E2"/>
    <w:rsid w:val="009D6FD5"/>
    <w:rsid w:val="009D70F6"/>
    <w:rsid w:val="009D71A8"/>
    <w:rsid w:val="009E08C3"/>
    <w:rsid w:val="009E18FC"/>
    <w:rsid w:val="009E2455"/>
    <w:rsid w:val="009E2995"/>
    <w:rsid w:val="009E2D8B"/>
    <w:rsid w:val="009E4FFF"/>
    <w:rsid w:val="009E52C7"/>
    <w:rsid w:val="009E5D21"/>
    <w:rsid w:val="009E661D"/>
    <w:rsid w:val="009E7F03"/>
    <w:rsid w:val="009E7FEB"/>
    <w:rsid w:val="009F0CB7"/>
    <w:rsid w:val="009F0CCE"/>
    <w:rsid w:val="009F15D6"/>
    <w:rsid w:val="009F2DD4"/>
    <w:rsid w:val="009F2FF4"/>
    <w:rsid w:val="009F32AF"/>
    <w:rsid w:val="009F39EA"/>
    <w:rsid w:val="009F3BAF"/>
    <w:rsid w:val="009F3D8F"/>
    <w:rsid w:val="009F3E12"/>
    <w:rsid w:val="009F49CB"/>
    <w:rsid w:val="009F4C9F"/>
    <w:rsid w:val="009F5053"/>
    <w:rsid w:val="009F5764"/>
    <w:rsid w:val="009F59A0"/>
    <w:rsid w:val="009F6AF8"/>
    <w:rsid w:val="009F6BD0"/>
    <w:rsid w:val="009F6FAB"/>
    <w:rsid w:val="009F72B6"/>
    <w:rsid w:val="009F7FD9"/>
    <w:rsid w:val="00A00723"/>
    <w:rsid w:val="00A007C6"/>
    <w:rsid w:val="00A014B4"/>
    <w:rsid w:val="00A01960"/>
    <w:rsid w:val="00A01B33"/>
    <w:rsid w:val="00A02ACD"/>
    <w:rsid w:val="00A02C04"/>
    <w:rsid w:val="00A02FA4"/>
    <w:rsid w:val="00A05559"/>
    <w:rsid w:val="00A0565F"/>
    <w:rsid w:val="00A05ADB"/>
    <w:rsid w:val="00A06BDE"/>
    <w:rsid w:val="00A06D7A"/>
    <w:rsid w:val="00A10063"/>
    <w:rsid w:val="00A1017A"/>
    <w:rsid w:val="00A107EE"/>
    <w:rsid w:val="00A11131"/>
    <w:rsid w:val="00A1297E"/>
    <w:rsid w:val="00A13244"/>
    <w:rsid w:val="00A15C9E"/>
    <w:rsid w:val="00A15D02"/>
    <w:rsid w:val="00A1763C"/>
    <w:rsid w:val="00A203C4"/>
    <w:rsid w:val="00A204C9"/>
    <w:rsid w:val="00A20532"/>
    <w:rsid w:val="00A20B10"/>
    <w:rsid w:val="00A2102B"/>
    <w:rsid w:val="00A213EB"/>
    <w:rsid w:val="00A21A61"/>
    <w:rsid w:val="00A21DB4"/>
    <w:rsid w:val="00A21F8C"/>
    <w:rsid w:val="00A221DD"/>
    <w:rsid w:val="00A2255B"/>
    <w:rsid w:val="00A22970"/>
    <w:rsid w:val="00A22FCB"/>
    <w:rsid w:val="00A23295"/>
    <w:rsid w:val="00A24349"/>
    <w:rsid w:val="00A254FD"/>
    <w:rsid w:val="00A2765F"/>
    <w:rsid w:val="00A27A48"/>
    <w:rsid w:val="00A30201"/>
    <w:rsid w:val="00A303A0"/>
    <w:rsid w:val="00A308DD"/>
    <w:rsid w:val="00A31127"/>
    <w:rsid w:val="00A31D3D"/>
    <w:rsid w:val="00A329CF"/>
    <w:rsid w:val="00A32F57"/>
    <w:rsid w:val="00A33004"/>
    <w:rsid w:val="00A33487"/>
    <w:rsid w:val="00A334C3"/>
    <w:rsid w:val="00A33755"/>
    <w:rsid w:val="00A33CE7"/>
    <w:rsid w:val="00A33CF6"/>
    <w:rsid w:val="00A33FE5"/>
    <w:rsid w:val="00A34E7F"/>
    <w:rsid w:val="00A35799"/>
    <w:rsid w:val="00A35E98"/>
    <w:rsid w:val="00A4004A"/>
    <w:rsid w:val="00A404DF"/>
    <w:rsid w:val="00A40AFF"/>
    <w:rsid w:val="00A40EFF"/>
    <w:rsid w:val="00A413C4"/>
    <w:rsid w:val="00A41510"/>
    <w:rsid w:val="00A418C6"/>
    <w:rsid w:val="00A41AD4"/>
    <w:rsid w:val="00A41EFC"/>
    <w:rsid w:val="00A42678"/>
    <w:rsid w:val="00A42C23"/>
    <w:rsid w:val="00A42C41"/>
    <w:rsid w:val="00A42CE3"/>
    <w:rsid w:val="00A43399"/>
    <w:rsid w:val="00A43DE1"/>
    <w:rsid w:val="00A440F3"/>
    <w:rsid w:val="00A4540D"/>
    <w:rsid w:val="00A45FE9"/>
    <w:rsid w:val="00A46238"/>
    <w:rsid w:val="00A46F5C"/>
    <w:rsid w:val="00A4723C"/>
    <w:rsid w:val="00A50273"/>
    <w:rsid w:val="00A50D9E"/>
    <w:rsid w:val="00A51A8C"/>
    <w:rsid w:val="00A51CE6"/>
    <w:rsid w:val="00A527A3"/>
    <w:rsid w:val="00A52911"/>
    <w:rsid w:val="00A52988"/>
    <w:rsid w:val="00A53382"/>
    <w:rsid w:val="00A53529"/>
    <w:rsid w:val="00A535B3"/>
    <w:rsid w:val="00A53DCE"/>
    <w:rsid w:val="00A54816"/>
    <w:rsid w:val="00A559E6"/>
    <w:rsid w:val="00A56642"/>
    <w:rsid w:val="00A56CB0"/>
    <w:rsid w:val="00A5792D"/>
    <w:rsid w:val="00A57A1E"/>
    <w:rsid w:val="00A57C22"/>
    <w:rsid w:val="00A60785"/>
    <w:rsid w:val="00A60FFB"/>
    <w:rsid w:val="00A61824"/>
    <w:rsid w:val="00A619F3"/>
    <w:rsid w:val="00A622CF"/>
    <w:rsid w:val="00A62A5E"/>
    <w:rsid w:val="00A62B1B"/>
    <w:rsid w:val="00A648EB"/>
    <w:rsid w:val="00A64C33"/>
    <w:rsid w:val="00A652FD"/>
    <w:rsid w:val="00A65631"/>
    <w:rsid w:val="00A6567E"/>
    <w:rsid w:val="00A65C83"/>
    <w:rsid w:val="00A66AFF"/>
    <w:rsid w:val="00A66E30"/>
    <w:rsid w:val="00A67AF2"/>
    <w:rsid w:val="00A7108E"/>
    <w:rsid w:val="00A71C51"/>
    <w:rsid w:val="00A72F26"/>
    <w:rsid w:val="00A73204"/>
    <w:rsid w:val="00A73C19"/>
    <w:rsid w:val="00A73E93"/>
    <w:rsid w:val="00A74088"/>
    <w:rsid w:val="00A74409"/>
    <w:rsid w:val="00A7466E"/>
    <w:rsid w:val="00A7468A"/>
    <w:rsid w:val="00A75387"/>
    <w:rsid w:val="00A7594A"/>
    <w:rsid w:val="00A7685E"/>
    <w:rsid w:val="00A771D3"/>
    <w:rsid w:val="00A77355"/>
    <w:rsid w:val="00A77750"/>
    <w:rsid w:val="00A77CC1"/>
    <w:rsid w:val="00A77D60"/>
    <w:rsid w:val="00A77E8C"/>
    <w:rsid w:val="00A80B6F"/>
    <w:rsid w:val="00A81DAA"/>
    <w:rsid w:val="00A8201A"/>
    <w:rsid w:val="00A82594"/>
    <w:rsid w:val="00A83DF3"/>
    <w:rsid w:val="00A84924"/>
    <w:rsid w:val="00A84A1B"/>
    <w:rsid w:val="00A84A84"/>
    <w:rsid w:val="00A84AE9"/>
    <w:rsid w:val="00A84E88"/>
    <w:rsid w:val="00A85A03"/>
    <w:rsid w:val="00A86556"/>
    <w:rsid w:val="00A865E5"/>
    <w:rsid w:val="00A86F6D"/>
    <w:rsid w:val="00A870FE"/>
    <w:rsid w:val="00A90E4B"/>
    <w:rsid w:val="00A92173"/>
    <w:rsid w:val="00A92442"/>
    <w:rsid w:val="00A92752"/>
    <w:rsid w:val="00A9280D"/>
    <w:rsid w:val="00A93E3E"/>
    <w:rsid w:val="00A94CC3"/>
    <w:rsid w:val="00A94CFF"/>
    <w:rsid w:val="00A94E5B"/>
    <w:rsid w:val="00A95445"/>
    <w:rsid w:val="00A9551C"/>
    <w:rsid w:val="00A95A0B"/>
    <w:rsid w:val="00A95A71"/>
    <w:rsid w:val="00A95B12"/>
    <w:rsid w:val="00A977C6"/>
    <w:rsid w:val="00A979E9"/>
    <w:rsid w:val="00AA005B"/>
    <w:rsid w:val="00AA08E2"/>
    <w:rsid w:val="00AA09FD"/>
    <w:rsid w:val="00AA0BB4"/>
    <w:rsid w:val="00AA0CD3"/>
    <w:rsid w:val="00AA113F"/>
    <w:rsid w:val="00AA19DC"/>
    <w:rsid w:val="00AA235C"/>
    <w:rsid w:val="00AA2F62"/>
    <w:rsid w:val="00AA3898"/>
    <w:rsid w:val="00AA392F"/>
    <w:rsid w:val="00AA5AA7"/>
    <w:rsid w:val="00AA5F00"/>
    <w:rsid w:val="00AA62E2"/>
    <w:rsid w:val="00AA66E7"/>
    <w:rsid w:val="00AA6FCF"/>
    <w:rsid w:val="00AA7253"/>
    <w:rsid w:val="00AA74A5"/>
    <w:rsid w:val="00AA7CB5"/>
    <w:rsid w:val="00AA7EAE"/>
    <w:rsid w:val="00AB0442"/>
    <w:rsid w:val="00AB158E"/>
    <w:rsid w:val="00AB18F7"/>
    <w:rsid w:val="00AB1A21"/>
    <w:rsid w:val="00AB1ED5"/>
    <w:rsid w:val="00AB208F"/>
    <w:rsid w:val="00AB2580"/>
    <w:rsid w:val="00AB2B72"/>
    <w:rsid w:val="00AB2E81"/>
    <w:rsid w:val="00AB3C55"/>
    <w:rsid w:val="00AB5387"/>
    <w:rsid w:val="00AB5626"/>
    <w:rsid w:val="00AB5F3C"/>
    <w:rsid w:val="00AB5F7C"/>
    <w:rsid w:val="00AB7813"/>
    <w:rsid w:val="00AC0F05"/>
    <w:rsid w:val="00AC1880"/>
    <w:rsid w:val="00AC1E1C"/>
    <w:rsid w:val="00AC3819"/>
    <w:rsid w:val="00AC3B1C"/>
    <w:rsid w:val="00AC4666"/>
    <w:rsid w:val="00AC4952"/>
    <w:rsid w:val="00AC4B2E"/>
    <w:rsid w:val="00AC4E6D"/>
    <w:rsid w:val="00AC608D"/>
    <w:rsid w:val="00AC7399"/>
    <w:rsid w:val="00AC78B6"/>
    <w:rsid w:val="00AD0299"/>
    <w:rsid w:val="00AD0962"/>
    <w:rsid w:val="00AD1169"/>
    <w:rsid w:val="00AD19CE"/>
    <w:rsid w:val="00AD1E9E"/>
    <w:rsid w:val="00AD2AA4"/>
    <w:rsid w:val="00AD2F9B"/>
    <w:rsid w:val="00AD3AC1"/>
    <w:rsid w:val="00AD41E4"/>
    <w:rsid w:val="00AD4284"/>
    <w:rsid w:val="00AD4408"/>
    <w:rsid w:val="00AD440F"/>
    <w:rsid w:val="00AD5779"/>
    <w:rsid w:val="00AD58FE"/>
    <w:rsid w:val="00AD5AF3"/>
    <w:rsid w:val="00AD5C53"/>
    <w:rsid w:val="00AD612D"/>
    <w:rsid w:val="00AD7219"/>
    <w:rsid w:val="00AD7701"/>
    <w:rsid w:val="00AD7CD5"/>
    <w:rsid w:val="00AE07E9"/>
    <w:rsid w:val="00AE08CA"/>
    <w:rsid w:val="00AE0F1E"/>
    <w:rsid w:val="00AE1281"/>
    <w:rsid w:val="00AE1F7A"/>
    <w:rsid w:val="00AE3A66"/>
    <w:rsid w:val="00AE3D8E"/>
    <w:rsid w:val="00AE4469"/>
    <w:rsid w:val="00AE4540"/>
    <w:rsid w:val="00AE5604"/>
    <w:rsid w:val="00AE569F"/>
    <w:rsid w:val="00AE56E5"/>
    <w:rsid w:val="00AE6160"/>
    <w:rsid w:val="00AE673D"/>
    <w:rsid w:val="00AE75CC"/>
    <w:rsid w:val="00AF1B51"/>
    <w:rsid w:val="00AF1B61"/>
    <w:rsid w:val="00AF1E1F"/>
    <w:rsid w:val="00AF2860"/>
    <w:rsid w:val="00AF2A79"/>
    <w:rsid w:val="00AF3166"/>
    <w:rsid w:val="00AF41A6"/>
    <w:rsid w:val="00AF4288"/>
    <w:rsid w:val="00AF42B7"/>
    <w:rsid w:val="00AF46A2"/>
    <w:rsid w:val="00AF4749"/>
    <w:rsid w:val="00AF4DAA"/>
    <w:rsid w:val="00AF6E57"/>
    <w:rsid w:val="00AF7396"/>
    <w:rsid w:val="00AF748C"/>
    <w:rsid w:val="00B000DC"/>
    <w:rsid w:val="00B002BA"/>
    <w:rsid w:val="00B00D9C"/>
    <w:rsid w:val="00B00E1C"/>
    <w:rsid w:val="00B0113D"/>
    <w:rsid w:val="00B01306"/>
    <w:rsid w:val="00B01AC5"/>
    <w:rsid w:val="00B027D1"/>
    <w:rsid w:val="00B0297A"/>
    <w:rsid w:val="00B02C9C"/>
    <w:rsid w:val="00B03757"/>
    <w:rsid w:val="00B03B73"/>
    <w:rsid w:val="00B04B07"/>
    <w:rsid w:val="00B04D1B"/>
    <w:rsid w:val="00B0518C"/>
    <w:rsid w:val="00B05F00"/>
    <w:rsid w:val="00B05F98"/>
    <w:rsid w:val="00B06760"/>
    <w:rsid w:val="00B077C8"/>
    <w:rsid w:val="00B100F8"/>
    <w:rsid w:val="00B102FF"/>
    <w:rsid w:val="00B104DE"/>
    <w:rsid w:val="00B10A2C"/>
    <w:rsid w:val="00B10C87"/>
    <w:rsid w:val="00B10CB4"/>
    <w:rsid w:val="00B110D6"/>
    <w:rsid w:val="00B11211"/>
    <w:rsid w:val="00B124EE"/>
    <w:rsid w:val="00B12596"/>
    <w:rsid w:val="00B13217"/>
    <w:rsid w:val="00B13479"/>
    <w:rsid w:val="00B160F6"/>
    <w:rsid w:val="00B16192"/>
    <w:rsid w:val="00B1705B"/>
    <w:rsid w:val="00B17CCC"/>
    <w:rsid w:val="00B17D7F"/>
    <w:rsid w:val="00B17D8F"/>
    <w:rsid w:val="00B20B69"/>
    <w:rsid w:val="00B217ED"/>
    <w:rsid w:val="00B2189B"/>
    <w:rsid w:val="00B2275B"/>
    <w:rsid w:val="00B23123"/>
    <w:rsid w:val="00B2364B"/>
    <w:rsid w:val="00B23AED"/>
    <w:rsid w:val="00B23B79"/>
    <w:rsid w:val="00B24147"/>
    <w:rsid w:val="00B24EC8"/>
    <w:rsid w:val="00B25292"/>
    <w:rsid w:val="00B25FA5"/>
    <w:rsid w:val="00B261B8"/>
    <w:rsid w:val="00B265D4"/>
    <w:rsid w:val="00B26623"/>
    <w:rsid w:val="00B2673A"/>
    <w:rsid w:val="00B2673C"/>
    <w:rsid w:val="00B26BB5"/>
    <w:rsid w:val="00B2718A"/>
    <w:rsid w:val="00B31FCC"/>
    <w:rsid w:val="00B3295E"/>
    <w:rsid w:val="00B33350"/>
    <w:rsid w:val="00B3364B"/>
    <w:rsid w:val="00B343B4"/>
    <w:rsid w:val="00B35C49"/>
    <w:rsid w:val="00B3722F"/>
    <w:rsid w:val="00B37837"/>
    <w:rsid w:val="00B4051A"/>
    <w:rsid w:val="00B40D3B"/>
    <w:rsid w:val="00B40E50"/>
    <w:rsid w:val="00B412A4"/>
    <w:rsid w:val="00B416DF"/>
    <w:rsid w:val="00B41BEB"/>
    <w:rsid w:val="00B41E0F"/>
    <w:rsid w:val="00B41FC1"/>
    <w:rsid w:val="00B42A45"/>
    <w:rsid w:val="00B42A98"/>
    <w:rsid w:val="00B42D28"/>
    <w:rsid w:val="00B4367A"/>
    <w:rsid w:val="00B43CCA"/>
    <w:rsid w:val="00B44E63"/>
    <w:rsid w:val="00B44EB5"/>
    <w:rsid w:val="00B45000"/>
    <w:rsid w:val="00B45A64"/>
    <w:rsid w:val="00B45EF4"/>
    <w:rsid w:val="00B50D1F"/>
    <w:rsid w:val="00B51EF6"/>
    <w:rsid w:val="00B52049"/>
    <w:rsid w:val="00B52979"/>
    <w:rsid w:val="00B52DE6"/>
    <w:rsid w:val="00B52F69"/>
    <w:rsid w:val="00B52F7B"/>
    <w:rsid w:val="00B53D15"/>
    <w:rsid w:val="00B53E71"/>
    <w:rsid w:val="00B53FC8"/>
    <w:rsid w:val="00B55E0A"/>
    <w:rsid w:val="00B561E0"/>
    <w:rsid w:val="00B566EE"/>
    <w:rsid w:val="00B57709"/>
    <w:rsid w:val="00B578F9"/>
    <w:rsid w:val="00B57CB2"/>
    <w:rsid w:val="00B61272"/>
    <w:rsid w:val="00B613B3"/>
    <w:rsid w:val="00B61676"/>
    <w:rsid w:val="00B61E0A"/>
    <w:rsid w:val="00B627A4"/>
    <w:rsid w:val="00B62F91"/>
    <w:rsid w:val="00B631DA"/>
    <w:rsid w:val="00B638F6"/>
    <w:rsid w:val="00B63A6C"/>
    <w:rsid w:val="00B642F8"/>
    <w:rsid w:val="00B65197"/>
    <w:rsid w:val="00B65BB0"/>
    <w:rsid w:val="00B65FA0"/>
    <w:rsid w:val="00B664B1"/>
    <w:rsid w:val="00B66532"/>
    <w:rsid w:val="00B66A0B"/>
    <w:rsid w:val="00B66F8F"/>
    <w:rsid w:val="00B6724E"/>
    <w:rsid w:val="00B67824"/>
    <w:rsid w:val="00B6787C"/>
    <w:rsid w:val="00B67D4E"/>
    <w:rsid w:val="00B709C9"/>
    <w:rsid w:val="00B717F4"/>
    <w:rsid w:val="00B719F5"/>
    <w:rsid w:val="00B71E05"/>
    <w:rsid w:val="00B729AC"/>
    <w:rsid w:val="00B735D2"/>
    <w:rsid w:val="00B73A9D"/>
    <w:rsid w:val="00B74527"/>
    <w:rsid w:val="00B745AE"/>
    <w:rsid w:val="00B756EF"/>
    <w:rsid w:val="00B75742"/>
    <w:rsid w:val="00B75D2B"/>
    <w:rsid w:val="00B763C9"/>
    <w:rsid w:val="00B77122"/>
    <w:rsid w:val="00B772FF"/>
    <w:rsid w:val="00B77A93"/>
    <w:rsid w:val="00B77E00"/>
    <w:rsid w:val="00B77F87"/>
    <w:rsid w:val="00B806F9"/>
    <w:rsid w:val="00B81372"/>
    <w:rsid w:val="00B82221"/>
    <w:rsid w:val="00B82298"/>
    <w:rsid w:val="00B8260B"/>
    <w:rsid w:val="00B82AC2"/>
    <w:rsid w:val="00B831C5"/>
    <w:rsid w:val="00B834BB"/>
    <w:rsid w:val="00B8397C"/>
    <w:rsid w:val="00B83C3B"/>
    <w:rsid w:val="00B84873"/>
    <w:rsid w:val="00B84FF1"/>
    <w:rsid w:val="00B8561F"/>
    <w:rsid w:val="00B867B2"/>
    <w:rsid w:val="00B86B3E"/>
    <w:rsid w:val="00B86DD4"/>
    <w:rsid w:val="00B87449"/>
    <w:rsid w:val="00B876E3"/>
    <w:rsid w:val="00B90968"/>
    <w:rsid w:val="00B9144A"/>
    <w:rsid w:val="00B91619"/>
    <w:rsid w:val="00B94BD1"/>
    <w:rsid w:val="00B94E5F"/>
    <w:rsid w:val="00B94F3C"/>
    <w:rsid w:val="00B95533"/>
    <w:rsid w:val="00B95926"/>
    <w:rsid w:val="00B95D99"/>
    <w:rsid w:val="00B96155"/>
    <w:rsid w:val="00B96382"/>
    <w:rsid w:val="00B963CB"/>
    <w:rsid w:val="00B96DB1"/>
    <w:rsid w:val="00B97495"/>
    <w:rsid w:val="00B97D42"/>
    <w:rsid w:val="00B97D57"/>
    <w:rsid w:val="00BA0A24"/>
    <w:rsid w:val="00BA0D74"/>
    <w:rsid w:val="00BA0DB7"/>
    <w:rsid w:val="00BA1155"/>
    <w:rsid w:val="00BA14D8"/>
    <w:rsid w:val="00BA194E"/>
    <w:rsid w:val="00BA2440"/>
    <w:rsid w:val="00BA2933"/>
    <w:rsid w:val="00BA2BB8"/>
    <w:rsid w:val="00BA2D7A"/>
    <w:rsid w:val="00BA31E7"/>
    <w:rsid w:val="00BA3C6C"/>
    <w:rsid w:val="00BA3E58"/>
    <w:rsid w:val="00BA3F59"/>
    <w:rsid w:val="00BA4164"/>
    <w:rsid w:val="00BA4421"/>
    <w:rsid w:val="00BA44F6"/>
    <w:rsid w:val="00BA55AC"/>
    <w:rsid w:val="00BA5DF0"/>
    <w:rsid w:val="00BA5E1C"/>
    <w:rsid w:val="00BA67DF"/>
    <w:rsid w:val="00BA68DB"/>
    <w:rsid w:val="00BA6E90"/>
    <w:rsid w:val="00BA6FB9"/>
    <w:rsid w:val="00BA70E2"/>
    <w:rsid w:val="00BA711B"/>
    <w:rsid w:val="00BA7990"/>
    <w:rsid w:val="00BB0D2C"/>
    <w:rsid w:val="00BB1D4E"/>
    <w:rsid w:val="00BB3057"/>
    <w:rsid w:val="00BB35E2"/>
    <w:rsid w:val="00BB3B5B"/>
    <w:rsid w:val="00BB427C"/>
    <w:rsid w:val="00BB45AB"/>
    <w:rsid w:val="00BB4D08"/>
    <w:rsid w:val="00BB6F9A"/>
    <w:rsid w:val="00BB757F"/>
    <w:rsid w:val="00BC118F"/>
    <w:rsid w:val="00BC17E6"/>
    <w:rsid w:val="00BC1995"/>
    <w:rsid w:val="00BC2000"/>
    <w:rsid w:val="00BC235A"/>
    <w:rsid w:val="00BC4E7B"/>
    <w:rsid w:val="00BC52E7"/>
    <w:rsid w:val="00BC6A89"/>
    <w:rsid w:val="00BC6BDC"/>
    <w:rsid w:val="00BC6C68"/>
    <w:rsid w:val="00BC79FB"/>
    <w:rsid w:val="00BC7ACC"/>
    <w:rsid w:val="00BD1B32"/>
    <w:rsid w:val="00BD1DFF"/>
    <w:rsid w:val="00BD25BC"/>
    <w:rsid w:val="00BD3497"/>
    <w:rsid w:val="00BD4533"/>
    <w:rsid w:val="00BD566B"/>
    <w:rsid w:val="00BD5A34"/>
    <w:rsid w:val="00BD5AEB"/>
    <w:rsid w:val="00BD5B54"/>
    <w:rsid w:val="00BD63BC"/>
    <w:rsid w:val="00BD740A"/>
    <w:rsid w:val="00BD7853"/>
    <w:rsid w:val="00BD7E5F"/>
    <w:rsid w:val="00BD7E8E"/>
    <w:rsid w:val="00BE0FF1"/>
    <w:rsid w:val="00BE1AF8"/>
    <w:rsid w:val="00BE1B0E"/>
    <w:rsid w:val="00BE1CC3"/>
    <w:rsid w:val="00BE1F12"/>
    <w:rsid w:val="00BE2944"/>
    <w:rsid w:val="00BE2DB4"/>
    <w:rsid w:val="00BE32D6"/>
    <w:rsid w:val="00BE367F"/>
    <w:rsid w:val="00BE5222"/>
    <w:rsid w:val="00BE5488"/>
    <w:rsid w:val="00BE5552"/>
    <w:rsid w:val="00BE63AE"/>
    <w:rsid w:val="00BE699E"/>
    <w:rsid w:val="00BE6EA6"/>
    <w:rsid w:val="00BE7237"/>
    <w:rsid w:val="00BE7245"/>
    <w:rsid w:val="00BE7319"/>
    <w:rsid w:val="00BE79F3"/>
    <w:rsid w:val="00BE7D2B"/>
    <w:rsid w:val="00BF0138"/>
    <w:rsid w:val="00BF03DF"/>
    <w:rsid w:val="00BF0966"/>
    <w:rsid w:val="00BF104A"/>
    <w:rsid w:val="00BF16D9"/>
    <w:rsid w:val="00BF1894"/>
    <w:rsid w:val="00BF1C70"/>
    <w:rsid w:val="00BF22D7"/>
    <w:rsid w:val="00BF2E23"/>
    <w:rsid w:val="00BF54C7"/>
    <w:rsid w:val="00BF5610"/>
    <w:rsid w:val="00BF5745"/>
    <w:rsid w:val="00BF5CC8"/>
    <w:rsid w:val="00BF5E8D"/>
    <w:rsid w:val="00BF641A"/>
    <w:rsid w:val="00BF6D80"/>
    <w:rsid w:val="00BF6DBE"/>
    <w:rsid w:val="00BF7887"/>
    <w:rsid w:val="00BF7D01"/>
    <w:rsid w:val="00C00B8D"/>
    <w:rsid w:val="00C010FA"/>
    <w:rsid w:val="00C0111C"/>
    <w:rsid w:val="00C01183"/>
    <w:rsid w:val="00C01375"/>
    <w:rsid w:val="00C01394"/>
    <w:rsid w:val="00C013DF"/>
    <w:rsid w:val="00C0145E"/>
    <w:rsid w:val="00C026CC"/>
    <w:rsid w:val="00C02DF7"/>
    <w:rsid w:val="00C03953"/>
    <w:rsid w:val="00C041F7"/>
    <w:rsid w:val="00C04427"/>
    <w:rsid w:val="00C0447D"/>
    <w:rsid w:val="00C04C2A"/>
    <w:rsid w:val="00C0593D"/>
    <w:rsid w:val="00C05B17"/>
    <w:rsid w:val="00C05BB8"/>
    <w:rsid w:val="00C05FF4"/>
    <w:rsid w:val="00C065C0"/>
    <w:rsid w:val="00C06F64"/>
    <w:rsid w:val="00C078F9"/>
    <w:rsid w:val="00C07B17"/>
    <w:rsid w:val="00C1030B"/>
    <w:rsid w:val="00C10B95"/>
    <w:rsid w:val="00C10E59"/>
    <w:rsid w:val="00C111A6"/>
    <w:rsid w:val="00C11296"/>
    <w:rsid w:val="00C114E7"/>
    <w:rsid w:val="00C11512"/>
    <w:rsid w:val="00C119CD"/>
    <w:rsid w:val="00C11BBF"/>
    <w:rsid w:val="00C11D4C"/>
    <w:rsid w:val="00C1235D"/>
    <w:rsid w:val="00C12BFB"/>
    <w:rsid w:val="00C12CED"/>
    <w:rsid w:val="00C12CFD"/>
    <w:rsid w:val="00C12E22"/>
    <w:rsid w:val="00C13049"/>
    <w:rsid w:val="00C13648"/>
    <w:rsid w:val="00C138EC"/>
    <w:rsid w:val="00C139CE"/>
    <w:rsid w:val="00C14572"/>
    <w:rsid w:val="00C14BD5"/>
    <w:rsid w:val="00C15135"/>
    <w:rsid w:val="00C1557A"/>
    <w:rsid w:val="00C1589C"/>
    <w:rsid w:val="00C15D89"/>
    <w:rsid w:val="00C168D7"/>
    <w:rsid w:val="00C2009F"/>
    <w:rsid w:val="00C21F68"/>
    <w:rsid w:val="00C221C3"/>
    <w:rsid w:val="00C2225B"/>
    <w:rsid w:val="00C22934"/>
    <w:rsid w:val="00C23306"/>
    <w:rsid w:val="00C2346B"/>
    <w:rsid w:val="00C238A2"/>
    <w:rsid w:val="00C23CB7"/>
    <w:rsid w:val="00C25209"/>
    <w:rsid w:val="00C252BE"/>
    <w:rsid w:val="00C254DA"/>
    <w:rsid w:val="00C265D2"/>
    <w:rsid w:val="00C26B0A"/>
    <w:rsid w:val="00C279A5"/>
    <w:rsid w:val="00C27E0E"/>
    <w:rsid w:val="00C3010C"/>
    <w:rsid w:val="00C309C5"/>
    <w:rsid w:val="00C30AC5"/>
    <w:rsid w:val="00C310C6"/>
    <w:rsid w:val="00C3130F"/>
    <w:rsid w:val="00C315E8"/>
    <w:rsid w:val="00C31A8C"/>
    <w:rsid w:val="00C32448"/>
    <w:rsid w:val="00C329B3"/>
    <w:rsid w:val="00C32A7D"/>
    <w:rsid w:val="00C32CB2"/>
    <w:rsid w:val="00C330F5"/>
    <w:rsid w:val="00C3348F"/>
    <w:rsid w:val="00C337AC"/>
    <w:rsid w:val="00C341CF"/>
    <w:rsid w:val="00C341ED"/>
    <w:rsid w:val="00C34279"/>
    <w:rsid w:val="00C34C0A"/>
    <w:rsid w:val="00C34C75"/>
    <w:rsid w:val="00C36FEC"/>
    <w:rsid w:val="00C375D5"/>
    <w:rsid w:val="00C37DFF"/>
    <w:rsid w:val="00C40A8C"/>
    <w:rsid w:val="00C414E3"/>
    <w:rsid w:val="00C41556"/>
    <w:rsid w:val="00C41DC6"/>
    <w:rsid w:val="00C42406"/>
    <w:rsid w:val="00C42AD1"/>
    <w:rsid w:val="00C42CE3"/>
    <w:rsid w:val="00C42D37"/>
    <w:rsid w:val="00C431D9"/>
    <w:rsid w:val="00C437D2"/>
    <w:rsid w:val="00C4393E"/>
    <w:rsid w:val="00C43CE8"/>
    <w:rsid w:val="00C43F4F"/>
    <w:rsid w:val="00C44440"/>
    <w:rsid w:val="00C44D0B"/>
    <w:rsid w:val="00C4520D"/>
    <w:rsid w:val="00C4631C"/>
    <w:rsid w:val="00C50B84"/>
    <w:rsid w:val="00C5108A"/>
    <w:rsid w:val="00C512A4"/>
    <w:rsid w:val="00C522F2"/>
    <w:rsid w:val="00C52411"/>
    <w:rsid w:val="00C5246A"/>
    <w:rsid w:val="00C52E63"/>
    <w:rsid w:val="00C53741"/>
    <w:rsid w:val="00C53802"/>
    <w:rsid w:val="00C53D8A"/>
    <w:rsid w:val="00C54840"/>
    <w:rsid w:val="00C5561D"/>
    <w:rsid w:val="00C55AE5"/>
    <w:rsid w:val="00C56496"/>
    <w:rsid w:val="00C56FFE"/>
    <w:rsid w:val="00C5702F"/>
    <w:rsid w:val="00C577B3"/>
    <w:rsid w:val="00C57FAC"/>
    <w:rsid w:val="00C60E87"/>
    <w:rsid w:val="00C6137E"/>
    <w:rsid w:val="00C613D8"/>
    <w:rsid w:val="00C61914"/>
    <w:rsid w:val="00C61C75"/>
    <w:rsid w:val="00C6299F"/>
    <w:rsid w:val="00C62F97"/>
    <w:rsid w:val="00C659AB"/>
    <w:rsid w:val="00C65C37"/>
    <w:rsid w:val="00C65E2C"/>
    <w:rsid w:val="00C6620A"/>
    <w:rsid w:val="00C662D5"/>
    <w:rsid w:val="00C668F4"/>
    <w:rsid w:val="00C6710D"/>
    <w:rsid w:val="00C672B0"/>
    <w:rsid w:val="00C67CDA"/>
    <w:rsid w:val="00C67EEC"/>
    <w:rsid w:val="00C70EBC"/>
    <w:rsid w:val="00C7126E"/>
    <w:rsid w:val="00C712E7"/>
    <w:rsid w:val="00C71B8D"/>
    <w:rsid w:val="00C728AB"/>
    <w:rsid w:val="00C735A0"/>
    <w:rsid w:val="00C743B7"/>
    <w:rsid w:val="00C745F4"/>
    <w:rsid w:val="00C74DAA"/>
    <w:rsid w:val="00C75349"/>
    <w:rsid w:val="00C758FF"/>
    <w:rsid w:val="00C759E7"/>
    <w:rsid w:val="00C76B49"/>
    <w:rsid w:val="00C77D09"/>
    <w:rsid w:val="00C77D5F"/>
    <w:rsid w:val="00C803F1"/>
    <w:rsid w:val="00C8098E"/>
    <w:rsid w:val="00C81073"/>
    <w:rsid w:val="00C81CEB"/>
    <w:rsid w:val="00C81ED3"/>
    <w:rsid w:val="00C82437"/>
    <w:rsid w:val="00C83E9D"/>
    <w:rsid w:val="00C83F36"/>
    <w:rsid w:val="00C84176"/>
    <w:rsid w:val="00C84671"/>
    <w:rsid w:val="00C84D60"/>
    <w:rsid w:val="00C85631"/>
    <w:rsid w:val="00C85D10"/>
    <w:rsid w:val="00C86544"/>
    <w:rsid w:val="00C8717C"/>
    <w:rsid w:val="00C8748E"/>
    <w:rsid w:val="00C877E3"/>
    <w:rsid w:val="00C879A0"/>
    <w:rsid w:val="00C90947"/>
    <w:rsid w:val="00C91937"/>
    <w:rsid w:val="00C92267"/>
    <w:rsid w:val="00C926E9"/>
    <w:rsid w:val="00C935EC"/>
    <w:rsid w:val="00C9475D"/>
    <w:rsid w:val="00C948DB"/>
    <w:rsid w:val="00C94D74"/>
    <w:rsid w:val="00C951B4"/>
    <w:rsid w:val="00C9567E"/>
    <w:rsid w:val="00C95E64"/>
    <w:rsid w:val="00C964B2"/>
    <w:rsid w:val="00C96AAD"/>
    <w:rsid w:val="00C974A6"/>
    <w:rsid w:val="00CA0ED8"/>
    <w:rsid w:val="00CA14A7"/>
    <w:rsid w:val="00CA160E"/>
    <w:rsid w:val="00CA1989"/>
    <w:rsid w:val="00CA2848"/>
    <w:rsid w:val="00CA29AB"/>
    <w:rsid w:val="00CA3345"/>
    <w:rsid w:val="00CA3E56"/>
    <w:rsid w:val="00CA3F25"/>
    <w:rsid w:val="00CA4670"/>
    <w:rsid w:val="00CA49EC"/>
    <w:rsid w:val="00CA4D85"/>
    <w:rsid w:val="00CA53C4"/>
    <w:rsid w:val="00CA54B8"/>
    <w:rsid w:val="00CA556C"/>
    <w:rsid w:val="00CA60CC"/>
    <w:rsid w:val="00CB0CEB"/>
    <w:rsid w:val="00CB10E9"/>
    <w:rsid w:val="00CB13BD"/>
    <w:rsid w:val="00CB185E"/>
    <w:rsid w:val="00CB1AEE"/>
    <w:rsid w:val="00CB1BE3"/>
    <w:rsid w:val="00CB4601"/>
    <w:rsid w:val="00CB49EA"/>
    <w:rsid w:val="00CB4B0A"/>
    <w:rsid w:val="00CB4BC2"/>
    <w:rsid w:val="00CB4E5E"/>
    <w:rsid w:val="00CB77B6"/>
    <w:rsid w:val="00CB780E"/>
    <w:rsid w:val="00CB7F33"/>
    <w:rsid w:val="00CC1BC3"/>
    <w:rsid w:val="00CC1D8F"/>
    <w:rsid w:val="00CC25DD"/>
    <w:rsid w:val="00CC2A23"/>
    <w:rsid w:val="00CC2B7E"/>
    <w:rsid w:val="00CC2E40"/>
    <w:rsid w:val="00CC3856"/>
    <w:rsid w:val="00CC3B2E"/>
    <w:rsid w:val="00CC3E3A"/>
    <w:rsid w:val="00CC3F61"/>
    <w:rsid w:val="00CC4682"/>
    <w:rsid w:val="00CC46B7"/>
    <w:rsid w:val="00CC4CD3"/>
    <w:rsid w:val="00CC536B"/>
    <w:rsid w:val="00CC554E"/>
    <w:rsid w:val="00CC5657"/>
    <w:rsid w:val="00CC5B25"/>
    <w:rsid w:val="00CC5F4E"/>
    <w:rsid w:val="00CC65AA"/>
    <w:rsid w:val="00CC6D67"/>
    <w:rsid w:val="00CC7868"/>
    <w:rsid w:val="00CC7BD5"/>
    <w:rsid w:val="00CC7CD8"/>
    <w:rsid w:val="00CD063D"/>
    <w:rsid w:val="00CD09E6"/>
    <w:rsid w:val="00CD17D9"/>
    <w:rsid w:val="00CD1876"/>
    <w:rsid w:val="00CD1A4C"/>
    <w:rsid w:val="00CD2422"/>
    <w:rsid w:val="00CD2994"/>
    <w:rsid w:val="00CD30CF"/>
    <w:rsid w:val="00CD3872"/>
    <w:rsid w:val="00CD41FB"/>
    <w:rsid w:val="00CD4BD5"/>
    <w:rsid w:val="00CD4D5D"/>
    <w:rsid w:val="00CD50AB"/>
    <w:rsid w:val="00CD5501"/>
    <w:rsid w:val="00CD58A5"/>
    <w:rsid w:val="00CD5992"/>
    <w:rsid w:val="00CD62E2"/>
    <w:rsid w:val="00CD647B"/>
    <w:rsid w:val="00CD67BF"/>
    <w:rsid w:val="00CD7290"/>
    <w:rsid w:val="00CD752F"/>
    <w:rsid w:val="00CD75FE"/>
    <w:rsid w:val="00CE080E"/>
    <w:rsid w:val="00CE0A2A"/>
    <w:rsid w:val="00CE2009"/>
    <w:rsid w:val="00CE276A"/>
    <w:rsid w:val="00CE2E7C"/>
    <w:rsid w:val="00CE30EB"/>
    <w:rsid w:val="00CE3903"/>
    <w:rsid w:val="00CE4071"/>
    <w:rsid w:val="00CE4533"/>
    <w:rsid w:val="00CE523C"/>
    <w:rsid w:val="00CE5C76"/>
    <w:rsid w:val="00CE6B00"/>
    <w:rsid w:val="00CE6C4F"/>
    <w:rsid w:val="00CE7409"/>
    <w:rsid w:val="00CE7752"/>
    <w:rsid w:val="00CE7B8A"/>
    <w:rsid w:val="00CE7F29"/>
    <w:rsid w:val="00CF0800"/>
    <w:rsid w:val="00CF0930"/>
    <w:rsid w:val="00CF0D1A"/>
    <w:rsid w:val="00CF21DA"/>
    <w:rsid w:val="00CF27A8"/>
    <w:rsid w:val="00CF2DC4"/>
    <w:rsid w:val="00CF3E2E"/>
    <w:rsid w:val="00CF42B5"/>
    <w:rsid w:val="00CF4A23"/>
    <w:rsid w:val="00CF4B21"/>
    <w:rsid w:val="00CF4E91"/>
    <w:rsid w:val="00CF52CE"/>
    <w:rsid w:val="00CF578F"/>
    <w:rsid w:val="00CF57E1"/>
    <w:rsid w:val="00CF5EEB"/>
    <w:rsid w:val="00CF637D"/>
    <w:rsid w:val="00CF6915"/>
    <w:rsid w:val="00CF6BBF"/>
    <w:rsid w:val="00CF6C3E"/>
    <w:rsid w:val="00CF6DB2"/>
    <w:rsid w:val="00CF6EC5"/>
    <w:rsid w:val="00CF6F45"/>
    <w:rsid w:val="00CF7572"/>
    <w:rsid w:val="00CF7C98"/>
    <w:rsid w:val="00D00903"/>
    <w:rsid w:val="00D00D57"/>
    <w:rsid w:val="00D0124E"/>
    <w:rsid w:val="00D0143F"/>
    <w:rsid w:val="00D030A3"/>
    <w:rsid w:val="00D030E9"/>
    <w:rsid w:val="00D031F2"/>
    <w:rsid w:val="00D033AE"/>
    <w:rsid w:val="00D03B68"/>
    <w:rsid w:val="00D03CA2"/>
    <w:rsid w:val="00D048C7"/>
    <w:rsid w:val="00D05CBE"/>
    <w:rsid w:val="00D06C63"/>
    <w:rsid w:val="00D06ECE"/>
    <w:rsid w:val="00D07168"/>
    <w:rsid w:val="00D077F9"/>
    <w:rsid w:val="00D07898"/>
    <w:rsid w:val="00D106EA"/>
    <w:rsid w:val="00D10B06"/>
    <w:rsid w:val="00D10D04"/>
    <w:rsid w:val="00D10FC5"/>
    <w:rsid w:val="00D111E1"/>
    <w:rsid w:val="00D1139E"/>
    <w:rsid w:val="00D113BA"/>
    <w:rsid w:val="00D11A61"/>
    <w:rsid w:val="00D11BE3"/>
    <w:rsid w:val="00D11FA3"/>
    <w:rsid w:val="00D12945"/>
    <w:rsid w:val="00D1294F"/>
    <w:rsid w:val="00D12AD2"/>
    <w:rsid w:val="00D12DBD"/>
    <w:rsid w:val="00D12FD2"/>
    <w:rsid w:val="00D12FEA"/>
    <w:rsid w:val="00D134CB"/>
    <w:rsid w:val="00D1361A"/>
    <w:rsid w:val="00D13685"/>
    <w:rsid w:val="00D14D0C"/>
    <w:rsid w:val="00D151FD"/>
    <w:rsid w:val="00D15621"/>
    <w:rsid w:val="00D15B29"/>
    <w:rsid w:val="00D163E8"/>
    <w:rsid w:val="00D166A5"/>
    <w:rsid w:val="00D16CD9"/>
    <w:rsid w:val="00D16CF2"/>
    <w:rsid w:val="00D17355"/>
    <w:rsid w:val="00D17E07"/>
    <w:rsid w:val="00D20731"/>
    <w:rsid w:val="00D21059"/>
    <w:rsid w:val="00D2129C"/>
    <w:rsid w:val="00D2155B"/>
    <w:rsid w:val="00D21797"/>
    <w:rsid w:val="00D2196C"/>
    <w:rsid w:val="00D22125"/>
    <w:rsid w:val="00D223A1"/>
    <w:rsid w:val="00D23AD1"/>
    <w:rsid w:val="00D23ADE"/>
    <w:rsid w:val="00D24CE2"/>
    <w:rsid w:val="00D24F4B"/>
    <w:rsid w:val="00D253B8"/>
    <w:rsid w:val="00D25748"/>
    <w:rsid w:val="00D25ABF"/>
    <w:rsid w:val="00D265AC"/>
    <w:rsid w:val="00D26915"/>
    <w:rsid w:val="00D2739F"/>
    <w:rsid w:val="00D27ECE"/>
    <w:rsid w:val="00D301BB"/>
    <w:rsid w:val="00D3118D"/>
    <w:rsid w:val="00D3127C"/>
    <w:rsid w:val="00D31393"/>
    <w:rsid w:val="00D31566"/>
    <w:rsid w:val="00D3172D"/>
    <w:rsid w:val="00D31AD5"/>
    <w:rsid w:val="00D31AD9"/>
    <w:rsid w:val="00D31D4A"/>
    <w:rsid w:val="00D323D8"/>
    <w:rsid w:val="00D327BD"/>
    <w:rsid w:val="00D32AC8"/>
    <w:rsid w:val="00D32AF5"/>
    <w:rsid w:val="00D34601"/>
    <w:rsid w:val="00D3469A"/>
    <w:rsid w:val="00D350F0"/>
    <w:rsid w:val="00D352E6"/>
    <w:rsid w:val="00D363CA"/>
    <w:rsid w:val="00D36FFC"/>
    <w:rsid w:val="00D371F7"/>
    <w:rsid w:val="00D3741D"/>
    <w:rsid w:val="00D37785"/>
    <w:rsid w:val="00D37795"/>
    <w:rsid w:val="00D37AB7"/>
    <w:rsid w:val="00D37FDC"/>
    <w:rsid w:val="00D40309"/>
    <w:rsid w:val="00D4052B"/>
    <w:rsid w:val="00D40808"/>
    <w:rsid w:val="00D40CB6"/>
    <w:rsid w:val="00D40F97"/>
    <w:rsid w:val="00D4151E"/>
    <w:rsid w:val="00D417F8"/>
    <w:rsid w:val="00D418CB"/>
    <w:rsid w:val="00D41EC1"/>
    <w:rsid w:val="00D42014"/>
    <w:rsid w:val="00D4282A"/>
    <w:rsid w:val="00D42EED"/>
    <w:rsid w:val="00D43FA4"/>
    <w:rsid w:val="00D43FFD"/>
    <w:rsid w:val="00D441A7"/>
    <w:rsid w:val="00D44A98"/>
    <w:rsid w:val="00D44BD6"/>
    <w:rsid w:val="00D459CB"/>
    <w:rsid w:val="00D461B4"/>
    <w:rsid w:val="00D4631C"/>
    <w:rsid w:val="00D4635D"/>
    <w:rsid w:val="00D46B77"/>
    <w:rsid w:val="00D47C51"/>
    <w:rsid w:val="00D50A8E"/>
    <w:rsid w:val="00D51BCC"/>
    <w:rsid w:val="00D52BC4"/>
    <w:rsid w:val="00D52BFF"/>
    <w:rsid w:val="00D538C0"/>
    <w:rsid w:val="00D53DE2"/>
    <w:rsid w:val="00D55279"/>
    <w:rsid w:val="00D55786"/>
    <w:rsid w:val="00D56153"/>
    <w:rsid w:val="00D565DA"/>
    <w:rsid w:val="00D56786"/>
    <w:rsid w:val="00D56BA4"/>
    <w:rsid w:val="00D5707A"/>
    <w:rsid w:val="00D600B1"/>
    <w:rsid w:val="00D60334"/>
    <w:rsid w:val="00D60957"/>
    <w:rsid w:val="00D6110C"/>
    <w:rsid w:val="00D61147"/>
    <w:rsid w:val="00D613EE"/>
    <w:rsid w:val="00D61967"/>
    <w:rsid w:val="00D61BD2"/>
    <w:rsid w:val="00D628B3"/>
    <w:rsid w:val="00D62FF3"/>
    <w:rsid w:val="00D62FF5"/>
    <w:rsid w:val="00D63436"/>
    <w:rsid w:val="00D636DE"/>
    <w:rsid w:val="00D63A02"/>
    <w:rsid w:val="00D63EA9"/>
    <w:rsid w:val="00D64B8B"/>
    <w:rsid w:val="00D6501C"/>
    <w:rsid w:val="00D654AE"/>
    <w:rsid w:val="00D65D90"/>
    <w:rsid w:val="00D65EF4"/>
    <w:rsid w:val="00D665E8"/>
    <w:rsid w:val="00D668EA"/>
    <w:rsid w:val="00D66B40"/>
    <w:rsid w:val="00D6778E"/>
    <w:rsid w:val="00D67A05"/>
    <w:rsid w:val="00D71072"/>
    <w:rsid w:val="00D71C72"/>
    <w:rsid w:val="00D737ED"/>
    <w:rsid w:val="00D73BE9"/>
    <w:rsid w:val="00D7484C"/>
    <w:rsid w:val="00D74CE3"/>
    <w:rsid w:val="00D74D5D"/>
    <w:rsid w:val="00D75058"/>
    <w:rsid w:val="00D7520C"/>
    <w:rsid w:val="00D75468"/>
    <w:rsid w:val="00D7585C"/>
    <w:rsid w:val="00D761B5"/>
    <w:rsid w:val="00D77060"/>
    <w:rsid w:val="00D77CA6"/>
    <w:rsid w:val="00D8028B"/>
    <w:rsid w:val="00D80D39"/>
    <w:rsid w:val="00D80FB6"/>
    <w:rsid w:val="00D81782"/>
    <w:rsid w:val="00D818FA"/>
    <w:rsid w:val="00D81B0D"/>
    <w:rsid w:val="00D81E08"/>
    <w:rsid w:val="00D81F51"/>
    <w:rsid w:val="00D835D6"/>
    <w:rsid w:val="00D8390A"/>
    <w:rsid w:val="00D83B33"/>
    <w:rsid w:val="00D83BEB"/>
    <w:rsid w:val="00D83CFC"/>
    <w:rsid w:val="00D845AB"/>
    <w:rsid w:val="00D84791"/>
    <w:rsid w:val="00D85686"/>
    <w:rsid w:val="00D85766"/>
    <w:rsid w:val="00D857D9"/>
    <w:rsid w:val="00D86A3C"/>
    <w:rsid w:val="00D86BC4"/>
    <w:rsid w:val="00D877EE"/>
    <w:rsid w:val="00D90123"/>
    <w:rsid w:val="00D90476"/>
    <w:rsid w:val="00D90D7F"/>
    <w:rsid w:val="00D90ED2"/>
    <w:rsid w:val="00D912E8"/>
    <w:rsid w:val="00D913EB"/>
    <w:rsid w:val="00D9158F"/>
    <w:rsid w:val="00D923EE"/>
    <w:rsid w:val="00D925DC"/>
    <w:rsid w:val="00D92695"/>
    <w:rsid w:val="00D92ACA"/>
    <w:rsid w:val="00D92FEC"/>
    <w:rsid w:val="00D94074"/>
    <w:rsid w:val="00D94B8D"/>
    <w:rsid w:val="00D94C66"/>
    <w:rsid w:val="00D96CD5"/>
    <w:rsid w:val="00D96E2F"/>
    <w:rsid w:val="00DA00D4"/>
    <w:rsid w:val="00DA0CA6"/>
    <w:rsid w:val="00DA2176"/>
    <w:rsid w:val="00DA29D1"/>
    <w:rsid w:val="00DA2A78"/>
    <w:rsid w:val="00DA2BD8"/>
    <w:rsid w:val="00DA2E23"/>
    <w:rsid w:val="00DA30BB"/>
    <w:rsid w:val="00DA352F"/>
    <w:rsid w:val="00DA3550"/>
    <w:rsid w:val="00DA3B0B"/>
    <w:rsid w:val="00DA47E1"/>
    <w:rsid w:val="00DA4946"/>
    <w:rsid w:val="00DA4C4A"/>
    <w:rsid w:val="00DA4D9C"/>
    <w:rsid w:val="00DA56E8"/>
    <w:rsid w:val="00DA59CB"/>
    <w:rsid w:val="00DA5BC4"/>
    <w:rsid w:val="00DA5CBB"/>
    <w:rsid w:val="00DA7278"/>
    <w:rsid w:val="00DA7AAD"/>
    <w:rsid w:val="00DB039C"/>
    <w:rsid w:val="00DB0442"/>
    <w:rsid w:val="00DB0978"/>
    <w:rsid w:val="00DB3275"/>
    <w:rsid w:val="00DB32FD"/>
    <w:rsid w:val="00DB3710"/>
    <w:rsid w:val="00DB4D1C"/>
    <w:rsid w:val="00DB51FF"/>
    <w:rsid w:val="00DB65AA"/>
    <w:rsid w:val="00DB6D19"/>
    <w:rsid w:val="00DB6F79"/>
    <w:rsid w:val="00DB79ED"/>
    <w:rsid w:val="00DC00C6"/>
    <w:rsid w:val="00DC0136"/>
    <w:rsid w:val="00DC136A"/>
    <w:rsid w:val="00DC2307"/>
    <w:rsid w:val="00DC2C2A"/>
    <w:rsid w:val="00DC317E"/>
    <w:rsid w:val="00DC3808"/>
    <w:rsid w:val="00DC4300"/>
    <w:rsid w:val="00DC4898"/>
    <w:rsid w:val="00DC4902"/>
    <w:rsid w:val="00DC4D95"/>
    <w:rsid w:val="00DC5096"/>
    <w:rsid w:val="00DC5343"/>
    <w:rsid w:val="00DC5E73"/>
    <w:rsid w:val="00DC628B"/>
    <w:rsid w:val="00DC6339"/>
    <w:rsid w:val="00DC6A79"/>
    <w:rsid w:val="00DC6CAA"/>
    <w:rsid w:val="00DC74BE"/>
    <w:rsid w:val="00DC7C92"/>
    <w:rsid w:val="00DC7FE8"/>
    <w:rsid w:val="00DD00CE"/>
    <w:rsid w:val="00DD05D0"/>
    <w:rsid w:val="00DD1618"/>
    <w:rsid w:val="00DD18C5"/>
    <w:rsid w:val="00DD1B74"/>
    <w:rsid w:val="00DD1F18"/>
    <w:rsid w:val="00DD2370"/>
    <w:rsid w:val="00DD291F"/>
    <w:rsid w:val="00DD2DB9"/>
    <w:rsid w:val="00DD2E95"/>
    <w:rsid w:val="00DD3C29"/>
    <w:rsid w:val="00DD44DD"/>
    <w:rsid w:val="00DD4557"/>
    <w:rsid w:val="00DD4809"/>
    <w:rsid w:val="00DD5006"/>
    <w:rsid w:val="00DD50F9"/>
    <w:rsid w:val="00DD6259"/>
    <w:rsid w:val="00DD6A9C"/>
    <w:rsid w:val="00DD7C7D"/>
    <w:rsid w:val="00DD7F34"/>
    <w:rsid w:val="00DD7F87"/>
    <w:rsid w:val="00DE04E7"/>
    <w:rsid w:val="00DE0954"/>
    <w:rsid w:val="00DE0C08"/>
    <w:rsid w:val="00DE0C96"/>
    <w:rsid w:val="00DE0C9F"/>
    <w:rsid w:val="00DE12AC"/>
    <w:rsid w:val="00DE1909"/>
    <w:rsid w:val="00DE1D4A"/>
    <w:rsid w:val="00DE1E85"/>
    <w:rsid w:val="00DE2C4E"/>
    <w:rsid w:val="00DE4178"/>
    <w:rsid w:val="00DE44CE"/>
    <w:rsid w:val="00DE44DE"/>
    <w:rsid w:val="00DE4926"/>
    <w:rsid w:val="00DE4E83"/>
    <w:rsid w:val="00DE5072"/>
    <w:rsid w:val="00DE51DE"/>
    <w:rsid w:val="00DE57CF"/>
    <w:rsid w:val="00DE5C3A"/>
    <w:rsid w:val="00DE5FE1"/>
    <w:rsid w:val="00DE6596"/>
    <w:rsid w:val="00DE6F2A"/>
    <w:rsid w:val="00DE6FB7"/>
    <w:rsid w:val="00DE7EBE"/>
    <w:rsid w:val="00DF055C"/>
    <w:rsid w:val="00DF06F3"/>
    <w:rsid w:val="00DF0D1B"/>
    <w:rsid w:val="00DF0D77"/>
    <w:rsid w:val="00DF1987"/>
    <w:rsid w:val="00DF23D0"/>
    <w:rsid w:val="00DF25F9"/>
    <w:rsid w:val="00DF29F2"/>
    <w:rsid w:val="00DF3556"/>
    <w:rsid w:val="00DF3A22"/>
    <w:rsid w:val="00DF41E1"/>
    <w:rsid w:val="00DF4442"/>
    <w:rsid w:val="00DF48E7"/>
    <w:rsid w:val="00DF49DA"/>
    <w:rsid w:val="00DF4FE9"/>
    <w:rsid w:val="00DF50B7"/>
    <w:rsid w:val="00DF6B60"/>
    <w:rsid w:val="00E008F0"/>
    <w:rsid w:val="00E00C03"/>
    <w:rsid w:val="00E00E18"/>
    <w:rsid w:val="00E013CC"/>
    <w:rsid w:val="00E016FD"/>
    <w:rsid w:val="00E0251F"/>
    <w:rsid w:val="00E045BD"/>
    <w:rsid w:val="00E04850"/>
    <w:rsid w:val="00E04C1D"/>
    <w:rsid w:val="00E04DF6"/>
    <w:rsid w:val="00E05745"/>
    <w:rsid w:val="00E066C8"/>
    <w:rsid w:val="00E06815"/>
    <w:rsid w:val="00E06BD3"/>
    <w:rsid w:val="00E06D0F"/>
    <w:rsid w:val="00E07D70"/>
    <w:rsid w:val="00E1029F"/>
    <w:rsid w:val="00E10E48"/>
    <w:rsid w:val="00E11D49"/>
    <w:rsid w:val="00E12871"/>
    <w:rsid w:val="00E1291C"/>
    <w:rsid w:val="00E1318B"/>
    <w:rsid w:val="00E13510"/>
    <w:rsid w:val="00E13671"/>
    <w:rsid w:val="00E13B0E"/>
    <w:rsid w:val="00E160C0"/>
    <w:rsid w:val="00E163DF"/>
    <w:rsid w:val="00E16ED0"/>
    <w:rsid w:val="00E170ED"/>
    <w:rsid w:val="00E17DEE"/>
    <w:rsid w:val="00E20CC2"/>
    <w:rsid w:val="00E20D3B"/>
    <w:rsid w:val="00E20DD4"/>
    <w:rsid w:val="00E21330"/>
    <w:rsid w:val="00E2147D"/>
    <w:rsid w:val="00E22471"/>
    <w:rsid w:val="00E23227"/>
    <w:rsid w:val="00E23A9C"/>
    <w:rsid w:val="00E24084"/>
    <w:rsid w:val="00E24292"/>
    <w:rsid w:val="00E245F3"/>
    <w:rsid w:val="00E24C13"/>
    <w:rsid w:val="00E24C8D"/>
    <w:rsid w:val="00E24F23"/>
    <w:rsid w:val="00E27326"/>
    <w:rsid w:val="00E30488"/>
    <w:rsid w:val="00E30B8C"/>
    <w:rsid w:val="00E31417"/>
    <w:rsid w:val="00E32FD6"/>
    <w:rsid w:val="00E332BE"/>
    <w:rsid w:val="00E336C0"/>
    <w:rsid w:val="00E336FF"/>
    <w:rsid w:val="00E3541C"/>
    <w:rsid w:val="00E3716D"/>
    <w:rsid w:val="00E37C87"/>
    <w:rsid w:val="00E40897"/>
    <w:rsid w:val="00E412F0"/>
    <w:rsid w:val="00E417B9"/>
    <w:rsid w:val="00E419E5"/>
    <w:rsid w:val="00E41F70"/>
    <w:rsid w:val="00E42EE8"/>
    <w:rsid w:val="00E43260"/>
    <w:rsid w:val="00E441B6"/>
    <w:rsid w:val="00E443AD"/>
    <w:rsid w:val="00E445EE"/>
    <w:rsid w:val="00E449F9"/>
    <w:rsid w:val="00E45046"/>
    <w:rsid w:val="00E45174"/>
    <w:rsid w:val="00E45FF1"/>
    <w:rsid w:val="00E474B9"/>
    <w:rsid w:val="00E47E99"/>
    <w:rsid w:val="00E50245"/>
    <w:rsid w:val="00E508B7"/>
    <w:rsid w:val="00E508C0"/>
    <w:rsid w:val="00E51A92"/>
    <w:rsid w:val="00E5229C"/>
    <w:rsid w:val="00E52521"/>
    <w:rsid w:val="00E530D5"/>
    <w:rsid w:val="00E53441"/>
    <w:rsid w:val="00E53903"/>
    <w:rsid w:val="00E53EF8"/>
    <w:rsid w:val="00E541A9"/>
    <w:rsid w:val="00E54472"/>
    <w:rsid w:val="00E55520"/>
    <w:rsid w:val="00E555BA"/>
    <w:rsid w:val="00E55D7B"/>
    <w:rsid w:val="00E55F42"/>
    <w:rsid w:val="00E56040"/>
    <w:rsid w:val="00E567D8"/>
    <w:rsid w:val="00E60252"/>
    <w:rsid w:val="00E60958"/>
    <w:rsid w:val="00E61570"/>
    <w:rsid w:val="00E619C5"/>
    <w:rsid w:val="00E6266E"/>
    <w:rsid w:val="00E62834"/>
    <w:rsid w:val="00E62F06"/>
    <w:rsid w:val="00E63C91"/>
    <w:rsid w:val="00E6460C"/>
    <w:rsid w:val="00E65B4D"/>
    <w:rsid w:val="00E65D64"/>
    <w:rsid w:val="00E667DB"/>
    <w:rsid w:val="00E670F9"/>
    <w:rsid w:val="00E672F0"/>
    <w:rsid w:val="00E67A7E"/>
    <w:rsid w:val="00E67F67"/>
    <w:rsid w:val="00E7018D"/>
    <w:rsid w:val="00E709A2"/>
    <w:rsid w:val="00E70FEC"/>
    <w:rsid w:val="00E726DC"/>
    <w:rsid w:val="00E72A0B"/>
    <w:rsid w:val="00E72BB5"/>
    <w:rsid w:val="00E72EB8"/>
    <w:rsid w:val="00E7353C"/>
    <w:rsid w:val="00E73A2E"/>
    <w:rsid w:val="00E742C0"/>
    <w:rsid w:val="00E75050"/>
    <w:rsid w:val="00E750D3"/>
    <w:rsid w:val="00E75DA3"/>
    <w:rsid w:val="00E76756"/>
    <w:rsid w:val="00E76A5C"/>
    <w:rsid w:val="00E77063"/>
    <w:rsid w:val="00E771A3"/>
    <w:rsid w:val="00E77411"/>
    <w:rsid w:val="00E77920"/>
    <w:rsid w:val="00E77D16"/>
    <w:rsid w:val="00E77F75"/>
    <w:rsid w:val="00E800C9"/>
    <w:rsid w:val="00E80C04"/>
    <w:rsid w:val="00E80DEC"/>
    <w:rsid w:val="00E81582"/>
    <w:rsid w:val="00E82FE6"/>
    <w:rsid w:val="00E83351"/>
    <w:rsid w:val="00E838E8"/>
    <w:rsid w:val="00E841C0"/>
    <w:rsid w:val="00E85225"/>
    <w:rsid w:val="00E85266"/>
    <w:rsid w:val="00E85584"/>
    <w:rsid w:val="00E86518"/>
    <w:rsid w:val="00E86B56"/>
    <w:rsid w:val="00E86CE3"/>
    <w:rsid w:val="00E86EB1"/>
    <w:rsid w:val="00E86F22"/>
    <w:rsid w:val="00E87213"/>
    <w:rsid w:val="00E8743E"/>
    <w:rsid w:val="00E87548"/>
    <w:rsid w:val="00E91DFD"/>
    <w:rsid w:val="00E9277B"/>
    <w:rsid w:val="00E92C4B"/>
    <w:rsid w:val="00E92D01"/>
    <w:rsid w:val="00E93277"/>
    <w:rsid w:val="00E9424F"/>
    <w:rsid w:val="00E94566"/>
    <w:rsid w:val="00E949DB"/>
    <w:rsid w:val="00E95144"/>
    <w:rsid w:val="00E954E9"/>
    <w:rsid w:val="00E970C8"/>
    <w:rsid w:val="00E9725D"/>
    <w:rsid w:val="00E979A3"/>
    <w:rsid w:val="00E97A68"/>
    <w:rsid w:val="00EA1898"/>
    <w:rsid w:val="00EA1ADB"/>
    <w:rsid w:val="00EA1DD0"/>
    <w:rsid w:val="00EA2129"/>
    <w:rsid w:val="00EA22C0"/>
    <w:rsid w:val="00EA2494"/>
    <w:rsid w:val="00EA2A5E"/>
    <w:rsid w:val="00EA35DF"/>
    <w:rsid w:val="00EA3966"/>
    <w:rsid w:val="00EA3AF9"/>
    <w:rsid w:val="00EA3B11"/>
    <w:rsid w:val="00EA4767"/>
    <w:rsid w:val="00EA4C3B"/>
    <w:rsid w:val="00EA5468"/>
    <w:rsid w:val="00EA5812"/>
    <w:rsid w:val="00EA5927"/>
    <w:rsid w:val="00EA5A3D"/>
    <w:rsid w:val="00EA61D6"/>
    <w:rsid w:val="00EA6788"/>
    <w:rsid w:val="00EB012C"/>
    <w:rsid w:val="00EB1E5E"/>
    <w:rsid w:val="00EB215F"/>
    <w:rsid w:val="00EB2DF3"/>
    <w:rsid w:val="00EB33E5"/>
    <w:rsid w:val="00EB39F5"/>
    <w:rsid w:val="00EB405D"/>
    <w:rsid w:val="00EB428A"/>
    <w:rsid w:val="00EB4331"/>
    <w:rsid w:val="00EB4D6B"/>
    <w:rsid w:val="00EB4FCB"/>
    <w:rsid w:val="00EB61A1"/>
    <w:rsid w:val="00EB7281"/>
    <w:rsid w:val="00EB7536"/>
    <w:rsid w:val="00EB7952"/>
    <w:rsid w:val="00EC0515"/>
    <w:rsid w:val="00EC0964"/>
    <w:rsid w:val="00EC0D05"/>
    <w:rsid w:val="00EC0E96"/>
    <w:rsid w:val="00EC29BC"/>
    <w:rsid w:val="00EC2B52"/>
    <w:rsid w:val="00EC2BA8"/>
    <w:rsid w:val="00EC2EDC"/>
    <w:rsid w:val="00EC36EB"/>
    <w:rsid w:val="00EC3CE4"/>
    <w:rsid w:val="00EC5194"/>
    <w:rsid w:val="00EC5A2A"/>
    <w:rsid w:val="00EC5EC1"/>
    <w:rsid w:val="00EC62FC"/>
    <w:rsid w:val="00EC6D4C"/>
    <w:rsid w:val="00EC737D"/>
    <w:rsid w:val="00EC7590"/>
    <w:rsid w:val="00EC7C09"/>
    <w:rsid w:val="00EC7D3B"/>
    <w:rsid w:val="00ED0BC0"/>
    <w:rsid w:val="00ED0D84"/>
    <w:rsid w:val="00ED0DF8"/>
    <w:rsid w:val="00ED13AD"/>
    <w:rsid w:val="00ED1776"/>
    <w:rsid w:val="00ED1BA6"/>
    <w:rsid w:val="00ED2121"/>
    <w:rsid w:val="00ED2735"/>
    <w:rsid w:val="00ED2975"/>
    <w:rsid w:val="00ED2CE0"/>
    <w:rsid w:val="00ED3016"/>
    <w:rsid w:val="00ED47E1"/>
    <w:rsid w:val="00ED48D9"/>
    <w:rsid w:val="00ED4CD3"/>
    <w:rsid w:val="00ED4D40"/>
    <w:rsid w:val="00ED50CC"/>
    <w:rsid w:val="00ED6865"/>
    <w:rsid w:val="00ED6DD5"/>
    <w:rsid w:val="00EE03EE"/>
    <w:rsid w:val="00EE0608"/>
    <w:rsid w:val="00EE0BF7"/>
    <w:rsid w:val="00EE0E48"/>
    <w:rsid w:val="00EE1533"/>
    <w:rsid w:val="00EE1C3C"/>
    <w:rsid w:val="00EE1D82"/>
    <w:rsid w:val="00EE1E37"/>
    <w:rsid w:val="00EE235E"/>
    <w:rsid w:val="00EE23CD"/>
    <w:rsid w:val="00EE2ACF"/>
    <w:rsid w:val="00EE351C"/>
    <w:rsid w:val="00EE3D5B"/>
    <w:rsid w:val="00EE3F83"/>
    <w:rsid w:val="00EE4151"/>
    <w:rsid w:val="00EE434F"/>
    <w:rsid w:val="00EE45E6"/>
    <w:rsid w:val="00EE48BE"/>
    <w:rsid w:val="00EE502A"/>
    <w:rsid w:val="00EE50A0"/>
    <w:rsid w:val="00EE50CC"/>
    <w:rsid w:val="00EE5D8E"/>
    <w:rsid w:val="00EE5F87"/>
    <w:rsid w:val="00EE684D"/>
    <w:rsid w:val="00EE6D06"/>
    <w:rsid w:val="00EE72BB"/>
    <w:rsid w:val="00EE7556"/>
    <w:rsid w:val="00EE7AAB"/>
    <w:rsid w:val="00EE7DE6"/>
    <w:rsid w:val="00EE7F4F"/>
    <w:rsid w:val="00EF079A"/>
    <w:rsid w:val="00EF0FB8"/>
    <w:rsid w:val="00EF1A28"/>
    <w:rsid w:val="00EF1FD8"/>
    <w:rsid w:val="00EF22E1"/>
    <w:rsid w:val="00EF259B"/>
    <w:rsid w:val="00EF291E"/>
    <w:rsid w:val="00EF2C61"/>
    <w:rsid w:val="00EF336F"/>
    <w:rsid w:val="00EF3687"/>
    <w:rsid w:val="00EF3B9C"/>
    <w:rsid w:val="00EF3C26"/>
    <w:rsid w:val="00EF3CAC"/>
    <w:rsid w:val="00EF3E22"/>
    <w:rsid w:val="00EF408B"/>
    <w:rsid w:val="00EF4107"/>
    <w:rsid w:val="00EF43B6"/>
    <w:rsid w:val="00EF449A"/>
    <w:rsid w:val="00EF5E9A"/>
    <w:rsid w:val="00EF5F34"/>
    <w:rsid w:val="00EF7234"/>
    <w:rsid w:val="00EF7380"/>
    <w:rsid w:val="00F006F3"/>
    <w:rsid w:val="00F00B39"/>
    <w:rsid w:val="00F010C6"/>
    <w:rsid w:val="00F01384"/>
    <w:rsid w:val="00F0165D"/>
    <w:rsid w:val="00F017FC"/>
    <w:rsid w:val="00F028DB"/>
    <w:rsid w:val="00F02BC5"/>
    <w:rsid w:val="00F02C47"/>
    <w:rsid w:val="00F02CE4"/>
    <w:rsid w:val="00F02D08"/>
    <w:rsid w:val="00F0344C"/>
    <w:rsid w:val="00F0496B"/>
    <w:rsid w:val="00F04D7A"/>
    <w:rsid w:val="00F053B5"/>
    <w:rsid w:val="00F05456"/>
    <w:rsid w:val="00F056D9"/>
    <w:rsid w:val="00F05B02"/>
    <w:rsid w:val="00F06F4B"/>
    <w:rsid w:val="00F07842"/>
    <w:rsid w:val="00F07D99"/>
    <w:rsid w:val="00F102FB"/>
    <w:rsid w:val="00F10855"/>
    <w:rsid w:val="00F109FE"/>
    <w:rsid w:val="00F10B7E"/>
    <w:rsid w:val="00F112B2"/>
    <w:rsid w:val="00F121B8"/>
    <w:rsid w:val="00F12C42"/>
    <w:rsid w:val="00F14347"/>
    <w:rsid w:val="00F15F39"/>
    <w:rsid w:val="00F16422"/>
    <w:rsid w:val="00F16610"/>
    <w:rsid w:val="00F16734"/>
    <w:rsid w:val="00F174DE"/>
    <w:rsid w:val="00F179A3"/>
    <w:rsid w:val="00F20005"/>
    <w:rsid w:val="00F20820"/>
    <w:rsid w:val="00F20DE4"/>
    <w:rsid w:val="00F21185"/>
    <w:rsid w:val="00F21C1C"/>
    <w:rsid w:val="00F21CFB"/>
    <w:rsid w:val="00F22764"/>
    <w:rsid w:val="00F22B3E"/>
    <w:rsid w:val="00F234D7"/>
    <w:rsid w:val="00F23A7B"/>
    <w:rsid w:val="00F23C57"/>
    <w:rsid w:val="00F23CBE"/>
    <w:rsid w:val="00F24153"/>
    <w:rsid w:val="00F244D7"/>
    <w:rsid w:val="00F246A9"/>
    <w:rsid w:val="00F2474F"/>
    <w:rsid w:val="00F257B5"/>
    <w:rsid w:val="00F25934"/>
    <w:rsid w:val="00F25AF8"/>
    <w:rsid w:val="00F25BC9"/>
    <w:rsid w:val="00F261E3"/>
    <w:rsid w:val="00F26803"/>
    <w:rsid w:val="00F2697E"/>
    <w:rsid w:val="00F26B48"/>
    <w:rsid w:val="00F279F9"/>
    <w:rsid w:val="00F27B59"/>
    <w:rsid w:val="00F27E03"/>
    <w:rsid w:val="00F27F2E"/>
    <w:rsid w:val="00F30019"/>
    <w:rsid w:val="00F308C0"/>
    <w:rsid w:val="00F30925"/>
    <w:rsid w:val="00F30C44"/>
    <w:rsid w:val="00F31060"/>
    <w:rsid w:val="00F318E1"/>
    <w:rsid w:val="00F31DD2"/>
    <w:rsid w:val="00F3240F"/>
    <w:rsid w:val="00F32907"/>
    <w:rsid w:val="00F33D23"/>
    <w:rsid w:val="00F34072"/>
    <w:rsid w:val="00F34AEA"/>
    <w:rsid w:val="00F34BD7"/>
    <w:rsid w:val="00F34DF4"/>
    <w:rsid w:val="00F350DF"/>
    <w:rsid w:val="00F3667B"/>
    <w:rsid w:val="00F37397"/>
    <w:rsid w:val="00F377AB"/>
    <w:rsid w:val="00F402BF"/>
    <w:rsid w:val="00F4058A"/>
    <w:rsid w:val="00F4122B"/>
    <w:rsid w:val="00F419C6"/>
    <w:rsid w:val="00F41AC6"/>
    <w:rsid w:val="00F42A11"/>
    <w:rsid w:val="00F42A36"/>
    <w:rsid w:val="00F42A49"/>
    <w:rsid w:val="00F42C20"/>
    <w:rsid w:val="00F43419"/>
    <w:rsid w:val="00F44774"/>
    <w:rsid w:val="00F44A9D"/>
    <w:rsid w:val="00F44B2A"/>
    <w:rsid w:val="00F4527C"/>
    <w:rsid w:val="00F458FB"/>
    <w:rsid w:val="00F461A4"/>
    <w:rsid w:val="00F463CF"/>
    <w:rsid w:val="00F46862"/>
    <w:rsid w:val="00F51351"/>
    <w:rsid w:val="00F51475"/>
    <w:rsid w:val="00F51532"/>
    <w:rsid w:val="00F51576"/>
    <w:rsid w:val="00F51DBA"/>
    <w:rsid w:val="00F51E87"/>
    <w:rsid w:val="00F51EC9"/>
    <w:rsid w:val="00F52819"/>
    <w:rsid w:val="00F53098"/>
    <w:rsid w:val="00F54485"/>
    <w:rsid w:val="00F5458F"/>
    <w:rsid w:val="00F5480D"/>
    <w:rsid w:val="00F548A3"/>
    <w:rsid w:val="00F54936"/>
    <w:rsid w:val="00F54C5F"/>
    <w:rsid w:val="00F55169"/>
    <w:rsid w:val="00F55B6F"/>
    <w:rsid w:val="00F56C65"/>
    <w:rsid w:val="00F5756B"/>
    <w:rsid w:val="00F575D3"/>
    <w:rsid w:val="00F57C44"/>
    <w:rsid w:val="00F57D80"/>
    <w:rsid w:val="00F607C3"/>
    <w:rsid w:val="00F60C30"/>
    <w:rsid w:val="00F60F3C"/>
    <w:rsid w:val="00F61352"/>
    <w:rsid w:val="00F61AA6"/>
    <w:rsid w:val="00F622ED"/>
    <w:rsid w:val="00F623E9"/>
    <w:rsid w:val="00F624AA"/>
    <w:rsid w:val="00F624E6"/>
    <w:rsid w:val="00F62A68"/>
    <w:rsid w:val="00F63036"/>
    <w:rsid w:val="00F6361A"/>
    <w:rsid w:val="00F639F8"/>
    <w:rsid w:val="00F63B07"/>
    <w:rsid w:val="00F63D51"/>
    <w:rsid w:val="00F64B4D"/>
    <w:rsid w:val="00F6556E"/>
    <w:rsid w:val="00F65884"/>
    <w:rsid w:val="00F6602A"/>
    <w:rsid w:val="00F66892"/>
    <w:rsid w:val="00F66AC4"/>
    <w:rsid w:val="00F66DF2"/>
    <w:rsid w:val="00F6748D"/>
    <w:rsid w:val="00F67C74"/>
    <w:rsid w:val="00F701C2"/>
    <w:rsid w:val="00F702F7"/>
    <w:rsid w:val="00F70529"/>
    <w:rsid w:val="00F71445"/>
    <w:rsid w:val="00F7148D"/>
    <w:rsid w:val="00F71763"/>
    <w:rsid w:val="00F72FF1"/>
    <w:rsid w:val="00F7345A"/>
    <w:rsid w:val="00F74912"/>
    <w:rsid w:val="00F74E8D"/>
    <w:rsid w:val="00F7543A"/>
    <w:rsid w:val="00F76347"/>
    <w:rsid w:val="00F76980"/>
    <w:rsid w:val="00F77FD7"/>
    <w:rsid w:val="00F81155"/>
    <w:rsid w:val="00F81EA8"/>
    <w:rsid w:val="00F82356"/>
    <w:rsid w:val="00F827CC"/>
    <w:rsid w:val="00F82B11"/>
    <w:rsid w:val="00F82F38"/>
    <w:rsid w:val="00F83165"/>
    <w:rsid w:val="00F83EF5"/>
    <w:rsid w:val="00F83F0A"/>
    <w:rsid w:val="00F85309"/>
    <w:rsid w:val="00F85CA7"/>
    <w:rsid w:val="00F85D0C"/>
    <w:rsid w:val="00F85EC3"/>
    <w:rsid w:val="00F860F1"/>
    <w:rsid w:val="00F865C2"/>
    <w:rsid w:val="00F86A28"/>
    <w:rsid w:val="00F86A40"/>
    <w:rsid w:val="00F86A5B"/>
    <w:rsid w:val="00F86F0D"/>
    <w:rsid w:val="00F87AB0"/>
    <w:rsid w:val="00F9084B"/>
    <w:rsid w:val="00F90CA7"/>
    <w:rsid w:val="00F91588"/>
    <w:rsid w:val="00F9172A"/>
    <w:rsid w:val="00F9183E"/>
    <w:rsid w:val="00F91BC6"/>
    <w:rsid w:val="00F92B5A"/>
    <w:rsid w:val="00F92D14"/>
    <w:rsid w:val="00F92FE1"/>
    <w:rsid w:val="00F93479"/>
    <w:rsid w:val="00F93A30"/>
    <w:rsid w:val="00F94934"/>
    <w:rsid w:val="00F94BEB"/>
    <w:rsid w:val="00F9545F"/>
    <w:rsid w:val="00F9596C"/>
    <w:rsid w:val="00F95FEE"/>
    <w:rsid w:val="00F96478"/>
    <w:rsid w:val="00F965E5"/>
    <w:rsid w:val="00F967F8"/>
    <w:rsid w:val="00F96C1E"/>
    <w:rsid w:val="00F96D07"/>
    <w:rsid w:val="00F9725D"/>
    <w:rsid w:val="00F974C5"/>
    <w:rsid w:val="00FA0174"/>
    <w:rsid w:val="00FA1802"/>
    <w:rsid w:val="00FA18F1"/>
    <w:rsid w:val="00FA2046"/>
    <w:rsid w:val="00FA2F0D"/>
    <w:rsid w:val="00FA3241"/>
    <w:rsid w:val="00FA3829"/>
    <w:rsid w:val="00FA4C7E"/>
    <w:rsid w:val="00FA4DDE"/>
    <w:rsid w:val="00FA52BA"/>
    <w:rsid w:val="00FA577D"/>
    <w:rsid w:val="00FA58D7"/>
    <w:rsid w:val="00FA5C3B"/>
    <w:rsid w:val="00FA6774"/>
    <w:rsid w:val="00FA6825"/>
    <w:rsid w:val="00FA6B15"/>
    <w:rsid w:val="00FA6D42"/>
    <w:rsid w:val="00FA77D9"/>
    <w:rsid w:val="00FA797E"/>
    <w:rsid w:val="00FA79D6"/>
    <w:rsid w:val="00FB02E2"/>
    <w:rsid w:val="00FB074D"/>
    <w:rsid w:val="00FB11EC"/>
    <w:rsid w:val="00FB13E4"/>
    <w:rsid w:val="00FB1909"/>
    <w:rsid w:val="00FB19BB"/>
    <w:rsid w:val="00FB1D45"/>
    <w:rsid w:val="00FB282C"/>
    <w:rsid w:val="00FB28EE"/>
    <w:rsid w:val="00FB2D28"/>
    <w:rsid w:val="00FB3A6F"/>
    <w:rsid w:val="00FB3ECD"/>
    <w:rsid w:val="00FB42C4"/>
    <w:rsid w:val="00FB54DA"/>
    <w:rsid w:val="00FB5ACA"/>
    <w:rsid w:val="00FB6B5C"/>
    <w:rsid w:val="00FB7E27"/>
    <w:rsid w:val="00FC0AD0"/>
    <w:rsid w:val="00FC0F91"/>
    <w:rsid w:val="00FC118D"/>
    <w:rsid w:val="00FC1950"/>
    <w:rsid w:val="00FC1CA0"/>
    <w:rsid w:val="00FC2DD3"/>
    <w:rsid w:val="00FC37C3"/>
    <w:rsid w:val="00FC3803"/>
    <w:rsid w:val="00FC383E"/>
    <w:rsid w:val="00FC3D2B"/>
    <w:rsid w:val="00FC3E25"/>
    <w:rsid w:val="00FC4BBE"/>
    <w:rsid w:val="00FC4BC8"/>
    <w:rsid w:val="00FC4FD8"/>
    <w:rsid w:val="00FC58E7"/>
    <w:rsid w:val="00FC5C2B"/>
    <w:rsid w:val="00FC5EA2"/>
    <w:rsid w:val="00FC6765"/>
    <w:rsid w:val="00FC749E"/>
    <w:rsid w:val="00FC7AD0"/>
    <w:rsid w:val="00FC7AD8"/>
    <w:rsid w:val="00FC7E8E"/>
    <w:rsid w:val="00FD04A5"/>
    <w:rsid w:val="00FD04C7"/>
    <w:rsid w:val="00FD077F"/>
    <w:rsid w:val="00FD0DF2"/>
    <w:rsid w:val="00FD1130"/>
    <w:rsid w:val="00FD1675"/>
    <w:rsid w:val="00FD1C7B"/>
    <w:rsid w:val="00FD2B51"/>
    <w:rsid w:val="00FD3086"/>
    <w:rsid w:val="00FD40DF"/>
    <w:rsid w:val="00FD4E9F"/>
    <w:rsid w:val="00FD6343"/>
    <w:rsid w:val="00FD6AA1"/>
    <w:rsid w:val="00FD743A"/>
    <w:rsid w:val="00FD7539"/>
    <w:rsid w:val="00FD7902"/>
    <w:rsid w:val="00FD7B68"/>
    <w:rsid w:val="00FD7BEE"/>
    <w:rsid w:val="00FE0760"/>
    <w:rsid w:val="00FE2967"/>
    <w:rsid w:val="00FE2DA0"/>
    <w:rsid w:val="00FE3184"/>
    <w:rsid w:val="00FE5D62"/>
    <w:rsid w:val="00FE6B07"/>
    <w:rsid w:val="00FE6B97"/>
    <w:rsid w:val="00FE7289"/>
    <w:rsid w:val="00FE7B57"/>
    <w:rsid w:val="00FF0924"/>
    <w:rsid w:val="00FF0E46"/>
    <w:rsid w:val="00FF0FCE"/>
    <w:rsid w:val="00FF1628"/>
    <w:rsid w:val="00FF1717"/>
    <w:rsid w:val="00FF1755"/>
    <w:rsid w:val="00FF1CA2"/>
    <w:rsid w:val="00FF2189"/>
    <w:rsid w:val="00FF21BD"/>
    <w:rsid w:val="00FF24F6"/>
    <w:rsid w:val="00FF4D25"/>
    <w:rsid w:val="00FF56BC"/>
    <w:rsid w:val="00FF6A3A"/>
    <w:rsid w:val="00FF6F07"/>
    <w:rsid w:val="00FF76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70FA499-EC26-4F38-B4C3-41DCC762C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
    <w:link w:val="2Char"/>
    <w:uiPriority w:val="9"/>
    <w:semiHidden/>
    <w:unhideWhenUsed/>
    <w:qFormat/>
    <w:rsid w:val="00D10B0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4507E5"/>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802419"/>
    <w:rPr>
      <w:rFonts w:ascii="宋体" w:eastAsia="宋体" w:hAnsi="Courier New" w:cs="Courier New"/>
      <w:szCs w:val="21"/>
    </w:rPr>
  </w:style>
  <w:style w:type="character" w:customStyle="1" w:styleId="Char">
    <w:name w:val="纯文本 Char"/>
    <w:basedOn w:val="a0"/>
    <w:link w:val="a3"/>
    <w:uiPriority w:val="99"/>
    <w:rsid w:val="00802419"/>
    <w:rPr>
      <w:rFonts w:ascii="宋体" w:eastAsia="宋体" w:hAnsi="Courier New" w:cs="Courier New"/>
      <w:szCs w:val="21"/>
    </w:rPr>
  </w:style>
  <w:style w:type="paragraph" w:styleId="a4">
    <w:name w:val="header"/>
    <w:basedOn w:val="a"/>
    <w:link w:val="Char0"/>
    <w:uiPriority w:val="99"/>
    <w:unhideWhenUsed/>
    <w:rsid w:val="004C39A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C39AF"/>
    <w:rPr>
      <w:sz w:val="18"/>
      <w:szCs w:val="18"/>
    </w:rPr>
  </w:style>
  <w:style w:type="paragraph" w:styleId="a5">
    <w:name w:val="footer"/>
    <w:basedOn w:val="a"/>
    <w:link w:val="Char1"/>
    <w:uiPriority w:val="99"/>
    <w:unhideWhenUsed/>
    <w:rsid w:val="004C39AF"/>
    <w:pPr>
      <w:tabs>
        <w:tab w:val="center" w:pos="4153"/>
        <w:tab w:val="right" w:pos="8306"/>
      </w:tabs>
      <w:snapToGrid w:val="0"/>
      <w:jc w:val="left"/>
    </w:pPr>
    <w:rPr>
      <w:sz w:val="18"/>
      <w:szCs w:val="18"/>
    </w:rPr>
  </w:style>
  <w:style w:type="character" w:customStyle="1" w:styleId="Char1">
    <w:name w:val="页脚 Char"/>
    <w:basedOn w:val="a0"/>
    <w:link w:val="a5"/>
    <w:uiPriority w:val="99"/>
    <w:rsid w:val="004C39AF"/>
    <w:rPr>
      <w:sz w:val="18"/>
      <w:szCs w:val="18"/>
    </w:rPr>
  </w:style>
  <w:style w:type="character" w:styleId="a6">
    <w:name w:val="Hyperlink"/>
    <w:basedOn w:val="a0"/>
    <w:uiPriority w:val="99"/>
    <w:unhideWhenUsed/>
    <w:rsid w:val="00540FD2"/>
    <w:rPr>
      <w:color w:val="0563C1" w:themeColor="hyperlink"/>
      <w:u w:val="single"/>
    </w:rPr>
  </w:style>
  <w:style w:type="character" w:customStyle="1" w:styleId="conrtib-corresp">
    <w:name w:val="conrtib-corresp"/>
    <w:basedOn w:val="a0"/>
    <w:rsid w:val="005919ED"/>
  </w:style>
  <w:style w:type="character" w:customStyle="1" w:styleId="3Char">
    <w:name w:val="标题 3 Char"/>
    <w:basedOn w:val="a0"/>
    <w:link w:val="3"/>
    <w:uiPriority w:val="9"/>
    <w:semiHidden/>
    <w:rsid w:val="004507E5"/>
    <w:rPr>
      <w:b/>
      <w:bCs/>
      <w:sz w:val="32"/>
      <w:szCs w:val="32"/>
    </w:rPr>
  </w:style>
  <w:style w:type="character" w:customStyle="1" w:styleId="2Char">
    <w:name w:val="标题 2 Char"/>
    <w:basedOn w:val="a0"/>
    <w:link w:val="2"/>
    <w:uiPriority w:val="9"/>
    <w:semiHidden/>
    <w:rsid w:val="00D10B06"/>
    <w:rPr>
      <w:rFonts w:asciiTheme="majorHAnsi" w:eastAsiaTheme="majorEastAsia" w:hAnsiTheme="majorHAnsi" w:cstheme="majorBidi"/>
      <w:b/>
      <w:bCs/>
      <w:sz w:val="32"/>
      <w:szCs w:val="32"/>
    </w:rPr>
  </w:style>
  <w:style w:type="paragraph" w:customStyle="1" w:styleId="author-type">
    <w:name w:val="author-type"/>
    <w:basedOn w:val="a"/>
    <w:rsid w:val="00C238A2"/>
    <w:pPr>
      <w:widowControl/>
      <w:spacing w:before="100" w:beforeAutospacing="1" w:after="100" w:afterAutospacing="1"/>
      <w:jc w:val="left"/>
    </w:pPr>
    <w:rPr>
      <w:rFonts w:ascii="宋体" w:eastAsia="宋体" w:hAnsi="宋体" w:cs="宋体"/>
      <w:kern w:val="0"/>
      <w:sz w:val="24"/>
      <w:szCs w:val="24"/>
    </w:rPr>
  </w:style>
  <w:style w:type="paragraph" w:customStyle="1" w:styleId="author-name">
    <w:name w:val="author-name"/>
    <w:basedOn w:val="a"/>
    <w:rsid w:val="00C238A2"/>
    <w:pPr>
      <w:widowControl/>
      <w:spacing w:before="100" w:beforeAutospacing="1" w:after="100" w:afterAutospacing="1"/>
      <w:jc w:val="left"/>
    </w:pPr>
    <w:rPr>
      <w:rFonts w:ascii="宋体" w:eastAsia="宋体" w:hAnsi="宋体" w:cs="宋体"/>
      <w:kern w:val="0"/>
      <w:sz w:val="24"/>
      <w:szCs w:val="24"/>
    </w:rPr>
  </w:style>
  <w:style w:type="character" w:styleId="a7">
    <w:name w:val="FollowedHyperlink"/>
    <w:basedOn w:val="a0"/>
    <w:uiPriority w:val="99"/>
    <w:semiHidden/>
    <w:unhideWhenUsed/>
    <w:rsid w:val="00254E56"/>
    <w:rPr>
      <w:color w:val="954F72" w:themeColor="followedHyperlink"/>
      <w:u w:val="single"/>
    </w:rPr>
  </w:style>
  <w:style w:type="numbering" w:customStyle="1" w:styleId="1">
    <w:name w:val="无列表1"/>
    <w:next w:val="a2"/>
    <w:uiPriority w:val="99"/>
    <w:semiHidden/>
    <w:unhideWhenUsed/>
    <w:rsid w:val="00D857D9"/>
  </w:style>
  <w:style w:type="character" w:styleId="a8">
    <w:name w:val="annotation reference"/>
    <w:basedOn w:val="a0"/>
    <w:uiPriority w:val="99"/>
    <w:semiHidden/>
    <w:unhideWhenUsed/>
    <w:rsid w:val="00AB5626"/>
    <w:rPr>
      <w:sz w:val="21"/>
      <w:szCs w:val="21"/>
    </w:rPr>
  </w:style>
  <w:style w:type="paragraph" w:styleId="a9">
    <w:name w:val="annotation text"/>
    <w:basedOn w:val="a"/>
    <w:link w:val="Char2"/>
    <w:uiPriority w:val="99"/>
    <w:semiHidden/>
    <w:unhideWhenUsed/>
    <w:rsid w:val="00AB5626"/>
    <w:pPr>
      <w:jc w:val="left"/>
    </w:pPr>
  </w:style>
  <w:style w:type="character" w:customStyle="1" w:styleId="Char2">
    <w:name w:val="批注文字 Char"/>
    <w:basedOn w:val="a0"/>
    <w:link w:val="a9"/>
    <w:uiPriority w:val="99"/>
    <w:semiHidden/>
    <w:rsid w:val="00AB5626"/>
  </w:style>
  <w:style w:type="paragraph" w:styleId="aa">
    <w:name w:val="annotation subject"/>
    <w:basedOn w:val="a9"/>
    <w:next w:val="a9"/>
    <w:link w:val="Char3"/>
    <w:uiPriority w:val="99"/>
    <w:semiHidden/>
    <w:unhideWhenUsed/>
    <w:rsid w:val="00AB5626"/>
    <w:rPr>
      <w:b/>
      <w:bCs/>
    </w:rPr>
  </w:style>
  <w:style w:type="character" w:customStyle="1" w:styleId="Char3">
    <w:name w:val="批注主题 Char"/>
    <w:basedOn w:val="Char2"/>
    <w:link w:val="aa"/>
    <w:uiPriority w:val="99"/>
    <w:semiHidden/>
    <w:rsid w:val="00AB5626"/>
    <w:rPr>
      <w:b/>
      <w:bCs/>
    </w:rPr>
  </w:style>
  <w:style w:type="paragraph" w:styleId="ab">
    <w:name w:val="Balloon Text"/>
    <w:basedOn w:val="a"/>
    <w:link w:val="Char4"/>
    <w:uiPriority w:val="99"/>
    <w:semiHidden/>
    <w:unhideWhenUsed/>
    <w:rsid w:val="00AB5626"/>
    <w:rPr>
      <w:sz w:val="18"/>
      <w:szCs w:val="18"/>
    </w:rPr>
  </w:style>
  <w:style w:type="character" w:customStyle="1" w:styleId="Char4">
    <w:name w:val="批注框文本 Char"/>
    <w:basedOn w:val="a0"/>
    <w:link w:val="ab"/>
    <w:uiPriority w:val="99"/>
    <w:semiHidden/>
    <w:rsid w:val="00AB5626"/>
    <w:rPr>
      <w:sz w:val="18"/>
      <w:szCs w:val="18"/>
    </w:rPr>
  </w:style>
  <w:style w:type="paragraph" w:styleId="ac">
    <w:name w:val="List Paragraph"/>
    <w:basedOn w:val="a"/>
    <w:uiPriority w:val="34"/>
    <w:qFormat/>
    <w:rsid w:val="002F494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1555">
      <w:bodyDiv w:val="1"/>
      <w:marLeft w:val="0"/>
      <w:marRight w:val="0"/>
      <w:marTop w:val="0"/>
      <w:marBottom w:val="0"/>
      <w:divBdr>
        <w:top w:val="none" w:sz="0" w:space="0" w:color="auto"/>
        <w:left w:val="none" w:sz="0" w:space="0" w:color="auto"/>
        <w:bottom w:val="none" w:sz="0" w:space="0" w:color="auto"/>
        <w:right w:val="none" w:sz="0" w:space="0" w:color="auto"/>
      </w:divBdr>
      <w:divsChild>
        <w:div w:id="212737830">
          <w:marLeft w:val="0"/>
          <w:marRight w:val="0"/>
          <w:marTop w:val="240"/>
          <w:marBottom w:val="120"/>
          <w:divBdr>
            <w:top w:val="none" w:sz="0" w:space="0" w:color="auto"/>
            <w:left w:val="none" w:sz="0" w:space="0" w:color="auto"/>
            <w:bottom w:val="none" w:sz="0" w:space="0" w:color="auto"/>
            <w:right w:val="none" w:sz="0" w:space="0" w:color="auto"/>
          </w:divBdr>
        </w:div>
        <w:div w:id="1968005357">
          <w:marLeft w:val="0"/>
          <w:marRight w:val="0"/>
          <w:marTop w:val="240"/>
          <w:marBottom w:val="120"/>
          <w:divBdr>
            <w:top w:val="none" w:sz="0" w:space="0" w:color="auto"/>
            <w:left w:val="none" w:sz="0" w:space="0" w:color="auto"/>
            <w:bottom w:val="none" w:sz="0" w:space="0" w:color="auto"/>
            <w:right w:val="none" w:sz="0" w:space="0" w:color="auto"/>
          </w:divBdr>
        </w:div>
      </w:divsChild>
    </w:div>
    <w:div w:id="10690713">
      <w:bodyDiv w:val="1"/>
      <w:marLeft w:val="0"/>
      <w:marRight w:val="0"/>
      <w:marTop w:val="0"/>
      <w:marBottom w:val="0"/>
      <w:divBdr>
        <w:top w:val="none" w:sz="0" w:space="0" w:color="auto"/>
        <w:left w:val="none" w:sz="0" w:space="0" w:color="auto"/>
        <w:bottom w:val="none" w:sz="0" w:space="0" w:color="auto"/>
        <w:right w:val="none" w:sz="0" w:space="0" w:color="auto"/>
      </w:divBdr>
      <w:divsChild>
        <w:div w:id="929123443">
          <w:marLeft w:val="0"/>
          <w:marRight w:val="0"/>
          <w:marTop w:val="0"/>
          <w:marBottom w:val="0"/>
          <w:divBdr>
            <w:top w:val="none" w:sz="0" w:space="0" w:color="auto"/>
            <w:left w:val="none" w:sz="0" w:space="0" w:color="auto"/>
            <w:bottom w:val="none" w:sz="0" w:space="0" w:color="auto"/>
            <w:right w:val="none" w:sz="0" w:space="0" w:color="auto"/>
          </w:divBdr>
          <w:divsChild>
            <w:div w:id="1349988360">
              <w:marLeft w:val="0"/>
              <w:marRight w:val="0"/>
              <w:marTop w:val="0"/>
              <w:marBottom w:val="0"/>
              <w:divBdr>
                <w:top w:val="none" w:sz="0" w:space="0" w:color="auto"/>
                <w:left w:val="none" w:sz="0" w:space="0" w:color="auto"/>
                <w:bottom w:val="none" w:sz="0" w:space="0" w:color="auto"/>
                <w:right w:val="none" w:sz="0" w:space="0" w:color="auto"/>
              </w:divBdr>
              <w:divsChild>
                <w:div w:id="553540153">
                  <w:marLeft w:val="-30"/>
                  <w:marRight w:val="90"/>
                  <w:marTop w:val="0"/>
                  <w:marBottom w:val="105"/>
                  <w:divBdr>
                    <w:top w:val="none" w:sz="0" w:space="0" w:color="auto"/>
                    <w:left w:val="none" w:sz="0" w:space="0" w:color="auto"/>
                    <w:bottom w:val="none" w:sz="0" w:space="0" w:color="auto"/>
                    <w:right w:val="none" w:sz="0" w:space="0" w:color="auto"/>
                  </w:divBdr>
                </w:div>
              </w:divsChild>
            </w:div>
          </w:divsChild>
        </w:div>
        <w:div w:id="1375694219">
          <w:marLeft w:val="0"/>
          <w:marRight w:val="0"/>
          <w:marTop w:val="0"/>
          <w:marBottom w:val="0"/>
          <w:divBdr>
            <w:top w:val="none" w:sz="0" w:space="0" w:color="auto"/>
            <w:left w:val="none" w:sz="0" w:space="0" w:color="auto"/>
            <w:bottom w:val="none" w:sz="0" w:space="0" w:color="auto"/>
            <w:right w:val="none" w:sz="0" w:space="0" w:color="auto"/>
          </w:divBdr>
          <w:divsChild>
            <w:div w:id="1448426415">
              <w:marLeft w:val="0"/>
              <w:marRight w:val="0"/>
              <w:marTop w:val="0"/>
              <w:marBottom w:val="0"/>
              <w:divBdr>
                <w:top w:val="none" w:sz="0" w:space="0" w:color="auto"/>
                <w:left w:val="none" w:sz="0" w:space="0" w:color="auto"/>
                <w:bottom w:val="none" w:sz="0" w:space="0" w:color="auto"/>
                <w:right w:val="none" w:sz="0" w:space="0" w:color="auto"/>
              </w:divBdr>
            </w:div>
          </w:divsChild>
        </w:div>
        <w:div w:id="1953439913">
          <w:marLeft w:val="0"/>
          <w:marRight w:val="0"/>
          <w:marTop w:val="0"/>
          <w:marBottom w:val="0"/>
          <w:divBdr>
            <w:top w:val="none" w:sz="0" w:space="0" w:color="auto"/>
            <w:left w:val="none" w:sz="0" w:space="0" w:color="auto"/>
            <w:bottom w:val="none" w:sz="0" w:space="0" w:color="auto"/>
            <w:right w:val="none" w:sz="0" w:space="0" w:color="auto"/>
          </w:divBdr>
          <w:divsChild>
            <w:div w:id="993728029">
              <w:marLeft w:val="0"/>
              <w:marRight w:val="0"/>
              <w:marTop w:val="0"/>
              <w:marBottom w:val="0"/>
              <w:divBdr>
                <w:top w:val="none" w:sz="0" w:space="0" w:color="auto"/>
                <w:left w:val="none" w:sz="0" w:space="0" w:color="auto"/>
                <w:bottom w:val="none" w:sz="0" w:space="0" w:color="auto"/>
                <w:right w:val="none" w:sz="0" w:space="0" w:color="auto"/>
              </w:divBdr>
              <w:divsChild>
                <w:div w:id="92556553">
                  <w:marLeft w:val="0"/>
                  <w:marRight w:val="0"/>
                  <w:marTop w:val="0"/>
                  <w:marBottom w:val="0"/>
                  <w:divBdr>
                    <w:top w:val="none" w:sz="0" w:space="0" w:color="auto"/>
                    <w:left w:val="none" w:sz="0" w:space="0" w:color="auto"/>
                    <w:bottom w:val="none" w:sz="0" w:space="0" w:color="auto"/>
                    <w:right w:val="none" w:sz="0" w:space="0" w:color="auto"/>
                  </w:divBdr>
                  <w:divsChild>
                    <w:div w:id="1259145320">
                      <w:marLeft w:val="0"/>
                      <w:marRight w:val="0"/>
                      <w:marTop w:val="0"/>
                      <w:marBottom w:val="0"/>
                      <w:divBdr>
                        <w:top w:val="none" w:sz="0" w:space="0" w:color="auto"/>
                        <w:left w:val="none" w:sz="0" w:space="0" w:color="auto"/>
                        <w:bottom w:val="none" w:sz="0" w:space="0" w:color="auto"/>
                        <w:right w:val="none" w:sz="0" w:space="0" w:color="auto"/>
                      </w:divBdr>
                    </w:div>
                    <w:div w:id="1554004205">
                      <w:marLeft w:val="0"/>
                      <w:marRight w:val="0"/>
                      <w:marTop w:val="0"/>
                      <w:marBottom w:val="0"/>
                      <w:divBdr>
                        <w:top w:val="none" w:sz="0" w:space="0" w:color="auto"/>
                        <w:left w:val="none" w:sz="0" w:space="0" w:color="auto"/>
                        <w:bottom w:val="none" w:sz="0" w:space="0" w:color="auto"/>
                        <w:right w:val="none" w:sz="0" w:space="0" w:color="auto"/>
                      </w:divBdr>
                      <w:divsChild>
                        <w:div w:id="418525313">
                          <w:marLeft w:val="0"/>
                          <w:marRight w:val="0"/>
                          <w:marTop w:val="0"/>
                          <w:marBottom w:val="0"/>
                          <w:divBdr>
                            <w:top w:val="none" w:sz="0" w:space="0" w:color="auto"/>
                            <w:left w:val="none" w:sz="0" w:space="0" w:color="auto"/>
                            <w:bottom w:val="none" w:sz="0" w:space="0" w:color="auto"/>
                            <w:right w:val="none" w:sz="0" w:space="0" w:color="auto"/>
                          </w:divBdr>
                          <w:divsChild>
                            <w:div w:id="100031141">
                              <w:marLeft w:val="0"/>
                              <w:marRight w:val="0"/>
                              <w:marTop w:val="0"/>
                              <w:marBottom w:val="0"/>
                              <w:divBdr>
                                <w:top w:val="none" w:sz="0" w:space="0" w:color="auto"/>
                                <w:left w:val="none" w:sz="0" w:space="0" w:color="auto"/>
                                <w:bottom w:val="none" w:sz="0" w:space="0" w:color="auto"/>
                                <w:right w:val="none" w:sz="0" w:space="0" w:color="auto"/>
                              </w:divBdr>
                              <w:divsChild>
                                <w:div w:id="906915810">
                                  <w:marLeft w:val="0"/>
                                  <w:marRight w:val="-120"/>
                                  <w:marTop w:val="0"/>
                                  <w:marBottom w:val="0"/>
                                  <w:divBdr>
                                    <w:top w:val="single" w:sz="6" w:space="0" w:color="C2C2C2"/>
                                    <w:left w:val="single" w:sz="6" w:space="0" w:color="C2C2C2"/>
                                    <w:bottom w:val="single" w:sz="6" w:space="0" w:color="C2C2C2"/>
                                    <w:right w:val="none" w:sz="0" w:space="0" w:color="auto"/>
                                  </w:divBdr>
                                  <w:divsChild>
                                    <w:div w:id="1910380490">
                                      <w:marLeft w:val="0"/>
                                      <w:marRight w:val="0"/>
                                      <w:marTop w:val="0"/>
                                      <w:marBottom w:val="0"/>
                                      <w:divBdr>
                                        <w:top w:val="none" w:sz="0" w:space="0" w:color="auto"/>
                                        <w:left w:val="none" w:sz="0" w:space="0" w:color="auto"/>
                                        <w:bottom w:val="none" w:sz="0" w:space="0" w:color="auto"/>
                                        <w:right w:val="none" w:sz="0" w:space="0" w:color="auto"/>
                                      </w:divBdr>
                                    </w:div>
                                  </w:divsChild>
                                </w:div>
                                <w:div w:id="158009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124110">
                      <w:marLeft w:val="0"/>
                      <w:marRight w:val="0"/>
                      <w:marTop w:val="0"/>
                      <w:marBottom w:val="0"/>
                      <w:divBdr>
                        <w:top w:val="none" w:sz="0" w:space="0" w:color="auto"/>
                        <w:left w:val="none" w:sz="0" w:space="0" w:color="auto"/>
                        <w:bottom w:val="none" w:sz="0" w:space="0" w:color="auto"/>
                        <w:right w:val="none" w:sz="0" w:space="0" w:color="auto"/>
                      </w:divBdr>
                      <w:divsChild>
                        <w:div w:id="21385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16840">
                  <w:marLeft w:val="0"/>
                  <w:marRight w:val="0"/>
                  <w:marTop w:val="0"/>
                  <w:marBottom w:val="0"/>
                  <w:divBdr>
                    <w:top w:val="none" w:sz="0" w:space="0" w:color="auto"/>
                    <w:left w:val="none" w:sz="0" w:space="0" w:color="auto"/>
                    <w:bottom w:val="none" w:sz="0" w:space="0" w:color="auto"/>
                    <w:right w:val="none" w:sz="0" w:space="0" w:color="auto"/>
                  </w:divBdr>
                  <w:divsChild>
                    <w:div w:id="1534533828">
                      <w:marLeft w:val="0"/>
                      <w:marRight w:val="0"/>
                      <w:marTop w:val="0"/>
                      <w:marBottom w:val="0"/>
                      <w:divBdr>
                        <w:top w:val="none" w:sz="0" w:space="0" w:color="auto"/>
                        <w:left w:val="none" w:sz="0" w:space="0" w:color="auto"/>
                        <w:bottom w:val="none" w:sz="0" w:space="0" w:color="auto"/>
                        <w:right w:val="none" w:sz="0" w:space="0" w:color="auto"/>
                      </w:divBdr>
                      <w:divsChild>
                        <w:div w:id="689798739">
                          <w:marLeft w:val="0"/>
                          <w:marRight w:val="0"/>
                          <w:marTop w:val="0"/>
                          <w:marBottom w:val="0"/>
                          <w:divBdr>
                            <w:top w:val="none" w:sz="0" w:space="0" w:color="auto"/>
                            <w:left w:val="none" w:sz="0" w:space="0" w:color="auto"/>
                            <w:bottom w:val="none" w:sz="0" w:space="0" w:color="auto"/>
                            <w:right w:val="none" w:sz="0" w:space="0" w:color="auto"/>
                          </w:divBdr>
                          <w:divsChild>
                            <w:div w:id="1246109812">
                              <w:marLeft w:val="0"/>
                              <w:marRight w:val="0"/>
                              <w:marTop w:val="0"/>
                              <w:marBottom w:val="0"/>
                              <w:divBdr>
                                <w:top w:val="none" w:sz="0" w:space="0" w:color="auto"/>
                                <w:left w:val="none" w:sz="0" w:space="0" w:color="auto"/>
                                <w:bottom w:val="none" w:sz="0" w:space="0" w:color="auto"/>
                                <w:right w:val="none" w:sz="0" w:space="0" w:color="auto"/>
                              </w:divBdr>
                              <w:divsChild>
                                <w:div w:id="760182037">
                                  <w:marLeft w:val="0"/>
                                  <w:marRight w:val="0"/>
                                  <w:marTop w:val="0"/>
                                  <w:marBottom w:val="0"/>
                                  <w:divBdr>
                                    <w:top w:val="none" w:sz="0" w:space="0" w:color="auto"/>
                                    <w:left w:val="none" w:sz="0" w:space="0" w:color="auto"/>
                                    <w:bottom w:val="none" w:sz="0" w:space="0" w:color="auto"/>
                                    <w:right w:val="none" w:sz="0" w:space="0" w:color="auto"/>
                                  </w:divBdr>
                                  <w:divsChild>
                                    <w:div w:id="760416905">
                                      <w:marLeft w:val="0"/>
                                      <w:marRight w:val="0"/>
                                      <w:marTop w:val="0"/>
                                      <w:marBottom w:val="0"/>
                                      <w:divBdr>
                                        <w:top w:val="none" w:sz="0" w:space="0" w:color="auto"/>
                                        <w:left w:val="none" w:sz="0" w:space="0" w:color="auto"/>
                                        <w:bottom w:val="none" w:sz="0" w:space="0" w:color="auto"/>
                                        <w:right w:val="none" w:sz="0" w:space="0" w:color="auto"/>
                                      </w:divBdr>
                                      <w:divsChild>
                                        <w:div w:id="1236940641">
                                          <w:marLeft w:val="0"/>
                                          <w:marRight w:val="0"/>
                                          <w:marTop w:val="0"/>
                                          <w:marBottom w:val="0"/>
                                          <w:divBdr>
                                            <w:top w:val="none" w:sz="0" w:space="0" w:color="auto"/>
                                            <w:left w:val="none" w:sz="0" w:space="0" w:color="auto"/>
                                            <w:bottom w:val="none" w:sz="0" w:space="0" w:color="auto"/>
                                            <w:right w:val="none" w:sz="0" w:space="0" w:color="auto"/>
                                          </w:divBdr>
                                          <w:divsChild>
                                            <w:div w:id="504907239">
                                              <w:marLeft w:val="0"/>
                                              <w:marRight w:val="0"/>
                                              <w:marTop w:val="0"/>
                                              <w:marBottom w:val="0"/>
                                              <w:divBdr>
                                                <w:top w:val="none" w:sz="0" w:space="0" w:color="auto"/>
                                                <w:left w:val="none" w:sz="0" w:space="0" w:color="auto"/>
                                                <w:bottom w:val="none" w:sz="0" w:space="0" w:color="auto"/>
                                                <w:right w:val="none" w:sz="0" w:space="0" w:color="auto"/>
                                              </w:divBdr>
                                              <w:divsChild>
                                                <w:div w:id="2037656063">
                                                  <w:marLeft w:val="0"/>
                                                  <w:marRight w:val="0"/>
                                                  <w:marTop w:val="0"/>
                                                  <w:marBottom w:val="0"/>
                                                  <w:divBdr>
                                                    <w:top w:val="none" w:sz="0" w:space="0" w:color="auto"/>
                                                    <w:left w:val="none" w:sz="0" w:space="0" w:color="auto"/>
                                                    <w:bottom w:val="none" w:sz="0" w:space="0" w:color="auto"/>
                                                    <w:right w:val="none" w:sz="0" w:space="0" w:color="auto"/>
                                                  </w:divBdr>
                                                  <w:divsChild>
                                                    <w:div w:id="1115058210">
                                                      <w:marLeft w:val="0"/>
                                                      <w:marRight w:val="0"/>
                                                      <w:marTop w:val="0"/>
                                                      <w:marBottom w:val="0"/>
                                                      <w:divBdr>
                                                        <w:top w:val="none" w:sz="0" w:space="0" w:color="auto"/>
                                                        <w:left w:val="none" w:sz="0" w:space="0" w:color="auto"/>
                                                        <w:bottom w:val="none" w:sz="0" w:space="0" w:color="auto"/>
                                                        <w:right w:val="none" w:sz="0" w:space="0" w:color="auto"/>
                                                      </w:divBdr>
                                                      <w:divsChild>
                                                        <w:div w:id="109518845">
                                                          <w:marLeft w:val="0"/>
                                                          <w:marRight w:val="0"/>
                                                          <w:marTop w:val="0"/>
                                                          <w:marBottom w:val="0"/>
                                                          <w:divBdr>
                                                            <w:top w:val="none" w:sz="0" w:space="0" w:color="auto"/>
                                                            <w:left w:val="none" w:sz="0" w:space="0" w:color="auto"/>
                                                            <w:bottom w:val="none" w:sz="0" w:space="0" w:color="auto"/>
                                                            <w:right w:val="none" w:sz="0" w:space="0" w:color="auto"/>
                                                          </w:divBdr>
                                                          <w:divsChild>
                                                            <w:div w:id="698817418">
                                                              <w:marLeft w:val="0"/>
                                                              <w:marRight w:val="0"/>
                                                              <w:marTop w:val="0"/>
                                                              <w:marBottom w:val="0"/>
                                                              <w:divBdr>
                                                                <w:top w:val="none" w:sz="0" w:space="0" w:color="auto"/>
                                                                <w:left w:val="none" w:sz="0" w:space="0" w:color="auto"/>
                                                                <w:bottom w:val="none" w:sz="0" w:space="0" w:color="auto"/>
                                                                <w:right w:val="none" w:sz="0" w:space="0" w:color="auto"/>
                                                              </w:divBdr>
                                                              <w:divsChild>
                                                                <w:div w:id="152332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05182">
                              <w:marLeft w:val="0"/>
                              <w:marRight w:val="0"/>
                              <w:marTop w:val="0"/>
                              <w:marBottom w:val="0"/>
                              <w:divBdr>
                                <w:top w:val="none" w:sz="0" w:space="0" w:color="auto"/>
                                <w:left w:val="none" w:sz="0" w:space="0" w:color="auto"/>
                                <w:bottom w:val="none" w:sz="0" w:space="0" w:color="auto"/>
                                <w:right w:val="none" w:sz="0" w:space="0" w:color="auto"/>
                              </w:divBdr>
                              <w:divsChild>
                                <w:div w:id="628510652">
                                  <w:marLeft w:val="0"/>
                                  <w:marRight w:val="0"/>
                                  <w:marTop w:val="0"/>
                                  <w:marBottom w:val="0"/>
                                  <w:divBdr>
                                    <w:top w:val="none" w:sz="0" w:space="0" w:color="auto"/>
                                    <w:left w:val="none" w:sz="0" w:space="0" w:color="auto"/>
                                    <w:bottom w:val="none" w:sz="0" w:space="0" w:color="auto"/>
                                    <w:right w:val="none" w:sz="0" w:space="0" w:color="auto"/>
                                  </w:divBdr>
                                  <w:divsChild>
                                    <w:div w:id="701633965">
                                      <w:marLeft w:val="0"/>
                                      <w:marRight w:val="0"/>
                                      <w:marTop w:val="0"/>
                                      <w:marBottom w:val="0"/>
                                      <w:divBdr>
                                        <w:top w:val="none" w:sz="0" w:space="0" w:color="auto"/>
                                        <w:left w:val="none" w:sz="0" w:space="0" w:color="auto"/>
                                        <w:bottom w:val="none" w:sz="0" w:space="0" w:color="auto"/>
                                        <w:right w:val="none" w:sz="0" w:space="0" w:color="auto"/>
                                      </w:divBdr>
                                      <w:divsChild>
                                        <w:div w:id="385448529">
                                          <w:marLeft w:val="0"/>
                                          <w:marRight w:val="0"/>
                                          <w:marTop w:val="0"/>
                                          <w:marBottom w:val="0"/>
                                          <w:divBdr>
                                            <w:top w:val="none" w:sz="0" w:space="0" w:color="auto"/>
                                            <w:left w:val="none" w:sz="0" w:space="0" w:color="auto"/>
                                            <w:bottom w:val="none" w:sz="0" w:space="0" w:color="auto"/>
                                            <w:right w:val="none" w:sz="0" w:space="0" w:color="auto"/>
                                          </w:divBdr>
                                          <w:divsChild>
                                            <w:div w:id="803499643">
                                              <w:marLeft w:val="0"/>
                                              <w:marRight w:val="0"/>
                                              <w:marTop w:val="0"/>
                                              <w:marBottom w:val="0"/>
                                              <w:divBdr>
                                                <w:top w:val="none" w:sz="0" w:space="0" w:color="auto"/>
                                                <w:left w:val="none" w:sz="0" w:space="0" w:color="auto"/>
                                                <w:bottom w:val="none" w:sz="0" w:space="0" w:color="auto"/>
                                                <w:right w:val="none" w:sz="0" w:space="0" w:color="auto"/>
                                              </w:divBdr>
                                              <w:divsChild>
                                                <w:div w:id="36324458">
                                                  <w:marLeft w:val="0"/>
                                                  <w:marRight w:val="0"/>
                                                  <w:marTop w:val="0"/>
                                                  <w:marBottom w:val="0"/>
                                                  <w:divBdr>
                                                    <w:top w:val="none" w:sz="0" w:space="0" w:color="auto"/>
                                                    <w:left w:val="none" w:sz="0" w:space="0" w:color="auto"/>
                                                    <w:bottom w:val="none" w:sz="0" w:space="0" w:color="auto"/>
                                                    <w:right w:val="none" w:sz="0" w:space="0" w:color="auto"/>
                                                  </w:divBdr>
                                                  <w:divsChild>
                                                    <w:div w:id="133908999">
                                                      <w:marLeft w:val="0"/>
                                                      <w:marRight w:val="0"/>
                                                      <w:marTop w:val="0"/>
                                                      <w:marBottom w:val="0"/>
                                                      <w:divBdr>
                                                        <w:top w:val="none" w:sz="0" w:space="0" w:color="auto"/>
                                                        <w:left w:val="none" w:sz="0" w:space="0" w:color="auto"/>
                                                        <w:bottom w:val="none" w:sz="0" w:space="0" w:color="auto"/>
                                                        <w:right w:val="none" w:sz="0" w:space="0" w:color="auto"/>
                                                      </w:divBdr>
                                                      <w:divsChild>
                                                        <w:div w:id="1441099697">
                                                          <w:marLeft w:val="0"/>
                                                          <w:marRight w:val="0"/>
                                                          <w:marTop w:val="0"/>
                                                          <w:marBottom w:val="0"/>
                                                          <w:divBdr>
                                                            <w:top w:val="none" w:sz="0" w:space="0" w:color="auto"/>
                                                            <w:left w:val="none" w:sz="0" w:space="0" w:color="auto"/>
                                                            <w:bottom w:val="none" w:sz="0" w:space="0" w:color="auto"/>
                                                            <w:right w:val="none" w:sz="0" w:space="0" w:color="auto"/>
                                                          </w:divBdr>
                                                          <w:divsChild>
                                                            <w:div w:id="1111701884">
                                                              <w:marLeft w:val="0"/>
                                                              <w:marRight w:val="0"/>
                                                              <w:marTop w:val="0"/>
                                                              <w:marBottom w:val="0"/>
                                                              <w:divBdr>
                                                                <w:top w:val="none" w:sz="0" w:space="0" w:color="auto"/>
                                                                <w:left w:val="none" w:sz="0" w:space="0" w:color="auto"/>
                                                                <w:bottom w:val="none" w:sz="0" w:space="0" w:color="auto"/>
                                                                <w:right w:val="none" w:sz="0" w:space="0" w:color="auto"/>
                                                              </w:divBdr>
                                                              <w:divsChild>
                                                                <w:div w:id="388964576">
                                                                  <w:marLeft w:val="0"/>
                                                                  <w:marRight w:val="0"/>
                                                                  <w:marTop w:val="0"/>
                                                                  <w:marBottom w:val="0"/>
                                                                  <w:divBdr>
                                                                    <w:top w:val="none" w:sz="0" w:space="0" w:color="auto"/>
                                                                    <w:left w:val="none" w:sz="0" w:space="0" w:color="auto"/>
                                                                    <w:bottom w:val="none" w:sz="0" w:space="0" w:color="auto"/>
                                                                    <w:right w:val="none" w:sz="0" w:space="0" w:color="auto"/>
                                                                  </w:divBdr>
                                                                  <w:divsChild>
                                                                    <w:div w:id="62812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3817394">
      <w:bodyDiv w:val="1"/>
      <w:marLeft w:val="0"/>
      <w:marRight w:val="0"/>
      <w:marTop w:val="0"/>
      <w:marBottom w:val="0"/>
      <w:divBdr>
        <w:top w:val="none" w:sz="0" w:space="0" w:color="auto"/>
        <w:left w:val="none" w:sz="0" w:space="0" w:color="auto"/>
        <w:bottom w:val="none" w:sz="0" w:space="0" w:color="auto"/>
        <w:right w:val="none" w:sz="0" w:space="0" w:color="auto"/>
      </w:divBdr>
    </w:div>
    <w:div w:id="53817559">
      <w:bodyDiv w:val="1"/>
      <w:marLeft w:val="0"/>
      <w:marRight w:val="0"/>
      <w:marTop w:val="0"/>
      <w:marBottom w:val="0"/>
      <w:divBdr>
        <w:top w:val="none" w:sz="0" w:space="0" w:color="auto"/>
        <w:left w:val="none" w:sz="0" w:space="0" w:color="auto"/>
        <w:bottom w:val="none" w:sz="0" w:space="0" w:color="auto"/>
        <w:right w:val="none" w:sz="0" w:space="0" w:color="auto"/>
      </w:divBdr>
      <w:divsChild>
        <w:div w:id="590283550">
          <w:marLeft w:val="0"/>
          <w:marRight w:val="0"/>
          <w:marTop w:val="0"/>
          <w:marBottom w:val="75"/>
          <w:divBdr>
            <w:top w:val="none" w:sz="0" w:space="0" w:color="auto"/>
            <w:left w:val="none" w:sz="0" w:space="0" w:color="auto"/>
            <w:bottom w:val="none" w:sz="0" w:space="0" w:color="auto"/>
            <w:right w:val="none" w:sz="0" w:space="0" w:color="auto"/>
          </w:divBdr>
          <w:divsChild>
            <w:div w:id="13726118">
              <w:marLeft w:val="0"/>
              <w:marRight w:val="0"/>
              <w:marTop w:val="0"/>
              <w:marBottom w:val="0"/>
              <w:divBdr>
                <w:top w:val="none" w:sz="0" w:space="0" w:color="auto"/>
                <w:left w:val="none" w:sz="0" w:space="0" w:color="auto"/>
                <w:bottom w:val="none" w:sz="0" w:space="0" w:color="auto"/>
                <w:right w:val="none" w:sz="0" w:space="0" w:color="auto"/>
              </w:divBdr>
            </w:div>
          </w:divsChild>
        </w:div>
        <w:div w:id="93089847">
          <w:marLeft w:val="0"/>
          <w:marRight w:val="0"/>
          <w:marTop w:val="0"/>
          <w:marBottom w:val="0"/>
          <w:divBdr>
            <w:top w:val="none" w:sz="0" w:space="0" w:color="auto"/>
            <w:left w:val="none" w:sz="0" w:space="0" w:color="auto"/>
            <w:bottom w:val="none" w:sz="0" w:space="0" w:color="auto"/>
            <w:right w:val="none" w:sz="0" w:space="0" w:color="auto"/>
          </w:divBdr>
          <w:divsChild>
            <w:div w:id="445849499">
              <w:marLeft w:val="0"/>
              <w:marRight w:val="0"/>
              <w:marTop w:val="0"/>
              <w:marBottom w:val="75"/>
              <w:divBdr>
                <w:top w:val="none" w:sz="0" w:space="0" w:color="auto"/>
                <w:left w:val="none" w:sz="0" w:space="0" w:color="auto"/>
                <w:bottom w:val="none" w:sz="0" w:space="0" w:color="auto"/>
                <w:right w:val="none" w:sz="0" w:space="0" w:color="auto"/>
              </w:divBdr>
              <w:divsChild>
                <w:div w:id="700939942">
                  <w:marLeft w:val="0"/>
                  <w:marRight w:val="0"/>
                  <w:marTop w:val="0"/>
                  <w:marBottom w:val="0"/>
                  <w:divBdr>
                    <w:top w:val="none" w:sz="0" w:space="0" w:color="auto"/>
                    <w:left w:val="none" w:sz="0" w:space="0" w:color="auto"/>
                    <w:bottom w:val="none" w:sz="0" w:space="0" w:color="auto"/>
                    <w:right w:val="none" w:sz="0" w:space="0" w:color="auto"/>
                  </w:divBdr>
                </w:div>
                <w:div w:id="1368019560">
                  <w:marLeft w:val="0"/>
                  <w:marRight w:val="0"/>
                  <w:marTop w:val="0"/>
                  <w:marBottom w:val="0"/>
                  <w:divBdr>
                    <w:top w:val="none" w:sz="0" w:space="0" w:color="auto"/>
                    <w:left w:val="none" w:sz="0" w:space="0" w:color="auto"/>
                    <w:bottom w:val="none" w:sz="0" w:space="0" w:color="auto"/>
                    <w:right w:val="none" w:sz="0" w:space="0" w:color="auto"/>
                  </w:divBdr>
                </w:div>
                <w:div w:id="192868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724139">
          <w:marLeft w:val="0"/>
          <w:marRight w:val="0"/>
          <w:marTop w:val="0"/>
          <w:marBottom w:val="0"/>
          <w:divBdr>
            <w:top w:val="none" w:sz="0" w:space="0" w:color="auto"/>
            <w:left w:val="none" w:sz="0" w:space="0" w:color="auto"/>
            <w:bottom w:val="none" w:sz="0" w:space="0" w:color="auto"/>
            <w:right w:val="none" w:sz="0" w:space="0" w:color="auto"/>
          </w:divBdr>
          <w:divsChild>
            <w:div w:id="61016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5074">
      <w:bodyDiv w:val="1"/>
      <w:marLeft w:val="0"/>
      <w:marRight w:val="0"/>
      <w:marTop w:val="0"/>
      <w:marBottom w:val="0"/>
      <w:divBdr>
        <w:top w:val="none" w:sz="0" w:space="0" w:color="auto"/>
        <w:left w:val="none" w:sz="0" w:space="0" w:color="auto"/>
        <w:bottom w:val="none" w:sz="0" w:space="0" w:color="auto"/>
        <w:right w:val="none" w:sz="0" w:space="0" w:color="auto"/>
      </w:divBdr>
    </w:div>
    <w:div w:id="87583249">
      <w:bodyDiv w:val="1"/>
      <w:marLeft w:val="0"/>
      <w:marRight w:val="0"/>
      <w:marTop w:val="0"/>
      <w:marBottom w:val="0"/>
      <w:divBdr>
        <w:top w:val="none" w:sz="0" w:space="0" w:color="auto"/>
        <w:left w:val="none" w:sz="0" w:space="0" w:color="auto"/>
        <w:bottom w:val="none" w:sz="0" w:space="0" w:color="auto"/>
        <w:right w:val="none" w:sz="0" w:space="0" w:color="auto"/>
      </w:divBdr>
      <w:divsChild>
        <w:div w:id="1720085365">
          <w:marLeft w:val="0"/>
          <w:marRight w:val="0"/>
          <w:marTop w:val="240"/>
          <w:marBottom w:val="120"/>
          <w:divBdr>
            <w:top w:val="none" w:sz="0" w:space="0" w:color="auto"/>
            <w:left w:val="none" w:sz="0" w:space="0" w:color="auto"/>
            <w:bottom w:val="none" w:sz="0" w:space="0" w:color="auto"/>
            <w:right w:val="none" w:sz="0" w:space="0" w:color="auto"/>
          </w:divBdr>
        </w:div>
        <w:div w:id="99182686">
          <w:marLeft w:val="0"/>
          <w:marRight w:val="0"/>
          <w:marTop w:val="240"/>
          <w:marBottom w:val="120"/>
          <w:divBdr>
            <w:top w:val="none" w:sz="0" w:space="0" w:color="auto"/>
            <w:left w:val="none" w:sz="0" w:space="0" w:color="auto"/>
            <w:bottom w:val="none" w:sz="0" w:space="0" w:color="auto"/>
            <w:right w:val="none" w:sz="0" w:space="0" w:color="auto"/>
          </w:divBdr>
        </w:div>
      </w:divsChild>
    </w:div>
    <w:div w:id="88430966">
      <w:bodyDiv w:val="1"/>
      <w:marLeft w:val="0"/>
      <w:marRight w:val="0"/>
      <w:marTop w:val="0"/>
      <w:marBottom w:val="0"/>
      <w:divBdr>
        <w:top w:val="none" w:sz="0" w:space="0" w:color="auto"/>
        <w:left w:val="none" w:sz="0" w:space="0" w:color="auto"/>
        <w:bottom w:val="none" w:sz="0" w:space="0" w:color="auto"/>
        <w:right w:val="none" w:sz="0" w:space="0" w:color="auto"/>
      </w:divBdr>
    </w:div>
    <w:div w:id="101340967">
      <w:bodyDiv w:val="1"/>
      <w:marLeft w:val="0"/>
      <w:marRight w:val="0"/>
      <w:marTop w:val="0"/>
      <w:marBottom w:val="0"/>
      <w:divBdr>
        <w:top w:val="none" w:sz="0" w:space="0" w:color="auto"/>
        <w:left w:val="none" w:sz="0" w:space="0" w:color="auto"/>
        <w:bottom w:val="none" w:sz="0" w:space="0" w:color="auto"/>
        <w:right w:val="none" w:sz="0" w:space="0" w:color="auto"/>
      </w:divBdr>
      <w:divsChild>
        <w:div w:id="1601722136">
          <w:marLeft w:val="0"/>
          <w:marRight w:val="0"/>
          <w:marTop w:val="0"/>
          <w:marBottom w:val="0"/>
          <w:divBdr>
            <w:top w:val="none" w:sz="0" w:space="0" w:color="auto"/>
            <w:left w:val="none" w:sz="0" w:space="0" w:color="auto"/>
            <w:bottom w:val="none" w:sz="0" w:space="0" w:color="auto"/>
            <w:right w:val="none" w:sz="0" w:space="0" w:color="auto"/>
          </w:divBdr>
          <w:divsChild>
            <w:div w:id="1622417569">
              <w:marLeft w:val="0"/>
              <w:marRight w:val="0"/>
              <w:marTop w:val="0"/>
              <w:marBottom w:val="0"/>
              <w:divBdr>
                <w:top w:val="none" w:sz="0" w:space="0" w:color="auto"/>
                <w:left w:val="none" w:sz="0" w:space="0" w:color="auto"/>
                <w:bottom w:val="none" w:sz="0" w:space="0" w:color="auto"/>
                <w:right w:val="none" w:sz="0" w:space="0" w:color="auto"/>
              </w:divBdr>
              <w:divsChild>
                <w:div w:id="1794901165">
                  <w:marLeft w:val="0"/>
                  <w:marRight w:val="0"/>
                  <w:marTop w:val="0"/>
                  <w:marBottom w:val="0"/>
                  <w:divBdr>
                    <w:top w:val="none" w:sz="0" w:space="0" w:color="auto"/>
                    <w:left w:val="none" w:sz="0" w:space="0" w:color="auto"/>
                    <w:bottom w:val="none" w:sz="0" w:space="0" w:color="auto"/>
                    <w:right w:val="none" w:sz="0" w:space="0" w:color="auto"/>
                  </w:divBdr>
                  <w:divsChild>
                    <w:div w:id="832532174">
                      <w:marLeft w:val="0"/>
                      <w:marRight w:val="0"/>
                      <w:marTop w:val="0"/>
                      <w:marBottom w:val="0"/>
                      <w:divBdr>
                        <w:top w:val="none" w:sz="0" w:space="0" w:color="auto"/>
                        <w:left w:val="none" w:sz="0" w:space="0" w:color="auto"/>
                        <w:bottom w:val="none" w:sz="0" w:space="0" w:color="auto"/>
                        <w:right w:val="none" w:sz="0" w:space="0" w:color="auto"/>
                      </w:divBdr>
                    </w:div>
                  </w:divsChild>
                </w:div>
                <w:div w:id="207141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15965">
          <w:marLeft w:val="0"/>
          <w:marRight w:val="0"/>
          <w:marTop w:val="0"/>
          <w:marBottom w:val="0"/>
          <w:divBdr>
            <w:top w:val="none" w:sz="0" w:space="0" w:color="auto"/>
            <w:left w:val="none" w:sz="0" w:space="0" w:color="auto"/>
            <w:bottom w:val="none" w:sz="0" w:space="0" w:color="auto"/>
            <w:right w:val="none" w:sz="0" w:space="0" w:color="auto"/>
          </w:divBdr>
        </w:div>
      </w:divsChild>
    </w:div>
    <w:div w:id="105388118">
      <w:bodyDiv w:val="1"/>
      <w:marLeft w:val="0"/>
      <w:marRight w:val="0"/>
      <w:marTop w:val="0"/>
      <w:marBottom w:val="0"/>
      <w:divBdr>
        <w:top w:val="none" w:sz="0" w:space="0" w:color="auto"/>
        <w:left w:val="none" w:sz="0" w:space="0" w:color="auto"/>
        <w:bottom w:val="none" w:sz="0" w:space="0" w:color="auto"/>
        <w:right w:val="none" w:sz="0" w:space="0" w:color="auto"/>
      </w:divBdr>
      <w:divsChild>
        <w:div w:id="353269375">
          <w:marLeft w:val="0"/>
          <w:marRight w:val="0"/>
          <w:marTop w:val="0"/>
          <w:marBottom w:val="0"/>
          <w:divBdr>
            <w:top w:val="none" w:sz="0" w:space="0" w:color="auto"/>
            <w:left w:val="none" w:sz="0" w:space="0" w:color="auto"/>
            <w:bottom w:val="none" w:sz="0" w:space="0" w:color="auto"/>
            <w:right w:val="none" w:sz="0" w:space="0" w:color="auto"/>
          </w:divBdr>
        </w:div>
      </w:divsChild>
    </w:div>
    <w:div w:id="107240190">
      <w:bodyDiv w:val="1"/>
      <w:marLeft w:val="0"/>
      <w:marRight w:val="0"/>
      <w:marTop w:val="0"/>
      <w:marBottom w:val="0"/>
      <w:divBdr>
        <w:top w:val="none" w:sz="0" w:space="0" w:color="auto"/>
        <w:left w:val="none" w:sz="0" w:space="0" w:color="auto"/>
        <w:bottom w:val="none" w:sz="0" w:space="0" w:color="auto"/>
        <w:right w:val="none" w:sz="0" w:space="0" w:color="auto"/>
      </w:divBdr>
      <w:divsChild>
        <w:div w:id="1447502813">
          <w:marLeft w:val="0"/>
          <w:marRight w:val="0"/>
          <w:marTop w:val="240"/>
          <w:marBottom w:val="120"/>
          <w:divBdr>
            <w:top w:val="none" w:sz="0" w:space="0" w:color="auto"/>
            <w:left w:val="none" w:sz="0" w:space="0" w:color="auto"/>
            <w:bottom w:val="none" w:sz="0" w:space="0" w:color="auto"/>
            <w:right w:val="none" w:sz="0" w:space="0" w:color="auto"/>
          </w:divBdr>
        </w:div>
        <w:div w:id="1485585549">
          <w:marLeft w:val="0"/>
          <w:marRight w:val="0"/>
          <w:marTop w:val="240"/>
          <w:marBottom w:val="120"/>
          <w:divBdr>
            <w:top w:val="none" w:sz="0" w:space="0" w:color="auto"/>
            <w:left w:val="none" w:sz="0" w:space="0" w:color="auto"/>
            <w:bottom w:val="none" w:sz="0" w:space="0" w:color="auto"/>
            <w:right w:val="none" w:sz="0" w:space="0" w:color="auto"/>
          </w:divBdr>
        </w:div>
      </w:divsChild>
    </w:div>
    <w:div w:id="139926024">
      <w:bodyDiv w:val="1"/>
      <w:marLeft w:val="0"/>
      <w:marRight w:val="0"/>
      <w:marTop w:val="0"/>
      <w:marBottom w:val="0"/>
      <w:divBdr>
        <w:top w:val="none" w:sz="0" w:space="0" w:color="auto"/>
        <w:left w:val="none" w:sz="0" w:space="0" w:color="auto"/>
        <w:bottom w:val="none" w:sz="0" w:space="0" w:color="auto"/>
        <w:right w:val="none" w:sz="0" w:space="0" w:color="auto"/>
      </w:divBdr>
      <w:divsChild>
        <w:div w:id="48305291">
          <w:marLeft w:val="0"/>
          <w:marRight w:val="0"/>
          <w:marTop w:val="0"/>
          <w:marBottom w:val="0"/>
          <w:divBdr>
            <w:top w:val="none" w:sz="0" w:space="0" w:color="auto"/>
            <w:left w:val="none" w:sz="0" w:space="0" w:color="auto"/>
            <w:bottom w:val="none" w:sz="0" w:space="0" w:color="auto"/>
            <w:right w:val="none" w:sz="0" w:space="0" w:color="auto"/>
          </w:divBdr>
        </w:div>
        <w:div w:id="878128669">
          <w:marLeft w:val="0"/>
          <w:marRight w:val="0"/>
          <w:marTop w:val="0"/>
          <w:marBottom w:val="0"/>
          <w:divBdr>
            <w:top w:val="none" w:sz="0" w:space="0" w:color="auto"/>
            <w:left w:val="none" w:sz="0" w:space="0" w:color="auto"/>
            <w:bottom w:val="none" w:sz="0" w:space="0" w:color="auto"/>
            <w:right w:val="none" w:sz="0" w:space="0" w:color="auto"/>
          </w:divBdr>
        </w:div>
        <w:div w:id="546793553">
          <w:marLeft w:val="0"/>
          <w:marRight w:val="0"/>
          <w:marTop w:val="0"/>
          <w:marBottom w:val="0"/>
          <w:divBdr>
            <w:top w:val="none" w:sz="0" w:space="0" w:color="auto"/>
            <w:left w:val="none" w:sz="0" w:space="0" w:color="auto"/>
            <w:bottom w:val="none" w:sz="0" w:space="0" w:color="auto"/>
            <w:right w:val="none" w:sz="0" w:space="0" w:color="auto"/>
          </w:divBdr>
        </w:div>
        <w:div w:id="122624029">
          <w:marLeft w:val="0"/>
          <w:marRight w:val="0"/>
          <w:marTop w:val="0"/>
          <w:marBottom w:val="0"/>
          <w:divBdr>
            <w:top w:val="none" w:sz="0" w:space="0" w:color="auto"/>
            <w:left w:val="none" w:sz="0" w:space="0" w:color="auto"/>
            <w:bottom w:val="none" w:sz="0" w:space="0" w:color="auto"/>
            <w:right w:val="none" w:sz="0" w:space="0" w:color="auto"/>
          </w:divBdr>
        </w:div>
        <w:div w:id="406146656">
          <w:marLeft w:val="0"/>
          <w:marRight w:val="0"/>
          <w:marTop w:val="0"/>
          <w:marBottom w:val="0"/>
          <w:divBdr>
            <w:top w:val="none" w:sz="0" w:space="0" w:color="auto"/>
            <w:left w:val="none" w:sz="0" w:space="0" w:color="auto"/>
            <w:bottom w:val="none" w:sz="0" w:space="0" w:color="auto"/>
            <w:right w:val="none" w:sz="0" w:space="0" w:color="auto"/>
          </w:divBdr>
        </w:div>
        <w:div w:id="1615557720">
          <w:marLeft w:val="0"/>
          <w:marRight w:val="0"/>
          <w:marTop w:val="0"/>
          <w:marBottom w:val="0"/>
          <w:divBdr>
            <w:top w:val="none" w:sz="0" w:space="0" w:color="auto"/>
            <w:left w:val="none" w:sz="0" w:space="0" w:color="auto"/>
            <w:bottom w:val="none" w:sz="0" w:space="0" w:color="auto"/>
            <w:right w:val="none" w:sz="0" w:space="0" w:color="auto"/>
          </w:divBdr>
        </w:div>
      </w:divsChild>
    </w:div>
    <w:div w:id="146285001">
      <w:bodyDiv w:val="1"/>
      <w:marLeft w:val="0"/>
      <w:marRight w:val="0"/>
      <w:marTop w:val="0"/>
      <w:marBottom w:val="0"/>
      <w:divBdr>
        <w:top w:val="none" w:sz="0" w:space="0" w:color="auto"/>
        <w:left w:val="none" w:sz="0" w:space="0" w:color="auto"/>
        <w:bottom w:val="none" w:sz="0" w:space="0" w:color="auto"/>
        <w:right w:val="none" w:sz="0" w:space="0" w:color="auto"/>
      </w:divBdr>
    </w:div>
    <w:div w:id="171141924">
      <w:bodyDiv w:val="1"/>
      <w:marLeft w:val="0"/>
      <w:marRight w:val="0"/>
      <w:marTop w:val="0"/>
      <w:marBottom w:val="0"/>
      <w:divBdr>
        <w:top w:val="none" w:sz="0" w:space="0" w:color="auto"/>
        <w:left w:val="none" w:sz="0" w:space="0" w:color="auto"/>
        <w:bottom w:val="none" w:sz="0" w:space="0" w:color="auto"/>
        <w:right w:val="none" w:sz="0" w:space="0" w:color="auto"/>
      </w:divBdr>
      <w:divsChild>
        <w:div w:id="1362317706">
          <w:marLeft w:val="0"/>
          <w:marRight w:val="0"/>
          <w:marTop w:val="240"/>
          <w:marBottom w:val="120"/>
          <w:divBdr>
            <w:top w:val="none" w:sz="0" w:space="0" w:color="auto"/>
            <w:left w:val="none" w:sz="0" w:space="0" w:color="auto"/>
            <w:bottom w:val="none" w:sz="0" w:space="0" w:color="auto"/>
            <w:right w:val="none" w:sz="0" w:space="0" w:color="auto"/>
          </w:divBdr>
        </w:div>
        <w:div w:id="854003406">
          <w:marLeft w:val="0"/>
          <w:marRight w:val="0"/>
          <w:marTop w:val="240"/>
          <w:marBottom w:val="120"/>
          <w:divBdr>
            <w:top w:val="none" w:sz="0" w:space="0" w:color="auto"/>
            <w:left w:val="none" w:sz="0" w:space="0" w:color="auto"/>
            <w:bottom w:val="none" w:sz="0" w:space="0" w:color="auto"/>
            <w:right w:val="none" w:sz="0" w:space="0" w:color="auto"/>
          </w:divBdr>
        </w:div>
      </w:divsChild>
    </w:div>
    <w:div w:id="172964437">
      <w:bodyDiv w:val="1"/>
      <w:marLeft w:val="0"/>
      <w:marRight w:val="0"/>
      <w:marTop w:val="0"/>
      <w:marBottom w:val="0"/>
      <w:divBdr>
        <w:top w:val="none" w:sz="0" w:space="0" w:color="auto"/>
        <w:left w:val="none" w:sz="0" w:space="0" w:color="auto"/>
        <w:bottom w:val="none" w:sz="0" w:space="0" w:color="auto"/>
        <w:right w:val="none" w:sz="0" w:space="0" w:color="auto"/>
      </w:divBdr>
      <w:divsChild>
        <w:div w:id="699203863">
          <w:marLeft w:val="0"/>
          <w:marRight w:val="0"/>
          <w:marTop w:val="0"/>
          <w:marBottom w:val="75"/>
          <w:divBdr>
            <w:top w:val="none" w:sz="0" w:space="0" w:color="auto"/>
            <w:left w:val="none" w:sz="0" w:space="0" w:color="auto"/>
            <w:bottom w:val="none" w:sz="0" w:space="0" w:color="auto"/>
            <w:right w:val="none" w:sz="0" w:space="0" w:color="auto"/>
          </w:divBdr>
          <w:divsChild>
            <w:div w:id="2012367178">
              <w:marLeft w:val="0"/>
              <w:marRight w:val="0"/>
              <w:marTop w:val="0"/>
              <w:marBottom w:val="0"/>
              <w:divBdr>
                <w:top w:val="none" w:sz="0" w:space="0" w:color="auto"/>
                <w:left w:val="none" w:sz="0" w:space="0" w:color="auto"/>
                <w:bottom w:val="none" w:sz="0" w:space="0" w:color="auto"/>
                <w:right w:val="none" w:sz="0" w:space="0" w:color="auto"/>
              </w:divBdr>
            </w:div>
          </w:divsChild>
        </w:div>
        <w:div w:id="1731029161">
          <w:marLeft w:val="0"/>
          <w:marRight w:val="0"/>
          <w:marTop w:val="0"/>
          <w:marBottom w:val="0"/>
          <w:divBdr>
            <w:top w:val="none" w:sz="0" w:space="0" w:color="auto"/>
            <w:left w:val="none" w:sz="0" w:space="0" w:color="auto"/>
            <w:bottom w:val="none" w:sz="0" w:space="0" w:color="auto"/>
            <w:right w:val="none" w:sz="0" w:space="0" w:color="auto"/>
          </w:divBdr>
          <w:divsChild>
            <w:div w:id="1889803449">
              <w:marLeft w:val="0"/>
              <w:marRight w:val="0"/>
              <w:marTop w:val="0"/>
              <w:marBottom w:val="75"/>
              <w:divBdr>
                <w:top w:val="none" w:sz="0" w:space="0" w:color="auto"/>
                <w:left w:val="none" w:sz="0" w:space="0" w:color="auto"/>
                <w:bottom w:val="none" w:sz="0" w:space="0" w:color="auto"/>
                <w:right w:val="none" w:sz="0" w:space="0" w:color="auto"/>
              </w:divBdr>
              <w:divsChild>
                <w:div w:id="1773931747">
                  <w:marLeft w:val="0"/>
                  <w:marRight w:val="0"/>
                  <w:marTop w:val="0"/>
                  <w:marBottom w:val="0"/>
                  <w:divBdr>
                    <w:top w:val="none" w:sz="0" w:space="0" w:color="auto"/>
                    <w:left w:val="none" w:sz="0" w:space="0" w:color="auto"/>
                    <w:bottom w:val="none" w:sz="0" w:space="0" w:color="auto"/>
                    <w:right w:val="none" w:sz="0" w:space="0" w:color="auto"/>
                  </w:divBdr>
                </w:div>
                <w:div w:id="2085106353">
                  <w:marLeft w:val="0"/>
                  <w:marRight w:val="0"/>
                  <w:marTop w:val="0"/>
                  <w:marBottom w:val="0"/>
                  <w:divBdr>
                    <w:top w:val="none" w:sz="0" w:space="0" w:color="auto"/>
                    <w:left w:val="none" w:sz="0" w:space="0" w:color="auto"/>
                    <w:bottom w:val="none" w:sz="0" w:space="0" w:color="auto"/>
                    <w:right w:val="none" w:sz="0" w:space="0" w:color="auto"/>
                  </w:divBdr>
                </w:div>
                <w:div w:id="126198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84601">
          <w:marLeft w:val="0"/>
          <w:marRight w:val="0"/>
          <w:marTop w:val="0"/>
          <w:marBottom w:val="0"/>
          <w:divBdr>
            <w:top w:val="none" w:sz="0" w:space="0" w:color="auto"/>
            <w:left w:val="none" w:sz="0" w:space="0" w:color="auto"/>
            <w:bottom w:val="none" w:sz="0" w:space="0" w:color="auto"/>
            <w:right w:val="none" w:sz="0" w:space="0" w:color="auto"/>
          </w:divBdr>
          <w:divsChild>
            <w:div w:id="97603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95047">
      <w:bodyDiv w:val="1"/>
      <w:marLeft w:val="0"/>
      <w:marRight w:val="0"/>
      <w:marTop w:val="0"/>
      <w:marBottom w:val="0"/>
      <w:divBdr>
        <w:top w:val="none" w:sz="0" w:space="0" w:color="auto"/>
        <w:left w:val="none" w:sz="0" w:space="0" w:color="auto"/>
        <w:bottom w:val="none" w:sz="0" w:space="0" w:color="auto"/>
        <w:right w:val="none" w:sz="0" w:space="0" w:color="auto"/>
      </w:divBdr>
      <w:divsChild>
        <w:div w:id="749162350">
          <w:marLeft w:val="0"/>
          <w:marRight w:val="0"/>
          <w:marTop w:val="240"/>
          <w:marBottom w:val="120"/>
          <w:divBdr>
            <w:top w:val="none" w:sz="0" w:space="0" w:color="auto"/>
            <w:left w:val="none" w:sz="0" w:space="0" w:color="auto"/>
            <w:bottom w:val="none" w:sz="0" w:space="0" w:color="auto"/>
            <w:right w:val="none" w:sz="0" w:space="0" w:color="auto"/>
          </w:divBdr>
        </w:div>
        <w:div w:id="1092043340">
          <w:marLeft w:val="0"/>
          <w:marRight w:val="0"/>
          <w:marTop w:val="240"/>
          <w:marBottom w:val="120"/>
          <w:divBdr>
            <w:top w:val="none" w:sz="0" w:space="0" w:color="auto"/>
            <w:left w:val="none" w:sz="0" w:space="0" w:color="auto"/>
            <w:bottom w:val="none" w:sz="0" w:space="0" w:color="auto"/>
            <w:right w:val="none" w:sz="0" w:space="0" w:color="auto"/>
          </w:divBdr>
        </w:div>
      </w:divsChild>
    </w:div>
    <w:div w:id="182983696">
      <w:bodyDiv w:val="1"/>
      <w:marLeft w:val="0"/>
      <w:marRight w:val="0"/>
      <w:marTop w:val="0"/>
      <w:marBottom w:val="0"/>
      <w:divBdr>
        <w:top w:val="none" w:sz="0" w:space="0" w:color="auto"/>
        <w:left w:val="none" w:sz="0" w:space="0" w:color="auto"/>
        <w:bottom w:val="none" w:sz="0" w:space="0" w:color="auto"/>
        <w:right w:val="none" w:sz="0" w:space="0" w:color="auto"/>
      </w:divBdr>
      <w:divsChild>
        <w:div w:id="996541162">
          <w:marLeft w:val="0"/>
          <w:marRight w:val="0"/>
          <w:marTop w:val="0"/>
          <w:marBottom w:val="0"/>
          <w:divBdr>
            <w:top w:val="none" w:sz="0" w:space="0" w:color="auto"/>
            <w:left w:val="none" w:sz="0" w:space="0" w:color="auto"/>
            <w:bottom w:val="none" w:sz="0" w:space="0" w:color="auto"/>
            <w:right w:val="none" w:sz="0" w:space="0" w:color="auto"/>
          </w:divBdr>
          <w:divsChild>
            <w:div w:id="1923752577">
              <w:marLeft w:val="0"/>
              <w:marRight w:val="0"/>
              <w:marTop w:val="0"/>
              <w:marBottom w:val="0"/>
              <w:divBdr>
                <w:top w:val="none" w:sz="0" w:space="0" w:color="auto"/>
                <w:left w:val="none" w:sz="0" w:space="0" w:color="auto"/>
                <w:bottom w:val="none" w:sz="0" w:space="0" w:color="auto"/>
                <w:right w:val="none" w:sz="0" w:space="0" w:color="auto"/>
              </w:divBdr>
            </w:div>
          </w:divsChild>
        </w:div>
        <w:div w:id="1999117027">
          <w:marLeft w:val="0"/>
          <w:marRight w:val="0"/>
          <w:marTop w:val="0"/>
          <w:marBottom w:val="0"/>
          <w:divBdr>
            <w:top w:val="none" w:sz="0" w:space="0" w:color="auto"/>
            <w:left w:val="none" w:sz="0" w:space="0" w:color="auto"/>
            <w:bottom w:val="none" w:sz="0" w:space="0" w:color="auto"/>
            <w:right w:val="none" w:sz="0" w:space="0" w:color="auto"/>
          </w:divBdr>
          <w:divsChild>
            <w:div w:id="123635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1643">
      <w:bodyDiv w:val="1"/>
      <w:marLeft w:val="0"/>
      <w:marRight w:val="0"/>
      <w:marTop w:val="0"/>
      <w:marBottom w:val="0"/>
      <w:divBdr>
        <w:top w:val="none" w:sz="0" w:space="0" w:color="auto"/>
        <w:left w:val="none" w:sz="0" w:space="0" w:color="auto"/>
        <w:bottom w:val="none" w:sz="0" w:space="0" w:color="auto"/>
        <w:right w:val="none" w:sz="0" w:space="0" w:color="auto"/>
      </w:divBdr>
      <w:divsChild>
        <w:div w:id="538514870">
          <w:marLeft w:val="0"/>
          <w:marRight w:val="0"/>
          <w:marTop w:val="240"/>
          <w:marBottom w:val="120"/>
          <w:divBdr>
            <w:top w:val="none" w:sz="0" w:space="0" w:color="auto"/>
            <w:left w:val="none" w:sz="0" w:space="0" w:color="auto"/>
            <w:bottom w:val="none" w:sz="0" w:space="0" w:color="auto"/>
            <w:right w:val="none" w:sz="0" w:space="0" w:color="auto"/>
          </w:divBdr>
        </w:div>
        <w:div w:id="2139913999">
          <w:marLeft w:val="0"/>
          <w:marRight w:val="0"/>
          <w:marTop w:val="240"/>
          <w:marBottom w:val="120"/>
          <w:divBdr>
            <w:top w:val="none" w:sz="0" w:space="0" w:color="auto"/>
            <w:left w:val="none" w:sz="0" w:space="0" w:color="auto"/>
            <w:bottom w:val="none" w:sz="0" w:space="0" w:color="auto"/>
            <w:right w:val="none" w:sz="0" w:space="0" w:color="auto"/>
          </w:divBdr>
        </w:div>
      </w:divsChild>
    </w:div>
    <w:div w:id="210388059">
      <w:bodyDiv w:val="1"/>
      <w:marLeft w:val="0"/>
      <w:marRight w:val="0"/>
      <w:marTop w:val="0"/>
      <w:marBottom w:val="0"/>
      <w:divBdr>
        <w:top w:val="none" w:sz="0" w:space="0" w:color="auto"/>
        <w:left w:val="none" w:sz="0" w:space="0" w:color="auto"/>
        <w:bottom w:val="none" w:sz="0" w:space="0" w:color="auto"/>
        <w:right w:val="none" w:sz="0" w:space="0" w:color="auto"/>
      </w:divBdr>
      <w:divsChild>
        <w:div w:id="905989270">
          <w:marLeft w:val="0"/>
          <w:marRight w:val="0"/>
          <w:marTop w:val="0"/>
          <w:marBottom w:val="0"/>
          <w:divBdr>
            <w:top w:val="none" w:sz="0" w:space="0" w:color="auto"/>
            <w:left w:val="none" w:sz="0" w:space="0" w:color="auto"/>
            <w:bottom w:val="none" w:sz="0" w:space="0" w:color="auto"/>
            <w:right w:val="none" w:sz="0" w:space="0" w:color="auto"/>
          </w:divBdr>
          <w:divsChild>
            <w:div w:id="1319918763">
              <w:marLeft w:val="0"/>
              <w:marRight w:val="0"/>
              <w:marTop w:val="0"/>
              <w:marBottom w:val="0"/>
              <w:divBdr>
                <w:top w:val="none" w:sz="0" w:space="0" w:color="auto"/>
                <w:left w:val="none" w:sz="0" w:space="0" w:color="auto"/>
                <w:bottom w:val="none" w:sz="0" w:space="0" w:color="auto"/>
                <w:right w:val="none" w:sz="0" w:space="0" w:color="auto"/>
              </w:divBdr>
              <w:divsChild>
                <w:div w:id="1739983879">
                  <w:marLeft w:val="0"/>
                  <w:marRight w:val="0"/>
                  <w:marTop w:val="0"/>
                  <w:marBottom w:val="0"/>
                  <w:divBdr>
                    <w:top w:val="none" w:sz="0" w:space="0" w:color="auto"/>
                    <w:left w:val="none" w:sz="0" w:space="0" w:color="auto"/>
                    <w:bottom w:val="none" w:sz="0" w:space="0" w:color="auto"/>
                    <w:right w:val="none" w:sz="0" w:space="0" w:color="auto"/>
                  </w:divBdr>
                  <w:divsChild>
                    <w:div w:id="51462438">
                      <w:marLeft w:val="0"/>
                      <w:marRight w:val="0"/>
                      <w:marTop w:val="0"/>
                      <w:marBottom w:val="0"/>
                      <w:divBdr>
                        <w:top w:val="none" w:sz="0" w:space="0" w:color="auto"/>
                        <w:left w:val="none" w:sz="0" w:space="0" w:color="auto"/>
                        <w:bottom w:val="none" w:sz="0" w:space="0" w:color="auto"/>
                        <w:right w:val="none" w:sz="0" w:space="0" w:color="auto"/>
                      </w:divBdr>
                    </w:div>
                  </w:divsChild>
                </w:div>
                <w:div w:id="7709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329053">
          <w:marLeft w:val="0"/>
          <w:marRight w:val="0"/>
          <w:marTop w:val="0"/>
          <w:marBottom w:val="0"/>
          <w:divBdr>
            <w:top w:val="none" w:sz="0" w:space="0" w:color="auto"/>
            <w:left w:val="none" w:sz="0" w:space="0" w:color="auto"/>
            <w:bottom w:val="none" w:sz="0" w:space="0" w:color="auto"/>
            <w:right w:val="none" w:sz="0" w:space="0" w:color="auto"/>
          </w:divBdr>
        </w:div>
      </w:divsChild>
    </w:div>
    <w:div w:id="211960737">
      <w:bodyDiv w:val="1"/>
      <w:marLeft w:val="0"/>
      <w:marRight w:val="0"/>
      <w:marTop w:val="0"/>
      <w:marBottom w:val="0"/>
      <w:divBdr>
        <w:top w:val="none" w:sz="0" w:space="0" w:color="auto"/>
        <w:left w:val="none" w:sz="0" w:space="0" w:color="auto"/>
        <w:bottom w:val="none" w:sz="0" w:space="0" w:color="auto"/>
        <w:right w:val="none" w:sz="0" w:space="0" w:color="auto"/>
      </w:divBdr>
      <w:divsChild>
        <w:div w:id="2088646263">
          <w:marLeft w:val="0"/>
          <w:marRight w:val="0"/>
          <w:marTop w:val="0"/>
          <w:marBottom w:val="0"/>
          <w:divBdr>
            <w:top w:val="none" w:sz="0" w:space="0" w:color="auto"/>
            <w:left w:val="none" w:sz="0" w:space="0" w:color="auto"/>
            <w:bottom w:val="none" w:sz="0" w:space="0" w:color="auto"/>
            <w:right w:val="none" w:sz="0" w:space="0" w:color="auto"/>
          </w:divBdr>
          <w:divsChild>
            <w:div w:id="1972861690">
              <w:marLeft w:val="0"/>
              <w:marRight w:val="0"/>
              <w:marTop w:val="0"/>
              <w:marBottom w:val="0"/>
              <w:divBdr>
                <w:top w:val="none" w:sz="0" w:space="0" w:color="auto"/>
                <w:left w:val="none" w:sz="0" w:space="0" w:color="auto"/>
                <w:bottom w:val="none" w:sz="0" w:space="0" w:color="auto"/>
                <w:right w:val="none" w:sz="0" w:space="0" w:color="auto"/>
              </w:divBdr>
              <w:divsChild>
                <w:div w:id="126264744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206142159">
          <w:marLeft w:val="0"/>
          <w:marRight w:val="0"/>
          <w:marTop w:val="0"/>
          <w:marBottom w:val="0"/>
          <w:divBdr>
            <w:top w:val="none" w:sz="0" w:space="0" w:color="auto"/>
            <w:left w:val="none" w:sz="0" w:space="0" w:color="auto"/>
            <w:bottom w:val="none" w:sz="0" w:space="0" w:color="auto"/>
            <w:right w:val="none" w:sz="0" w:space="0" w:color="auto"/>
          </w:divBdr>
          <w:divsChild>
            <w:div w:id="1474911387">
              <w:marLeft w:val="0"/>
              <w:marRight w:val="0"/>
              <w:marTop w:val="0"/>
              <w:marBottom w:val="0"/>
              <w:divBdr>
                <w:top w:val="none" w:sz="0" w:space="0" w:color="auto"/>
                <w:left w:val="none" w:sz="0" w:space="0" w:color="auto"/>
                <w:bottom w:val="none" w:sz="0" w:space="0" w:color="auto"/>
                <w:right w:val="none" w:sz="0" w:space="0" w:color="auto"/>
              </w:divBdr>
              <w:divsChild>
                <w:div w:id="15036498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888027335">
          <w:marLeft w:val="0"/>
          <w:marRight w:val="0"/>
          <w:marTop w:val="0"/>
          <w:marBottom w:val="0"/>
          <w:divBdr>
            <w:top w:val="none" w:sz="0" w:space="0" w:color="auto"/>
            <w:left w:val="none" w:sz="0" w:space="0" w:color="auto"/>
            <w:bottom w:val="none" w:sz="0" w:space="0" w:color="auto"/>
            <w:right w:val="none" w:sz="0" w:space="0" w:color="auto"/>
          </w:divBdr>
          <w:divsChild>
            <w:div w:id="896865758">
              <w:marLeft w:val="0"/>
              <w:marRight w:val="0"/>
              <w:marTop w:val="0"/>
              <w:marBottom w:val="0"/>
              <w:divBdr>
                <w:top w:val="none" w:sz="0" w:space="0" w:color="auto"/>
                <w:left w:val="none" w:sz="0" w:space="0" w:color="auto"/>
                <w:bottom w:val="none" w:sz="0" w:space="0" w:color="auto"/>
                <w:right w:val="none" w:sz="0" w:space="0" w:color="auto"/>
              </w:divBdr>
              <w:divsChild>
                <w:div w:id="151788796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046763015">
          <w:marLeft w:val="0"/>
          <w:marRight w:val="0"/>
          <w:marTop w:val="0"/>
          <w:marBottom w:val="0"/>
          <w:divBdr>
            <w:top w:val="none" w:sz="0" w:space="0" w:color="auto"/>
            <w:left w:val="none" w:sz="0" w:space="0" w:color="auto"/>
            <w:bottom w:val="none" w:sz="0" w:space="0" w:color="auto"/>
            <w:right w:val="none" w:sz="0" w:space="0" w:color="auto"/>
          </w:divBdr>
          <w:divsChild>
            <w:div w:id="1789932959">
              <w:marLeft w:val="0"/>
              <w:marRight w:val="0"/>
              <w:marTop w:val="0"/>
              <w:marBottom w:val="0"/>
              <w:divBdr>
                <w:top w:val="none" w:sz="0" w:space="0" w:color="auto"/>
                <w:left w:val="none" w:sz="0" w:space="0" w:color="auto"/>
                <w:bottom w:val="none" w:sz="0" w:space="0" w:color="auto"/>
                <w:right w:val="none" w:sz="0" w:space="0" w:color="auto"/>
              </w:divBdr>
              <w:divsChild>
                <w:div w:id="41798973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513081865">
          <w:marLeft w:val="0"/>
          <w:marRight w:val="0"/>
          <w:marTop w:val="0"/>
          <w:marBottom w:val="0"/>
          <w:divBdr>
            <w:top w:val="none" w:sz="0" w:space="0" w:color="auto"/>
            <w:left w:val="none" w:sz="0" w:space="0" w:color="auto"/>
            <w:bottom w:val="none" w:sz="0" w:space="0" w:color="auto"/>
            <w:right w:val="none" w:sz="0" w:space="0" w:color="auto"/>
          </w:divBdr>
          <w:divsChild>
            <w:div w:id="188116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076437">
      <w:bodyDiv w:val="1"/>
      <w:marLeft w:val="0"/>
      <w:marRight w:val="0"/>
      <w:marTop w:val="0"/>
      <w:marBottom w:val="0"/>
      <w:divBdr>
        <w:top w:val="none" w:sz="0" w:space="0" w:color="auto"/>
        <w:left w:val="none" w:sz="0" w:space="0" w:color="auto"/>
        <w:bottom w:val="none" w:sz="0" w:space="0" w:color="auto"/>
        <w:right w:val="none" w:sz="0" w:space="0" w:color="auto"/>
      </w:divBdr>
    </w:div>
    <w:div w:id="228467012">
      <w:bodyDiv w:val="1"/>
      <w:marLeft w:val="0"/>
      <w:marRight w:val="0"/>
      <w:marTop w:val="0"/>
      <w:marBottom w:val="0"/>
      <w:divBdr>
        <w:top w:val="none" w:sz="0" w:space="0" w:color="auto"/>
        <w:left w:val="none" w:sz="0" w:space="0" w:color="auto"/>
        <w:bottom w:val="none" w:sz="0" w:space="0" w:color="auto"/>
        <w:right w:val="none" w:sz="0" w:space="0" w:color="auto"/>
      </w:divBdr>
      <w:divsChild>
        <w:div w:id="1962763811">
          <w:marLeft w:val="0"/>
          <w:marRight w:val="0"/>
          <w:marTop w:val="240"/>
          <w:marBottom w:val="120"/>
          <w:divBdr>
            <w:top w:val="none" w:sz="0" w:space="0" w:color="auto"/>
            <w:left w:val="none" w:sz="0" w:space="0" w:color="auto"/>
            <w:bottom w:val="none" w:sz="0" w:space="0" w:color="auto"/>
            <w:right w:val="none" w:sz="0" w:space="0" w:color="auto"/>
          </w:divBdr>
        </w:div>
        <w:div w:id="2085296413">
          <w:marLeft w:val="0"/>
          <w:marRight w:val="0"/>
          <w:marTop w:val="240"/>
          <w:marBottom w:val="120"/>
          <w:divBdr>
            <w:top w:val="none" w:sz="0" w:space="0" w:color="auto"/>
            <w:left w:val="none" w:sz="0" w:space="0" w:color="auto"/>
            <w:bottom w:val="none" w:sz="0" w:space="0" w:color="auto"/>
            <w:right w:val="none" w:sz="0" w:space="0" w:color="auto"/>
          </w:divBdr>
        </w:div>
      </w:divsChild>
    </w:div>
    <w:div w:id="235163784">
      <w:bodyDiv w:val="1"/>
      <w:marLeft w:val="0"/>
      <w:marRight w:val="0"/>
      <w:marTop w:val="0"/>
      <w:marBottom w:val="0"/>
      <w:divBdr>
        <w:top w:val="none" w:sz="0" w:space="0" w:color="auto"/>
        <w:left w:val="none" w:sz="0" w:space="0" w:color="auto"/>
        <w:bottom w:val="none" w:sz="0" w:space="0" w:color="auto"/>
        <w:right w:val="none" w:sz="0" w:space="0" w:color="auto"/>
      </w:divBdr>
      <w:divsChild>
        <w:div w:id="566454145">
          <w:marLeft w:val="0"/>
          <w:marRight w:val="0"/>
          <w:marTop w:val="0"/>
          <w:marBottom w:val="0"/>
          <w:divBdr>
            <w:top w:val="none" w:sz="0" w:space="0" w:color="auto"/>
            <w:left w:val="none" w:sz="0" w:space="0" w:color="auto"/>
            <w:bottom w:val="none" w:sz="0" w:space="0" w:color="auto"/>
            <w:right w:val="none" w:sz="0" w:space="0" w:color="auto"/>
          </w:divBdr>
        </w:div>
        <w:div w:id="2044597573">
          <w:marLeft w:val="0"/>
          <w:marRight w:val="0"/>
          <w:marTop w:val="0"/>
          <w:marBottom w:val="0"/>
          <w:divBdr>
            <w:top w:val="none" w:sz="0" w:space="0" w:color="auto"/>
            <w:left w:val="none" w:sz="0" w:space="0" w:color="auto"/>
            <w:bottom w:val="none" w:sz="0" w:space="0" w:color="auto"/>
            <w:right w:val="none" w:sz="0" w:space="0" w:color="auto"/>
          </w:divBdr>
        </w:div>
        <w:div w:id="189414148">
          <w:marLeft w:val="0"/>
          <w:marRight w:val="0"/>
          <w:marTop w:val="0"/>
          <w:marBottom w:val="0"/>
          <w:divBdr>
            <w:top w:val="none" w:sz="0" w:space="0" w:color="auto"/>
            <w:left w:val="none" w:sz="0" w:space="0" w:color="auto"/>
            <w:bottom w:val="none" w:sz="0" w:space="0" w:color="auto"/>
            <w:right w:val="none" w:sz="0" w:space="0" w:color="auto"/>
          </w:divBdr>
        </w:div>
        <w:div w:id="308559043">
          <w:marLeft w:val="0"/>
          <w:marRight w:val="0"/>
          <w:marTop w:val="0"/>
          <w:marBottom w:val="0"/>
          <w:divBdr>
            <w:top w:val="none" w:sz="0" w:space="0" w:color="auto"/>
            <w:left w:val="none" w:sz="0" w:space="0" w:color="auto"/>
            <w:bottom w:val="none" w:sz="0" w:space="0" w:color="auto"/>
            <w:right w:val="none" w:sz="0" w:space="0" w:color="auto"/>
          </w:divBdr>
        </w:div>
        <w:div w:id="674264711">
          <w:marLeft w:val="0"/>
          <w:marRight w:val="0"/>
          <w:marTop w:val="0"/>
          <w:marBottom w:val="0"/>
          <w:divBdr>
            <w:top w:val="none" w:sz="0" w:space="0" w:color="auto"/>
            <w:left w:val="none" w:sz="0" w:space="0" w:color="auto"/>
            <w:bottom w:val="none" w:sz="0" w:space="0" w:color="auto"/>
            <w:right w:val="none" w:sz="0" w:space="0" w:color="auto"/>
          </w:divBdr>
        </w:div>
        <w:div w:id="917324935">
          <w:marLeft w:val="0"/>
          <w:marRight w:val="0"/>
          <w:marTop w:val="0"/>
          <w:marBottom w:val="0"/>
          <w:divBdr>
            <w:top w:val="none" w:sz="0" w:space="0" w:color="auto"/>
            <w:left w:val="none" w:sz="0" w:space="0" w:color="auto"/>
            <w:bottom w:val="none" w:sz="0" w:space="0" w:color="auto"/>
            <w:right w:val="none" w:sz="0" w:space="0" w:color="auto"/>
          </w:divBdr>
        </w:div>
      </w:divsChild>
    </w:div>
    <w:div w:id="239562828">
      <w:bodyDiv w:val="1"/>
      <w:marLeft w:val="0"/>
      <w:marRight w:val="0"/>
      <w:marTop w:val="0"/>
      <w:marBottom w:val="0"/>
      <w:divBdr>
        <w:top w:val="none" w:sz="0" w:space="0" w:color="auto"/>
        <w:left w:val="none" w:sz="0" w:space="0" w:color="auto"/>
        <w:bottom w:val="none" w:sz="0" w:space="0" w:color="auto"/>
        <w:right w:val="none" w:sz="0" w:space="0" w:color="auto"/>
      </w:divBdr>
    </w:div>
    <w:div w:id="264505963">
      <w:bodyDiv w:val="1"/>
      <w:marLeft w:val="0"/>
      <w:marRight w:val="0"/>
      <w:marTop w:val="0"/>
      <w:marBottom w:val="0"/>
      <w:divBdr>
        <w:top w:val="none" w:sz="0" w:space="0" w:color="auto"/>
        <w:left w:val="none" w:sz="0" w:space="0" w:color="auto"/>
        <w:bottom w:val="none" w:sz="0" w:space="0" w:color="auto"/>
        <w:right w:val="none" w:sz="0" w:space="0" w:color="auto"/>
      </w:divBdr>
    </w:div>
    <w:div w:id="272515395">
      <w:bodyDiv w:val="1"/>
      <w:marLeft w:val="0"/>
      <w:marRight w:val="0"/>
      <w:marTop w:val="0"/>
      <w:marBottom w:val="0"/>
      <w:divBdr>
        <w:top w:val="none" w:sz="0" w:space="0" w:color="auto"/>
        <w:left w:val="none" w:sz="0" w:space="0" w:color="auto"/>
        <w:bottom w:val="none" w:sz="0" w:space="0" w:color="auto"/>
        <w:right w:val="none" w:sz="0" w:space="0" w:color="auto"/>
      </w:divBdr>
      <w:divsChild>
        <w:div w:id="823937114">
          <w:marLeft w:val="0"/>
          <w:marRight w:val="0"/>
          <w:marTop w:val="240"/>
          <w:marBottom w:val="120"/>
          <w:divBdr>
            <w:top w:val="none" w:sz="0" w:space="0" w:color="auto"/>
            <w:left w:val="none" w:sz="0" w:space="0" w:color="auto"/>
            <w:bottom w:val="none" w:sz="0" w:space="0" w:color="auto"/>
            <w:right w:val="none" w:sz="0" w:space="0" w:color="auto"/>
          </w:divBdr>
        </w:div>
        <w:div w:id="805196583">
          <w:marLeft w:val="0"/>
          <w:marRight w:val="0"/>
          <w:marTop w:val="240"/>
          <w:marBottom w:val="120"/>
          <w:divBdr>
            <w:top w:val="none" w:sz="0" w:space="0" w:color="auto"/>
            <w:left w:val="none" w:sz="0" w:space="0" w:color="auto"/>
            <w:bottom w:val="none" w:sz="0" w:space="0" w:color="auto"/>
            <w:right w:val="none" w:sz="0" w:space="0" w:color="auto"/>
          </w:divBdr>
        </w:div>
      </w:divsChild>
    </w:div>
    <w:div w:id="297758131">
      <w:bodyDiv w:val="1"/>
      <w:marLeft w:val="0"/>
      <w:marRight w:val="0"/>
      <w:marTop w:val="0"/>
      <w:marBottom w:val="0"/>
      <w:divBdr>
        <w:top w:val="none" w:sz="0" w:space="0" w:color="auto"/>
        <w:left w:val="none" w:sz="0" w:space="0" w:color="auto"/>
        <w:bottom w:val="none" w:sz="0" w:space="0" w:color="auto"/>
        <w:right w:val="none" w:sz="0" w:space="0" w:color="auto"/>
      </w:divBdr>
    </w:div>
    <w:div w:id="306782726">
      <w:bodyDiv w:val="1"/>
      <w:marLeft w:val="0"/>
      <w:marRight w:val="0"/>
      <w:marTop w:val="0"/>
      <w:marBottom w:val="0"/>
      <w:divBdr>
        <w:top w:val="none" w:sz="0" w:space="0" w:color="auto"/>
        <w:left w:val="none" w:sz="0" w:space="0" w:color="auto"/>
        <w:bottom w:val="none" w:sz="0" w:space="0" w:color="auto"/>
        <w:right w:val="none" w:sz="0" w:space="0" w:color="auto"/>
      </w:divBdr>
      <w:divsChild>
        <w:div w:id="256452442">
          <w:marLeft w:val="0"/>
          <w:marRight w:val="0"/>
          <w:marTop w:val="240"/>
          <w:marBottom w:val="120"/>
          <w:divBdr>
            <w:top w:val="none" w:sz="0" w:space="0" w:color="auto"/>
            <w:left w:val="none" w:sz="0" w:space="0" w:color="auto"/>
            <w:bottom w:val="none" w:sz="0" w:space="0" w:color="auto"/>
            <w:right w:val="none" w:sz="0" w:space="0" w:color="auto"/>
          </w:divBdr>
        </w:div>
        <w:div w:id="700981941">
          <w:marLeft w:val="0"/>
          <w:marRight w:val="0"/>
          <w:marTop w:val="240"/>
          <w:marBottom w:val="120"/>
          <w:divBdr>
            <w:top w:val="none" w:sz="0" w:space="0" w:color="auto"/>
            <w:left w:val="none" w:sz="0" w:space="0" w:color="auto"/>
            <w:bottom w:val="none" w:sz="0" w:space="0" w:color="auto"/>
            <w:right w:val="none" w:sz="0" w:space="0" w:color="auto"/>
          </w:divBdr>
        </w:div>
      </w:divsChild>
    </w:div>
    <w:div w:id="321392439">
      <w:bodyDiv w:val="1"/>
      <w:marLeft w:val="0"/>
      <w:marRight w:val="0"/>
      <w:marTop w:val="0"/>
      <w:marBottom w:val="0"/>
      <w:divBdr>
        <w:top w:val="none" w:sz="0" w:space="0" w:color="auto"/>
        <w:left w:val="none" w:sz="0" w:space="0" w:color="auto"/>
        <w:bottom w:val="none" w:sz="0" w:space="0" w:color="auto"/>
        <w:right w:val="none" w:sz="0" w:space="0" w:color="auto"/>
      </w:divBdr>
    </w:div>
    <w:div w:id="341931591">
      <w:bodyDiv w:val="1"/>
      <w:marLeft w:val="0"/>
      <w:marRight w:val="0"/>
      <w:marTop w:val="0"/>
      <w:marBottom w:val="0"/>
      <w:divBdr>
        <w:top w:val="none" w:sz="0" w:space="0" w:color="auto"/>
        <w:left w:val="none" w:sz="0" w:space="0" w:color="auto"/>
        <w:bottom w:val="none" w:sz="0" w:space="0" w:color="auto"/>
        <w:right w:val="none" w:sz="0" w:space="0" w:color="auto"/>
      </w:divBdr>
      <w:divsChild>
        <w:div w:id="37630124">
          <w:marLeft w:val="0"/>
          <w:marRight w:val="0"/>
          <w:marTop w:val="240"/>
          <w:marBottom w:val="120"/>
          <w:divBdr>
            <w:top w:val="none" w:sz="0" w:space="0" w:color="auto"/>
            <w:left w:val="none" w:sz="0" w:space="0" w:color="auto"/>
            <w:bottom w:val="none" w:sz="0" w:space="0" w:color="auto"/>
            <w:right w:val="none" w:sz="0" w:space="0" w:color="auto"/>
          </w:divBdr>
        </w:div>
        <w:div w:id="1147472534">
          <w:marLeft w:val="0"/>
          <w:marRight w:val="0"/>
          <w:marTop w:val="240"/>
          <w:marBottom w:val="120"/>
          <w:divBdr>
            <w:top w:val="none" w:sz="0" w:space="0" w:color="auto"/>
            <w:left w:val="none" w:sz="0" w:space="0" w:color="auto"/>
            <w:bottom w:val="none" w:sz="0" w:space="0" w:color="auto"/>
            <w:right w:val="none" w:sz="0" w:space="0" w:color="auto"/>
          </w:divBdr>
        </w:div>
      </w:divsChild>
    </w:div>
    <w:div w:id="342441334">
      <w:bodyDiv w:val="1"/>
      <w:marLeft w:val="0"/>
      <w:marRight w:val="0"/>
      <w:marTop w:val="0"/>
      <w:marBottom w:val="0"/>
      <w:divBdr>
        <w:top w:val="none" w:sz="0" w:space="0" w:color="auto"/>
        <w:left w:val="none" w:sz="0" w:space="0" w:color="auto"/>
        <w:bottom w:val="none" w:sz="0" w:space="0" w:color="auto"/>
        <w:right w:val="none" w:sz="0" w:space="0" w:color="auto"/>
      </w:divBdr>
      <w:divsChild>
        <w:div w:id="1692950792">
          <w:marLeft w:val="0"/>
          <w:marRight w:val="0"/>
          <w:marTop w:val="0"/>
          <w:marBottom w:val="0"/>
          <w:divBdr>
            <w:top w:val="none" w:sz="0" w:space="0" w:color="auto"/>
            <w:left w:val="none" w:sz="0" w:space="0" w:color="auto"/>
            <w:bottom w:val="none" w:sz="0" w:space="0" w:color="auto"/>
            <w:right w:val="none" w:sz="0" w:space="0" w:color="auto"/>
          </w:divBdr>
          <w:divsChild>
            <w:div w:id="18238562">
              <w:marLeft w:val="0"/>
              <w:marRight w:val="0"/>
              <w:marTop w:val="0"/>
              <w:marBottom w:val="0"/>
              <w:divBdr>
                <w:top w:val="none" w:sz="0" w:space="0" w:color="auto"/>
                <w:left w:val="none" w:sz="0" w:space="0" w:color="auto"/>
                <w:bottom w:val="none" w:sz="0" w:space="0" w:color="auto"/>
                <w:right w:val="none" w:sz="0" w:space="0" w:color="auto"/>
              </w:divBdr>
              <w:divsChild>
                <w:div w:id="710568820">
                  <w:marLeft w:val="0"/>
                  <w:marRight w:val="0"/>
                  <w:marTop w:val="0"/>
                  <w:marBottom w:val="0"/>
                  <w:divBdr>
                    <w:top w:val="none" w:sz="0" w:space="0" w:color="auto"/>
                    <w:left w:val="none" w:sz="0" w:space="0" w:color="auto"/>
                    <w:bottom w:val="none" w:sz="0" w:space="0" w:color="auto"/>
                    <w:right w:val="none" w:sz="0" w:space="0" w:color="auto"/>
                  </w:divBdr>
                </w:div>
                <w:div w:id="1050959663">
                  <w:marLeft w:val="0"/>
                  <w:marRight w:val="0"/>
                  <w:marTop w:val="0"/>
                  <w:marBottom w:val="0"/>
                  <w:divBdr>
                    <w:top w:val="none" w:sz="0" w:space="0" w:color="auto"/>
                    <w:left w:val="none" w:sz="0" w:space="0" w:color="auto"/>
                    <w:bottom w:val="none" w:sz="0" w:space="0" w:color="auto"/>
                    <w:right w:val="none" w:sz="0" w:space="0" w:color="auto"/>
                  </w:divBdr>
                  <w:divsChild>
                    <w:div w:id="1904635950">
                      <w:marLeft w:val="0"/>
                      <w:marRight w:val="0"/>
                      <w:marTop w:val="0"/>
                      <w:marBottom w:val="0"/>
                      <w:divBdr>
                        <w:top w:val="none" w:sz="0" w:space="0" w:color="auto"/>
                        <w:left w:val="none" w:sz="0" w:space="0" w:color="auto"/>
                        <w:bottom w:val="none" w:sz="0" w:space="0" w:color="auto"/>
                        <w:right w:val="none" w:sz="0" w:space="0" w:color="auto"/>
                      </w:divBdr>
                    </w:div>
                  </w:divsChild>
                </w:div>
                <w:div w:id="775173260">
                  <w:marLeft w:val="0"/>
                  <w:marRight w:val="0"/>
                  <w:marTop w:val="0"/>
                  <w:marBottom w:val="0"/>
                  <w:divBdr>
                    <w:top w:val="none" w:sz="0" w:space="0" w:color="auto"/>
                    <w:left w:val="none" w:sz="0" w:space="0" w:color="auto"/>
                    <w:bottom w:val="none" w:sz="0" w:space="0" w:color="auto"/>
                    <w:right w:val="none" w:sz="0" w:space="0" w:color="auto"/>
                  </w:divBdr>
                </w:div>
                <w:div w:id="177944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208084">
      <w:bodyDiv w:val="1"/>
      <w:marLeft w:val="0"/>
      <w:marRight w:val="0"/>
      <w:marTop w:val="0"/>
      <w:marBottom w:val="0"/>
      <w:divBdr>
        <w:top w:val="none" w:sz="0" w:space="0" w:color="auto"/>
        <w:left w:val="none" w:sz="0" w:space="0" w:color="auto"/>
        <w:bottom w:val="none" w:sz="0" w:space="0" w:color="auto"/>
        <w:right w:val="none" w:sz="0" w:space="0" w:color="auto"/>
      </w:divBdr>
      <w:divsChild>
        <w:div w:id="1968854169">
          <w:marLeft w:val="0"/>
          <w:marRight w:val="0"/>
          <w:marTop w:val="0"/>
          <w:marBottom w:val="0"/>
          <w:divBdr>
            <w:top w:val="none" w:sz="0" w:space="0" w:color="auto"/>
            <w:left w:val="none" w:sz="0" w:space="0" w:color="auto"/>
            <w:bottom w:val="none" w:sz="0" w:space="0" w:color="auto"/>
            <w:right w:val="none" w:sz="0" w:space="0" w:color="auto"/>
          </w:divBdr>
          <w:divsChild>
            <w:div w:id="477501895">
              <w:marLeft w:val="0"/>
              <w:marRight w:val="0"/>
              <w:marTop w:val="0"/>
              <w:marBottom w:val="0"/>
              <w:divBdr>
                <w:top w:val="none" w:sz="0" w:space="0" w:color="auto"/>
                <w:left w:val="none" w:sz="0" w:space="0" w:color="auto"/>
                <w:bottom w:val="none" w:sz="0" w:space="0" w:color="auto"/>
                <w:right w:val="none" w:sz="0" w:space="0" w:color="auto"/>
              </w:divBdr>
              <w:divsChild>
                <w:div w:id="697126698">
                  <w:marLeft w:val="0"/>
                  <w:marRight w:val="0"/>
                  <w:marTop w:val="0"/>
                  <w:marBottom w:val="0"/>
                  <w:divBdr>
                    <w:top w:val="none" w:sz="0" w:space="0" w:color="auto"/>
                    <w:left w:val="none" w:sz="0" w:space="0" w:color="auto"/>
                    <w:bottom w:val="none" w:sz="0" w:space="0" w:color="auto"/>
                    <w:right w:val="none" w:sz="0" w:space="0" w:color="auto"/>
                  </w:divBdr>
                </w:div>
                <w:div w:id="257912286">
                  <w:marLeft w:val="0"/>
                  <w:marRight w:val="0"/>
                  <w:marTop w:val="0"/>
                  <w:marBottom w:val="0"/>
                  <w:divBdr>
                    <w:top w:val="none" w:sz="0" w:space="0" w:color="auto"/>
                    <w:left w:val="none" w:sz="0" w:space="0" w:color="auto"/>
                    <w:bottom w:val="none" w:sz="0" w:space="0" w:color="auto"/>
                    <w:right w:val="none" w:sz="0" w:space="0" w:color="auto"/>
                  </w:divBdr>
                  <w:divsChild>
                    <w:div w:id="770396052">
                      <w:marLeft w:val="0"/>
                      <w:marRight w:val="0"/>
                      <w:marTop w:val="0"/>
                      <w:marBottom w:val="0"/>
                      <w:divBdr>
                        <w:top w:val="none" w:sz="0" w:space="0" w:color="auto"/>
                        <w:left w:val="none" w:sz="0" w:space="0" w:color="auto"/>
                        <w:bottom w:val="none" w:sz="0" w:space="0" w:color="auto"/>
                        <w:right w:val="none" w:sz="0" w:space="0" w:color="auto"/>
                      </w:divBdr>
                    </w:div>
                  </w:divsChild>
                </w:div>
                <w:div w:id="8148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643551">
      <w:bodyDiv w:val="1"/>
      <w:marLeft w:val="0"/>
      <w:marRight w:val="0"/>
      <w:marTop w:val="0"/>
      <w:marBottom w:val="0"/>
      <w:divBdr>
        <w:top w:val="none" w:sz="0" w:space="0" w:color="auto"/>
        <w:left w:val="none" w:sz="0" w:space="0" w:color="auto"/>
        <w:bottom w:val="none" w:sz="0" w:space="0" w:color="auto"/>
        <w:right w:val="none" w:sz="0" w:space="0" w:color="auto"/>
      </w:divBdr>
    </w:div>
    <w:div w:id="373115582">
      <w:bodyDiv w:val="1"/>
      <w:marLeft w:val="0"/>
      <w:marRight w:val="0"/>
      <w:marTop w:val="0"/>
      <w:marBottom w:val="0"/>
      <w:divBdr>
        <w:top w:val="none" w:sz="0" w:space="0" w:color="auto"/>
        <w:left w:val="none" w:sz="0" w:space="0" w:color="auto"/>
        <w:bottom w:val="none" w:sz="0" w:space="0" w:color="auto"/>
        <w:right w:val="none" w:sz="0" w:space="0" w:color="auto"/>
      </w:divBdr>
      <w:divsChild>
        <w:div w:id="2113285183">
          <w:marLeft w:val="0"/>
          <w:marRight w:val="0"/>
          <w:marTop w:val="0"/>
          <w:marBottom w:val="0"/>
          <w:divBdr>
            <w:top w:val="none" w:sz="0" w:space="0" w:color="auto"/>
            <w:left w:val="none" w:sz="0" w:space="0" w:color="auto"/>
            <w:bottom w:val="none" w:sz="0" w:space="0" w:color="auto"/>
            <w:right w:val="none" w:sz="0" w:space="0" w:color="auto"/>
          </w:divBdr>
        </w:div>
        <w:div w:id="1922400110">
          <w:marLeft w:val="0"/>
          <w:marRight w:val="0"/>
          <w:marTop w:val="0"/>
          <w:marBottom w:val="0"/>
          <w:divBdr>
            <w:top w:val="none" w:sz="0" w:space="0" w:color="auto"/>
            <w:left w:val="none" w:sz="0" w:space="0" w:color="auto"/>
            <w:bottom w:val="none" w:sz="0" w:space="0" w:color="auto"/>
            <w:right w:val="none" w:sz="0" w:space="0" w:color="auto"/>
          </w:divBdr>
        </w:div>
        <w:div w:id="1396928289">
          <w:marLeft w:val="0"/>
          <w:marRight w:val="0"/>
          <w:marTop w:val="0"/>
          <w:marBottom w:val="0"/>
          <w:divBdr>
            <w:top w:val="none" w:sz="0" w:space="0" w:color="auto"/>
            <w:left w:val="none" w:sz="0" w:space="0" w:color="auto"/>
            <w:bottom w:val="none" w:sz="0" w:space="0" w:color="auto"/>
            <w:right w:val="none" w:sz="0" w:space="0" w:color="auto"/>
          </w:divBdr>
        </w:div>
        <w:div w:id="2072339089">
          <w:marLeft w:val="0"/>
          <w:marRight w:val="0"/>
          <w:marTop w:val="0"/>
          <w:marBottom w:val="0"/>
          <w:divBdr>
            <w:top w:val="none" w:sz="0" w:space="0" w:color="auto"/>
            <w:left w:val="none" w:sz="0" w:space="0" w:color="auto"/>
            <w:bottom w:val="none" w:sz="0" w:space="0" w:color="auto"/>
            <w:right w:val="none" w:sz="0" w:space="0" w:color="auto"/>
          </w:divBdr>
        </w:div>
        <w:div w:id="1850483868">
          <w:marLeft w:val="0"/>
          <w:marRight w:val="0"/>
          <w:marTop w:val="0"/>
          <w:marBottom w:val="0"/>
          <w:divBdr>
            <w:top w:val="none" w:sz="0" w:space="0" w:color="auto"/>
            <w:left w:val="none" w:sz="0" w:space="0" w:color="auto"/>
            <w:bottom w:val="none" w:sz="0" w:space="0" w:color="auto"/>
            <w:right w:val="none" w:sz="0" w:space="0" w:color="auto"/>
          </w:divBdr>
        </w:div>
      </w:divsChild>
    </w:div>
    <w:div w:id="373965066">
      <w:bodyDiv w:val="1"/>
      <w:marLeft w:val="0"/>
      <w:marRight w:val="0"/>
      <w:marTop w:val="0"/>
      <w:marBottom w:val="0"/>
      <w:divBdr>
        <w:top w:val="none" w:sz="0" w:space="0" w:color="auto"/>
        <w:left w:val="none" w:sz="0" w:space="0" w:color="auto"/>
        <w:bottom w:val="none" w:sz="0" w:space="0" w:color="auto"/>
        <w:right w:val="none" w:sz="0" w:space="0" w:color="auto"/>
      </w:divBdr>
    </w:div>
    <w:div w:id="374546239">
      <w:bodyDiv w:val="1"/>
      <w:marLeft w:val="0"/>
      <w:marRight w:val="0"/>
      <w:marTop w:val="0"/>
      <w:marBottom w:val="0"/>
      <w:divBdr>
        <w:top w:val="none" w:sz="0" w:space="0" w:color="auto"/>
        <w:left w:val="none" w:sz="0" w:space="0" w:color="auto"/>
        <w:bottom w:val="none" w:sz="0" w:space="0" w:color="auto"/>
        <w:right w:val="none" w:sz="0" w:space="0" w:color="auto"/>
      </w:divBdr>
    </w:div>
    <w:div w:id="375473902">
      <w:bodyDiv w:val="1"/>
      <w:marLeft w:val="0"/>
      <w:marRight w:val="0"/>
      <w:marTop w:val="0"/>
      <w:marBottom w:val="0"/>
      <w:divBdr>
        <w:top w:val="none" w:sz="0" w:space="0" w:color="auto"/>
        <w:left w:val="none" w:sz="0" w:space="0" w:color="auto"/>
        <w:bottom w:val="none" w:sz="0" w:space="0" w:color="auto"/>
        <w:right w:val="none" w:sz="0" w:space="0" w:color="auto"/>
      </w:divBdr>
    </w:div>
    <w:div w:id="377322946">
      <w:bodyDiv w:val="1"/>
      <w:marLeft w:val="0"/>
      <w:marRight w:val="0"/>
      <w:marTop w:val="0"/>
      <w:marBottom w:val="0"/>
      <w:divBdr>
        <w:top w:val="none" w:sz="0" w:space="0" w:color="auto"/>
        <w:left w:val="none" w:sz="0" w:space="0" w:color="auto"/>
        <w:bottom w:val="none" w:sz="0" w:space="0" w:color="auto"/>
        <w:right w:val="none" w:sz="0" w:space="0" w:color="auto"/>
      </w:divBdr>
    </w:div>
    <w:div w:id="382022083">
      <w:bodyDiv w:val="1"/>
      <w:marLeft w:val="0"/>
      <w:marRight w:val="0"/>
      <w:marTop w:val="0"/>
      <w:marBottom w:val="0"/>
      <w:divBdr>
        <w:top w:val="none" w:sz="0" w:space="0" w:color="auto"/>
        <w:left w:val="none" w:sz="0" w:space="0" w:color="auto"/>
        <w:bottom w:val="none" w:sz="0" w:space="0" w:color="auto"/>
        <w:right w:val="none" w:sz="0" w:space="0" w:color="auto"/>
      </w:divBdr>
      <w:divsChild>
        <w:div w:id="100076079">
          <w:marLeft w:val="0"/>
          <w:marRight w:val="0"/>
          <w:marTop w:val="240"/>
          <w:marBottom w:val="120"/>
          <w:divBdr>
            <w:top w:val="none" w:sz="0" w:space="0" w:color="auto"/>
            <w:left w:val="none" w:sz="0" w:space="0" w:color="auto"/>
            <w:bottom w:val="none" w:sz="0" w:space="0" w:color="auto"/>
            <w:right w:val="none" w:sz="0" w:space="0" w:color="auto"/>
          </w:divBdr>
        </w:div>
        <w:div w:id="691029628">
          <w:marLeft w:val="0"/>
          <w:marRight w:val="0"/>
          <w:marTop w:val="240"/>
          <w:marBottom w:val="120"/>
          <w:divBdr>
            <w:top w:val="none" w:sz="0" w:space="0" w:color="auto"/>
            <w:left w:val="none" w:sz="0" w:space="0" w:color="auto"/>
            <w:bottom w:val="none" w:sz="0" w:space="0" w:color="auto"/>
            <w:right w:val="none" w:sz="0" w:space="0" w:color="auto"/>
          </w:divBdr>
        </w:div>
      </w:divsChild>
    </w:div>
    <w:div w:id="388841162">
      <w:bodyDiv w:val="1"/>
      <w:marLeft w:val="0"/>
      <w:marRight w:val="0"/>
      <w:marTop w:val="0"/>
      <w:marBottom w:val="0"/>
      <w:divBdr>
        <w:top w:val="none" w:sz="0" w:space="0" w:color="auto"/>
        <w:left w:val="none" w:sz="0" w:space="0" w:color="auto"/>
        <w:bottom w:val="none" w:sz="0" w:space="0" w:color="auto"/>
        <w:right w:val="none" w:sz="0" w:space="0" w:color="auto"/>
      </w:divBdr>
    </w:div>
    <w:div w:id="418794670">
      <w:bodyDiv w:val="1"/>
      <w:marLeft w:val="0"/>
      <w:marRight w:val="0"/>
      <w:marTop w:val="0"/>
      <w:marBottom w:val="0"/>
      <w:divBdr>
        <w:top w:val="none" w:sz="0" w:space="0" w:color="auto"/>
        <w:left w:val="none" w:sz="0" w:space="0" w:color="auto"/>
        <w:bottom w:val="none" w:sz="0" w:space="0" w:color="auto"/>
        <w:right w:val="none" w:sz="0" w:space="0" w:color="auto"/>
      </w:divBdr>
    </w:div>
    <w:div w:id="427888649">
      <w:bodyDiv w:val="1"/>
      <w:marLeft w:val="0"/>
      <w:marRight w:val="0"/>
      <w:marTop w:val="0"/>
      <w:marBottom w:val="0"/>
      <w:divBdr>
        <w:top w:val="none" w:sz="0" w:space="0" w:color="auto"/>
        <w:left w:val="none" w:sz="0" w:space="0" w:color="auto"/>
        <w:bottom w:val="none" w:sz="0" w:space="0" w:color="auto"/>
        <w:right w:val="none" w:sz="0" w:space="0" w:color="auto"/>
      </w:divBdr>
      <w:divsChild>
        <w:div w:id="959725942">
          <w:marLeft w:val="0"/>
          <w:marRight w:val="0"/>
          <w:marTop w:val="0"/>
          <w:marBottom w:val="0"/>
          <w:divBdr>
            <w:top w:val="none" w:sz="0" w:space="0" w:color="auto"/>
            <w:left w:val="none" w:sz="0" w:space="0" w:color="auto"/>
            <w:bottom w:val="none" w:sz="0" w:space="0" w:color="auto"/>
            <w:right w:val="none" w:sz="0" w:space="0" w:color="auto"/>
          </w:divBdr>
        </w:div>
        <w:div w:id="2052803703">
          <w:marLeft w:val="0"/>
          <w:marRight w:val="0"/>
          <w:marTop w:val="0"/>
          <w:marBottom w:val="0"/>
          <w:divBdr>
            <w:top w:val="none" w:sz="0" w:space="0" w:color="auto"/>
            <w:left w:val="none" w:sz="0" w:space="0" w:color="auto"/>
            <w:bottom w:val="none" w:sz="0" w:space="0" w:color="auto"/>
            <w:right w:val="none" w:sz="0" w:space="0" w:color="auto"/>
          </w:divBdr>
        </w:div>
      </w:divsChild>
    </w:div>
    <w:div w:id="442580563">
      <w:bodyDiv w:val="1"/>
      <w:marLeft w:val="0"/>
      <w:marRight w:val="0"/>
      <w:marTop w:val="0"/>
      <w:marBottom w:val="0"/>
      <w:divBdr>
        <w:top w:val="none" w:sz="0" w:space="0" w:color="auto"/>
        <w:left w:val="none" w:sz="0" w:space="0" w:color="auto"/>
        <w:bottom w:val="none" w:sz="0" w:space="0" w:color="auto"/>
        <w:right w:val="none" w:sz="0" w:space="0" w:color="auto"/>
      </w:divBdr>
      <w:divsChild>
        <w:div w:id="182480832">
          <w:marLeft w:val="0"/>
          <w:marRight w:val="0"/>
          <w:marTop w:val="0"/>
          <w:marBottom w:val="0"/>
          <w:divBdr>
            <w:top w:val="none" w:sz="0" w:space="0" w:color="auto"/>
            <w:left w:val="none" w:sz="0" w:space="0" w:color="auto"/>
            <w:bottom w:val="none" w:sz="0" w:space="0" w:color="auto"/>
            <w:right w:val="none" w:sz="0" w:space="0" w:color="auto"/>
          </w:divBdr>
          <w:divsChild>
            <w:div w:id="1293247889">
              <w:marLeft w:val="0"/>
              <w:marRight w:val="0"/>
              <w:marTop w:val="0"/>
              <w:marBottom w:val="0"/>
              <w:divBdr>
                <w:top w:val="none" w:sz="0" w:space="0" w:color="auto"/>
                <w:left w:val="none" w:sz="0" w:space="0" w:color="auto"/>
                <w:bottom w:val="none" w:sz="0" w:space="0" w:color="auto"/>
                <w:right w:val="none" w:sz="0" w:space="0" w:color="auto"/>
              </w:divBdr>
              <w:divsChild>
                <w:div w:id="597828984">
                  <w:marLeft w:val="0"/>
                  <w:marRight w:val="0"/>
                  <w:marTop w:val="0"/>
                  <w:marBottom w:val="0"/>
                  <w:divBdr>
                    <w:top w:val="none" w:sz="0" w:space="0" w:color="auto"/>
                    <w:left w:val="none" w:sz="0" w:space="0" w:color="auto"/>
                    <w:bottom w:val="none" w:sz="0" w:space="0" w:color="auto"/>
                    <w:right w:val="none" w:sz="0" w:space="0" w:color="auto"/>
                  </w:divBdr>
                  <w:divsChild>
                    <w:div w:id="4944001">
                      <w:marLeft w:val="0"/>
                      <w:marRight w:val="0"/>
                      <w:marTop w:val="0"/>
                      <w:marBottom w:val="0"/>
                      <w:divBdr>
                        <w:top w:val="none" w:sz="0" w:space="0" w:color="auto"/>
                        <w:left w:val="none" w:sz="0" w:space="0" w:color="auto"/>
                        <w:bottom w:val="none" w:sz="0" w:space="0" w:color="auto"/>
                        <w:right w:val="none" w:sz="0" w:space="0" w:color="auto"/>
                      </w:divBdr>
                    </w:div>
                  </w:divsChild>
                </w:div>
                <w:div w:id="10022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42127">
          <w:marLeft w:val="0"/>
          <w:marRight w:val="0"/>
          <w:marTop w:val="0"/>
          <w:marBottom w:val="0"/>
          <w:divBdr>
            <w:top w:val="none" w:sz="0" w:space="0" w:color="auto"/>
            <w:left w:val="none" w:sz="0" w:space="0" w:color="auto"/>
            <w:bottom w:val="none" w:sz="0" w:space="0" w:color="auto"/>
            <w:right w:val="none" w:sz="0" w:space="0" w:color="auto"/>
          </w:divBdr>
        </w:div>
      </w:divsChild>
    </w:div>
    <w:div w:id="464200797">
      <w:bodyDiv w:val="1"/>
      <w:marLeft w:val="0"/>
      <w:marRight w:val="0"/>
      <w:marTop w:val="0"/>
      <w:marBottom w:val="0"/>
      <w:divBdr>
        <w:top w:val="none" w:sz="0" w:space="0" w:color="auto"/>
        <w:left w:val="none" w:sz="0" w:space="0" w:color="auto"/>
        <w:bottom w:val="none" w:sz="0" w:space="0" w:color="auto"/>
        <w:right w:val="none" w:sz="0" w:space="0" w:color="auto"/>
      </w:divBdr>
    </w:div>
    <w:div w:id="497576309">
      <w:bodyDiv w:val="1"/>
      <w:marLeft w:val="0"/>
      <w:marRight w:val="0"/>
      <w:marTop w:val="0"/>
      <w:marBottom w:val="0"/>
      <w:divBdr>
        <w:top w:val="none" w:sz="0" w:space="0" w:color="auto"/>
        <w:left w:val="none" w:sz="0" w:space="0" w:color="auto"/>
        <w:bottom w:val="none" w:sz="0" w:space="0" w:color="auto"/>
        <w:right w:val="none" w:sz="0" w:space="0" w:color="auto"/>
      </w:divBdr>
      <w:divsChild>
        <w:div w:id="1360660132">
          <w:marLeft w:val="0"/>
          <w:marRight w:val="0"/>
          <w:marTop w:val="0"/>
          <w:marBottom w:val="0"/>
          <w:divBdr>
            <w:top w:val="none" w:sz="0" w:space="0" w:color="auto"/>
            <w:left w:val="none" w:sz="0" w:space="0" w:color="auto"/>
            <w:bottom w:val="none" w:sz="0" w:space="0" w:color="auto"/>
            <w:right w:val="none" w:sz="0" w:space="0" w:color="auto"/>
          </w:divBdr>
          <w:divsChild>
            <w:div w:id="551816258">
              <w:marLeft w:val="0"/>
              <w:marRight w:val="0"/>
              <w:marTop w:val="0"/>
              <w:marBottom w:val="0"/>
              <w:divBdr>
                <w:top w:val="none" w:sz="0" w:space="0" w:color="auto"/>
                <w:left w:val="none" w:sz="0" w:space="0" w:color="auto"/>
                <w:bottom w:val="none" w:sz="0" w:space="0" w:color="auto"/>
                <w:right w:val="none" w:sz="0" w:space="0" w:color="auto"/>
              </w:divBdr>
              <w:divsChild>
                <w:div w:id="12647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398456">
          <w:marLeft w:val="0"/>
          <w:marRight w:val="0"/>
          <w:marTop w:val="0"/>
          <w:marBottom w:val="0"/>
          <w:divBdr>
            <w:top w:val="none" w:sz="0" w:space="0" w:color="auto"/>
            <w:left w:val="none" w:sz="0" w:space="0" w:color="auto"/>
            <w:bottom w:val="none" w:sz="0" w:space="0" w:color="auto"/>
            <w:right w:val="none" w:sz="0" w:space="0" w:color="auto"/>
          </w:divBdr>
          <w:divsChild>
            <w:div w:id="114265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51420">
      <w:bodyDiv w:val="1"/>
      <w:marLeft w:val="0"/>
      <w:marRight w:val="0"/>
      <w:marTop w:val="0"/>
      <w:marBottom w:val="0"/>
      <w:divBdr>
        <w:top w:val="none" w:sz="0" w:space="0" w:color="auto"/>
        <w:left w:val="none" w:sz="0" w:space="0" w:color="auto"/>
        <w:bottom w:val="none" w:sz="0" w:space="0" w:color="auto"/>
        <w:right w:val="none" w:sz="0" w:space="0" w:color="auto"/>
      </w:divBdr>
    </w:div>
    <w:div w:id="532768859">
      <w:bodyDiv w:val="1"/>
      <w:marLeft w:val="0"/>
      <w:marRight w:val="0"/>
      <w:marTop w:val="0"/>
      <w:marBottom w:val="0"/>
      <w:divBdr>
        <w:top w:val="none" w:sz="0" w:space="0" w:color="auto"/>
        <w:left w:val="none" w:sz="0" w:space="0" w:color="auto"/>
        <w:bottom w:val="none" w:sz="0" w:space="0" w:color="auto"/>
        <w:right w:val="none" w:sz="0" w:space="0" w:color="auto"/>
      </w:divBdr>
      <w:divsChild>
        <w:div w:id="1222136225">
          <w:marLeft w:val="0"/>
          <w:marRight w:val="0"/>
          <w:marTop w:val="0"/>
          <w:marBottom w:val="0"/>
          <w:divBdr>
            <w:top w:val="none" w:sz="0" w:space="0" w:color="auto"/>
            <w:left w:val="none" w:sz="0" w:space="0" w:color="auto"/>
            <w:bottom w:val="none" w:sz="0" w:space="0" w:color="auto"/>
            <w:right w:val="none" w:sz="0" w:space="0" w:color="auto"/>
          </w:divBdr>
          <w:divsChild>
            <w:div w:id="2052150987">
              <w:marLeft w:val="0"/>
              <w:marRight w:val="0"/>
              <w:marTop w:val="0"/>
              <w:marBottom w:val="0"/>
              <w:divBdr>
                <w:top w:val="none" w:sz="0" w:space="0" w:color="auto"/>
                <w:left w:val="none" w:sz="0" w:space="0" w:color="auto"/>
                <w:bottom w:val="none" w:sz="0" w:space="0" w:color="auto"/>
                <w:right w:val="none" w:sz="0" w:space="0" w:color="auto"/>
              </w:divBdr>
            </w:div>
          </w:divsChild>
        </w:div>
        <w:div w:id="446318179">
          <w:marLeft w:val="0"/>
          <w:marRight w:val="0"/>
          <w:marTop w:val="0"/>
          <w:marBottom w:val="0"/>
          <w:divBdr>
            <w:top w:val="none" w:sz="0" w:space="0" w:color="auto"/>
            <w:left w:val="none" w:sz="0" w:space="0" w:color="auto"/>
            <w:bottom w:val="none" w:sz="0" w:space="0" w:color="auto"/>
            <w:right w:val="none" w:sz="0" w:space="0" w:color="auto"/>
          </w:divBdr>
          <w:divsChild>
            <w:div w:id="884222859">
              <w:marLeft w:val="0"/>
              <w:marRight w:val="0"/>
              <w:marTop w:val="0"/>
              <w:marBottom w:val="0"/>
              <w:divBdr>
                <w:top w:val="none" w:sz="0" w:space="0" w:color="auto"/>
                <w:left w:val="none" w:sz="0" w:space="0" w:color="auto"/>
                <w:bottom w:val="none" w:sz="0" w:space="0" w:color="auto"/>
                <w:right w:val="none" w:sz="0" w:space="0" w:color="auto"/>
              </w:divBdr>
            </w:div>
          </w:divsChild>
        </w:div>
        <w:div w:id="1759062720">
          <w:marLeft w:val="0"/>
          <w:marRight w:val="0"/>
          <w:marTop w:val="0"/>
          <w:marBottom w:val="0"/>
          <w:divBdr>
            <w:top w:val="none" w:sz="0" w:space="0" w:color="auto"/>
            <w:left w:val="none" w:sz="0" w:space="0" w:color="auto"/>
            <w:bottom w:val="none" w:sz="0" w:space="0" w:color="auto"/>
            <w:right w:val="none" w:sz="0" w:space="0" w:color="auto"/>
          </w:divBdr>
          <w:divsChild>
            <w:div w:id="159987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998756">
      <w:bodyDiv w:val="1"/>
      <w:marLeft w:val="0"/>
      <w:marRight w:val="0"/>
      <w:marTop w:val="0"/>
      <w:marBottom w:val="0"/>
      <w:divBdr>
        <w:top w:val="none" w:sz="0" w:space="0" w:color="auto"/>
        <w:left w:val="none" w:sz="0" w:space="0" w:color="auto"/>
        <w:bottom w:val="none" w:sz="0" w:space="0" w:color="auto"/>
        <w:right w:val="none" w:sz="0" w:space="0" w:color="auto"/>
      </w:divBdr>
    </w:div>
    <w:div w:id="551887328">
      <w:bodyDiv w:val="1"/>
      <w:marLeft w:val="0"/>
      <w:marRight w:val="0"/>
      <w:marTop w:val="0"/>
      <w:marBottom w:val="0"/>
      <w:divBdr>
        <w:top w:val="none" w:sz="0" w:space="0" w:color="auto"/>
        <w:left w:val="none" w:sz="0" w:space="0" w:color="auto"/>
        <w:bottom w:val="none" w:sz="0" w:space="0" w:color="auto"/>
        <w:right w:val="none" w:sz="0" w:space="0" w:color="auto"/>
      </w:divBdr>
      <w:divsChild>
        <w:div w:id="1098258443">
          <w:marLeft w:val="0"/>
          <w:marRight w:val="0"/>
          <w:marTop w:val="240"/>
          <w:marBottom w:val="120"/>
          <w:divBdr>
            <w:top w:val="none" w:sz="0" w:space="0" w:color="auto"/>
            <w:left w:val="none" w:sz="0" w:space="0" w:color="auto"/>
            <w:bottom w:val="none" w:sz="0" w:space="0" w:color="auto"/>
            <w:right w:val="none" w:sz="0" w:space="0" w:color="auto"/>
          </w:divBdr>
        </w:div>
        <w:div w:id="2010138293">
          <w:marLeft w:val="0"/>
          <w:marRight w:val="0"/>
          <w:marTop w:val="240"/>
          <w:marBottom w:val="120"/>
          <w:divBdr>
            <w:top w:val="none" w:sz="0" w:space="0" w:color="auto"/>
            <w:left w:val="none" w:sz="0" w:space="0" w:color="auto"/>
            <w:bottom w:val="none" w:sz="0" w:space="0" w:color="auto"/>
            <w:right w:val="none" w:sz="0" w:space="0" w:color="auto"/>
          </w:divBdr>
        </w:div>
      </w:divsChild>
    </w:div>
    <w:div w:id="555361784">
      <w:bodyDiv w:val="1"/>
      <w:marLeft w:val="0"/>
      <w:marRight w:val="0"/>
      <w:marTop w:val="0"/>
      <w:marBottom w:val="0"/>
      <w:divBdr>
        <w:top w:val="none" w:sz="0" w:space="0" w:color="auto"/>
        <w:left w:val="none" w:sz="0" w:space="0" w:color="auto"/>
        <w:bottom w:val="none" w:sz="0" w:space="0" w:color="auto"/>
        <w:right w:val="none" w:sz="0" w:space="0" w:color="auto"/>
      </w:divBdr>
      <w:divsChild>
        <w:div w:id="102044273">
          <w:marLeft w:val="0"/>
          <w:marRight w:val="0"/>
          <w:marTop w:val="240"/>
          <w:marBottom w:val="120"/>
          <w:divBdr>
            <w:top w:val="none" w:sz="0" w:space="0" w:color="auto"/>
            <w:left w:val="none" w:sz="0" w:space="0" w:color="auto"/>
            <w:bottom w:val="none" w:sz="0" w:space="0" w:color="auto"/>
            <w:right w:val="none" w:sz="0" w:space="0" w:color="auto"/>
          </w:divBdr>
        </w:div>
        <w:div w:id="2139031180">
          <w:marLeft w:val="0"/>
          <w:marRight w:val="0"/>
          <w:marTop w:val="240"/>
          <w:marBottom w:val="120"/>
          <w:divBdr>
            <w:top w:val="none" w:sz="0" w:space="0" w:color="auto"/>
            <w:left w:val="none" w:sz="0" w:space="0" w:color="auto"/>
            <w:bottom w:val="none" w:sz="0" w:space="0" w:color="auto"/>
            <w:right w:val="none" w:sz="0" w:space="0" w:color="auto"/>
          </w:divBdr>
        </w:div>
      </w:divsChild>
    </w:div>
    <w:div w:id="597176210">
      <w:bodyDiv w:val="1"/>
      <w:marLeft w:val="0"/>
      <w:marRight w:val="0"/>
      <w:marTop w:val="0"/>
      <w:marBottom w:val="0"/>
      <w:divBdr>
        <w:top w:val="none" w:sz="0" w:space="0" w:color="auto"/>
        <w:left w:val="none" w:sz="0" w:space="0" w:color="auto"/>
        <w:bottom w:val="none" w:sz="0" w:space="0" w:color="auto"/>
        <w:right w:val="none" w:sz="0" w:space="0" w:color="auto"/>
      </w:divBdr>
      <w:divsChild>
        <w:div w:id="1749570453">
          <w:marLeft w:val="0"/>
          <w:marRight w:val="0"/>
          <w:marTop w:val="0"/>
          <w:marBottom w:val="0"/>
          <w:divBdr>
            <w:top w:val="none" w:sz="0" w:space="0" w:color="auto"/>
            <w:left w:val="none" w:sz="0" w:space="0" w:color="auto"/>
            <w:bottom w:val="none" w:sz="0" w:space="0" w:color="auto"/>
            <w:right w:val="none" w:sz="0" w:space="0" w:color="auto"/>
          </w:divBdr>
        </w:div>
      </w:divsChild>
    </w:div>
    <w:div w:id="599995493">
      <w:bodyDiv w:val="1"/>
      <w:marLeft w:val="0"/>
      <w:marRight w:val="0"/>
      <w:marTop w:val="0"/>
      <w:marBottom w:val="0"/>
      <w:divBdr>
        <w:top w:val="none" w:sz="0" w:space="0" w:color="auto"/>
        <w:left w:val="none" w:sz="0" w:space="0" w:color="auto"/>
        <w:bottom w:val="none" w:sz="0" w:space="0" w:color="auto"/>
        <w:right w:val="none" w:sz="0" w:space="0" w:color="auto"/>
      </w:divBdr>
    </w:div>
    <w:div w:id="603267583">
      <w:bodyDiv w:val="1"/>
      <w:marLeft w:val="0"/>
      <w:marRight w:val="0"/>
      <w:marTop w:val="0"/>
      <w:marBottom w:val="0"/>
      <w:divBdr>
        <w:top w:val="none" w:sz="0" w:space="0" w:color="auto"/>
        <w:left w:val="none" w:sz="0" w:space="0" w:color="auto"/>
        <w:bottom w:val="none" w:sz="0" w:space="0" w:color="auto"/>
        <w:right w:val="none" w:sz="0" w:space="0" w:color="auto"/>
      </w:divBdr>
    </w:div>
    <w:div w:id="622346089">
      <w:bodyDiv w:val="1"/>
      <w:marLeft w:val="0"/>
      <w:marRight w:val="0"/>
      <w:marTop w:val="0"/>
      <w:marBottom w:val="0"/>
      <w:divBdr>
        <w:top w:val="none" w:sz="0" w:space="0" w:color="auto"/>
        <w:left w:val="none" w:sz="0" w:space="0" w:color="auto"/>
        <w:bottom w:val="none" w:sz="0" w:space="0" w:color="auto"/>
        <w:right w:val="none" w:sz="0" w:space="0" w:color="auto"/>
      </w:divBdr>
    </w:div>
    <w:div w:id="632059947">
      <w:bodyDiv w:val="1"/>
      <w:marLeft w:val="0"/>
      <w:marRight w:val="0"/>
      <w:marTop w:val="0"/>
      <w:marBottom w:val="0"/>
      <w:divBdr>
        <w:top w:val="none" w:sz="0" w:space="0" w:color="auto"/>
        <w:left w:val="none" w:sz="0" w:space="0" w:color="auto"/>
        <w:bottom w:val="none" w:sz="0" w:space="0" w:color="auto"/>
        <w:right w:val="none" w:sz="0" w:space="0" w:color="auto"/>
      </w:divBdr>
      <w:divsChild>
        <w:div w:id="1456368014">
          <w:marLeft w:val="0"/>
          <w:marRight w:val="0"/>
          <w:marTop w:val="0"/>
          <w:marBottom w:val="0"/>
          <w:divBdr>
            <w:top w:val="none" w:sz="0" w:space="0" w:color="auto"/>
            <w:left w:val="none" w:sz="0" w:space="0" w:color="auto"/>
            <w:bottom w:val="none" w:sz="0" w:space="0" w:color="auto"/>
            <w:right w:val="none" w:sz="0" w:space="0" w:color="auto"/>
          </w:divBdr>
          <w:divsChild>
            <w:div w:id="1268469611">
              <w:marLeft w:val="0"/>
              <w:marRight w:val="0"/>
              <w:marTop w:val="0"/>
              <w:marBottom w:val="0"/>
              <w:divBdr>
                <w:top w:val="none" w:sz="0" w:space="0" w:color="auto"/>
                <w:left w:val="none" w:sz="0" w:space="0" w:color="auto"/>
                <w:bottom w:val="none" w:sz="0" w:space="0" w:color="auto"/>
                <w:right w:val="none" w:sz="0" w:space="0" w:color="auto"/>
              </w:divBdr>
              <w:divsChild>
                <w:div w:id="389427080">
                  <w:marLeft w:val="0"/>
                  <w:marRight w:val="0"/>
                  <w:marTop w:val="0"/>
                  <w:marBottom w:val="0"/>
                  <w:divBdr>
                    <w:top w:val="none" w:sz="0" w:space="0" w:color="auto"/>
                    <w:left w:val="none" w:sz="0" w:space="0" w:color="auto"/>
                    <w:bottom w:val="none" w:sz="0" w:space="0" w:color="auto"/>
                    <w:right w:val="none" w:sz="0" w:space="0" w:color="auto"/>
                  </w:divBdr>
                </w:div>
                <w:div w:id="92674422">
                  <w:marLeft w:val="0"/>
                  <w:marRight w:val="0"/>
                  <w:marTop w:val="0"/>
                  <w:marBottom w:val="0"/>
                  <w:divBdr>
                    <w:top w:val="none" w:sz="0" w:space="0" w:color="auto"/>
                    <w:left w:val="none" w:sz="0" w:space="0" w:color="auto"/>
                    <w:bottom w:val="none" w:sz="0" w:space="0" w:color="auto"/>
                    <w:right w:val="none" w:sz="0" w:space="0" w:color="auto"/>
                  </w:divBdr>
                  <w:divsChild>
                    <w:div w:id="261226629">
                      <w:marLeft w:val="0"/>
                      <w:marRight w:val="0"/>
                      <w:marTop w:val="0"/>
                      <w:marBottom w:val="0"/>
                      <w:divBdr>
                        <w:top w:val="none" w:sz="0" w:space="0" w:color="auto"/>
                        <w:left w:val="none" w:sz="0" w:space="0" w:color="auto"/>
                        <w:bottom w:val="none" w:sz="0" w:space="0" w:color="auto"/>
                        <w:right w:val="none" w:sz="0" w:space="0" w:color="auto"/>
                      </w:divBdr>
                    </w:div>
                  </w:divsChild>
                </w:div>
                <w:div w:id="143454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613334">
      <w:bodyDiv w:val="1"/>
      <w:marLeft w:val="0"/>
      <w:marRight w:val="0"/>
      <w:marTop w:val="0"/>
      <w:marBottom w:val="0"/>
      <w:divBdr>
        <w:top w:val="none" w:sz="0" w:space="0" w:color="auto"/>
        <w:left w:val="none" w:sz="0" w:space="0" w:color="auto"/>
        <w:bottom w:val="none" w:sz="0" w:space="0" w:color="auto"/>
        <w:right w:val="none" w:sz="0" w:space="0" w:color="auto"/>
      </w:divBdr>
    </w:div>
    <w:div w:id="645353296">
      <w:bodyDiv w:val="1"/>
      <w:marLeft w:val="0"/>
      <w:marRight w:val="0"/>
      <w:marTop w:val="0"/>
      <w:marBottom w:val="0"/>
      <w:divBdr>
        <w:top w:val="none" w:sz="0" w:space="0" w:color="auto"/>
        <w:left w:val="none" w:sz="0" w:space="0" w:color="auto"/>
        <w:bottom w:val="none" w:sz="0" w:space="0" w:color="auto"/>
        <w:right w:val="none" w:sz="0" w:space="0" w:color="auto"/>
      </w:divBdr>
    </w:div>
    <w:div w:id="675156984">
      <w:bodyDiv w:val="1"/>
      <w:marLeft w:val="0"/>
      <w:marRight w:val="0"/>
      <w:marTop w:val="0"/>
      <w:marBottom w:val="0"/>
      <w:divBdr>
        <w:top w:val="none" w:sz="0" w:space="0" w:color="auto"/>
        <w:left w:val="none" w:sz="0" w:space="0" w:color="auto"/>
        <w:bottom w:val="none" w:sz="0" w:space="0" w:color="auto"/>
        <w:right w:val="none" w:sz="0" w:space="0" w:color="auto"/>
      </w:divBdr>
      <w:divsChild>
        <w:div w:id="263154668">
          <w:marLeft w:val="0"/>
          <w:marRight w:val="0"/>
          <w:marTop w:val="240"/>
          <w:marBottom w:val="120"/>
          <w:divBdr>
            <w:top w:val="none" w:sz="0" w:space="0" w:color="auto"/>
            <w:left w:val="none" w:sz="0" w:space="0" w:color="auto"/>
            <w:bottom w:val="none" w:sz="0" w:space="0" w:color="auto"/>
            <w:right w:val="none" w:sz="0" w:space="0" w:color="auto"/>
          </w:divBdr>
        </w:div>
        <w:div w:id="1711102079">
          <w:marLeft w:val="0"/>
          <w:marRight w:val="0"/>
          <w:marTop w:val="240"/>
          <w:marBottom w:val="120"/>
          <w:divBdr>
            <w:top w:val="none" w:sz="0" w:space="0" w:color="auto"/>
            <w:left w:val="none" w:sz="0" w:space="0" w:color="auto"/>
            <w:bottom w:val="none" w:sz="0" w:space="0" w:color="auto"/>
            <w:right w:val="none" w:sz="0" w:space="0" w:color="auto"/>
          </w:divBdr>
        </w:div>
      </w:divsChild>
    </w:div>
    <w:div w:id="675616929">
      <w:bodyDiv w:val="1"/>
      <w:marLeft w:val="0"/>
      <w:marRight w:val="0"/>
      <w:marTop w:val="0"/>
      <w:marBottom w:val="0"/>
      <w:divBdr>
        <w:top w:val="none" w:sz="0" w:space="0" w:color="auto"/>
        <w:left w:val="none" w:sz="0" w:space="0" w:color="auto"/>
        <w:bottom w:val="none" w:sz="0" w:space="0" w:color="auto"/>
        <w:right w:val="none" w:sz="0" w:space="0" w:color="auto"/>
      </w:divBdr>
      <w:divsChild>
        <w:div w:id="348915312">
          <w:marLeft w:val="0"/>
          <w:marRight w:val="0"/>
          <w:marTop w:val="0"/>
          <w:marBottom w:val="0"/>
          <w:divBdr>
            <w:top w:val="none" w:sz="0" w:space="0" w:color="auto"/>
            <w:left w:val="none" w:sz="0" w:space="0" w:color="auto"/>
            <w:bottom w:val="none" w:sz="0" w:space="0" w:color="auto"/>
            <w:right w:val="none" w:sz="0" w:space="0" w:color="auto"/>
          </w:divBdr>
        </w:div>
        <w:div w:id="170722132">
          <w:marLeft w:val="0"/>
          <w:marRight w:val="0"/>
          <w:marTop w:val="0"/>
          <w:marBottom w:val="0"/>
          <w:divBdr>
            <w:top w:val="none" w:sz="0" w:space="0" w:color="auto"/>
            <w:left w:val="none" w:sz="0" w:space="0" w:color="auto"/>
            <w:bottom w:val="none" w:sz="0" w:space="0" w:color="auto"/>
            <w:right w:val="none" w:sz="0" w:space="0" w:color="auto"/>
          </w:divBdr>
        </w:div>
      </w:divsChild>
    </w:div>
    <w:div w:id="677274577">
      <w:bodyDiv w:val="1"/>
      <w:marLeft w:val="0"/>
      <w:marRight w:val="0"/>
      <w:marTop w:val="0"/>
      <w:marBottom w:val="0"/>
      <w:divBdr>
        <w:top w:val="none" w:sz="0" w:space="0" w:color="auto"/>
        <w:left w:val="none" w:sz="0" w:space="0" w:color="auto"/>
        <w:bottom w:val="none" w:sz="0" w:space="0" w:color="auto"/>
        <w:right w:val="none" w:sz="0" w:space="0" w:color="auto"/>
      </w:divBdr>
      <w:divsChild>
        <w:div w:id="151340895">
          <w:marLeft w:val="0"/>
          <w:marRight w:val="0"/>
          <w:marTop w:val="0"/>
          <w:marBottom w:val="0"/>
          <w:divBdr>
            <w:top w:val="none" w:sz="0" w:space="0" w:color="auto"/>
            <w:left w:val="none" w:sz="0" w:space="0" w:color="auto"/>
            <w:bottom w:val="none" w:sz="0" w:space="0" w:color="auto"/>
            <w:right w:val="none" w:sz="0" w:space="0" w:color="auto"/>
          </w:divBdr>
          <w:divsChild>
            <w:div w:id="1470707876">
              <w:marLeft w:val="0"/>
              <w:marRight w:val="0"/>
              <w:marTop w:val="0"/>
              <w:marBottom w:val="0"/>
              <w:divBdr>
                <w:top w:val="none" w:sz="0" w:space="0" w:color="auto"/>
                <w:left w:val="none" w:sz="0" w:space="0" w:color="auto"/>
                <w:bottom w:val="none" w:sz="0" w:space="0" w:color="auto"/>
                <w:right w:val="none" w:sz="0" w:space="0" w:color="auto"/>
              </w:divBdr>
              <w:divsChild>
                <w:div w:id="979580050">
                  <w:marLeft w:val="0"/>
                  <w:marRight w:val="0"/>
                  <w:marTop w:val="0"/>
                  <w:marBottom w:val="0"/>
                  <w:divBdr>
                    <w:top w:val="none" w:sz="0" w:space="0" w:color="auto"/>
                    <w:left w:val="none" w:sz="0" w:space="0" w:color="auto"/>
                    <w:bottom w:val="none" w:sz="0" w:space="0" w:color="auto"/>
                    <w:right w:val="none" w:sz="0" w:space="0" w:color="auto"/>
                  </w:divBdr>
                  <w:divsChild>
                    <w:div w:id="20533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917733">
      <w:bodyDiv w:val="1"/>
      <w:marLeft w:val="0"/>
      <w:marRight w:val="0"/>
      <w:marTop w:val="0"/>
      <w:marBottom w:val="0"/>
      <w:divBdr>
        <w:top w:val="none" w:sz="0" w:space="0" w:color="auto"/>
        <w:left w:val="none" w:sz="0" w:space="0" w:color="auto"/>
        <w:bottom w:val="none" w:sz="0" w:space="0" w:color="auto"/>
        <w:right w:val="none" w:sz="0" w:space="0" w:color="auto"/>
      </w:divBdr>
      <w:divsChild>
        <w:div w:id="1594127543">
          <w:marLeft w:val="0"/>
          <w:marRight w:val="0"/>
          <w:marTop w:val="240"/>
          <w:marBottom w:val="120"/>
          <w:divBdr>
            <w:top w:val="none" w:sz="0" w:space="0" w:color="auto"/>
            <w:left w:val="none" w:sz="0" w:space="0" w:color="auto"/>
            <w:bottom w:val="none" w:sz="0" w:space="0" w:color="auto"/>
            <w:right w:val="none" w:sz="0" w:space="0" w:color="auto"/>
          </w:divBdr>
        </w:div>
        <w:div w:id="1118793527">
          <w:marLeft w:val="0"/>
          <w:marRight w:val="0"/>
          <w:marTop w:val="240"/>
          <w:marBottom w:val="120"/>
          <w:divBdr>
            <w:top w:val="none" w:sz="0" w:space="0" w:color="auto"/>
            <w:left w:val="none" w:sz="0" w:space="0" w:color="auto"/>
            <w:bottom w:val="none" w:sz="0" w:space="0" w:color="auto"/>
            <w:right w:val="none" w:sz="0" w:space="0" w:color="auto"/>
          </w:divBdr>
        </w:div>
      </w:divsChild>
    </w:div>
    <w:div w:id="699165262">
      <w:bodyDiv w:val="1"/>
      <w:marLeft w:val="0"/>
      <w:marRight w:val="0"/>
      <w:marTop w:val="0"/>
      <w:marBottom w:val="0"/>
      <w:divBdr>
        <w:top w:val="none" w:sz="0" w:space="0" w:color="auto"/>
        <w:left w:val="none" w:sz="0" w:space="0" w:color="auto"/>
        <w:bottom w:val="none" w:sz="0" w:space="0" w:color="auto"/>
        <w:right w:val="none" w:sz="0" w:space="0" w:color="auto"/>
      </w:divBdr>
      <w:divsChild>
        <w:div w:id="1866944581">
          <w:marLeft w:val="0"/>
          <w:marRight w:val="0"/>
          <w:marTop w:val="240"/>
          <w:marBottom w:val="120"/>
          <w:divBdr>
            <w:top w:val="none" w:sz="0" w:space="0" w:color="auto"/>
            <w:left w:val="none" w:sz="0" w:space="0" w:color="auto"/>
            <w:bottom w:val="none" w:sz="0" w:space="0" w:color="auto"/>
            <w:right w:val="none" w:sz="0" w:space="0" w:color="auto"/>
          </w:divBdr>
        </w:div>
        <w:div w:id="139805411">
          <w:marLeft w:val="0"/>
          <w:marRight w:val="0"/>
          <w:marTop w:val="240"/>
          <w:marBottom w:val="120"/>
          <w:divBdr>
            <w:top w:val="none" w:sz="0" w:space="0" w:color="auto"/>
            <w:left w:val="none" w:sz="0" w:space="0" w:color="auto"/>
            <w:bottom w:val="none" w:sz="0" w:space="0" w:color="auto"/>
            <w:right w:val="none" w:sz="0" w:space="0" w:color="auto"/>
          </w:divBdr>
        </w:div>
      </w:divsChild>
    </w:div>
    <w:div w:id="700131663">
      <w:bodyDiv w:val="1"/>
      <w:marLeft w:val="0"/>
      <w:marRight w:val="0"/>
      <w:marTop w:val="0"/>
      <w:marBottom w:val="0"/>
      <w:divBdr>
        <w:top w:val="none" w:sz="0" w:space="0" w:color="auto"/>
        <w:left w:val="none" w:sz="0" w:space="0" w:color="auto"/>
        <w:bottom w:val="none" w:sz="0" w:space="0" w:color="auto"/>
        <w:right w:val="none" w:sz="0" w:space="0" w:color="auto"/>
      </w:divBdr>
      <w:divsChild>
        <w:div w:id="398787849">
          <w:marLeft w:val="0"/>
          <w:marRight w:val="0"/>
          <w:marTop w:val="240"/>
          <w:marBottom w:val="120"/>
          <w:divBdr>
            <w:top w:val="none" w:sz="0" w:space="0" w:color="auto"/>
            <w:left w:val="none" w:sz="0" w:space="0" w:color="auto"/>
            <w:bottom w:val="none" w:sz="0" w:space="0" w:color="auto"/>
            <w:right w:val="none" w:sz="0" w:space="0" w:color="auto"/>
          </w:divBdr>
        </w:div>
        <w:div w:id="819929725">
          <w:marLeft w:val="0"/>
          <w:marRight w:val="0"/>
          <w:marTop w:val="240"/>
          <w:marBottom w:val="120"/>
          <w:divBdr>
            <w:top w:val="none" w:sz="0" w:space="0" w:color="auto"/>
            <w:left w:val="none" w:sz="0" w:space="0" w:color="auto"/>
            <w:bottom w:val="none" w:sz="0" w:space="0" w:color="auto"/>
            <w:right w:val="none" w:sz="0" w:space="0" w:color="auto"/>
          </w:divBdr>
        </w:div>
      </w:divsChild>
    </w:div>
    <w:div w:id="717432798">
      <w:bodyDiv w:val="1"/>
      <w:marLeft w:val="0"/>
      <w:marRight w:val="0"/>
      <w:marTop w:val="0"/>
      <w:marBottom w:val="0"/>
      <w:divBdr>
        <w:top w:val="none" w:sz="0" w:space="0" w:color="auto"/>
        <w:left w:val="none" w:sz="0" w:space="0" w:color="auto"/>
        <w:bottom w:val="none" w:sz="0" w:space="0" w:color="auto"/>
        <w:right w:val="none" w:sz="0" w:space="0" w:color="auto"/>
      </w:divBdr>
    </w:div>
    <w:div w:id="720831630">
      <w:bodyDiv w:val="1"/>
      <w:marLeft w:val="0"/>
      <w:marRight w:val="0"/>
      <w:marTop w:val="0"/>
      <w:marBottom w:val="0"/>
      <w:divBdr>
        <w:top w:val="none" w:sz="0" w:space="0" w:color="auto"/>
        <w:left w:val="none" w:sz="0" w:space="0" w:color="auto"/>
        <w:bottom w:val="none" w:sz="0" w:space="0" w:color="auto"/>
        <w:right w:val="none" w:sz="0" w:space="0" w:color="auto"/>
      </w:divBdr>
      <w:divsChild>
        <w:div w:id="977417227">
          <w:marLeft w:val="0"/>
          <w:marRight w:val="0"/>
          <w:marTop w:val="0"/>
          <w:marBottom w:val="0"/>
          <w:divBdr>
            <w:top w:val="none" w:sz="0" w:space="0" w:color="auto"/>
            <w:left w:val="none" w:sz="0" w:space="0" w:color="auto"/>
            <w:bottom w:val="none" w:sz="0" w:space="0" w:color="auto"/>
            <w:right w:val="none" w:sz="0" w:space="0" w:color="auto"/>
          </w:divBdr>
          <w:divsChild>
            <w:div w:id="2055737412">
              <w:marLeft w:val="0"/>
              <w:marRight w:val="0"/>
              <w:marTop w:val="0"/>
              <w:marBottom w:val="0"/>
              <w:divBdr>
                <w:top w:val="none" w:sz="0" w:space="0" w:color="auto"/>
                <w:left w:val="none" w:sz="0" w:space="0" w:color="auto"/>
                <w:bottom w:val="none" w:sz="0" w:space="0" w:color="auto"/>
                <w:right w:val="none" w:sz="0" w:space="0" w:color="auto"/>
              </w:divBdr>
              <w:divsChild>
                <w:div w:id="1364328835">
                  <w:marLeft w:val="-30"/>
                  <w:marRight w:val="90"/>
                  <w:marTop w:val="0"/>
                  <w:marBottom w:val="105"/>
                  <w:divBdr>
                    <w:top w:val="none" w:sz="0" w:space="0" w:color="auto"/>
                    <w:left w:val="none" w:sz="0" w:space="0" w:color="auto"/>
                    <w:bottom w:val="none" w:sz="0" w:space="0" w:color="auto"/>
                    <w:right w:val="none" w:sz="0" w:space="0" w:color="auto"/>
                  </w:divBdr>
                </w:div>
              </w:divsChild>
            </w:div>
          </w:divsChild>
        </w:div>
        <w:div w:id="178279913">
          <w:marLeft w:val="0"/>
          <w:marRight w:val="0"/>
          <w:marTop w:val="0"/>
          <w:marBottom w:val="0"/>
          <w:divBdr>
            <w:top w:val="none" w:sz="0" w:space="0" w:color="auto"/>
            <w:left w:val="none" w:sz="0" w:space="0" w:color="auto"/>
            <w:bottom w:val="none" w:sz="0" w:space="0" w:color="auto"/>
            <w:right w:val="none" w:sz="0" w:space="0" w:color="auto"/>
          </w:divBdr>
          <w:divsChild>
            <w:div w:id="48044504">
              <w:marLeft w:val="0"/>
              <w:marRight w:val="0"/>
              <w:marTop w:val="0"/>
              <w:marBottom w:val="0"/>
              <w:divBdr>
                <w:top w:val="none" w:sz="0" w:space="0" w:color="auto"/>
                <w:left w:val="none" w:sz="0" w:space="0" w:color="auto"/>
                <w:bottom w:val="none" w:sz="0" w:space="0" w:color="auto"/>
                <w:right w:val="none" w:sz="0" w:space="0" w:color="auto"/>
              </w:divBdr>
            </w:div>
          </w:divsChild>
        </w:div>
        <w:div w:id="455755445">
          <w:marLeft w:val="0"/>
          <w:marRight w:val="0"/>
          <w:marTop w:val="0"/>
          <w:marBottom w:val="0"/>
          <w:divBdr>
            <w:top w:val="none" w:sz="0" w:space="0" w:color="auto"/>
            <w:left w:val="none" w:sz="0" w:space="0" w:color="auto"/>
            <w:bottom w:val="none" w:sz="0" w:space="0" w:color="auto"/>
            <w:right w:val="none" w:sz="0" w:space="0" w:color="auto"/>
          </w:divBdr>
          <w:divsChild>
            <w:div w:id="344484979">
              <w:marLeft w:val="0"/>
              <w:marRight w:val="0"/>
              <w:marTop w:val="0"/>
              <w:marBottom w:val="0"/>
              <w:divBdr>
                <w:top w:val="none" w:sz="0" w:space="0" w:color="auto"/>
                <w:left w:val="none" w:sz="0" w:space="0" w:color="auto"/>
                <w:bottom w:val="none" w:sz="0" w:space="0" w:color="auto"/>
                <w:right w:val="none" w:sz="0" w:space="0" w:color="auto"/>
              </w:divBdr>
              <w:divsChild>
                <w:div w:id="360325560">
                  <w:marLeft w:val="0"/>
                  <w:marRight w:val="0"/>
                  <w:marTop w:val="0"/>
                  <w:marBottom w:val="0"/>
                  <w:divBdr>
                    <w:top w:val="none" w:sz="0" w:space="0" w:color="auto"/>
                    <w:left w:val="none" w:sz="0" w:space="0" w:color="auto"/>
                    <w:bottom w:val="none" w:sz="0" w:space="0" w:color="auto"/>
                    <w:right w:val="none" w:sz="0" w:space="0" w:color="auto"/>
                  </w:divBdr>
                  <w:divsChild>
                    <w:div w:id="1706101581">
                      <w:marLeft w:val="0"/>
                      <w:marRight w:val="0"/>
                      <w:marTop w:val="0"/>
                      <w:marBottom w:val="0"/>
                      <w:divBdr>
                        <w:top w:val="none" w:sz="0" w:space="0" w:color="auto"/>
                        <w:left w:val="none" w:sz="0" w:space="0" w:color="auto"/>
                        <w:bottom w:val="none" w:sz="0" w:space="0" w:color="auto"/>
                        <w:right w:val="none" w:sz="0" w:space="0" w:color="auto"/>
                      </w:divBdr>
                    </w:div>
                    <w:div w:id="712996701">
                      <w:marLeft w:val="0"/>
                      <w:marRight w:val="0"/>
                      <w:marTop w:val="0"/>
                      <w:marBottom w:val="0"/>
                      <w:divBdr>
                        <w:top w:val="none" w:sz="0" w:space="0" w:color="auto"/>
                        <w:left w:val="none" w:sz="0" w:space="0" w:color="auto"/>
                        <w:bottom w:val="none" w:sz="0" w:space="0" w:color="auto"/>
                        <w:right w:val="none" w:sz="0" w:space="0" w:color="auto"/>
                      </w:divBdr>
                      <w:divsChild>
                        <w:div w:id="1616011892">
                          <w:marLeft w:val="0"/>
                          <w:marRight w:val="0"/>
                          <w:marTop w:val="0"/>
                          <w:marBottom w:val="0"/>
                          <w:divBdr>
                            <w:top w:val="none" w:sz="0" w:space="0" w:color="auto"/>
                            <w:left w:val="none" w:sz="0" w:space="0" w:color="auto"/>
                            <w:bottom w:val="none" w:sz="0" w:space="0" w:color="auto"/>
                            <w:right w:val="none" w:sz="0" w:space="0" w:color="auto"/>
                          </w:divBdr>
                          <w:divsChild>
                            <w:div w:id="174661870">
                              <w:marLeft w:val="0"/>
                              <w:marRight w:val="0"/>
                              <w:marTop w:val="0"/>
                              <w:marBottom w:val="0"/>
                              <w:divBdr>
                                <w:top w:val="none" w:sz="0" w:space="0" w:color="auto"/>
                                <w:left w:val="none" w:sz="0" w:space="0" w:color="auto"/>
                                <w:bottom w:val="none" w:sz="0" w:space="0" w:color="auto"/>
                                <w:right w:val="none" w:sz="0" w:space="0" w:color="auto"/>
                              </w:divBdr>
                              <w:divsChild>
                                <w:div w:id="1186168221">
                                  <w:marLeft w:val="0"/>
                                  <w:marRight w:val="-120"/>
                                  <w:marTop w:val="0"/>
                                  <w:marBottom w:val="0"/>
                                  <w:divBdr>
                                    <w:top w:val="single" w:sz="6" w:space="0" w:color="C2C2C2"/>
                                    <w:left w:val="single" w:sz="6" w:space="0" w:color="C2C2C2"/>
                                    <w:bottom w:val="single" w:sz="6" w:space="0" w:color="C2C2C2"/>
                                    <w:right w:val="none" w:sz="0" w:space="0" w:color="auto"/>
                                  </w:divBdr>
                                  <w:divsChild>
                                    <w:div w:id="814688998">
                                      <w:marLeft w:val="0"/>
                                      <w:marRight w:val="0"/>
                                      <w:marTop w:val="0"/>
                                      <w:marBottom w:val="0"/>
                                      <w:divBdr>
                                        <w:top w:val="none" w:sz="0" w:space="0" w:color="auto"/>
                                        <w:left w:val="none" w:sz="0" w:space="0" w:color="auto"/>
                                        <w:bottom w:val="none" w:sz="0" w:space="0" w:color="auto"/>
                                        <w:right w:val="none" w:sz="0" w:space="0" w:color="auto"/>
                                      </w:divBdr>
                                    </w:div>
                                  </w:divsChild>
                                </w:div>
                                <w:div w:id="68301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5391">
                      <w:marLeft w:val="0"/>
                      <w:marRight w:val="0"/>
                      <w:marTop w:val="0"/>
                      <w:marBottom w:val="0"/>
                      <w:divBdr>
                        <w:top w:val="none" w:sz="0" w:space="0" w:color="auto"/>
                        <w:left w:val="none" w:sz="0" w:space="0" w:color="auto"/>
                        <w:bottom w:val="none" w:sz="0" w:space="0" w:color="auto"/>
                        <w:right w:val="none" w:sz="0" w:space="0" w:color="auto"/>
                      </w:divBdr>
                      <w:divsChild>
                        <w:div w:id="197836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233476">
                  <w:marLeft w:val="0"/>
                  <w:marRight w:val="0"/>
                  <w:marTop w:val="0"/>
                  <w:marBottom w:val="0"/>
                  <w:divBdr>
                    <w:top w:val="none" w:sz="0" w:space="0" w:color="auto"/>
                    <w:left w:val="none" w:sz="0" w:space="0" w:color="auto"/>
                    <w:bottom w:val="none" w:sz="0" w:space="0" w:color="auto"/>
                    <w:right w:val="none" w:sz="0" w:space="0" w:color="auto"/>
                  </w:divBdr>
                  <w:divsChild>
                    <w:div w:id="2129464479">
                      <w:marLeft w:val="0"/>
                      <w:marRight w:val="0"/>
                      <w:marTop w:val="0"/>
                      <w:marBottom w:val="0"/>
                      <w:divBdr>
                        <w:top w:val="none" w:sz="0" w:space="0" w:color="auto"/>
                        <w:left w:val="none" w:sz="0" w:space="0" w:color="auto"/>
                        <w:bottom w:val="none" w:sz="0" w:space="0" w:color="auto"/>
                        <w:right w:val="none" w:sz="0" w:space="0" w:color="auto"/>
                      </w:divBdr>
                      <w:divsChild>
                        <w:div w:id="362480076">
                          <w:marLeft w:val="0"/>
                          <w:marRight w:val="0"/>
                          <w:marTop w:val="0"/>
                          <w:marBottom w:val="0"/>
                          <w:divBdr>
                            <w:top w:val="none" w:sz="0" w:space="0" w:color="auto"/>
                            <w:left w:val="none" w:sz="0" w:space="0" w:color="auto"/>
                            <w:bottom w:val="none" w:sz="0" w:space="0" w:color="auto"/>
                            <w:right w:val="none" w:sz="0" w:space="0" w:color="auto"/>
                          </w:divBdr>
                          <w:divsChild>
                            <w:div w:id="1334600919">
                              <w:marLeft w:val="0"/>
                              <w:marRight w:val="0"/>
                              <w:marTop w:val="0"/>
                              <w:marBottom w:val="0"/>
                              <w:divBdr>
                                <w:top w:val="none" w:sz="0" w:space="0" w:color="auto"/>
                                <w:left w:val="none" w:sz="0" w:space="0" w:color="auto"/>
                                <w:bottom w:val="none" w:sz="0" w:space="0" w:color="auto"/>
                                <w:right w:val="none" w:sz="0" w:space="0" w:color="auto"/>
                              </w:divBdr>
                              <w:divsChild>
                                <w:div w:id="492987301">
                                  <w:marLeft w:val="0"/>
                                  <w:marRight w:val="0"/>
                                  <w:marTop w:val="0"/>
                                  <w:marBottom w:val="0"/>
                                  <w:divBdr>
                                    <w:top w:val="none" w:sz="0" w:space="0" w:color="auto"/>
                                    <w:left w:val="none" w:sz="0" w:space="0" w:color="auto"/>
                                    <w:bottom w:val="none" w:sz="0" w:space="0" w:color="auto"/>
                                    <w:right w:val="none" w:sz="0" w:space="0" w:color="auto"/>
                                  </w:divBdr>
                                  <w:divsChild>
                                    <w:div w:id="65151322">
                                      <w:marLeft w:val="0"/>
                                      <w:marRight w:val="0"/>
                                      <w:marTop w:val="0"/>
                                      <w:marBottom w:val="0"/>
                                      <w:divBdr>
                                        <w:top w:val="none" w:sz="0" w:space="0" w:color="auto"/>
                                        <w:left w:val="none" w:sz="0" w:space="0" w:color="auto"/>
                                        <w:bottom w:val="none" w:sz="0" w:space="0" w:color="auto"/>
                                        <w:right w:val="none" w:sz="0" w:space="0" w:color="auto"/>
                                      </w:divBdr>
                                      <w:divsChild>
                                        <w:div w:id="526481233">
                                          <w:marLeft w:val="0"/>
                                          <w:marRight w:val="0"/>
                                          <w:marTop w:val="0"/>
                                          <w:marBottom w:val="0"/>
                                          <w:divBdr>
                                            <w:top w:val="none" w:sz="0" w:space="0" w:color="auto"/>
                                            <w:left w:val="none" w:sz="0" w:space="0" w:color="auto"/>
                                            <w:bottom w:val="none" w:sz="0" w:space="0" w:color="auto"/>
                                            <w:right w:val="none" w:sz="0" w:space="0" w:color="auto"/>
                                          </w:divBdr>
                                          <w:divsChild>
                                            <w:div w:id="11999221">
                                              <w:marLeft w:val="0"/>
                                              <w:marRight w:val="0"/>
                                              <w:marTop w:val="0"/>
                                              <w:marBottom w:val="0"/>
                                              <w:divBdr>
                                                <w:top w:val="none" w:sz="0" w:space="0" w:color="auto"/>
                                                <w:left w:val="none" w:sz="0" w:space="0" w:color="auto"/>
                                                <w:bottom w:val="none" w:sz="0" w:space="0" w:color="auto"/>
                                                <w:right w:val="none" w:sz="0" w:space="0" w:color="auto"/>
                                              </w:divBdr>
                                              <w:divsChild>
                                                <w:div w:id="2039508076">
                                                  <w:marLeft w:val="0"/>
                                                  <w:marRight w:val="0"/>
                                                  <w:marTop w:val="0"/>
                                                  <w:marBottom w:val="0"/>
                                                  <w:divBdr>
                                                    <w:top w:val="none" w:sz="0" w:space="0" w:color="auto"/>
                                                    <w:left w:val="none" w:sz="0" w:space="0" w:color="auto"/>
                                                    <w:bottom w:val="none" w:sz="0" w:space="0" w:color="auto"/>
                                                    <w:right w:val="none" w:sz="0" w:space="0" w:color="auto"/>
                                                  </w:divBdr>
                                                  <w:divsChild>
                                                    <w:div w:id="1776710464">
                                                      <w:marLeft w:val="0"/>
                                                      <w:marRight w:val="0"/>
                                                      <w:marTop w:val="0"/>
                                                      <w:marBottom w:val="0"/>
                                                      <w:divBdr>
                                                        <w:top w:val="none" w:sz="0" w:space="0" w:color="auto"/>
                                                        <w:left w:val="none" w:sz="0" w:space="0" w:color="auto"/>
                                                        <w:bottom w:val="none" w:sz="0" w:space="0" w:color="auto"/>
                                                        <w:right w:val="none" w:sz="0" w:space="0" w:color="auto"/>
                                                      </w:divBdr>
                                                      <w:divsChild>
                                                        <w:div w:id="1494447071">
                                                          <w:marLeft w:val="0"/>
                                                          <w:marRight w:val="0"/>
                                                          <w:marTop w:val="0"/>
                                                          <w:marBottom w:val="0"/>
                                                          <w:divBdr>
                                                            <w:top w:val="none" w:sz="0" w:space="0" w:color="auto"/>
                                                            <w:left w:val="none" w:sz="0" w:space="0" w:color="auto"/>
                                                            <w:bottom w:val="none" w:sz="0" w:space="0" w:color="auto"/>
                                                            <w:right w:val="none" w:sz="0" w:space="0" w:color="auto"/>
                                                          </w:divBdr>
                                                          <w:divsChild>
                                                            <w:div w:id="41096903">
                                                              <w:marLeft w:val="0"/>
                                                              <w:marRight w:val="0"/>
                                                              <w:marTop w:val="0"/>
                                                              <w:marBottom w:val="0"/>
                                                              <w:divBdr>
                                                                <w:top w:val="none" w:sz="0" w:space="0" w:color="auto"/>
                                                                <w:left w:val="none" w:sz="0" w:space="0" w:color="auto"/>
                                                                <w:bottom w:val="none" w:sz="0" w:space="0" w:color="auto"/>
                                                                <w:right w:val="none" w:sz="0" w:space="0" w:color="auto"/>
                                                              </w:divBdr>
                                                              <w:divsChild>
                                                                <w:div w:id="161278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4791172">
                              <w:marLeft w:val="0"/>
                              <w:marRight w:val="0"/>
                              <w:marTop w:val="0"/>
                              <w:marBottom w:val="0"/>
                              <w:divBdr>
                                <w:top w:val="none" w:sz="0" w:space="0" w:color="auto"/>
                                <w:left w:val="none" w:sz="0" w:space="0" w:color="auto"/>
                                <w:bottom w:val="none" w:sz="0" w:space="0" w:color="auto"/>
                                <w:right w:val="none" w:sz="0" w:space="0" w:color="auto"/>
                              </w:divBdr>
                              <w:divsChild>
                                <w:div w:id="650644833">
                                  <w:marLeft w:val="0"/>
                                  <w:marRight w:val="0"/>
                                  <w:marTop w:val="0"/>
                                  <w:marBottom w:val="0"/>
                                  <w:divBdr>
                                    <w:top w:val="none" w:sz="0" w:space="0" w:color="auto"/>
                                    <w:left w:val="none" w:sz="0" w:space="0" w:color="auto"/>
                                    <w:bottom w:val="none" w:sz="0" w:space="0" w:color="auto"/>
                                    <w:right w:val="none" w:sz="0" w:space="0" w:color="auto"/>
                                  </w:divBdr>
                                  <w:divsChild>
                                    <w:div w:id="858659769">
                                      <w:marLeft w:val="0"/>
                                      <w:marRight w:val="0"/>
                                      <w:marTop w:val="0"/>
                                      <w:marBottom w:val="0"/>
                                      <w:divBdr>
                                        <w:top w:val="none" w:sz="0" w:space="0" w:color="auto"/>
                                        <w:left w:val="none" w:sz="0" w:space="0" w:color="auto"/>
                                        <w:bottom w:val="none" w:sz="0" w:space="0" w:color="auto"/>
                                        <w:right w:val="none" w:sz="0" w:space="0" w:color="auto"/>
                                      </w:divBdr>
                                      <w:divsChild>
                                        <w:div w:id="1680352980">
                                          <w:marLeft w:val="0"/>
                                          <w:marRight w:val="0"/>
                                          <w:marTop w:val="0"/>
                                          <w:marBottom w:val="0"/>
                                          <w:divBdr>
                                            <w:top w:val="none" w:sz="0" w:space="0" w:color="auto"/>
                                            <w:left w:val="none" w:sz="0" w:space="0" w:color="auto"/>
                                            <w:bottom w:val="none" w:sz="0" w:space="0" w:color="auto"/>
                                            <w:right w:val="none" w:sz="0" w:space="0" w:color="auto"/>
                                          </w:divBdr>
                                          <w:divsChild>
                                            <w:div w:id="1647778797">
                                              <w:marLeft w:val="0"/>
                                              <w:marRight w:val="0"/>
                                              <w:marTop w:val="0"/>
                                              <w:marBottom w:val="0"/>
                                              <w:divBdr>
                                                <w:top w:val="none" w:sz="0" w:space="0" w:color="auto"/>
                                                <w:left w:val="none" w:sz="0" w:space="0" w:color="auto"/>
                                                <w:bottom w:val="none" w:sz="0" w:space="0" w:color="auto"/>
                                                <w:right w:val="none" w:sz="0" w:space="0" w:color="auto"/>
                                              </w:divBdr>
                                              <w:divsChild>
                                                <w:div w:id="1081754935">
                                                  <w:marLeft w:val="0"/>
                                                  <w:marRight w:val="0"/>
                                                  <w:marTop w:val="0"/>
                                                  <w:marBottom w:val="0"/>
                                                  <w:divBdr>
                                                    <w:top w:val="none" w:sz="0" w:space="0" w:color="auto"/>
                                                    <w:left w:val="none" w:sz="0" w:space="0" w:color="auto"/>
                                                    <w:bottom w:val="none" w:sz="0" w:space="0" w:color="auto"/>
                                                    <w:right w:val="none" w:sz="0" w:space="0" w:color="auto"/>
                                                  </w:divBdr>
                                                  <w:divsChild>
                                                    <w:div w:id="1029451354">
                                                      <w:marLeft w:val="0"/>
                                                      <w:marRight w:val="0"/>
                                                      <w:marTop w:val="0"/>
                                                      <w:marBottom w:val="0"/>
                                                      <w:divBdr>
                                                        <w:top w:val="none" w:sz="0" w:space="0" w:color="auto"/>
                                                        <w:left w:val="none" w:sz="0" w:space="0" w:color="auto"/>
                                                        <w:bottom w:val="none" w:sz="0" w:space="0" w:color="auto"/>
                                                        <w:right w:val="none" w:sz="0" w:space="0" w:color="auto"/>
                                                      </w:divBdr>
                                                      <w:divsChild>
                                                        <w:div w:id="1101268143">
                                                          <w:marLeft w:val="0"/>
                                                          <w:marRight w:val="0"/>
                                                          <w:marTop w:val="0"/>
                                                          <w:marBottom w:val="0"/>
                                                          <w:divBdr>
                                                            <w:top w:val="none" w:sz="0" w:space="0" w:color="auto"/>
                                                            <w:left w:val="none" w:sz="0" w:space="0" w:color="auto"/>
                                                            <w:bottom w:val="none" w:sz="0" w:space="0" w:color="auto"/>
                                                            <w:right w:val="none" w:sz="0" w:space="0" w:color="auto"/>
                                                          </w:divBdr>
                                                          <w:divsChild>
                                                            <w:div w:id="2016154844">
                                                              <w:marLeft w:val="0"/>
                                                              <w:marRight w:val="0"/>
                                                              <w:marTop w:val="0"/>
                                                              <w:marBottom w:val="0"/>
                                                              <w:divBdr>
                                                                <w:top w:val="none" w:sz="0" w:space="0" w:color="auto"/>
                                                                <w:left w:val="none" w:sz="0" w:space="0" w:color="auto"/>
                                                                <w:bottom w:val="none" w:sz="0" w:space="0" w:color="auto"/>
                                                                <w:right w:val="none" w:sz="0" w:space="0" w:color="auto"/>
                                                              </w:divBdr>
                                                              <w:divsChild>
                                                                <w:div w:id="1630361139">
                                                                  <w:marLeft w:val="0"/>
                                                                  <w:marRight w:val="0"/>
                                                                  <w:marTop w:val="0"/>
                                                                  <w:marBottom w:val="0"/>
                                                                  <w:divBdr>
                                                                    <w:top w:val="none" w:sz="0" w:space="0" w:color="auto"/>
                                                                    <w:left w:val="none" w:sz="0" w:space="0" w:color="auto"/>
                                                                    <w:bottom w:val="none" w:sz="0" w:space="0" w:color="auto"/>
                                                                    <w:right w:val="none" w:sz="0" w:space="0" w:color="auto"/>
                                                                  </w:divBdr>
                                                                  <w:divsChild>
                                                                    <w:div w:id="54467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32389342">
      <w:bodyDiv w:val="1"/>
      <w:marLeft w:val="0"/>
      <w:marRight w:val="0"/>
      <w:marTop w:val="0"/>
      <w:marBottom w:val="0"/>
      <w:divBdr>
        <w:top w:val="none" w:sz="0" w:space="0" w:color="auto"/>
        <w:left w:val="none" w:sz="0" w:space="0" w:color="auto"/>
        <w:bottom w:val="none" w:sz="0" w:space="0" w:color="auto"/>
        <w:right w:val="none" w:sz="0" w:space="0" w:color="auto"/>
      </w:divBdr>
      <w:divsChild>
        <w:div w:id="1291981673">
          <w:marLeft w:val="0"/>
          <w:marRight w:val="0"/>
          <w:marTop w:val="0"/>
          <w:marBottom w:val="0"/>
          <w:divBdr>
            <w:top w:val="none" w:sz="0" w:space="0" w:color="auto"/>
            <w:left w:val="none" w:sz="0" w:space="0" w:color="auto"/>
            <w:bottom w:val="none" w:sz="0" w:space="0" w:color="auto"/>
            <w:right w:val="none" w:sz="0" w:space="0" w:color="auto"/>
          </w:divBdr>
        </w:div>
        <w:div w:id="709258987">
          <w:marLeft w:val="0"/>
          <w:marRight w:val="0"/>
          <w:marTop w:val="0"/>
          <w:marBottom w:val="0"/>
          <w:divBdr>
            <w:top w:val="none" w:sz="0" w:space="0" w:color="auto"/>
            <w:left w:val="none" w:sz="0" w:space="0" w:color="auto"/>
            <w:bottom w:val="none" w:sz="0" w:space="0" w:color="auto"/>
            <w:right w:val="none" w:sz="0" w:space="0" w:color="auto"/>
          </w:divBdr>
        </w:div>
        <w:div w:id="1710179157">
          <w:marLeft w:val="0"/>
          <w:marRight w:val="0"/>
          <w:marTop w:val="0"/>
          <w:marBottom w:val="0"/>
          <w:divBdr>
            <w:top w:val="none" w:sz="0" w:space="0" w:color="auto"/>
            <w:left w:val="none" w:sz="0" w:space="0" w:color="auto"/>
            <w:bottom w:val="none" w:sz="0" w:space="0" w:color="auto"/>
            <w:right w:val="none" w:sz="0" w:space="0" w:color="auto"/>
          </w:divBdr>
        </w:div>
        <w:div w:id="940718549">
          <w:marLeft w:val="0"/>
          <w:marRight w:val="0"/>
          <w:marTop w:val="0"/>
          <w:marBottom w:val="0"/>
          <w:divBdr>
            <w:top w:val="none" w:sz="0" w:space="0" w:color="auto"/>
            <w:left w:val="none" w:sz="0" w:space="0" w:color="auto"/>
            <w:bottom w:val="none" w:sz="0" w:space="0" w:color="auto"/>
            <w:right w:val="none" w:sz="0" w:space="0" w:color="auto"/>
          </w:divBdr>
        </w:div>
        <w:div w:id="1156720921">
          <w:marLeft w:val="0"/>
          <w:marRight w:val="0"/>
          <w:marTop w:val="0"/>
          <w:marBottom w:val="0"/>
          <w:divBdr>
            <w:top w:val="none" w:sz="0" w:space="0" w:color="auto"/>
            <w:left w:val="none" w:sz="0" w:space="0" w:color="auto"/>
            <w:bottom w:val="none" w:sz="0" w:space="0" w:color="auto"/>
            <w:right w:val="none" w:sz="0" w:space="0" w:color="auto"/>
          </w:divBdr>
        </w:div>
        <w:div w:id="1199124044">
          <w:marLeft w:val="0"/>
          <w:marRight w:val="0"/>
          <w:marTop w:val="0"/>
          <w:marBottom w:val="0"/>
          <w:divBdr>
            <w:top w:val="none" w:sz="0" w:space="0" w:color="auto"/>
            <w:left w:val="none" w:sz="0" w:space="0" w:color="auto"/>
            <w:bottom w:val="none" w:sz="0" w:space="0" w:color="auto"/>
            <w:right w:val="none" w:sz="0" w:space="0" w:color="auto"/>
          </w:divBdr>
        </w:div>
      </w:divsChild>
    </w:div>
    <w:div w:id="735857174">
      <w:bodyDiv w:val="1"/>
      <w:marLeft w:val="0"/>
      <w:marRight w:val="0"/>
      <w:marTop w:val="0"/>
      <w:marBottom w:val="0"/>
      <w:divBdr>
        <w:top w:val="none" w:sz="0" w:space="0" w:color="auto"/>
        <w:left w:val="none" w:sz="0" w:space="0" w:color="auto"/>
        <w:bottom w:val="none" w:sz="0" w:space="0" w:color="auto"/>
        <w:right w:val="none" w:sz="0" w:space="0" w:color="auto"/>
      </w:divBdr>
      <w:divsChild>
        <w:div w:id="1325935766">
          <w:marLeft w:val="0"/>
          <w:marRight w:val="0"/>
          <w:marTop w:val="24"/>
          <w:marBottom w:val="0"/>
          <w:divBdr>
            <w:top w:val="none" w:sz="0" w:space="0" w:color="auto"/>
            <w:left w:val="none" w:sz="0" w:space="0" w:color="auto"/>
            <w:bottom w:val="none" w:sz="0" w:space="0" w:color="auto"/>
            <w:right w:val="none" w:sz="0" w:space="0" w:color="auto"/>
          </w:divBdr>
        </w:div>
        <w:div w:id="1118135381">
          <w:marLeft w:val="0"/>
          <w:marRight w:val="0"/>
          <w:marTop w:val="24"/>
          <w:marBottom w:val="0"/>
          <w:divBdr>
            <w:top w:val="none" w:sz="0" w:space="0" w:color="auto"/>
            <w:left w:val="none" w:sz="0" w:space="0" w:color="auto"/>
            <w:bottom w:val="none" w:sz="0" w:space="0" w:color="auto"/>
            <w:right w:val="none" w:sz="0" w:space="0" w:color="auto"/>
          </w:divBdr>
          <w:divsChild>
            <w:div w:id="147408909">
              <w:marLeft w:val="0"/>
              <w:marRight w:val="0"/>
              <w:marTop w:val="24"/>
              <w:marBottom w:val="0"/>
              <w:divBdr>
                <w:top w:val="none" w:sz="0" w:space="0" w:color="auto"/>
                <w:left w:val="none" w:sz="0" w:space="0" w:color="auto"/>
                <w:bottom w:val="none" w:sz="0" w:space="0" w:color="auto"/>
                <w:right w:val="none" w:sz="0" w:space="0" w:color="auto"/>
              </w:divBdr>
            </w:div>
          </w:divsChild>
        </w:div>
      </w:divsChild>
    </w:div>
    <w:div w:id="744380702">
      <w:bodyDiv w:val="1"/>
      <w:marLeft w:val="0"/>
      <w:marRight w:val="0"/>
      <w:marTop w:val="0"/>
      <w:marBottom w:val="0"/>
      <w:divBdr>
        <w:top w:val="none" w:sz="0" w:space="0" w:color="auto"/>
        <w:left w:val="none" w:sz="0" w:space="0" w:color="auto"/>
        <w:bottom w:val="none" w:sz="0" w:space="0" w:color="auto"/>
        <w:right w:val="none" w:sz="0" w:space="0" w:color="auto"/>
      </w:divBdr>
    </w:div>
    <w:div w:id="773986650">
      <w:bodyDiv w:val="1"/>
      <w:marLeft w:val="0"/>
      <w:marRight w:val="0"/>
      <w:marTop w:val="0"/>
      <w:marBottom w:val="0"/>
      <w:divBdr>
        <w:top w:val="none" w:sz="0" w:space="0" w:color="auto"/>
        <w:left w:val="none" w:sz="0" w:space="0" w:color="auto"/>
        <w:bottom w:val="none" w:sz="0" w:space="0" w:color="auto"/>
        <w:right w:val="none" w:sz="0" w:space="0" w:color="auto"/>
      </w:divBdr>
      <w:divsChild>
        <w:div w:id="392239912">
          <w:marLeft w:val="0"/>
          <w:marRight w:val="0"/>
          <w:marTop w:val="0"/>
          <w:marBottom w:val="0"/>
          <w:divBdr>
            <w:top w:val="none" w:sz="0" w:space="0" w:color="auto"/>
            <w:left w:val="none" w:sz="0" w:space="0" w:color="auto"/>
            <w:bottom w:val="none" w:sz="0" w:space="0" w:color="auto"/>
            <w:right w:val="none" w:sz="0" w:space="0" w:color="auto"/>
          </w:divBdr>
          <w:divsChild>
            <w:div w:id="1905334818">
              <w:marLeft w:val="0"/>
              <w:marRight w:val="0"/>
              <w:marTop w:val="0"/>
              <w:marBottom w:val="0"/>
              <w:divBdr>
                <w:top w:val="none" w:sz="0" w:space="0" w:color="auto"/>
                <w:left w:val="none" w:sz="0" w:space="0" w:color="auto"/>
                <w:bottom w:val="none" w:sz="0" w:space="0" w:color="auto"/>
                <w:right w:val="none" w:sz="0" w:space="0" w:color="auto"/>
              </w:divBdr>
            </w:div>
          </w:divsChild>
        </w:div>
        <w:div w:id="664169567">
          <w:marLeft w:val="0"/>
          <w:marRight w:val="0"/>
          <w:marTop w:val="0"/>
          <w:marBottom w:val="0"/>
          <w:divBdr>
            <w:top w:val="none" w:sz="0" w:space="0" w:color="auto"/>
            <w:left w:val="none" w:sz="0" w:space="0" w:color="auto"/>
            <w:bottom w:val="none" w:sz="0" w:space="0" w:color="auto"/>
            <w:right w:val="none" w:sz="0" w:space="0" w:color="auto"/>
          </w:divBdr>
          <w:divsChild>
            <w:div w:id="187187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82202">
      <w:bodyDiv w:val="1"/>
      <w:marLeft w:val="0"/>
      <w:marRight w:val="0"/>
      <w:marTop w:val="0"/>
      <w:marBottom w:val="0"/>
      <w:divBdr>
        <w:top w:val="none" w:sz="0" w:space="0" w:color="auto"/>
        <w:left w:val="none" w:sz="0" w:space="0" w:color="auto"/>
        <w:bottom w:val="none" w:sz="0" w:space="0" w:color="auto"/>
        <w:right w:val="none" w:sz="0" w:space="0" w:color="auto"/>
      </w:divBdr>
    </w:div>
    <w:div w:id="790784600">
      <w:bodyDiv w:val="1"/>
      <w:marLeft w:val="0"/>
      <w:marRight w:val="0"/>
      <w:marTop w:val="0"/>
      <w:marBottom w:val="0"/>
      <w:divBdr>
        <w:top w:val="none" w:sz="0" w:space="0" w:color="auto"/>
        <w:left w:val="none" w:sz="0" w:space="0" w:color="auto"/>
        <w:bottom w:val="none" w:sz="0" w:space="0" w:color="auto"/>
        <w:right w:val="none" w:sz="0" w:space="0" w:color="auto"/>
      </w:divBdr>
    </w:div>
    <w:div w:id="803429017">
      <w:bodyDiv w:val="1"/>
      <w:marLeft w:val="0"/>
      <w:marRight w:val="0"/>
      <w:marTop w:val="0"/>
      <w:marBottom w:val="0"/>
      <w:divBdr>
        <w:top w:val="none" w:sz="0" w:space="0" w:color="auto"/>
        <w:left w:val="none" w:sz="0" w:space="0" w:color="auto"/>
        <w:bottom w:val="none" w:sz="0" w:space="0" w:color="auto"/>
        <w:right w:val="none" w:sz="0" w:space="0" w:color="auto"/>
      </w:divBdr>
      <w:divsChild>
        <w:div w:id="159732998">
          <w:marLeft w:val="0"/>
          <w:marRight w:val="0"/>
          <w:marTop w:val="240"/>
          <w:marBottom w:val="120"/>
          <w:divBdr>
            <w:top w:val="none" w:sz="0" w:space="0" w:color="auto"/>
            <w:left w:val="none" w:sz="0" w:space="0" w:color="auto"/>
            <w:bottom w:val="none" w:sz="0" w:space="0" w:color="auto"/>
            <w:right w:val="none" w:sz="0" w:space="0" w:color="auto"/>
          </w:divBdr>
        </w:div>
        <w:div w:id="1678582030">
          <w:marLeft w:val="0"/>
          <w:marRight w:val="0"/>
          <w:marTop w:val="240"/>
          <w:marBottom w:val="120"/>
          <w:divBdr>
            <w:top w:val="none" w:sz="0" w:space="0" w:color="auto"/>
            <w:left w:val="none" w:sz="0" w:space="0" w:color="auto"/>
            <w:bottom w:val="none" w:sz="0" w:space="0" w:color="auto"/>
            <w:right w:val="none" w:sz="0" w:space="0" w:color="auto"/>
          </w:divBdr>
        </w:div>
      </w:divsChild>
    </w:div>
    <w:div w:id="821117289">
      <w:bodyDiv w:val="1"/>
      <w:marLeft w:val="0"/>
      <w:marRight w:val="0"/>
      <w:marTop w:val="0"/>
      <w:marBottom w:val="0"/>
      <w:divBdr>
        <w:top w:val="none" w:sz="0" w:space="0" w:color="auto"/>
        <w:left w:val="none" w:sz="0" w:space="0" w:color="auto"/>
        <w:bottom w:val="none" w:sz="0" w:space="0" w:color="auto"/>
        <w:right w:val="none" w:sz="0" w:space="0" w:color="auto"/>
      </w:divBdr>
    </w:div>
    <w:div w:id="869731778">
      <w:bodyDiv w:val="1"/>
      <w:marLeft w:val="0"/>
      <w:marRight w:val="0"/>
      <w:marTop w:val="0"/>
      <w:marBottom w:val="0"/>
      <w:divBdr>
        <w:top w:val="none" w:sz="0" w:space="0" w:color="auto"/>
        <w:left w:val="none" w:sz="0" w:space="0" w:color="auto"/>
        <w:bottom w:val="none" w:sz="0" w:space="0" w:color="auto"/>
        <w:right w:val="none" w:sz="0" w:space="0" w:color="auto"/>
      </w:divBdr>
      <w:divsChild>
        <w:div w:id="194392575">
          <w:marLeft w:val="0"/>
          <w:marRight w:val="0"/>
          <w:marTop w:val="24"/>
          <w:marBottom w:val="0"/>
          <w:divBdr>
            <w:top w:val="none" w:sz="0" w:space="0" w:color="auto"/>
            <w:left w:val="none" w:sz="0" w:space="0" w:color="auto"/>
            <w:bottom w:val="none" w:sz="0" w:space="0" w:color="auto"/>
            <w:right w:val="none" w:sz="0" w:space="0" w:color="auto"/>
          </w:divBdr>
        </w:div>
        <w:div w:id="1394809806">
          <w:marLeft w:val="0"/>
          <w:marRight w:val="0"/>
          <w:marTop w:val="24"/>
          <w:marBottom w:val="0"/>
          <w:divBdr>
            <w:top w:val="none" w:sz="0" w:space="0" w:color="auto"/>
            <w:left w:val="none" w:sz="0" w:space="0" w:color="auto"/>
            <w:bottom w:val="none" w:sz="0" w:space="0" w:color="auto"/>
            <w:right w:val="none" w:sz="0" w:space="0" w:color="auto"/>
          </w:divBdr>
          <w:divsChild>
            <w:div w:id="422723747">
              <w:marLeft w:val="0"/>
              <w:marRight w:val="0"/>
              <w:marTop w:val="24"/>
              <w:marBottom w:val="0"/>
              <w:divBdr>
                <w:top w:val="none" w:sz="0" w:space="0" w:color="auto"/>
                <w:left w:val="none" w:sz="0" w:space="0" w:color="auto"/>
                <w:bottom w:val="none" w:sz="0" w:space="0" w:color="auto"/>
                <w:right w:val="none" w:sz="0" w:space="0" w:color="auto"/>
              </w:divBdr>
            </w:div>
          </w:divsChild>
        </w:div>
      </w:divsChild>
    </w:div>
    <w:div w:id="915475146">
      <w:bodyDiv w:val="1"/>
      <w:marLeft w:val="0"/>
      <w:marRight w:val="0"/>
      <w:marTop w:val="0"/>
      <w:marBottom w:val="0"/>
      <w:divBdr>
        <w:top w:val="none" w:sz="0" w:space="0" w:color="auto"/>
        <w:left w:val="none" w:sz="0" w:space="0" w:color="auto"/>
        <w:bottom w:val="none" w:sz="0" w:space="0" w:color="auto"/>
        <w:right w:val="none" w:sz="0" w:space="0" w:color="auto"/>
      </w:divBdr>
      <w:divsChild>
        <w:div w:id="1915166712">
          <w:marLeft w:val="0"/>
          <w:marRight w:val="0"/>
          <w:marTop w:val="240"/>
          <w:marBottom w:val="120"/>
          <w:divBdr>
            <w:top w:val="none" w:sz="0" w:space="0" w:color="auto"/>
            <w:left w:val="none" w:sz="0" w:space="0" w:color="auto"/>
            <w:bottom w:val="none" w:sz="0" w:space="0" w:color="auto"/>
            <w:right w:val="none" w:sz="0" w:space="0" w:color="auto"/>
          </w:divBdr>
        </w:div>
        <w:div w:id="126628469">
          <w:marLeft w:val="0"/>
          <w:marRight w:val="0"/>
          <w:marTop w:val="240"/>
          <w:marBottom w:val="120"/>
          <w:divBdr>
            <w:top w:val="none" w:sz="0" w:space="0" w:color="auto"/>
            <w:left w:val="none" w:sz="0" w:space="0" w:color="auto"/>
            <w:bottom w:val="none" w:sz="0" w:space="0" w:color="auto"/>
            <w:right w:val="none" w:sz="0" w:space="0" w:color="auto"/>
          </w:divBdr>
        </w:div>
      </w:divsChild>
    </w:div>
    <w:div w:id="919103582">
      <w:bodyDiv w:val="1"/>
      <w:marLeft w:val="0"/>
      <w:marRight w:val="0"/>
      <w:marTop w:val="0"/>
      <w:marBottom w:val="0"/>
      <w:divBdr>
        <w:top w:val="none" w:sz="0" w:space="0" w:color="auto"/>
        <w:left w:val="none" w:sz="0" w:space="0" w:color="auto"/>
        <w:bottom w:val="none" w:sz="0" w:space="0" w:color="auto"/>
        <w:right w:val="none" w:sz="0" w:space="0" w:color="auto"/>
      </w:divBdr>
      <w:divsChild>
        <w:div w:id="903563344">
          <w:marLeft w:val="0"/>
          <w:marRight w:val="0"/>
          <w:marTop w:val="240"/>
          <w:marBottom w:val="120"/>
          <w:divBdr>
            <w:top w:val="none" w:sz="0" w:space="0" w:color="auto"/>
            <w:left w:val="none" w:sz="0" w:space="0" w:color="auto"/>
            <w:bottom w:val="none" w:sz="0" w:space="0" w:color="auto"/>
            <w:right w:val="none" w:sz="0" w:space="0" w:color="auto"/>
          </w:divBdr>
        </w:div>
        <w:div w:id="1362243348">
          <w:marLeft w:val="0"/>
          <w:marRight w:val="0"/>
          <w:marTop w:val="240"/>
          <w:marBottom w:val="120"/>
          <w:divBdr>
            <w:top w:val="none" w:sz="0" w:space="0" w:color="auto"/>
            <w:left w:val="none" w:sz="0" w:space="0" w:color="auto"/>
            <w:bottom w:val="none" w:sz="0" w:space="0" w:color="auto"/>
            <w:right w:val="none" w:sz="0" w:space="0" w:color="auto"/>
          </w:divBdr>
        </w:div>
      </w:divsChild>
    </w:div>
    <w:div w:id="957371017">
      <w:bodyDiv w:val="1"/>
      <w:marLeft w:val="0"/>
      <w:marRight w:val="0"/>
      <w:marTop w:val="0"/>
      <w:marBottom w:val="0"/>
      <w:divBdr>
        <w:top w:val="none" w:sz="0" w:space="0" w:color="auto"/>
        <w:left w:val="none" w:sz="0" w:space="0" w:color="auto"/>
        <w:bottom w:val="none" w:sz="0" w:space="0" w:color="auto"/>
        <w:right w:val="none" w:sz="0" w:space="0" w:color="auto"/>
      </w:divBdr>
      <w:divsChild>
        <w:div w:id="436605053">
          <w:marLeft w:val="0"/>
          <w:marRight w:val="0"/>
          <w:marTop w:val="0"/>
          <w:marBottom w:val="0"/>
          <w:divBdr>
            <w:top w:val="none" w:sz="0" w:space="0" w:color="auto"/>
            <w:left w:val="none" w:sz="0" w:space="0" w:color="auto"/>
            <w:bottom w:val="none" w:sz="0" w:space="0" w:color="auto"/>
            <w:right w:val="none" w:sz="0" w:space="0" w:color="auto"/>
          </w:divBdr>
          <w:divsChild>
            <w:div w:id="1663191352">
              <w:marLeft w:val="0"/>
              <w:marRight w:val="0"/>
              <w:marTop w:val="0"/>
              <w:marBottom w:val="0"/>
              <w:divBdr>
                <w:top w:val="none" w:sz="0" w:space="0" w:color="auto"/>
                <w:left w:val="none" w:sz="0" w:space="0" w:color="auto"/>
                <w:bottom w:val="none" w:sz="0" w:space="0" w:color="auto"/>
                <w:right w:val="none" w:sz="0" w:space="0" w:color="auto"/>
              </w:divBdr>
              <w:divsChild>
                <w:div w:id="86980584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929382868">
          <w:marLeft w:val="0"/>
          <w:marRight w:val="0"/>
          <w:marTop w:val="0"/>
          <w:marBottom w:val="0"/>
          <w:divBdr>
            <w:top w:val="none" w:sz="0" w:space="0" w:color="auto"/>
            <w:left w:val="none" w:sz="0" w:space="0" w:color="auto"/>
            <w:bottom w:val="none" w:sz="0" w:space="0" w:color="auto"/>
            <w:right w:val="none" w:sz="0" w:space="0" w:color="auto"/>
          </w:divBdr>
          <w:divsChild>
            <w:div w:id="1694769901">
              <w:marLeft w:val="0"/>
              <w:marRight w:val="0"/>
              <w:marTop w:val="0"/>
              <w:marBottom w:val="0"/>
              <w:divBdr>
                <w:top w:val="none" w:sz="0" w:space="0" w:color="auto"/>
                <w:left w:val="none" w:sz="0" w:space="0" w:color="auto"/>
                <w:bottom w:val="none" w:sz="0" w:space="0" w:color="auto"/>
                <w:right w:val="none" w:sz="0" w:space="0" w:color="auto"/>
              </w:divBdr>
              <w:divsChild>
                <w:div w:id="37848076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32450870">
          <w:marLeft w:val="0"/>
          <w:marRight w:val="0"/>
          <w:marTop w:val="0"/>
          <w:marBottom w:val="0"/>
          <w:divBdr>
            <w:top w:val="none" w:sz="0" w:space="0" w:color="auto"/>
            <w:left w:val="none" w:sz="0" w:space="0" w:color="auto"/>
            <w:bottom w:val="none" w:sz="0" w:space="0" w:color="auto"/>
            <w:right w:val="none" w:sz="0" w:space="0" w:color="auto"/>
          </w:divBdr>
          <w:divsChild>
            <w:div w:id="1038166639">
              <w:marLeft w:val="0"/>
              <w:marRight w:val="0"/>
              <w:marTop w:val="0"/>
              <w:marBottom w:val="0"/>
              <w:divBdr>
                <w:top w:val="none" w:sz="0" w:space="0" w:color="auto"/>
                <w:left w:val="none" w:sz="0" w:space="0" w:color="auto"/>
                <w:bottom w:val="none" w:sz="0" w:space="0" w:color="auto"/>
                <w:right w:val="none" w:sz="0" w:space="0" w:color="auto"/>
              </w:divBdr>
              <w:divsChild>
                <w:div w:id="148223071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033335670">
          <w:marLeft w:val="0"/>
          <w:marRight w:val="0"/>
          <w:marTop w:val="0"/>
          <w:marBottom w:val="0"/>
          <w:divBdr>
            <w:top w:val="none" w:sz="0" w:space="0" w:color="auto"/>
            <w:left w:val="none" w:sz="0" w:space="0" w:color="auto"/>
            <w:bottom w:val="none" w:sz="0" w:space="0" w:color="auto"/>
            <w:right w:val="none" w:sz="0" w:space="0" w:color="auto"/>
          </w:divBdr>
          <w:divsChild>
            <w:div w:id="2001731817">
              <w:marLeft w:val="0"/>
              <w:marRight w:val="0"/>
              <w:marTop w:val="0"/>
              <w:marBottom w:val="0"/>
              <w:divBdr>
                <w:top w:val="none" w:sz="0" w:space="0" w:color="auto"/>
                <w:left w:val="none" w:sz="0" w:space="0" w:color="auto"/>
                <w:bottom w:val="none" w:sz="0" w:space="0" w:color="auto"/>
                <w:right w:val="none" w:sz="0" w:space="0" w:color="auto"/>
              </w:divBdr>
              <w:divsChild>
                <w:div w:id="1332685683">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96624166">
          <w:marLeft w:val="0"/>
          <w:marRight w:val="0"/>
          <w:marTop w:val="0"/>
          <w:marBottom w:val="0"/>
          <w:divBdr>
            <w:top w:val="none" w:sz="0" w:space="0" w:color="auto"/>
            <w:left w:val="none" w:sz="0" w:space="0" w:color="auto"/>
            <w:bottom w:val="none" w:sz="0" w:space="0" w:color="auto"/>
            <w:right w:val="none" w:sz="0" w:space="0" w:color="auto"/>
          </w:divBdr>
          <w:divsChild>
            <w:div w:id="203877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071580">
      <w:bodyDiv w:val="1"/>
      <w:marLeft w:val="0"/>
      <w:marRight w:val="0"/>
      <w:marTop w:val="0"/>
      <w:marBottom w:val="0"/>
      <w:divBdr>
        <w:top w:val="none" w:sz="0" w:space="0" w:color="auto"/>
        <w:left w:val="none" w:sz="0" w:space="0" w:color="auto"/>
        <w:bottom w:val="none" w:sz="0" w:space="0" w:color="auto"/>
        <w:right w:val="none" w:sz="0" w:space="0" w:color="auto"/>
      </w:divBdr>
      <w:divsChild>
        <w:div w:id="1978757805">
          <w:marLeft w:val="0"/>
          <w:marRight w:val="0"/>
          <w:marTop w:val="240"/>
          <w:marBottom w:val="120"/>
          <w:divBdr>
            <w:top w:val="none" w:sz="0" w:space="0" w:color="auto"/>
            <w:left w:val="none" w:sz="0" w:space="0" w:color="auto"/>
            <w:bottom w:val="none" w:sz="0" w:space="0" w:color="auto"/>
            <w:right w:val="none" w:sz="0" w:space="0" w:color="auto"/>
          </w:divBdr>
        </w:div>
        <w:div w:id="2085224753">
          <w:marLeft w:val="0"/>
          <w:marRight w:val="0"/>
          <w:marTop w:val="240"/>
          <w:marBottom w:val="120"/>
          <w:divBdr>
            <w:top w:val="none" w:sz="0" w:space="0" w:color="auto"/>
            <w:left w:val="none" w:sz="0" w:space="0" w:color="auto"/>
            <w:bottom w:val="none" w:sz="0" w:space="0" w:color="auto"/>
            <w:right w:val="none" w:sz="0" w:space="0" w:color="auto"/>
          </w:divBdr>
        </w:div>
      </w:divsChild>
    </w:div>
    <w:div w:id="987788403">
      <w:bodyDiv w:val="1"/>
      <w:marLeft w:val="0"/>
      <w:marRight w:val="0"/>
      <w:marTop w:val="0"/>
      <w:marBottom w:val="0"/>
      <w:divBdr>
        <w:top w:val="none" w:sz="0" w:space="0" w:color="auto"/>
        <w:left w:val="none" w:sz="0" w:space="0" w:color="auto"/>
        <w:bottom w:val="none" w:sz="0" w:space="0" w:color="auto"/>
        <w:right w:val="none" w:sz="0" w:space="0" w:color="auto"/>
      </w:divBdr>
    </w:div>
    <w:div w:id="1021323197">
      <w:bodyDiv w:val="1"/>
      <w:marLeft w:val="0"/>
      <w:marRight w:val="0"/>
      <w:marTop w:val="0"/>
      <w:marBottom w:val="0"/>
      <w:divBdr>
        <w:top w:val="none" w:sz="0" w:space="0" w:color="auto"/>
        <w:left w:val="none" w:sz="0" w:space="0" w:color="auto"/>
        <w:bottom w:val="none" w:sz="0" w:space="0" w:color="auto"/>
        <w:right w:val="none" w:sz="0" w:space="0" w:color="auto"/>
      </w:divBdr>
    </w:div>
    <w:div w:id="1050304510">
      <w:bodyDiv w:val="1"/>
      <w:marLeft w:val="0"/>
      <w:marRight w:val="0"/>
      <w:marTop w:val="0"/>
      <w:marBottom w:val="0"/>
      <w:divBdr>
        <w:top w:val="none" w:sz="0" w:space="0" w:color="auto"/>
        <w:left w:val="none" w:sz="0" w:space="0" w:color="auto"/>
        <w:bottom w:val="none" w:sz="0" w:space="0" w:color="auto"/>
        <w:right w:val="none" w:sz="0" w:space="0" w:color="auto"/>
      </w:divBdr>
    </w:div>
    <w:div w:id="1057440532">
      <w:bodyDiv w:val="1"/>
      <w:marLeft w:val="0"/>
      <w:marRight w:val="0"/>
      <w:marTop w:val="0"/>
      <w:marBottom w:val="0"/>
      <w:divBdr>
        <w:top w:val="none" w:sz="0" w:space="0" w:color="auto"/>
        <w:left w:val="none" w:sz="0" w:space="0" w:color="auto"/>
        <w:bottom w:val="none" w:sz="0" w:space="0" w:color="auto"/>
        <w:right w:val="none" w:sz="0" w:space="0" w:color="auto"/>
      </w:divBdr>
      <w:divsChild>
        <w:div w:id="128785561">
          <w:marLeft w:val="0"/>
          <w:marRight w:val="0"/>
          <w:marTop w:val="0"/>
          <w:marBottom w:val="0"/>
          <w:divBdr>
            <w:top w:val="none" w:sz="0" w:space="0" w:color="auto"/>
            <w:left w:val="none" w:sz="0" w:space="0" w:color="auto"/>
            <w:bottom w:val="none" w:sz="0" w:space="0" w:color="auto"/>
            <w:right w:val="none" w:sz="0" w:space="0" w:color="auto"/>
          </w:divBdr>
        </w:div>
        <w:div w:id="961888734">
          <w:marLeft w:val="0"/>
          <w:marRight w:val="0"/>
          <w:marTop w:val="240"/>
          <w:marBottom w:val="120"/>
          <w:divBdr>
            <w:top w:val="none" w:sz="0" w:space="0" w:color="auto"/>
            <w:left w:val="none" w:sz="0" w:space="0" w:color="auto"/>
            <w:bottom w:val="none" w:sz="0" w:space="0" w:color="auto"/>
            <w:right w:val="none" w:sz="0" w:space="0" w:color="auto"/>
          </w:divBdr>
        </w:div>
        <w:div w:id="1840340923">
          <w:marLeft w:val="0"/>
          <w:marRight w:val="0"/>
          <w:marTop w:val="240"/>
          <w:marBottom w:val="120"/>
          <w:divBdr>
            <w:top w:val="none" w:sz="0" w:space="0" w:color="auto"/>
            <w:left w:val="none" w:sz="0" w:space="0" w:color="auto"/>
            <w:bottom w:val="none" w:sz="0" w:space="0" w:color="auto"/>
            <w:right w:val="none" w:sz="0" w:space="0" w:color="auto"/>
          </w:divBdr>
        </w:div>
      </w:divsChild>
    </w:div>
    <w:div w:id="1064374406">
      <w:bodyDiv w:val="1"/>
      <w:marLeft w:val="0"/>
      <w:marRight w:val="0"/>
      <w:marTop w:val="0"/>
      <w:marBottom w:val="0"/>
      <w:divBdr>
        <w:top w:val="none" w:sz="0" w:space="0" w:color="auto"/>
        <w:left w:val="none" w:sz="0" w:space="0" w:color="auto"/>
        <w:bottom w:val="none" w:sz="0" w:space="0" w:color="auto"/>
        <w:right w:val="none" w:sz="0" w:space="0" w:color="auto"/>
      </w:divBdr>
      <w:divsChild>
        <w:div w:id="1616642268">
          <w:marLeft w:val="0"/>
          <w:marRight w:val="0"/>
          <w:marTop w:val="0"/>
          <w:marBottom w:val="0"/>
          <w:divBdr>
            <w:top w:val="none" w:sz="0" w:space="0" w:color="auto"/>
            <w:left w:val="none" w:sz="0" w:space="0" w:color="auto"/>
            <w:bottom w:val="none" w:sz="0" w:space="0" w:color="auto"/>
            <w:right w:val="none" w:sz="0" w:space="0" w:color="auto"/>
          </w:divBdr>
          <w:divsChild>
            <w:div w:id="29846601">
              <w:marLeft w:val="0"/>
              <w:marRight w:val="0"/>
              <w:marTop w:val="0"/>
              <w:marBottom w:val="0"/>
              <w:divBdr>
                <w:top w:val="none" w:sz="0" w:space="0" w:color="auto"/>
                <w:left w:val="none" w:sz="0" w:space="0" w:color="auto"/>
                <w:bottom w:val="none" w:sz="0" w:space="0" w:color="auto"/>
                <w:right w:val="none" w:sz="0" w:space="0" w:color="auto"/>
              </w:divBdr>
            </w:div>
          </w:divsChild>
        </w:div>
        <w:div w:id="591933735">
          <w:marLeft w:val="0"/>
          <w:marRight w:val="0"/>
          <w:marTop w:val="0"/>
          <w:marBottom w:val="0"/>
          <w:divBdr>
            <w:top w:val="none" w:sz="0" w:space="0" w:color="auto"/>
            <w:left w:val="none" w:sz="0" w:space="0" w:color="auto"/>
            <w:bottom w:val="none" w:sz="0" w:space="0" w:color="auto"/>
            <w:right w:val="none" w:sz="0" w:space="0" w:color="auto"/>
          </w:divBdr>
          <w:divsChild>
            <w:div w:id="12196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762">
      <w:bodyDiv w:val="1"/>
      <w:marLeft w:val="0"/>
      <w:marRight w:val="0"/>
      <w:marTop w:val="0"/>
      <w:marBottom w:val="0"/>
      <w:divBdr>
        <w:top w:val="none" w:sz="0" w:space="0" w:color="auto"/>
        <w:left w:val="none" w:sz="0" w:space="0" w:color="auto"/>
        <w:bottom w:val="none" w:sz="0" w:space="0" w:color="auto"/>
        <w:right w:val="none" w:sz="0" w:space="0" w:color="auto"/>
      </w:divBdr>
    </w:div>
    <w:div w:id="1087271186">
      <w:bodyDiv w:val="1"/>
      <w:marLeft w:val="0"/>
      <w:marRight w:val="0"/>
      <w:marTop w:val="0"/>
      <w:marBottom w:val="0"/>
      <w:divBdr>
        <w:top w:val="none" w:sz="0" w:space="0" w:color="auto"/>
        <w:left w:val="none" w:sz="0" w:space="0" w:color="auto"/>
        <w:bottom w:val="none" w:sz="0" w:space="0" w:color="auto"/>
        <w:right w:val="none" w:sz="0" w:space="0" w:color="auto"/>
      </w:divBdr>
      <w:divsChild>
        <w:div w:id="475148838">
          <w:marLeft w:val="0"/>
          <w:marRight w:val="0"/>
          <w:marTop w:val="240"/>
          <w:marBottom w:val="120"/>
          <w:divBdr>
            <w:top w:val="none" w:sz="0" w:space="0" w:color="auto"/>
            <w:left w:val="none" w:sz="0" w:space="0" w:color="auto"/>
            <w:bottom w:val="none" w:sz="0" w:space="0" w:color="auto"/>
            <w:right w:val="none" w:sz="0" w:space="0" w:color="auto"/>
          </w:divBdr>
        </w:div>
        <w:div w:id="1654797294">
          <w:marLeft w:val="0"/>
          <w:marRight w:val="0"/>
          <w:marTop w:val="240"/>
          <w:marBottom w:val="120"/>
          <w:divBdr>
            <w:top w:val="none" w:sz="0" w:space="0" w:color="auto"/>
            <w:left w:val="none" w:sz="0" w:space="0" w:color="auto"/>
            <w:bottom w:val="none" w:sz="0" w:space="0" w:color="auto"/>
            <w:right w:val="none" w:sz="0" w:space="0" w:color="auto"/>
          </w:divBdr>
        </w:div>
      </w:divsChild>
    </w:div>
    <w:div w:id="1094857073">
      <w:bodyDiv w:val="1"/>
      <w:marLeft w:val="0"/>
      <w:marRight w:val="0"/>
      <w:marTop w:val="0"/>
      <w:marBottom w:val="0"/>
      <w:divBdr>
        <w:top w:val="none" w:sz="0" w:space="0" w:color="auto"/>
        <w:left w:val="none" w:sz="0" w:space="0" w:color="auto"/>
        <w:bottom w:val="none" w:sz="0" w:space="0" w:color="auto"/>
        <w:right w:val="none" w:sz="0" w:space="0" w:color="auto"/>
      </w:divBdr>
    </w:div>
    <w:div w:id="1118792366">
      <w:bodyDiv w:val="1"/>
      <w:marLeft w:val="0"/>
      <w:marRight w:val="0"/>
      <w:marTop w:val="0"/>
      <w:marBottom w:val="0"/>
      <w:divBdr>
        <w:top w:val="none" w:sz="0" w:space="0" w:color="auto"/>
        <w:left w:val="none" w:sz="0" w:space="0" w:color="auto"/>
        <w:bottom w:val="none" w:sz="0" w:space="0" w:color="auto"/>
        <w:right w:val="none" w:sz="0" w:space="0" w:color="auto"/>
      </w:divBdr>
    </w:div>
    <w:div w:id="1160585782">
      <w:bodyDiv w:val="1"/>
      <w:marLeft w:val="0"/>
      <w:marRight w:val="0"/>
      <w:marTop w:val="0"/>
      <w:marBottom w:val="0"/>
      <w:divBdr>
        <w:top w:val="none" w:sz="0" w:space="0" w:color="auto"/>
        <w:left w:val="none" w:sz="0" w:space="0" w:color="auto"/>
        <w:bottom w:val="none" w:sz="0" w:space="0" w:color="auto"/>
        <w:right w:val="none" w:sz="0" w:space="0" w:color="auto"/>
      </w:divBdr>
      <w:divsChild>
        <w:div w:id="1069228854">
          <w:marLeft w:val="0"/>
          <w:marRight w:val="0"/>
          <w:marTop w:val="240"/>
          <w:marBottom w:val="120"/>
          <w:divBdr>
            <w:top w:val="none" w:sz="0" w:space="0" w:color="auto"/>
            <w:left w:val="none" w:sz="0" w:space="0" w:color="auto"/>
            <w:bottom w:val="none" w:sz="0" w:space="0" w:color="auto"/>
            <w:right w:val="none" w:sz="0" w:space="0" w:color="auto"/>
          </w:divBdr>
        </w:div>
        <w:div w:id="1942181485">
          <w:marLeft w:val="0"/>
          <w:marRight w:val="0"/>
          <w:marTop w:val="240"/>
          <w:marBottom w:val="120"/>
          <w:divBdr>
            <w:top w:val="none" w:sz="0" w:space="0" w:color="auto"/>
            <w:left w:val="none" w:sz="0" w:space="0" w:color="auto"/>
            <w:bottom w:val="none" w:sz="0" w:space="0" w:color="auto"/>
            <w:right w:val="none" w:sz="0" w:space="0" w:color="auto"/>
          </w:divBdr>
        </w:div>
      </w:divsChild>
    </w:div>
    <w:div w:id="1165589298">
      <w:bodyDiv w:val="1"/>
      <w:marLeft w:val="0"/>
      <w:marRight w:val="0"/>
      <w:marTop w:val="0"/>
      <w:marBottom w:val="0"/>
      <w:divBdr>
        <w:top w:val="none" w:sz="0" w:space="0" w:color="auto"/>
        <w:left w:val="none" w:sz="0" w:space="0" w:color="auto"/>
        <w:bottom w:val="none" w:sz="0" w:space="0" w:color="auto"/>
        <w:right w:val="none" w:sz="0" w:space="0" w:color="auto"/>
      </w:divBdr>
      <w:divsChild>
        <w:div w:id="1314263238">
          <w:marLeft w:val="0"/>
          <w:marRight w:val="0"/>
          <w:marTop w:val="0"/>
          <w:marBottom w:val="0"/>
          <w:divBdr>
            <w:top w:val="none" w:sz="0" w:space="0" w:color="auto"/>
            <w:left w:val="none" w:sz="0" w:space="0" w:color="auto"/>
            <w:bottom w:val="none" w:sz="0" w:space="0" w:color="auto"/>
            <w:right w:val="none" w:sz="0" w:space="0" w:color="auto"/>
          </w:divBdr>
        </w:div>
        <w:div w:id="13961049">
          <w:marLeft w:val="0"/>
          <w:marRight w:val="0"/>
          <w:marTop w:val="0"/>
          <w:marBottom w:val="0"/>
          <w:divBdr>
            <w:top w:val="none" w:sz="0" w:space="0" w:color="auto"/>
            <w:left w:val="none" w:sz="0" w:space="0" w:color="auto"/>
            <w:bottom w:val="none" w:sz="0" w:space="0" w:color="auto"/>
            <w:right w:val="none" w:sz="0" w:space="0" w:color="auto"/>
          </w:divBdr>
        </w:div>
        <w:div w:id="1822889417">
          <w:marLeft w:val="0"/>
          <w:marRight w:val="0"/>
          <w:marTop w:val="0"/>
          <w:marBottom w:val="0"/>
          <w:divBdr>
            <w:top w:val="none" w:sz="0" w:space="0" w:color="auto"/>
            <w:left w:val="none" w:sz="0" w:space="0" w:color="auto"/>
            <w:bottom w:val="none" w:sz="0" w:space="0" w:color="auto"/>
            <w:right w:val="none" w:sz="0" w:space="0" w:color="auto"/>
          </w:divBdr>
        </w:div>
        <w:div w:id="1588031524">
          <w:marLeft w:val="0"/>
          <w:marRight w:val="0"/>
          <w:marTop w:val="0"/>
          <w:marBottom w:val="0"/>
          <w:divBdr>
            <w:top w:val="none" w:sz="0" w:space="0" w:color="auto"/>
            <w:left w:val="none" w:sz="0" w:space="0" w:color="auto"/>
            <w:bottom w:val="none" w:sz="0" w:space="0" w:color="auto"/>
            <w:right w:val="none" w:sz="0" w:space="0" w:color="auto"/>
          </w:divBdr>
        </w:div>
      </w:divsChild>
    </w:div>
    <w:div w:id="1186603475">
      <w:bodyDiv w:val="1"/>
      <w:marLeft w:val="0"/>
      <w:marRight w:val="0"/>
      <w:marTop w:val="0"/>
      <w:marBottom w:val="0"/>
      <w:divBdr>
        <w:top w:val="none" w:sz="0" w:space="0" w:color="auto"/>
        <w:left w:val="none" w:sz="0" w:space="0" w:color="auto"/>
        <w:bottom w:val="none" w:sz="0" w:space="0" w:color="auto"/>
        <w:right w:val="none" w:sz="0" w:space="0" w:color="auto"/>
      </w:divBdr>
      <w:divsChild>
        <w:div w:id="559441057">
          <w:marLeft w:val="0"/>
          <w:marRight w:val="0"/>
          <w:marTop w:val="0"/>
          <w:marBottom w:val="0"/>
          <w:divBdr>
            <w:top w:val="none" w:sz="0" w:space="0" w:color="auto"/>
            <w:left w:val="none" w:sz="0" w:space="0" w:color="auto"/>
            <w:bottom w:val="none" w:sz="0" w:space="0" w:color="auto"/>
            <w:right w:val="none" w:sz="0" w:space="0" w:color="auto"/>
          </w:divBdr>
          <w:divsChild>
            <w:div w:id="2133135350">
              <w:marLeft w:val="0"/>
              <w:marRight w:val="0"/>
              <w:marTop w:val="0"/>
              <w:marBottom w:val="0"/>
              <w:divBdr>
                <w:top w:val="none" w:sz="0" w:space="0" w:color="auto"/>
                <w:left w:val="none" w:sz="0" w:space="0" w:color="auto"/>
                <w:bottom w:val="none" w:sz="0" w:space="0" w:color="auto"/>
                <w:right w:val="none" w:sz="0" w:space="0" w:color="auto"/>
              </w:divBdr>
              <w:divsChild>
                <w:div w:id="786050049">
                  <w:marLeft w:val="0"/>
                  <w:marRight w:val="0"/>
                  <w:marTop w:val="0"/>
                  <w:marBottom w:val="0"/>
                  <w:divBdr>
                    <w:top w:val="none" w:sz="0" w:space="0" w:color="auto"/>
                    <w:left w:val="none" w:sz="0" w:space="0" w:color="auto"/>
                    <w:bottom w:val="none" w:sz="0" w:space="0" w:color="auto"/>
                    <w:right w:val="none" w:sz="0" w:space="0" w:color="auto"/>
                  </w:divBdr>
                  <w:divsChild>
                    <w:div w:id="471290580">
                      <w:marLeft w:val="0"/>
                      <w:marRight w:val="0"/>
                      <w:marTop w:val="0"/>
                      <w:marBottom w:val="0"/>
                      <w:divBdr>
                        <w:top w:val="none" w:sz="0" w:space="0" w:color="auto"/>
                        <w:left w:val="none" w:sz="0" w:space="0" w:color="auto"/>
                        <w:bottom w:val="none" w:sz="0" w:space="0" w:color="auto"/>
                        <w:right w:val="none" w:sz="0" w:space="0" w:color="auto"/>
                      </w:divBdr>
                    </w:div>
                  </w:divsChild>
                </w:div>
                <w:div w:id="946622483">
                  <w:marLeft w:val="0"/>
                  <w:marRight w:val="0"/>
                  <w:marTop w:val="0"/>
                  <w:marBottom w:val="0"/>
                  <w:divBdr>
                    <w:top w:val="none" w:sz="0" w:space="0" w:color="auto"/>
                    <w:left w:val="none" w:sz="0" w:space="0" w:color="auto"/>
                    <w:bottom w:val="none" w:sz="0" w:space="0" w:color="auto"/>
                    <w:right w:val="none" w:sz="0" w:space="0" w:color="auto"/>
                  </w:divBdr>
                </w:div>
              </w:divsChild>
            </w:div>
            <w:div w:id="1369840315">
              <w:marLeft w:val="0"/>
              <w:marRight w:val="0"/>
              <w:marTop w:val="0"/>
              <w:marBottom w:val="0"/>
              <w:divBdr>
                <w:top w:val="none" w:sz="0" w:space="0" w:color="auto"/>
                <w:left w:val="none" w:sz="0" w:space="0" w:color="auto"/>
                <w:bottom w:val="none" w:sz="0" w:space="0" w:color="auto"/>
                <w:right w:val="none" w:sz="0" w:space="0" w:color="auto"/>
              </w:divBdr>
              <w:divsChild>
                <w:div w:id="200822625">
                  <w:marLeft w:val="0"/>
                  <w:marRight w:val="0"/>
                  <w:marTop w:val="0"/>
                  <w:marBottom w:val="0"/>
                  <w:divBdr>
                    <w:top w:val="none" w:sz="0" w:space="0" w:color="auto"/>
                    <w:left w:val="none" w:sz="0" w:space="0" w:color="auto"/>
                    <w:bottom w:val="none" w:sz="0" w:space="0" w:color="auto"/>
                    <w:right w:val="none" w:sz="0" w:space="0" w:color="auto"/>
                  </w:divBdr>
                  <w:divsChild>
                    <w:div w:id="1411275412">
                      <w:marLeft w:val="0"/>
                      <w:marRight w:val="0"/>
                      <w:marTop w:val="0"/>
                      <w:marBottom w:val="0"/>
                      <w:divBdr>
                        <w:top w:val="none" w:sz="0" w:space="0" w:color="auto"/>
                        <w:left w:val="none" w:sz="0" w:space="0" w:color="auto"/>
                        <w:bottom w:val="none" w:sz="0" w:space="0" w:color="auto"/>
                        <w:right w:val="none" w:sz="0" w:space="0" w:color="auto"/>
                      </w:divBdr>
                    </w:div>
                  </w:divsChild>
                </w:div>
                <w:div w:id="1472166906">
                  <w:marLeft w:val="0"/>
                  <w:marRight w:val="0"/>
                  <w:marTop w:val="0"/>
                  <w:marBottom w:val="0"/>
                  <w:divBdr>
                    <w:top w:val="none" w:sz="0" w:space="0" w:color="auto"/>
                    <w:left w:val="none" w:sz="0" w:space="0" w:color="auto"/>
                    <w:bottom w:val="none" w:sz="0" w:space="0" w:color="auto"/>
                    <w:right w:val="none" w:sz="0" w:space="0" w:color="auto"/>
                  </w:divBdr>
                </w:div>
              </w:divsChild>
            </w:div>
            <w:div w:id="599341287">
              <w:marLeft w:val="0"/>
              <w:marRight w:val="0"/>
              <w:marTop w:val="0"/>
              <w:marBottom w:val="0"/>
              <w:divBdr>
                <w:top w:val="none" w:sz="0" w:space="0" w:color="auto"/>
                <w:left w:val="none" w:sz="0" w:space="0" w:color="auto"/>
                <w:bottom w:val="none" w:sz="0" w:space="0" w:color="auto"/>
                <w:right w:val="none" w:sz="0" w:space="0" w:color="auto"/>
              </w:divBdr>
              <w:divsChild>
                <w:div w:id="343214305">
                  <w:marLeft w:val="0"/>
                  <w:marRight w:val="0"/>
                  <w:marTop w:val="0"/>
                  <w:marBottom w:val="0"/>
                  <w:divBdr>
                    <w:top w:val="none" w:sz="0" w:space="0" w:color="auto"/>
                    <w:left w:val="none" w:sz="0" w:space="0" w:color="auto"/>
                    <w:bottom w:val="none" w:sz="0" w:space="0" w:color="auto"/>
                    <w:right w:val="none" w:sz="0" w:space="0" w:color="auto"/>
                  </w:divBdr>
                  <w:divsChild>
                    <w:div w:id="2109932822">
                      <w:marLeft w:val="0"/>
                      <w:marRight w:val="0"/>
                      <w:marTop w:val="0"/>
                      <w:marBottom w:val="0"/>
                      <w:divBdr>
                        <w:top w:val="none" w:sz="0" w:space="0" w:color="auto"/>
                        <w:left w:val="none" w:sz="0" w:space="0" w:color="auto"/>
                        <w:bottom w:val="none" w:sz="0" w:space="0" w:color="auto"/>
                        <w:right w:val="none" w:sz="0" w:space="0" w:color="auto"/>
                      </w:divBdr>
                    </w:div>
                  </w:divsChild>
                </w:div>
                <w:div w:id="94183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544225">
          <w:marLeft w:val="0"/>
          <w:marRight w:val="0"/>
          <w:marTop w:val="0"/>
          <w:marBottom w:val="0"/>
          <w:divBdr>
            <w:top w:val="none" w:sz="0" w:space="0" w:color="auto"/>
            <w:left w:val="none" w:sz="0" w:space="0" w:color="auto"/>
            <w:bottom w:val="none" w:sz="0" w:space="0" w:color="auto"/>
            <w:right w:val="none" w:sz="0" w:space="0" w:color="auto"/>
          </w:divBdr>
        </w:div>
      </w:divsChild>
    </w:div>
    <w:div w:id="1207447764">
      <w:bodyDiv w:val="1"/>
      <w:marLeft w:val="0"/>
      <w:marRight w:val="0"/>
      <w:marTop w:val="0"/>
      <w:marBottom w:val="0"/>
      <w:divBdr>
        <w:top w:val="none" w:sz="0" w:space="0" w:color="auto"/>
        <w:left w:val="none" w:sz="0" w:space="0" w:color="auto"/>
        <w:bottom w:val="none" w:sz="0" w:space="0" w:color="auto"/>
        <w:right w:val="none" w:sz="0" w:space="0" w:color="auto"/>
      </w:divBdr>
    </w:div>
    <w:div w:id="1211654977">
      <w:bodyDiv w:val="1"/>
      <w:marLeft w:val="0"/>
      <w:marRight w:val="0"/>
      <w:marTop w:val="0"/>
      <w:marBottom w:val="0"/>
      <w:divBdr>
        <w:top w:val="none" w:sz="0" w:space="0" w:color="auto"/>
        <w:left w:val="none" w:sz="0" w:space="0" w:color="auto"/>
        <w:bottom w:val="none" w:sz="0" w:space="0" w:color="auto"/>
        <w:right w:val="none" w:sz="0" w:space="0" w:color="auto"/>
      </w:divBdr>
    </w:div>
    <w:div w:id="1260675614">
      <w:bodyDiv w:val="1"/>
      <w:marLeft w:val="0"/>
      <w:marRight w:val="0"/>
      <w:marTop w:val="0"/>
      <w:marBottom w:val="0"/>
      <w:divBdr>
        <w:top w:val="none" w:sz="0" w:space="0" w:color="auto"/>
        <w:left w:val="none" w:sz="0" w:space="0" w:color="auto"/>
        <w:bottom w:val="none" w:sz="0" w:space="0" w:color="auto"/>
        <w:right w:val="none" w:sz="0" w:space="0" w:color="auto"/>
      </w:divBdr>
      <w:divsChild>
        <w:div w:id="233777560">
          <w:marLeft w:val="0"/>
          <w:marRight w:val="0"/>
          <w:marTop w:val="240"/>
          <w:marBottom w:val="120"/>
          <w:divBdr>
            <w:top w:val="none" w:sz="0" w:space="0" w:color="auto"/>
            <w:left w:val="none" w:sz="0" w:space="0" w:color="auto"/>
            <w:bottom w:val="none" w:sz="0" w:space="0" w:color="auto"/>
            <w:right w:val="none" w:sz="0" w:space="0" w:color="auto"/>
          </w:divBdr>
        </w:div>
        <w:div w:id="1085149454">
          <w:marLeft w:val="0"/>
          <w:marRight w:val="0"/>
          <w:marTop w:val="240"/>
          <w:marBottom w:val="120"/>
          <w:divBdr>
            <w:top w:val="none" w:sz="0" w:space="0" w:color="auto"/>
            <w:left w:val="none" w:sz="0" w:space="0" w:color="auto"/>
            <w:bottom w:val="none" w:sz="0" w:space="0" w:color="auto"/>
            <w:right w:val="none" w:sz="0" w:space="0" w:color="auto"/>
          </w:divBdr>
        </w:div>
      </w:divsChild>
    </w:div>
    <w:div w:id="1282498227">
      <w:bodyDiv w:val="1"/>
      <w:marLeft w:val="0"/>
      <w:marRight w:val="0"/>
      <w:marTop w:val="0"/>
      <w:marBottom w:val="0"/>
      <w:divBdr>
        <w:top w:val="none" w:sz="0" w:space="0" w:color="auto"/>
        <w:left w:val="none" w:sz="0" w:space="0" w:color="auto"/>
        <w:bottom w:val="none" w:sz="0" w:space="0" w:color="auto"/>
        <w:right w:val="none" w:sz="0" w:space="0" w:color="auto"/>
      </w:divBdr>
      <w:divsChild>
        <w:div w:id="387921504">
          <w:marLeft w:val="0"/>
          <w:marRight w:val="0"/>
          <w:marTop w:val="240"/>
          <w:marBottom w:val="120"/>
          <w:divBdr>
            <w:top w:val="none" w:sz="0" w:space="0" w:color="auto"/>
            <w:left w:val="none" w:sz="0" w:space="0" w:color="auto"/>
            <w:bottom w:val="none" w:sz="0" w:space="0" w:color="auto"/>
            <w:right w:val="none" w:sz="0" w:space="0" w:color="auto"/>
          </w:divBdr>
        </w:div>
        <w:div w:id="671419892">
          <w:marLeft w:val="0"/>
          <w:marRight w:val="0"/>
          <w:marTop w:val="240"/>
          <w:marBottom w:val="120"/>
          <w:divBdr>
            <w:top w:val="none" w:sz="0" w:space="0" w:color="auto"/>
            <w:left w:val="none" w:sz="0" w:space="0" w:color="auto"/>
            <w:bottom w:val="none" w:sz="0" w:space="0" w:color="auto"/>
            <w:right w:val="none" w:sz="0" w:space="0" w:color="auto"/>
          </w:divBdr>
        </w:div>
      </w:divsChild>
    </w:div>
    <w:div w:id="1290356305">
      <w:bodyDiv w:val="1"/>
      <w:marLeft w:val="0"/>
      <w:marRight w:val="0"/>
      <w:marTop w:val="0"/>
      <w:marBottom w:val="0"/>
      <w:divBdr>
        <w:top w:val="none" w:sz="0" w:space="0" w:color="auto"/>
        <w:left w:val="none" w:sz="0" w:space="0" w:color="auto"/>
        <w:bottom w:val="none" w:sz="0" w:space="0" w:color="auto"/>
        <w:right w:val="none" w:sz="0" w:space="0" w:color="auto"/>
      </w:divBdr>
      <w:divsChild>
        <w:div w:id="754978822">
          <w:marLeft w:val="0"/>
          <w:marRight w:val="0"/>
          <w:marTop w:val="0"/>
          <w:marBottom w:val="0"/>
          <w:divBdr>
            <w:top w:val="none" w:sz="0" w:space="0" w:color="auto"/>
            <w:left w:val="none" w:sz="0" w:space="0" w:color="auto"/>
            <w:bottom w:val="none" w:sz="0" w:space="0" w:color="auto"/>
            <w:right w:val="none" w:sz="0" w:space="0" w:color="auto"/>
          </w:divBdr>
          <w:divsChild>
            <w:div w:id="1383091597">
              <w:marLeft w:val="0"/>
              <w:marRight w:val="0"/>
              <w:marTop w:val="0"/>
              <w:marBottom w:val="0"/>
              <w:divBdr>
                <w:top w:val="none" w:sz="0" w:space="0" w:color="auto"/>
                <w:left w:val="none" w:sz="0" w:space="0" w:color="auto"/>
                <w:bottom w:val="none" w:sz="0" w:space="0" w:color="auto"/>
                <w:right w:val="none" w:sz="0" w:space="0" w:color="auto"/>
              </w:divBdr>
              <w:divsChild>
                <w:div w:id="1765802291">
                  <w:marLeft w:val="0"/>
                  <w:marRight w:val="0"/>
                  <w:marTop w:val="0"/>
                  <w:marBottom w:val="0"/>
                  <w:divBdr>
                    <w:top w:val="none" w:sz="0" w:space="0" w:color="auto"/>
                    <w:left w:val="none" w:sz="0" w:space="0" w:color="auto"/>
                    <w:bottom w:val="none" w:sz="0" w:space="0" w:color="auto"/>
                    <w:right w:val="none" w:sz="0" w:space="0" w:color="auto"/>
                  </w:divBdr>
                </w:div>
                <w:div w:id="1640529792">
                  <w:marLeft w:val="0"/>
                  <w:marRight w:val="0"/>
                  <w:marTop w:val="0"/>
                  <w:marBottom w:val="0"/>
                  <w:divBdr>
                    <w:top w:val="none" w:sz="0" w:space="0" w:color="auto"/>
                    <w:left w:val="none" w:sz="0" w:space="0" w:color="auto"/>
                    <w:bottom w:val="none" w:sz="0" w:space="0" w:color="auto"/>
                    <w:right w:val="none" w:sz="0" w:space="0" w:color="auto"/>
                  </w:divBdr>
                  <w:divsChild>
                    <w:div w:id="407121946">
                      <w:marLeft w:val="0"/>
                      <w:marRight w:val="0"/>
                      <w:marTop w:val="0"/>
                      <w:marBottom w:val="0"/>
                      <w:divBdr>
                        <w:top w:val="none" w:sz="0" w:space="0" w:color="auto"/>
                        <w:left w:val="none" w:sz="0" w:space="0" w:color="auto"/>
                        <w:bottom w:val="none" w:sz="0" w:space="0" w:color="auto"/>
                        <w:right w:val="none" w:sz="0" w:space="0" w:color="auto"/>
                      </w:divBdr>
                    </w:div>
                  </w:divsChild>
                </w:div>
                <w:div w:id="2493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225295">
      <w:bodyDiv w:val="1"/>
      <w:marLeft w:val="0"/>
      <w:marRight w:val="0"/>
      <w:marTop w:val="0"/>
      <w:marBottom w:val="0"/>
      <w:divBdr>
        <w:top w:val="none" w:sz="0" w:space="0" w:color="auto"/>
        <w:left w:val="none" w:sz="0" w:space="0" w:color="auto"/>
        <w:bottom w:val="none" w:sz="0" w:space="0" w:color="auto"/>
        <w:right w:val="none" w:sz="0" w:space="0" w:color="auto"/>
      </w:divBdr>
    </w:div>
    <w:div w:id="1318414090">
      <w:bodyDiv w:val="1"/>
      <w:marLeft w:val="0"/>
      <w:marRight w:val="0"/>
      <w:marTop w:val="0"/>
      <w:marBottom w:val="0"/>
      <w:divBdr>
        <w:top w:val="none" w:sz="0" w:space="0" w:color="auto"/>
        <w:left w:val="none" w:sz="0" w:space="0" w:color="auto"/>
        <w:bottom w:val="none" w:sz="0" w:space="0" w:color="auto"/>
        <w:right w:val="none" w:sz="0" w:space="0" w:color="auto"/>
      </w:divBdr>
    </w:div>
    <w:div w:id="1318418291">
      <w:bodyDiv w:val="1"/>
      <w:marLeft w:val="0"/>
      <w:marRight w:val="0"/>
      <w:marTop w:val="0"/>
      <w:marBottom w:val="0"/>
      <w:divBdr>
        <w:top w:val="none" w:sz="0" w:space="0" w:color="auto"/>
        <w:left w:val="none" w:sz="0" w:space="0" w:color="auto"/>
        <w:bottom w:val="none" w:sz="0" w:space="0" w:color="auto"/>
        <w:right w:val="none" w:sz="0" w:space="0" w:color="auto"/>
      </w:divBdr>
    </w:div>
    <w:div w:id="1318798122">
      <w:bodyDiv w:val="1"/>
      <w:marLeft w:val="0"/>
      <w:marRight w:val="0"/>
      <w:marTop w:val="0"/>
      <w:marBottom w:val="0"/>
      <w:divBdr>
        <w:top w:val="none" w:sz="0" w:space="0" w:color="auto"/>
        <w:left w:val="none" w:sz="0" w:space="0" w:color="auto"/>
        <w:bottom w:val="none" w:sz="0" w:space="0" w:color="auto"/>
        <w:right w:val="none" w:sz="0" w:space="0" w:color="auto"/>
      </w:divBdr>
      <w:divsChild>
        <w:div w:id="517622249">
          <w:marLeft w:val="0"/>
          <w:marRight w:val="0"/>
          <w:marTop w:val="0"/>
          <w:marBottom w:val="0"/>
          <w:divBdr>
            <w:top w:val="none" w:sz="0" w:space="0" w:color="auto"/>
            <w:left w:val="none" w:sz="0" w:space="0" w:color="auto"/>
            <w:bottom w:val="none" w:sz="0" w:space="0" w:color="auto"/>
            <w:right w:val="none" w:sz="0" w:space="0" w:color="auto"/>
          </w:divBdr>
        </w:div>
        <w:div w:id="36008032">
          <w:marLeft w:val="0"/>
          <w:marRight w:val="0"/>
          <w:marTop w:val="0"/>
          <w:marBottom w:val="0"/>
          <w:divBdr>
            <w:top w:val="none" w:sz="0" w:space="0" w:color="auto"/>
            <w:left w:val="none" w:sz="0" w:space="0" w:color="auto"/>
            <w:bottom w:val="none" w:sz="0" w:space="0" w:color="auto"/>
            <w:right w:val="none" w:sz="0" w:space="0" w:color="auto"/>
          </w:divBdr>
        </w:div>
      </w:divsChild>
    </w:div>
    <w:div w:id="1336687564">
      <w:bodyDiv w:val="1"/>
      <w:marLeft w:val="0"/>
      <w:marRight w:val="0"/>
      <w:marTop w:val="0"/>
      <w:marBottom w:val="0"/>
      <w:divBdr>
        <w:top w:val="none" w:sz="0" w:space="0" w:color="auto"/>
        <w:left w:val="none" w:sz="0" w:space="0" w:color="auto"/>
        <w:bottom w:val="none" w:sz="0" w:space="0" w:color="auto"/>
        <w:right w:val="none" w:sz="0" w:space="0" w:color="auto"/>
      </w:divBdr>
      <w:divsChild>
        <w:div w:id="1110009468">
          <w:marLeft w:val="0"/>
          <w:marRight w:val="0"/>
          <w:marTop w:val="0"/>
          <w:marBottom w:val="0"/>
          <w:divBdr>
            <w:top w:val="none" w:sz="0" w:space="0" w:color="auto"/>
            <w:left w:val="none" w:sz="0" w:space="0" w:color="auto"/>
            <w:bottom w:val="none" w:sz="0" w:space="0" w:color="auto"/>
            <w:right w:val="none" w:sz="0" w:space="0" w:color="auto"/>
          </w:divBdr>
        </w:div>
      </w:divsChild>
    </w:div>
    <w:div w:id="1340276780">
      <w:bodyDiv w:val="1"/>
      <w:marLeft w:val="0"/>
      <w:marRight w:val="0"/>
      <w:marTop w:val="0"/>
      <w:marBottom w:val="0"/>
      <w:divBdr>
        <w:top w:val="none" w:sz="0" w:space="0" w:color="auto"/>
        <w:left w:val="none" w:sz="0" w:space="0" w:color="auto"/>
        <w:bottom w:val="none" w:sz="0" w:space="0" w:color="auto"/>
        <w:right w:val="none" w:sz="0" w:space="0" w:color="auto"/>
      </w:divBdr>
      <w:divsChild>
        <w:div w:id="154035592">
          <w:marLeft w:val="0"/>
          <w:marRight w:val="0"/>
          <w:marTop w:val="240"/>
          <w:marBottom w:val="120"/>
          <w:divBdr>
            <w:top w:val="none" w:sz="0" w:space="0" w:color="auto"/>
            <w:left w:val="none" w:sz="0" w:space="0" w:color="auto"/>
            <w:bottom w:val="none" w:sz="0" w:space="0" w:color="auto"/>
            <w:right w:val="none" w:sz="0" w:space="0" w:color="auto"/>
          </w:divBdr>
        </w:div>
        <w:div w:id="1139611351">
          <w:marLeft w:val="0"/>
          <w:marRight w:val="0"/>
          <w:marTop w:val="240"/>
          <w:marBottom w:val="120"/>
          <w:divBdr>
            <w:top w:val="none" w:sz="0" w:space="0" w:color="auto"/>
            <w:left w:val="none" w:sz="0" w:space="0" w:color="auto"/>
            <w:bottom w:val="none" w:sz="0" w:space="0" w:color="auto"/>
            <w:right w:val="none" w:sz="0" w:space="0" w:color="auto"/>
          </w:divBdr>
        </w:div>
      </w:divsChild>
    </w:div>
    <w:div w:id="1342658971">
      <w:bodyDiv w:val="1"/>
      <w:marLeft w:val="0"/>
      <w:marRight w:val="0"/>
      <w:marTop w:val="0"/>
      <w:marBottom w:val="0"/>
      <w:divBdr>
        <w:top w:val="none" w:sz="0" w:space="0" w:color="auto"/>
        <w:left w:val="none" w:sz="0" w:space="0" w:color="auto"/>
        <w:bottom w:val="none" w:sz="0" w:space="0" w:color="auto"/>
        <w:right w:val="none" w:sz="0" w:space="0" w:color="auto"/>
      </w:divBdr>
      <w:divsChild>
        <w:div w:id="174154874">
          <w:marLeft w:val="0"/>
          <w:marRight w:val="0"/>
          <w:marTop w:val="0"/>
          <w:marBottom w:val="0"/>
          <w:divBdr>
            <w:top w:val="none" w:sz="0" w:space="0" w:color="auto"/>
            <w:left w:val="none" w:sz="0" w:space="0" w:color="auto"/>
            <w:bottom w:val="none" w:sz="0" w:space="0" w:color="auto"/>
            <w:right w:val="none" w:sz="0" w:space="0" w:color="auto"/>
          </w:divBdr>
          <w:divsChild>
            <w:div w:id="2072995000">
              <w:marLeft w:val="0"/>
              <w:marRight w:val="0"/>
              <w:marTop w:val="0"/>
              <w:marBottom w:val="0"/>
              <w:divBdr>
                <w:top w:val="none" w:sz="0" w:space="0" w:color="auto"/>
                <w:left w:val="none" w:sz="0" w:space="0" w:color="auto"/>
                <w:bottom w:val="none" w:sz="0" w:space="0" w:color="auto"/>
                <w:right w:val="none" w:sz="0" w:space="0" w:color="auto"/>
              </w:divBdr>
              <w:divsChild>
                <w:div w:id="1229878593">
                  <w:marLeft w:val="0"/>
                  <w:marRight w:val="0"/>
                  <w:marTop w:val="0"/>
                  <w:marBottom w:val="0"/>
                  <w:divBdr>
                    <w:top w:val="none" w:sz="0" w:space="0" w:color="auto"/>
                    <w:left w:val="none" w:sz="0" w:space="0" w:color="auto"/>
                    <w:bottom w:val="none" w:sz="0" w:space="0" w:color="auto"/>
                    <w:right w:val="none" w:sz="0" w:space="0" w:color="auto"/>
                  </w:divBdr>
                </w:div>
                <w:div w:id="1408500494">
                  <w:marLeft w:val="0"/>
                  <w:marRight w:val="0"/>
                  <w:marTop w:val="0"/>
                  <w:marBottom w:val="0"/>
                  <w:divBdr>
                    <w:top w:val="none" w:sz="0" w:space="0" w:color="auto"/>
                    <w:left w:val="none" w:sz="0" w:space="0" w:color="auto"/>
                    <w:bottom w:val="none" w:sz="0" w:space="0" w:color="auto"/>
                    <w:right w:val="none" w:sz="0" w:space="0" w:color="auto"/>
                  </w:divBdr>
                  <w:divsChild>
                    <w:div w:id="1826121631">
                      <w:marLeft w:val="0"/>
                      <w:marRight w:val="0"/>
                      <w:marTop w:val="0"/>
                      <w:marBottom w:val="0"/>
                      <w:divBdr>
                        <w:top w:val="none" w:sz="0" w:space="0" w:color="auto"/>
                        <w:left w:val="none" w:sz="0" w:space="0" w:color="auto"/>
                        <w:bottom w:val="none" w:sz="0" w:space="0" w:color="auto"/>
                        <w:right w:val="none" w:sz="0" w:space="0" w:color="auto"/>
                      </w:divBdr>
                    </w:div>
                  </w:divsChild>
                </w:div>
                <w:div w:id="121543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897643">
      <w:bodyDiv w:val="1"/>
      <w:marLeft w:val="0"/>
      <w:marRight w:val="0"/>
      <w:marTop w:val="0"/>
      <w:marBottom w:val="0"/>
      <w:divBdr>
        <w:top w:val="none" w:sz="0" w:space="0" w:color="auto"/>
        <w:left w:val="none" w:sz="0" w:space="0" w:color="auto"/>
        <w:bottom w:val="none" w:sz="0" w:space="0" w:color="auto"/>
        <w:right w:val="none" w:sz="0" w:space="0" w:color="auto"/>
      </w:divBdr>
    </w:div>
    <w:div w:id="1355225308">
      <w:bodyDiv w:val="1"/>
      <w:marLeft w:val="0"/>
      <w:marRight w:val="0"/>
      <w:marTop w:val="0"/>
      <w:marBottom w:val="0"/>
      <w:divBdr>
        <w:top w:val="none" w:sz="0" w:space="0" w:color="auto"/>
        <w:left w:val="none" w:sz="0" w:space="0" w:color="auto"/>
        <w:bottom w:val="none" w:sz="0" w:space="0" w:color="auto"/>
        <w:right w:val="none" w:sz="0" w:space="0" w:color="auto"/>
      </w:divBdr>
    </w:div>
    <w:div w:id="1362978917">
      <w:bodyDiv w:val="1"/>
      <w:marLeft w:val="0"/>
      <w:marRight w:val="0"/>
      <w:marTop w:val="0"/>
      <w:marBottom w:val="0"/>
      <w:divBdr>
        <w:top w:val="none" w:sz="0" w:space="0" w:color="auto"/>
        <w:left w:val="none" w:sz="0" w:space="0" w:color="auto"/>
        <w:bottom w:val="none" w:sz="0" w:space="0" w:color="auto"/>
        <w:right w:val="none" w:sz="0" w:space="0" w:color="auto"/>
      </w:divBdr>
    </w:div>
    <w:div w:id="1391423671">
      <w:bodyDiv w:val="1"/>
      <w:marLeft w:val="0"/>
      <w:marRight w:val="0"/>
      <w:marTop w:val="0"/>
      <w:marBottom w:val="0"/>
      <w:divBdr>
        <w:top w:val="none" w:sz="0" w:space="0" w:color="auto"/>
        <w:left w:val="none" w:sz="0" w:space="0" w:color="auto"/>
        <w:bottom w:val="none" w:sz="0" w:space="0" w:color="auto"/>
        <w:right w:val="none" w:sz="0" w:space="0" w:color="auto"/>
      </w:divBdr>
      <w:divsChild>
        <w:div w:id="1848134098">
          <w:marLeft w:val="0"/>
          <w:marRight w:val="0"/>
          <w:marTop w:val="240"/>
          <w:marBottom w:val="120"/>
          <w:divBdr>
            <w:top w:val="none" w:sz="0" w:space="0" w:color="auto"/>
            <w:left w:val="none" w:sz="0" w:space="0" w:color="auto"/>
            <w:bottom w:val="none" w:sz="0" w:space="0" w:color="auto"/>
            <w:right w:val="none" w:sz="0" w:space="0" w:color="auto"/>
          </w:divBdr>
        </w:div>
        <w:div w:id="543759868">
          <w:marLeft w:val="0"/>
          <w:marRight w:val="0"/>
          <w:marTop w:val="240"/>
          <w:marBottom w:val="120"/>
          <w:divBdr>
            <w:top w:val="none" w:sz="0" w:space="0" w:color="auto"/>
            <w:left w:val="none" w:sz="0" w:space="0" w:color="auto"/>
            <w:bottom w:val="none" w:sz="0" w:space="0" w:color="auto"/>
            <w:right w:val="none" w:sz="0" w:space="0" w:color="auto"/>
          </w:divBdr>
        </w:div>
      </w:divsChild>
    </w:div>
    <w:div w:id="1400594635">
      <w:bodyDiv w:val="1"/>
      <w:marLeft w:val="0"/>
      <w:marRight w:val="0"/>
      <w:marTop w:val="0"/>
      <w:marBottom w:val="0"/>
      <w:divBdr>
        <w:top w:val="none" w:sz="0" w:space="0" w:color="auto"/>
        <w:left w:val="none" w:sz="0" w:space="0" w:color="auto"/>
        <w:bottom w:val="none" w:sz="0" w:space="0" w:color="auto"/>
        <w:right w:val="none" w:sz="0" w:space="0" w:color="auto"/>
      </w:divBdr>
      <w:divsChild>
        <w:div w:id="1332561265">
          <w:marLeft w:val="0"/>
          <w:marRight w:val="0"/>
          <w:marTop w:val="240"/>
          <w:marBottom w:val="120"/>
          <w:divBdr>
            <w:top w:val="none" w:sz="0" w:space="0" w:color="auto"/>
            <w:left w:val="none" w:sz="0" w:space="0" w:color="auto"/>
            <w:bottom w:val="none" w:sz="0" w:space="0" w:color="auto"/>
            <w:right w:val="none" w:sz="0" w:space="0" w:color="auto"/>
          </w:divBdr>
        </w:div>
        <w:div w:id="443158161">
          <w:marLeft w:val="0"/>
          <w:marRight w:val="0"/>
          <w:marTop w:val="240"/>
          <w:marBottom w:val="120"/>
          <w:divBdr>
            <w:top w:val="none" w:sz="0" w:space="0" w:color="auto"/>
            <w:left w:val="none" w:sz="0" w:space="0" w:color="auto"/>
            <w:bottom w:val="none" w:sz="0" w:space="0" w:color="auto"/>
            <w:right w:val="none" w:sz="0" w:space="0" w:color="auto"/>
          </w:divBdr>
        </w:div>
      </w:divsChild>
    </w:div>
    <w:div w:id="1403600361">
      <w:bodyDiv w:val="1"/>
      <w:marLeft w:val="0"/>
      <w:marRight w:val="0"/>
      <w:marTop w:val="0"/>
      <w:marBottom w:val="0"/>
      <w:divBdr>
        <w:top w:val="none" w:sz="0" w:space="0" w:color="auto"/>
        <w:left w:val="none" w:sz="0" w:space="0" w:color="auto"/>
        <w:bottom w:val="none" w:sz="0" w:space="0" w:color="auto"/>
        <w:right w:val="none" w:sz="0" w:space="0" w:color="auto"/>
      </w:divBdr>
      <w:divsChild>
        <w:div w:id="676495073">
          <w:marLeft w:val="0"/>
          <w:marRight w:val="0"/>
          <w:marTop w:val="0"/>
          <w:marBottom w:val="0"/>
          <w:divBdr>
            <w:top w:val="none" w:sz="0" w:space="0" w:color="auto"/>
            <w:left w:val="none" w:sz="0" w:space="0" w:color="auto"/>
            <w:bottom w:val="none" w:sz="0" w:space="0" w:color="auto"/>
            <w:right w:val="none" w:sz="0" w:space="0" w:color="auto"/>
          </w:divBdr>
          <w:divsChild>
            <w:div w:id="434599907">
              <w:marLeft w:val="0"/>
              <w:marRight w:val="0"/>
              <w:marTop w:val="0"/>
              <w:marBottom w:val="0"/>
              <w:divBdr>
                <w:top w:val="none" w:sz="0" w:space="0" w:color="auto"/>
                <w:left w:val="none" w:sz="0" w:space="0" w:color="auto"/>
                <w:bottom w:val="none" w:sz="0" w:space="0" w:color="auto"/>
                <w:right w:val="none" w:sz="0" w:space="0" w:color="auto"/>
              </w:divBdr>
              <w:divsChild>
                <w:div w:id="1667323684">
                  <w:marLeft w:val="0"/>
                  <w:marRight w:val="0"/>
                  <w:marTop w:val="0"/>
                  <w:marBottom w:val="0"/>
                  <w:divBdr>
                    <w:top w:val="none" w:sz="0" w:space="0" w:color="auto"/>
                    <w:left w:val="none" w:sz="0" w:space="0" w:color="auto"/>
                    <w:bottom w:val="none" w:sz="0" w:space="0" w:color="auto"/>
                    <w:right w:val="none" w:sz="0" w:space="0" w:color="auto"/>
                  </w:divBdr>
                  <w:divsChild>
                    <w:div w:id="1088305031">
                      <w:marLeft w:val="0"/>
                      <w:marRight w:val="0"/>
                      <w:marTop w:val="0"/>
                      <w:marBottom w:val="0"/>
                      <w:divBdr>
                        <w:top w:val="none" w:sz="0" w:space="0" w:color="auto"/>
                        <w:left w:val="none" w:sz="0" w:space="0" w:color="auto"/>
                        <w:bottom w:val="none" w:sz="0" w:space="0" w:color="auto"/>
                        <w:right w:val="none" w:sz="0" w:space="0" w:color="auto"/>
                      </w:divBdr>
                      <w:divsChild>
                        <w:div w:id="153491529">
                          <w:marLeft w:val="0"/>
                          <w:marRight w:val="0"/>
                          <w:marTop w:val="0"/>
                          <w:marBottom w:val="0"/>
                          <w:divBdr>
                            <w:top w:val="none" w:sz="0" w:space="0" w:color="auto"/>
                            <w:left w:val="none" w:sz="0" w:space="0" w:color="auto"/>
                            <w:bottom w:val="none" w:sz="0" w:space="0" w:color="auto"/>
                            <w:right w:val="none" w:sz="0" w:space="0" w:color="auto"/>
                          </w:divBdr>
                        </w:div>
                      </w:divsChild>
                    </w:div>
                    <w:div w:id="131517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10056">
              <w:marLeft w:val="0"/>
              <w:marRight w:val="0"/>
              <w:marTop w:val="0"/>
              <w:marBottom w:val="0"/>
              <w:divBdr>
                <w:top w:val="none" w:sz="0" w:space="0" w:color="auto"/>
                <w:left w:val="none" w:sz="0" w:space="0" w:color="auto"/>
                <w:bottom w:val="none" w:sz="0" w:space="0" w:color="auto"/>
                <w:right w:val="none" w:sz="0" w:space="0" w:color="auto"/>
              </w:divBdr>
            </w:div>
          </w:divsChild>
        </w:div>
        <w:div w:id="1328284104">
          <w:marLeft w:val="0"/>
          <w:marRight w:val="0"/>
          <w:marTop w:val="0"/>
          <w:marBottom w:val="0"/>
          <w:divBdr>
            <w:top w:val="none" w:sz="0" w:space="0" w:color="auto"/>
            <w:left w:val="none" w:sz="0" w:space="0" w:color="auto"/>
            <w:bottom w:val="none" w:sz="0" w:space="0" w:color="auto"/>
            <w:right w:val="none" w:sz="0" w:space="0" w:color="auto"/>
          </w:divBdr>
          <w:divsChild>
            <w:div w:id="510534103">
              <w:marLeft w:val="0"/>
              <w:marRight w:val="0"/>
              <w:marTop w:val="0"/>
              <w:marBottom w:val="0"/>
              <w:divBdr>
                <w:top w:val="none" w:sz="0" w:space="0" w:color="auto"/>
                <w:left w:val="none" w:sz="0" w:space="0" w:color="auto"/>
                <w:bottom w:val="none" w:sz="0" w:space="0" w:color="auto"/>
                <w:right w:val="none" w:sz="0" w:space="0" w:color="auto"/>
              </w:divBdr>
              <w:divsChild>
                <w:div w:id="83711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349259">
          <w:marLeft w:val="0"/>
          <w:marRight w:val="0"/>
          <w:marTop w:val="0"/>
          <w:marBottom w:val="0"/>
          <w:divBdr>
            <w:top w:val="none" w:sz="0" w:space="0" w:color="auto"/>
            <w:left w:val="none" w:sz="0" w:space="0" w:color="auto"/>
            <w:bottom w:val="none" w:sz="0" w:space="0" w:color="auto"/>
            <w:right w:val="none" w:sz="0" w:space="0" w:color="auto"/>
          </w:divBdr>
          <w:divsChild>
            <w:div w:id="169163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213865">
      <w:bodyDiv w:val="1"/>
      <w:marLeft w:val="0"/>
      <w:marRight w:val="0"/>
      <w:marTop w:val="0"/>
      <w:marBottom w:val="0"/>
      <w:divBdr>
        <w:top w:val="none" w:sz="0" w:space="0" w:color="auto"/>
        <w:left w:val="none" w:sz="0" w:space="0" w:color="auto"/>
        <w:bottom w:val="none" w:sz="0" w:space="0" w:color="auto"/>
        <w:right w:val="none" w:sz="0" w:space="0" w:color="auto"/>
      </w:divBdr>
      <w:divsChild>
        <w:div w:id="55934315">
          <w:marLeft w:val="0"/>
          <w:marRight w:val="0"/>
          <w:marTop w:val="0"/>
          <w:marBottom w:val="0"/>
          <w:divBdr>
            <w:top w:val="none" w:sz="0" w:space="0" w:color="auto"/>
            <w:left w:val="none" w:sz="0" w:space="0" w:color="auto"/>
            <w:bottom w:val="none" w:sz="0" w:space="0" w:color="auto"/>
            <w:right w:val="none" w:sz="0" w:space="0" w:color="auto"/>
          </w:divBdr>
        </w:div>
        <w:div w:id="353921732">
          <w:marLeft w:val="0"/>
          <w:marRight w:val="0"/>
          <w:marTop w:val="240"/>
          <w:marBottom w:val="120"/>
          <w:divBdr>
            <w:top w:val="none" w:sz="0" w:space="0" w:color="auto"/>
            <w:left w:val="none" w:sz="0" w:space="0" w:color="auto"/>
            <w:bottom w:val="none" w:sz="0" w:space="0" w:color="auto"/>
            <w:right w:val="none" w:sz="0" w:space="0" w:color="auto"/>
          </w:divBdr>
        </w:div>
        <w:div w:id="267782174">
          <w:marLeft w:val="0"/>
          <w:marRight w:val="0"/>
          <w:marTop w:val="240"/>
          <w:marBottom w:val="120"/>
          <w:divBdr>
            <w:top w:val="none" w:sz="0" w:space="0" w:color="auto"/>
            <w:left w:val="none" w:sz="0" w:space="0" w:color="auto"/>
            <w:bottom w:val="none" w:sz="0" w:space="0" w:color="auto"/>
            <w:right w:val="none" w:sz="0" w:space="0" w:color="auto"/>
          </w:divBdr>
          <w:divsChild>
            <w:div w:id="380596993">
              <w:marLeft w:val="0"/>
              <w:marRight w:val="0"/>
              <w:marTop w:val="0"/>
              <w:marBottom w:val="0"/>
              <w:divBdr>
                <w:top w:val="none" w:sz="0" w:space="0" w:color="auto"/>
                <w:left w:val="none" w:sz="0" w:space="0" w:color="auto"/>
                <w:bottom w:val="none" w:sz="0" w:space="0" w:color="auto"/>
                <w:right w:val="none" w:sz="0" w:space="0" w:color="auto"/>
              </w:divBdr>
            </w:div>
          </w:divsChild>
        </w:div>
        <w:div w:id="1905796945">
          <w:marLeft w:val="0"/>
          <w:marRight w:val="0"/>
          <w:marTop w:val="240"/>
          <w:marBottom w:val="120"/>
          <w:divBdr>
            <w:top w:val="none" w:sz="0" w:space="0" w:color="auto"/>
            <w:left w:val="none" w:sz="0" w:space="0" w:color="auto"/>
            <w:bottom w:val="none" w:sz="0" w:space="0" w:color="auto"/>
            <w:right w:val="none" w:sz="0" w:space="0" w:color="auto"/>
          </w:divBdr>
        </w:div>
      </w:divsChild>
    </w:div>
    <w:div w:id="1456410891">
      <w:bodyDiv w:val="1"/>
      <w:marLeft w:val="0"/>
      <w:marRight w:val="0"/>
      <w:marTop w:val="0"/>
      <w:marBottom w:val="0"/>
      <w:divBdr>
        <w:top w:val="none" w:sz="0" w:space="0" w:color="auto"/>
        <w:left w:val="none" w:sz="0" w:space="0" w:color="auto"/>
        <w:bottom w:val="none" w:sz="0" w:space="0" w:color="auto"/>
        <w:right w:val="none" w:sz="0" w:space="0" w:color="auto"/>
      </w:divBdr>
    </w:div>
    <w:div w:id="1461612205">
      <w:bodyDiv w:val="1"/>
      <w:marLeft w:val="0"/>
      <w:marRight w:val="0"/>
      <w:marTop w:val="0"/>
      <w:marBottom w:val="0"/>
      <w:divBdr>
        <w:top w:val="none" w:sz="0" w:space="0" w:color="auto"/>
        <w:left w:val="none" w:sz="0" w:space="0" w:color="auto"/>
        <w:bottom w:val="none" w:sz="0" w:space="0" w:color="auto"/>
        <w:right w:val="none" w:sz="0" w:space="0" w:color="auto"/>
      </w:divBdr>
      <w:divsChild>
        <w:div w:id="1567455548">
          <w:marLeft w:val="0"/>
          <w:marRight w:val="0"/>
          <w:marTop w:val="0"/>
          <w:marBottom w:val="0"/>
          <w:divBdr>
            <w:top w:val="none" w:sz="0" w:space="0" w:color="auto"/>
            <w:left w:val="none" w:sz="0" w:space="0" w:color="auto"/>
            <w:bottom w:val="none" w:sz="0" w:space="0" w:color="auto"/>
            <w:right w:val="none" w:sz="0" w:space="0" w:color="auto"/>
          </w:divBdr>
          <w:divsChild>
            <w:div w:id="1047487104">
              <w:marLeft w:val="0"/>
              <w:marRight w:val="0"/>
              <w:marTop w:val="0"/>
              <w:marBottom w:val="0"/>
              <w:divBdr>
                <w:top w:val="none" w:sz="0" w:space="0" w:color="auto"/>
                <w:left w:val="none" w:sz="0" w:space="0" w:color="auto"/>
                <w:bottom w:val="none" w:sz="0" w:space="0" w:color="auto"/>
                <w:right w:val="none" w:sz="0" w:space="0" w:color="auto"/>
              </w:divBdr>
              <w:divsChild>
                <w:div w:id="174151931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583837551">
          <w:marLeft w:val="0"/>
          <w:marRight w:val="0"/>
          <w:marTop w:val="0"/>
          <w:marBottom w:val="0"/>
          <w:divBdr>
            <w:top w:val="none" w:sz="0" w:space="0" w:color="auto"/>
            <w:left w:val="none" w:sz="0" w:space="0" w:color="auto"/>
            <w:bottom w:val="none" w:sz="0" w:space="0" w:color="auto"/>
            <w:right w:val="none" w:sz="0" w:space="0" w:color="auto"/>
          </w:divBdr>
          <w:divsChild>
            <w:div w:id="783425827">
              <w:marLeft w:val="0"/>
              <w:marRight w:val="0"/>
              <w:marTop w:val="0"/>
              <w:marBottom w:val="0"/>
              <w:divBdr>
                <w:top w:val="none" w:sz="0" w:space="0" w:color="auto"/>
                <w:left w:val="none" w:sz="0" w:space="0" w:color="auto"/>
                <w:bottom w:val="none" w:sz="0" w:space="0" w:color="auto"/>
                <w:right w:val="none" w:sz="0" w:space="0" w:color="auto"/>
              </w:divBdr>
              <w:divsChild>
                <w:div w:id="38530039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726686627">
          <w:marLeft w:val="0"/>
          <w:marRight w:val="0"/>
          <w:marTop w:val="0"/>
          <w:marBottom w:val="0"/>
          <w:divBdr>
            <w:top w:val="none" w:sz="0" w:space="0" w:color="auto"/>
            <w:left w:val="none" w:sz="0" w:space="0" w:color="auto"/>
            <w:bottom w:val="none" w:sz="0" w:space="0" w:color="auto"/>
            <w:right w:val="none" w:sz="0" w:space="0" w:color="auto"/>
          </w:divBdr>
          <w:divsChild>
            <w:div w:id="1133594370">
              <w:marLeft w:val="0"/>
              <w:marRight w:val="0"/>
              <w:marTop w:val="0"/>
              <w:marBottom w:val="0"/>
              <w:divBdr>
                <w:top w:val="none" w:sz="0" w:space="0" w:color="auto"/>
                <w:left w:val="none" w:sz="0" w:space="0" w:color="auto"/>
                <w:bottom w:val="none" w:sz="0" w:space="0" w:color="auto"/>
                <w:right w:val="none" w:sz="0" w:space="0" w:color="auto"/>
              </w:divBdr>
              <w:divsChild>
                <w:div w:id="172664400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58733777">
          <w:marLeft w:val="0"/>
          <w:marRight w:val="0"/>
          <w:marTop w:val="0"/>
          <w:marBottom w:val="0"/>
          <w:divBdr>
            <w:top w:val="none" w:sz="0" w:space="0" w:color="auto"/>
            <w:left w:val="none" w:sz="0" w:space="0" w:color="auto"/>
            <w:bottom w:val="none" w:sz="0" w:space="0" w:color="auto"/>
            <w:right w:val="none" w:sz="0" w:space="0" w:color="auto"/>
          </w:divBdr>
          <w:divsChild>
            <w:div w:id="1811362873">
              <w:marLeft w:val="0"/>
              <w:marRight w:val="0"/>
              <w:marTop w:val="0"/>
              <w:marBottom w:val="0"/>
              <w:divBdr>
                <w:top w:val="none" w:sz="0" w:space="0" w:color="auto"/>
                <w:left w:val="none" w:sz="0" w:space="0" w:color="auto"/>
                <w:bottom w:val="none" w:sz="0" w:space="0" w:color="auto"/>
                <w:right w:val="none" w:sz="0" w:space="0" w:color="auto"/>
              </w:divBdr>
              <w:divsChild>
                <w:div w:id="69384836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689988545">
          <w:marLeft w:val="0"/>
          <w:marRight w:val="0"/>
          <w:marTop w:val="0"/>
          <w:marBottom w:val="0"/>
          <w:divBdr>
            <w:top w:val="none" w:sz="0" w:space="0" w:color="auto"/>
            <w:left w:val="none" w:sz="0" w:space="0" w:color="auto"/>
            <w:bottom w:val="none" w:sz="0" w:space="0" w:color="auto"/>
            <w:right w:val="none" w:sz="0" w:space="0" w:color="auto"/>
          </w:divBdr>
          <w:divsChild>
            <w:div w:id="5952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51256">
      <w:bodyDiv w:val="1"/>
      <w:marLeft w:val="0"/>
      <w:marRight w:val="0"/>
      <w:marTop w:val="0"/>
      <w:marBottom w:val="0"/>
      <w:divBdr>
        <w:top w:val="none" w:sz="0" w:space="0" w:color="auto"/>
        <w:left w:val="none" w:sz="0" w:space="0" w:color="auto"/>
        <w:bottom w:val="none" w:sz="0" w:space="0" w:color="auto"/>
        <w:right w:val="none" w:sz="0" w:space="0" w:color="auto"/>
      </w:divBdr>
    </w:div>
    <w:div w:id="1467549010">
      <w:bodyDiv w:val="1"/>
      <w:marLeft w:val="0"/>
      <w:marRight w:val="0"/>
      <w:marTop w:val="0"/>
      <w:marBottom w:val="0"/>
      <w:divBdr>
        <w:top w:val="none" w:sz="0" w:space="0" w:color="auto"/>
        <w:left w:val="none" w:sz="0" w:space="0" w:color="auto"/>
        <w:bottom w:val="none" w:sz="0" w:space="0" w:color="auto"/>
        <w:right w:val="none" w:sz="0" w:space="0" w:color="auto"/>
      </w:divBdr>
    </w:div>
    <w:div w:id="1478037399">
      <w:bodyDiv w:val="1"/>
      <w:marLeft w:val="0"/>
      <w:marRight w:val="0"/>
      <w:marTop w:val="0"/>
      <w:marBottom w:val="0"/>
      <w:divBdr>
        <w:top w:val="none" w:sz="0" w:space="0" w:color="auto"/>
        <w:left w:val="none" w:sz="0" w:space="0" w:color="auto"/>
        <w:bottom w:val="none" w:sz="0" w:space="0" w:color="auto"/>
        <w:right w:val="none" w:sz="0" w:space="0" w:color="auto"/>
      </w:divBdr>
      <w:divsChild>
        <w:div w:id="1885408535">
          <w:marLeft w:val="0"/>
          <w:marRight w:val="0"/>
          <w:marTop w:val="240"/>
          <w:marBottom w:val="120"/>
          <w:divBdr>
            <w:top w:val="none" w:sz="0" w:space="0" w:color="auto"/>
            <w:left w:val="none" w:sz="0" w:space="0" w:color="auto"/>
            <w:bottom w:val="none" w:sz="0" w:space="0" w:color="auto"/>
            <w:right w:val="none" w:sz="0" w:space="0" w:color="auto"/>
          </w:divBdr>
        </w:div>
        <w:div w:id="228730562">
          <w:marLeft w:val="0"/>
          <w:marRight w:val="0"/>
          <w:marTop w:val="240"/>
          <w:marBottom w:val="120"/>
          <w:divBdr>
            <w:top w:val="none" w:sz="0" w:space="0" w:color="auto"/>
            <w:left w:val="none" w:sz="0" w:space="0" w:color="auto"/>
            <w:bottom w:val="none" w:sz="0" w:space="0" w:color="auto"/>
            <w:right w:val="none" w:sz="0" w:space="0" w:color="auto"/>
          </w:divBdr>
          <w:divsChild>
            <w:div w:id="688917418">
              <w:marLeft w:val="0"/>
              <w:marRight w:val="0"/>
              <w:marTop w:val="0"/>
              <w:marBottom w:val="0"/>
              <w:divBdr>
                <w:top w:val="none" w:sz="0" w:space="0" w:color="auto"/>
                <w:left w:val="none" w:sz="0" w:space="0" w:color="auto"/>
                <w:bottom w:val="none" w:sz="0" w:space="0" w:color="auto"/>
                <w:right w:val="none" w:sz="0" w:space="0" w:color="auto"/>
              </w:divBdr>
            </w:div>
          </w:divsChild>
        </w:div>
        <w:div w:id="1993942594">
          <w:marLeft w:val="0"/>
          <w:marRight w:val="0"/>
          <w:marTop w:val="240"/>
          <w:marBottom w:val="120"/>
          <w:divBdr>
            <w:top w:val="none" w:sz="0" w:space="0" w:color="auto"/>
            <w:left w:val="none" w:sz="0" w:space="0" w:color="auto"/>
            <w:bottom w:val="none" w:sz="0" w:space="0" w:color="auto"/>
            <w:right w:val="none" w:sz="0" w:space="0" w:color="auto"/>
          </w:divBdr>
        </w:div>
      </w:divsChild>
    </w:div>
    <w:div w:id="1497916294">
      <w:bodyDiv w:val="1"/>
      <w:marLeft w:val="0"/>
      <w:marRight w:val="0"/>
      <w:marTop w:val="0"/>
      <w:marBottom w:val="0"/>
      <w:divBdr>
        <w:top w:val="none" w:sz="0" w:space="0" w:color="auto"/>
        <w:left w:val="none" w:sz="0" w:space="0" w:color="auto"/>
        <w:bottom w:val="none" w:sz="0" w:space="0" w:color="auto"/>
        <w:right w:val="none" w:sz="0" w:space="0" w:color="auto"/>
      </w:divBdr>
      <w:divsChild>
        <w:div w:id="790242059">
          <w:marLeft w:val="0"/>
          <w:marRight w:val="0"/>
          <w:marTop w:val="0"/>
          <w:marBottom w:val="0"/>
          <w:divBdr>
            <w:top w:val="none" w:sz="0" w:space="0" w:color="auto"/>
            <w:left w:val="none" w:sz="0" w:space="0" w:color="auto"/>
            <w:bottom w:val="none" w:sz="0" w:space="0" w:color="auto"/>
            <w:right w:val="none" w:sz="0" w:space="0" w:color="auto"/>
          </w:divBdr>
          <w:divsChild>
            <w:div w:id="972062386">
              <w:marLeft w:val="0"/>
              <w:marRight w:val="0"/>
              <w:marTop w:val="0"/>
              <w:marBottom w:val="0"/>
              <w:divBdr>
                <w:top w:val="none" w:sz="0" w:space="0" w:color="auto"/>
                <w:left w:val="none" w:sz="0" w:space="0" w:color="auto"/>
                <w:bottom w:val="none" w:sz="0" w:space="0" w:color="auto"/>
                <w:right w:val="none" w:sz="0" w:space="0" w:color="auto"/>
              </w:divBdr>
            </w:div>
          </w:divsChild>
        </w:div>
        <w:div w:id="924341563">
          <w:marLeft w:val="0"/>
          <w:marRight w:val="0"/>
          <w:marTop w:val="0"/>
          <w:marBottom w:val="0"/>
          <w:divBdr>
            <w:top w:val="none" w:sz="0" w:space="0" w:color="auto"/>
            <w:left w:val="none" w:sz="0" w:space="0" w:color="auto"/>
            <w:bottom w:val="none" w:sz="0" w:space="0" w:color="auto"/>
            <w:right w:val="none" w:sz="0" w:space="0" w:color="auto"/>
          </w:divBdr>
          <w:divsChild>
            <w:div w:id="182505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51967">
      <w:bodyDiv w:val="1"/>
      <w:marLeft w:val="0"/>
      <w:marRight w:val="0"/>
      <w:marTop w:val="0"/>
      <w:marBottom w:val="0"/>
      <w:divBdr>
        <w:top w:val="none" w:sz="0" w:space="0" w:color="auto"/>
        <w:left w:val="none" w:sz="0" w:space="0" w:color="auto"/>
        <w:bottom w:val="none" w:sz="0" w:space="0" w:color="auto"/>
        <w:right w:val="none" w:sz="0" w:space="0" w:color="auto"/>
      </w:divBdr>
      <w:divsChild>
        <w:div w:id="822352063">
          <w:marLeft w:val="0"/>
          <w:marRight w:val="0"/>
          <w:marTop w:val="0"/>
          <w:marBottom w:val="0"/>
          <w:divBdr>
            <w:top w:val="none" w:sz="0" w:space="0" w:color="auto"/>
            <w:left w:val="none" w:sz="0" w:space="0" w:color="auto"/>
            <w:bottom w:val="none" w:sz="0" w:space="0" w:color="auto"/>
            <w:right w:val="none" w:sz="0" w:space="0" w:color="auto"/>
          </w:divBdr>
        </w:div>
        <w:div w:id="2041121139">
          <w:marLeft w:val="0"/>
          <w:marRight w:val="0"/>
          <w:marTop w:val="0"/>
          <w:marBottom w:val="0"/>
          <w:divBdr>
            <w:top w:val="none" w:sz="0" w:space="0" w:color="auto"/>
            <w:left w:val="none" w:sz="0" w:space="0" w:color="auto"/>
            <w:bottom w:val="none" w:sz="0" w:space="0" w:color="auto"/>
            <w:right w:val="none" w:sz="0" w:space="0" w:color="auto"/>
          </w:divBdr>
        </w:div>
        <w:div w:id="491139921">
          <w:marLeft w:val="0"/>
          <w:marRight w:val="0"/>
          <w:marTop w:val="0"/>
          <w:marBottom w:val="0"/>
          <w:divBdr>
            <w:top w:val="none" w:sz="0" w:space="0" w:color="auto"/>
            <w:left w:val="none" w:sz="0" w:space="0" w:color="auto"/>
            <w:bottom w:val="none" w:sz="0" w:space="0" w:color="auto"/>
            <w:right w:val="none" w:sz="0" w:space="0" w:color="auto"/>
          </w:divBdr>
        </w:div>
        <w:div w:id="1289239636">
          <w:marLeft w:val="0"/>
          <w:marRight w:val="0"/>
          <w:marTop w:val="0"/>
          <w:marBottom w:val="0"/>
          <w:divBdr>
            <w:top w:val="none" w:sz="0" w:space="0" w:color="auto"/>
            <w:left w:val="none" w:sz="0" w:space="0" w:color="auto"/>
            <w:bottom w:val="none" w:sz="0" w:space="0" w:color="auto"/>
            <w:right w:val="none" w:sz="0" w:space="0" w:color="auto"/>
          </w:divBdr>
        </w:div>
        <w:div w:id="209923537">
          <w:marLeft w:val="0"/>
          <w:marRight w:val="0"/>
          <w:marTop w:val="0"/>
          <w:marBottom w:val="0"/>
          <w:divBdr>
            <w:top w:val="none" w:sz="0" w:space="0" w:color="auto"/>
            <w:left w:val="none" w:sz="0" w:space="0" w:color="auto"/>
            <w:bottom w:val="none" w:sz="0" w:space="0" w:color="auto"/>
            <w:right w:val="none" w:sz="0" w:space="0" w:color="auto"/>
          </w:divBdr>
        </w:div>
        <w:div w:id="853572579">
          <w:marLeft w:val="0"/>
          <w:marRight w:val="0"/>
          <w:marTop w:val="0"/>
          <w:marBottom w:val="0"/>
          <w:divBdr>
            <w:top w:val="none" w:sz="0" w:space="0" w:color="auto"/>
            <w:left w:val="none" w:sz="0" w:space="0" w:color="auto"/>
            <w:bottom w:val="none" w:sz="0" w:space="0" w:color="auto"/>
            <w:right w:val="none" w:sz="0" w:space="0" w:color="auto"/>
          </w:divBdr>
        </w:div>
      </w:divsChild>
    </w:div>
    <w:div w:id="1516067612">
      <w:bodyDiv w:val="1"/>
      <w:marLeft w:val="0"/>
      <w:marRight w:val="0"/>
      <w:marTop w:val="0"/>
      <w:marBottom w:val="0"/>
      <w:divBdr>
        <w:top w:val="none" w:sz="0" w:space="0" w:color="auto"/>
        <w:left w:val="none" w:sz="0" w:space="0" w:color="auto"/>
        <w:bottom w:val="none" w:sz="0" w:space="0" w:color="auto"/>
        <w:right w:val="none" w:sz="0" w:space="0" w:color="auto"/>
      </w:divBdr>
      <w:divsChild>
        <w:div w:id="1530872531">
          <w:marLeft w:val="0"/>
          <w:marRight w:val="0"/>
          <w:marTop w:val="240"/>
          <w:marBottom w:val="120"/>
          <w:divBdr>
            <w:top w:val="none" w:sz="0" w:space="0" w:color="auto"/>
            <w:left w:val="none" w:sz="0" w:space="0" w:color="auto"/>
            <w:bottom w:val="none" w:sz="0" w:space="0" w:color="auto"/>
            <w:right w:val="none" w:sz="0" w:space="0" w:color="auto"/>
          </w:divBdr>
        </w:div>
        <w:div w:id="801382775">
          <w:marLeft w:val="0"/>
          <w:marRight w:val="0"/>
          <w:marTop w:val="240"/>
          <w:marBottom w:val="120"/>
          <w:divBdr>
            <w:top w:val="none" w:sz="0" w:space="0" w:color="auto"/>
            <w:left w:val="none" w:sz="0" w:space="0" w:color="auto"/>
            <w:bottom w:val="none" w:sz="0" w:space="0" w:color="auto"/>
            <w:right w:val="none" w:sz="0" w:space="0" w:color="auto"/>
          </w:divBdr>
        </w:div>
      </w:divsChild>
    </w:div>
    <w:div w:id="1537040738">
      <w:bodyDiv w:val="1"/>
      <w:marLeft w:val="0"/>
      <w:marRight w:val="0"/>
      <w:marTop w:val="0"/>
      <w:marBottom w:val="0"/>
      <w:divBdr>
        <w:top w:val="none" w:sz="0" w:space="0" w:color="auto"/>
        <w:left w:val="none" w:sz="0" w:space="0" w:color="auto"/>
        <w:bottom w:val="none" w:sz="0" w:space="0" w:color="auto"/>
        <w:right w:val="none" w:sz="0" w:space="0" w:color="auto"/>
      </w:divBdr>
    </w:div>
    <w:div w:id="1537504328">
      <w:bodyDiv w:val="1"/>
      <w:marLeft w:val="0"/>
      <w:marRight w:val="0"/>
      <w:marTop w:val="0"/>
      <w:marBottom w:val="0"/>
      <w:divBdr>
        <w:top w:val="none" w:sz="0" w:space="0" w:color="auto"/>
        <w:left w:val="none" w:sz="0" w:space="0" w:color="auto"/>
        <w:bottom w:val="none" w:sz="0" w:space="0" w:color="auto"/>
        <w:right w:val="none" w:sz="0" w:space="0" w:color="auto"/>
      </w:divBdr>
      <w:divsChild>
        <w:div w:id="2123305317">
          <w:marLeft w:val="0"/>
          <w:marRight w:val="0"/>
          <w:marTop w:val="0"/>
          <w:marBottom w:val="0"/>
          <w:divBdr>
            <w:top w:val="none" w:sz="0" w:space="0" w:color="auto"/>
            <w:left w:val="none" w:sz="0" w:space="0" w:color="auto"/>
            <w:bottom w:val="none" w:sz="0" w:space="0" w:color="auto"/>
            <w:right w:val="none" w:sz="0" w:space="0" w:color="auto"/>
          </w:divBdr>
        </w:div>
      </w:divsChild>
    </w:div>
    <w:div w:id="1538858597">
      <w:bodyDiv w:val="1"/>
      <w:marLeft w:val="0"/>
      <w:marRight w:val="0"/>
      <w:marTop w:val="0"/>
      <w:marBottom w:val="0"/>
      <w:divBdr>
        <w:top w:val="none" w:sz="0" w:space="0" w:color="auto"/>
        <w:left w:val="none" w:sz="0" w:space="0" w:color="auto"/>
        <w:bottom w:val="none" w:sz="0" w:space="0" w:color="auto"/>
        <w:right w:val="none" w:sz="0" w:space="0" w:color="auto"/>
      </w:divBdr>
    </w:div>
    <w:div w:id="1579710695">
      <w:bodyDiv w:val="1"/>
      <w:marLeft w:val="0"/>
      <w:marRight w:val="0"/>
      <w:marTop w:val="0"/>
      <w:marBottom w:val="0"/>
      <w:divBdr>
        <w:top w:val="none" w:sz="0" w:space="0" w:color="auto"/>
        <w:left w:val="none" w:sz="0" w:space="0" w:color="auto"/>
        <w:bottom w:val="none" w:sz="0" w:space="0" w:color="auto"/>
        <w:right w:val="none" w:sz="0" w:space="0" w:color="auto"/>
      </w:divBdr>
    </w:div>
    <w:div w:id="1617522742">
      <w:bodyDiv w:val="1"/>
      <w:marLeft w:val="0"/>
      <w:marRight w:val="0"/>
      <w:marTop w:val="0"/>
      <w:marBottom w:val="0"/>
      <w:divBdr>
        <w:top w:val="none" w:sz="0" w:space="0" w:color="auto"/>
        <w:left w:val="none" w:sz="0" w:space="0" w:color="auto"/>
        <w:bottom w:val="none" w:sz="0" w:space="0" w:color="auto"/>
        <w:right w:val="none" w:sz="0" w:space="0" w:color="auto"/>
      </w:divBdr>
    </w:div>
    <w:div w:id="1618755732">
      <w:bodyDiv w:val="1"/>
      <w:marLeft w:val="0"/>
      <w:marRight w:val="0"/>
      <w:marTop w:val="0"/>
      <w:marBottom w:val="0"/>
      <w:divBdr>
        <w:top w:val="none" w:sz="0" w:space="0" w:color="auto"/>
        <w:left w:val="none" w:sz="0" w:space="0" w:color="auto"/>
        <w:bottom w:val="none" w:sz="0" w:space="0" w:color="auto"/>
        <w:right w:val="none" w:sz="0" w:space="0" w:color="auto"/>
      </w:divBdr>
      <w:divsChild>
        <w:div w:id="259072351">
          <w:marLeft w:val="0"/>
          <w:marRight w:val="0"/>
          <w:marTop w:val="0"/>
          <w:marBottom w:val="0"/>
          <w:divBdr>
            <w:top w:val="none" w:sz="0" w:space="0" w:color="auto"/>
            <w:left w:val="none" w:sz="0" w:space="0" w:color="auto"/>
            <w:bottom w:val="none" w:sz="0" w:space="0" w:color="auto"/>
            <w:right w:val="none" w:sz="0" w:space="0" w:color="auto"/>
          </w:divBdr>
          <w:divsChild>
            <w:div w:id="189220873">
              <w:marLeft w:val="0"/>
              <w:marRight w:val="0"/>
              <w:marTop w:val="0"/>
              <w:marBottom w:val="0"/>
              <w:divBdr>
                <w:top w:val="none" w:sz="0" w:space="0" w:color="auto"/>
                <w:left w:val="none" w:sz="0" w:space="0" w:color="auto"/>
                <w:bottom w:val="none" w:sz="0" w:space="0" w:color="auto"/>
                <w:right w:val="none" w:sz="0" w:space="0" w:color="auto"/>
              </w:divBdr>
            </w:div>
          </w:divsChild>
        </w:div>
        <w:div w:id="1932160553">
          <w:marLeft w:val="0"/>
          <w:marRight w:val="0"/>
          <w:marTop w:val="0"/>
          <w:marBottom w:val="0"/>
          <w:divBdr>
            <w:top w:val="none" w:sz="0" w:space="0" w:color="auto"/>
            <w:left w:val="none" w:sz="0" w:space="0" w:color="auto"/>
            <w:bottom w:val="none" w:sz="0" w:space="0" w:color="auto"/>
            <w:right w:val="none" w:sz="0" w:space="0" w:color="auto"/>
          </w:divBdr>
          <w:divsChild>
            <w:div w:id="1153331614">
              <w:marLeft w:val="0"/>
              <w:marRight w:val="0"/>
              <w:marTop w:val="0"/>
              <w:marBottom w:val="0"/>
              <w:divBdr>
                <w:top w:val="none" w:sz="0" w:space="0" w:color="auto"/>
                <w:left w:val="none" w:sz="0" w:space="0" w:color="auto"/>
                <w:bottom w:val="none" w:sz="0" w:space="0" w:color="auto"/>
                <w:right w:val="none" w:sz="0" w:space="0" w:color="auto"/>
              </w:divBdr>
            </w:div>
          </w:divsChild>
        </w:div>
        <w:div w:id="121971266">
          <w:marLeft w:val="0"/>
          <w:marRight w:val="0"/>
          <w:marTop w:val="0"/>
          <w:marBottom w:val="0"/>
          <w:divBdr>
            <w:top w:val="none" w:sz="0" w:space="0" w:color="auto"/>
            <w:left w:val="none" w:sz="0" w:space="0" w:color="auto"/>
            <w:bottom w:val="none" w:sz="0" w:space="0" w:color="auto"/>
            <w:right w:val="none" w:sz="0" w:space="0" w:color="auto"/>
          </w:divBdr>
          <w:divsChild>
            <w:div w:id="125836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902601">
      <w:bodyDiv w:val="1"/>
      <w:marLeft w:val="0"/>
      <w:marRight w:val="0"/>
      <w:marTop w:val="0"/>
      <w:marBottom w:val="0"/>
      <w:divBdr>
        <w:top w:val="none" w:sz="0" w:space="0" w:color="auto"/>
        <w:left w:val="none" w:sz="0" w:space="0" w:color="auto"/>
        <w:bottom w:val="none" w:sz="0" w:space="0" w:color="auto"/>
        <w:right w:val="none" w:sz="0" w:space="0" w:color="auto"/>
      </w:divBdr>
      <w:divsChild>
        <w:div w:id="2031639563">
          <w:marLeft w:val="0"/>
          <w:marRight w:val="0"/>
          <w:marTop w:val="240"/>
          <w:marBottom w:val="120"/>
          <w:divBdr>
            <w:top w:val="none" w:sz="0" w:space="0" w:color="auto"/>
            <w:left w:val="none" w:sz="0" w:space="0" w:color="auto"/>
            <w:bottom w:val="none" w:sz="0" w:space="0" w:color="auto"/>
            <w:right w:val="none" w:sz="0" w:space="0" w:color="auto"/>
          </w:divBdr>
        </w:div>
        <w:div w:id="1101875011">
          <w:marLeft w:val="0"/>
          <w:marRight w:val="0"/>
          <w:marTop w:val="240"/>
          <w:marBottom w:val="120"/>
          <w:divBdr>
            <w:top w:val="none" w:sz="0" w:space="0" w:color="auto"/>
            <w:left w:val="none" w:sz="0" w:space="0" w:color="auto"/>
            <w:bottom w:val="none" w:sz="0" w:space="0" w:color="auto"/>
            <w:right w:val="none" w:sz="0" w:space="0" w:color="auto"/>
          </w:divBdr>
        </w:div>
      </w:divsChild>
    </w:div>
    <w:div w:id="1630043200">
      <w:bodyDiv w:val="1"/>
      <w:marLeft w:val="0"/>
      <w:marRight w:val="0"/>
      <w:marTop w:val="0"/>
      <w:marBottom w:val="0"/>
      <w:divBdr>
        <w:top w:val="none" w:sz="0" w:space="0" w:color="auto"/>
        <w:left w:val="none" w:sz="0" w:space="0" w:color="auto"/>
        <w:bottom w:val="none" w:sz="0" w:space="0" w:color="auto"/>
        <w:right w:val="none" w:sz="0" w:space="0" w:color="auto"/>
      </w:divBdr>
      <w:divsChild>
        <w:div w:id="551429439">
          <w:marLeft w:val="0"/>
          <w:marRight w:val="0"/>
          <w:marTop w:val="240"/>
          <w:marBottom w:val="120"/>
          <w:divBdr>
            <w:top w:val="none" w:sz="0" w:space="0" w:color="auto"/>
            <w:left w:val="none" w:sz="0" w:space="0" w:color="auto"/>
            <w:bottom w:val="none" w:sz="0" w:space="0" w:color="auto"/>
            <w:right w:val="none" w:sz="0" w:space="0" w:color="auto"/>
          </w:divBdr>
        </w:div>
        <w:div w:id="2040886506">
          <w:marLeft w:val="0"/>
          <w:marRight w:val="0"/>
          <w:marTop w:val="240"/>
          <w:marBottom w:val="120"/>
          <w:divBdr>
            <w:top w:val="none" w:sz="0" w:space="0" w:color="auto"/>
            <w:left w:val="none" w:sz="0" w:space="0" w:color="auto"/>
            <w:bottom w:val="none" w:sz="0" w:space="0" w:color="auto"/>
            <w:right w:val="none" w:sz="0" w:space="0" w:color="auto"/>
          </w:divBdr>
        </w:div>
      </w:divsChild>
    </w:div>
    <w:div w:id="1638683029">
      <w:bodyDiv w:val="1"/>
      <w:marLeft w:val="0"/>
      <w:marRight w:val="0"/>
      <w:marTop w:val="0"/>
      <w:marBottom w:val="0"/>
      <w:divBdr>
        <w:top w:val="none" w:sz="0" w:space="0" w:color="auto"/>
        <w:left w:val="none" w:sz="0" w:space="0" w:color="auto"/>
        <w:bottom w:val="none" w:sz="0" w:space="0" w:color="auto"/>
        <w:right w:val="none" w:sz="0" w:space="0" w:color="auto"/>
      </w:divBdr>
      <w:divsChild>
        <w:div w:id="1452551093">
          <w:marLeft w:val="0"/>
          <w:marRight w:val="0"/>
          <w:marTop w:val="0"/>
          <w:marBottom w:val="0"/>
          <w:divBdr>
            <w:top w:val="none" w:sz="0" w:space="0" w:color="auto"/>
            <w:left w:val="none" w:sz="0" w:space="0" w:color="auto"/>
            <w:bottom w:val="none" w:sz="0" w:space="0" w:color="auto"/>
            <w:right w:val="none" w:sz="0" w:space="0" w:color="auto"/>
          </w:divBdr>
          <w:divsChild>
            <w:div w:id="643505971">
              <w:marLeft w:val="0"/>
              <w:marRight w:val="0"/>
              <w:marTop w:val="0"/>
              <w:marBottom w:val="0"/>
              <w:divBdr>
                <w:top w:val="none" w:sz="0" w:space="0" w:color="auto"/>
                <w:left w:val="none" w:sz="0" w:space="0" w:color="auto"/>
                <w:bottom w:val="none" w:sz="0" w:space="0" w:color="auto"/>
                <w:right w:val="none" w:sz="0" w:space="0" w:color="auto"/>
              </w:divBdr>
              <w:divsChild>
                <w:div w:id="324091469">
                  <w:marLeft w:val="0"/>
                  <w:marRight w:val="0"/>
                  <w:marTop w:val="0"/>
                  <w:marBottom w:val="0"/>
                  <w:divBdr>
                    <w:top w:val="none" w:sz="0" w:space="0" w:color="auto"/>
                    <w:left w:val="none" w:sz="0" w:space="0" w:color="auto"/>
                    <w:bottom w:val="none" w:sz="0" w:space="0" w:color="auto"/>
                    <w:right w:val="none" w:sz="0" w:space="0" w:color="auto"/>
                  </w:divBdr>
                  <w:divsChild>
                    <w:div w:id="1872839480">
                      <w:marLeft w:val="0"/>
                      <w:marRight w:val="0"/>
                      <w:marTop w:val="0"/>
                      <w:marBottom w:val="0"/>
                      <w:divBdr>
                        <w:top w:val="none" w:sz="0" w:space="0" w:color="auto"/>
                        <w:left w:val="none" w:sz="0" w:space="0" w:color="auto"/>
                        <w:bottom w:val="none" w:sz="0" w:space="0" w:color="auto"/>
                        <w:right w:val="none" w:sz="0" w:space="0" w:color="auto"/>
                      </w:divBdr>
                      <w:divsChild>
                        <w:div w:id="1013385166">
                          <w:marLeft w:val="0"/>
                          <w:marRight w:val="0"/>
                          <w:marTop w:val="0"/>
                          <w:marBottom w:val="0"/>
                          <w:divBdr>
                            <w:top w:val="none" w:sz="0" w:space="0" w:color="auto"/>
                            <w:left w:val="none" w:sz="0" w:space="0" w:color="auto"/>
                            <w:bottom w:val="none" w:sz="0" w:space="0" w:color="auto"/>
                            <w:right w:val="none" w:sz="0" w:space="0" w:color="auto"/>
                          </w:divBdr>
                        </w:div>
                      </w:divsChild>
                    </w:div>
                    <w:div w:id="168061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843043">
              <w:marLeft w:val="0"/>
              <w:marRight w:val="0"/>
              <w:marTop w:val="0"/>
              <w:marBottom w:val="0"/>
              <w:divBdr>
                <w:top w:val="none" w:sz="0" w:space="0" w:color="auto"/>
                <w:left w:val="none" w:sz="0" w:space="0" w:color="auto"/>
                <w:bottom w:val="none" w:sz="0" w:space="0" w:color="auto"/>
                <w:right w:val="none" w:sz="0" w:space="0" w:color="auto"/>
              </w:divBdr>
            </w:div>
          </w:divsChild>
        </w:div>
        <w:div w:id="411700326">
          <w:marLeft w:val="0"/>
          <w:marRight w:val="0"/>
          <w:marTop w:val="0"/>
          <w:marBottom w:val="0"/>
          <w:divBdr>
            <w:top w:val="none" w:sz="0" w:space="0" w:color="auto"/>
            <w:left w:val="none" w:sz="0" w:space="0" w:color="auto"/>
            <w:bottom w:val="none" w:sz="0" w:space="0" w:color="auto"/>
            <w:right w:val="none" w:sz="0" w:space="0" w:color="auto"/>
          </w:divBdr>
          <w:divsChild>
            <w:div w:id="1020934268">
              <w:marLeft w:val="0"/>
              <w:marRight w:val="0"/>
              <w:marTop w:val="0"/>
              <w:marBottom w:val="0"/>
              <w:divBdr>
                <w:top w:val="none" w:sz="0" w:space="0" w:color="auto"/>
                <w:left w:val="none" w:sz="0" w:space="0" w:color="auto"/>
                <w:bottom w:val="none" w:sz="0" w:space="0" w:color="auto"/>
                <w:right w:val="none" w:sz="0" w:space="0" w:color="auto"/>
              </w:divBdr>
              <w:divsChild>
                <w:div w:id="1500578743">
                  <w:marLeft w:val="0"/>
                  <w:marRight w:val="0"/>
                  <w:marTop w:val="0"/>
                  <w:marBottom w:val="0"/>
                  <w:divBdr>
                    <w:top w:val="none" w:sz="0" w:space="0" w:color="auto"/>
                    <w:left w:val="none" w:sz="0" w:space="0" w:color="auto"/>
                    <w:bottom w:val="none" w:sz="0" w:space="0" w:color="auto"/>
                    <w:right w:val="none" w:sz="0" w:space="0" w:color="auto"/>
                  </w:divBdr>
                </w:div>
                <w:div w:id="1874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43829">
          <w:marLeft w:val="0"/>
          <w:marRight w:val="0"/>
          <w:marTop w:val="0"/>
          <w:marBottom w:val="0"/>
          <w:divBdr>
            <w:top w:val="none" w:sz="0" w:space="0" w:color="auto"/>
            <w:left w:val="none" w:sz="0" w:space="0" w:color="auto"/>
            <w:bottom w:val="none" w:sz="0" w:space="0" w:color="auto"/>
            <w:right w:val="none" w:sz="0" w:space="0" w:color="auto"/>
          </w:divBdr>
          <w:divsChild>
            <w:div w:id="108772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8882">
      <w:bodyDiv w:val="1"/>
      <w:marLeft w:val="0"/>
      <w:marRight w:val="0"/>
      <w:marTop w:val="0"/>
      <w:marBottom w:val="0"/>
      <w:divBdr>
        <w:top w:val="none" w:sz="0" w:space="0" w:color="auto"/>
        <w:left w:val="none" w:sz="0" w:space="0" w:color="auto"/>
        <w:bottom w:val="none" w:sz="0" w:space="0" w:color="auto"/>
        <w:right w:val="none" w:sz="0" w:space="0" w:color="auto"/>
      </w:divBdr>
    </w:div>
    <w:div w:id="1669600376">
      <w:bodyDiv w:val="1"/>
      <w:marLeft w:val="0"/>
      <w:marRight w:val="0"/>
      <w:marTop w:val="0"/>
      <w:marBottom w:val="0"/>
      <w:divBdr>
        <w:top w:val="none" w:sz="0" w:space="0" w:color="auto"/>
        <w:left w:val="none" w:sz="0" w:space="0" w:color="auto"/>
        <w:bottom w:val="none" w:sz="0" w:space="0" w:color="auto"/>
        <w:right w:val="none" w:sz="0" w:space="0" w:color="auto"/>
      </w:divBdr>
    </w:div>
    <w:div w:id="1676883340">
      <w:bodyDiv w:val="1"/>
      <w:marLeft w:val="0"/>
      <w:marRight w:val="0"/>
      <w:marTop w:val="0"/>
      <w:marBottom w:val="0"/>
      <w:divBdr>
        <w:top w:val="none" w:sz="0" w:space="0" w:color="auto"/>
        <w:left w:val="none" w:sz="0" w:space="0" w:color="auto"/>
        <w:bottom w:val="none" w:sz="0" w:space="0" w:color="auto"/>
        <w:right w:val="none" w:sz="0" w:space="0" w:color="auto"/>
      </w:divBdr>
    </w:div>
    <w:div w:id="1677683574">
      <w:bodyDiv w:val="1"/>
      <w:marLeft w:val="0"/>
      <w:marRight w:val="0"/>
      <w:marTop w:val="0"/>
      <w:marBottom w:val="0"/>
      <w:divBdr>
        <w:top w:val="none" w:sz="0" w:space="0" w:color="auto"/>
        <w:left w:val="none" w:sz="0" w:space="0" w:color="auto"/>
        <w:bottom w:val="none" w:sz="0" w:space="0" w:color="auto"/>
        <w:right w:val="none" w:sz="0" w:space="0" w:color="auto"/>
      </w:divBdr>
      <w:divsChild>
        <w:div w:id="984627263">
          <w:marLeft w:val="0"/>
          <w:marRight w:val="0"/>
          <w:marTop w:val="0"/>
          <w:marBottom w:val="0"/>
          <w:divBdr>
            <w:top w:val="none" w:sz="0" w:space="0" w:color="auto"/>
            <w:left w:val="none" w:sz="0" w:space="0" w:color="auto"/>
            <w:bottom w:val="none" w:sz="0" w:space="0" w:color="auto"/>
            <w:right w:val="none" w:sz="0" w:space="0" w:color="auto"/>
          </w:divBdr>
        </w:div>
      </w:divsChild>
    </w:div>
    <w:div w:id="1694186610">
      <w:bodyDiv w:val="1"/>
      <w:marLeft w:val="0"/>
      <w:marRight w:val="0"/>
      <w:marTop w:val="0"/>
      <w:marBottom w:val="0"/>
      <w:divBdr>
        <w:top w:val="none" w:sz="0" w:space="0" w:color="auto"/>
        <w:left w:val="none" w:sz="0" w:space="0" w:color="auto"/>
        <w:bottom w:val="none" w:sz="0" w:space="0" w:color="auto"/>
        <w:right w:val="none" w:sz="0" w:space="0" w:color="auto"/>
      </w:divBdr>
      <w:divsChild>
        <w:div w:id="366294417">
          <w:marLeft w:val="0"/>
          <w:marRight w:val="0"/>
          <w:marTop w:val="240"/>
          <w:marBottom w:val="120"/>
          <w:divBdr>
            <w:top w:val="none" w:sz="0" w:space="0" w:color="auto"/>
            <w:left w:val="none" w:sz="0" w:space="0" w:color="auto"/>
            <w:bottom w:val="none" w:sz="0" w:space="0" w:color="auto"/>
            <w:right w:val="none" w:sz="0" w:space="0" w:color="auto"/>
          </w:divBdr>
        </w:div>
        <w:div w:id="84350616">
          <w:marLeft w:val="0"/>
          <w:marRight w:val="0"/>
          <w:marTop w:val="240"/>
          <w:marBottom w:val="120"/>
          <w:divBdr>
            <w:top w:val="none" w:sz="0" w:space="0" w:color="auto"/>
            <w:left w:val="none" w:sz="0" w:space="0" w:color="auto"/>
            <w:bottom w:val="none" w:sz="0" w:space="0" w:color="auto"/>
            <w:right w:val="none" w:sz="0" w:space="0" w:color="auto"/>
          </w:divBdr>
        </w:div>
      </w:divsChild>
    </w:div>
    <w:div w:id="1699888713">
      <w:bodyDiv w:val="1"/>
      <w:marLeft w:val="0"/>
      <w:marRight w:val="0"/>
      <w:marTop w:val="0"/>
      <w:marBottom w:val="0"/>
      <w:divBdr>
        <w:top w:val="none" w:sz="0" w:space="0" w:color="auto"/>
        <w:left w:val="none" w:sz="0" w:space="0" w:color="auto"/>
        <w:bottom w:val="none" w:sz="0" w:space="0" w:color="auto"/>
        <w:right w:val="none" w:sz="0" w:space="0" w:color="auto"/>
      </w:divBdr>
    </w:div>
    <w:div w:id="1703286093">
      <w:bodyDiv w:val="1"/>
      <w:marLeft w:val="0"/>
      <w:marRight w:val="0"/>
      <w:marTop w:val="0"/>
      <w:marBottom w:val="0"/>
      <w:divBdr>
        <w:top w:val="none" w:sz="0" w:space="0" w:color="auto"/>
        <w:left w:val="none" w:sz="0" w:space="0" w:color="auto"/>
        <w:bottom w:val="none" w:sz="0" w:space="0" w:color="auto"/>
        <w:right w:val="none" w:sz="0" w:space="0" w:color="auto"/>
      </w:divBdr>
      <w:divsChild>
        <w:div w:id="1919898325">
          <w:marLeft w:val="0"/>
          <w:marRight w:val="0"/>
          <w:marTop w:val="0"/>
          <w:marBottom w:val="0"/>
          <w:divBdr>
            <w:top w:val="none" w:sz="0" w:space="0" w:color="auto"/>
            <w:left w:val="none" w:sz="0" w:space="0" w:color="auto"/>
            <w:bottom w:val="none" w:sz="0" w:space="0" w:color="auto"/>
            <w:right w:val="none" w:sz="0" w:space="0" w:color="auto"/>
          </w:divBdr>
        </w:div>
        <w:div w:id="1743018866">
          <w:marLeft w:val="0"/>
          <w:marRight w:val="0"/>
          <w:marTop w:val="0"/>
          <w:marBottom w:val="0"/>
          <w:divBdr>
            <w:top w:val="none" w:sz="0" w:space="0" w:color="auto"/>
            <w:left w:val="none" w:sz="0" w:space="0" w:color="auto"/>
            <w:bottom w:val="none" w:sz="0" w:space="0" w:color="auto"/>
            <w:right w:val="none" w:sz="0" w:space="0" w:color="auto"/>
          </w:divBdr>
        </w:div>
        <w:div w:id="1141918787">
          <w:marLeft w:val="0"/>
          <w:marRight w:val="0"/>
          <w:marTop w:val="0"/>
          <w:marBottom w:val="0"/>
          <w:divBdr>
            <w:top w:val="none" w:sz="0" w:space="0" w:color="auto"/>
            <w:left w:val="none" w:sz="0" w:space="0" w:color="auto"/>
            <w:bottom w:val="none" w:sz="0" w:space="0" w:color="auto"/>
            <w:right w:val="none" w:sz="0" w:space="0" w:color="auto"/>
          </w:divBdr>
        </w:div>
        <w:div w:id="1459759919">
          <w:marLeft w:val="0"/>
          <w:marRight w:val="0"/>
          <w:marTop w:val="0"/>
          <w:marBottom w:val="0"/>
          <w:divBdr>
            <w:top w:val="none" w:sz="0" w:space="0" w:color="auto"/>
            <w:left w:val="none" w:sz="0" w:space="0" w:color="auto"/>
            <w:bottom w:val="none" w:sz="0" w:space="0" w:color="auto"/>
            <w:right w:val="none" w:sz="0" w:space="0" w:color="auto"/>
          </w:divBdr>
        </w:div>
        <w:div w:id="765153019">
          <w:marLeft w:val="0"/>
          <w:marRight w:val="0"/>
          <w:marTop w:val="0"/>
          <w:marBottom w:val="0"/>
          <w:divBdr>
            <w:top w:val="none" w:sz="0" w:space="0" w:color="auto"/>
            <w:left w:val="none" w:sz="0" w:space="0" w:color="auto"/>
            <w:bottom w:val="none" w:sz="0" w:space="0" w:color="auto"/>
            <w:right w:val="none" w:sz="0" w:space="0" w:color="auto"/>
          </w:divBdr>
        </w:div>
        <w:div w:id="472409398">
          <w:marLeft w:val="0"/>
          <w:marRight w:val="0"/>
          <w:marTop w:val="0"/>
          <w:marBottom w:val="0"/>
          <w:divBdr>
            <w:top w:val="none" w:sz="0" w:space="0" w:color="auto"/>
            <w:left w:val="none" w:sz="0" w:space="0" w:color="auto"/>
            <w:bottom w:val="none" w:sz="0" w:space="0" w:color="auto"/>
            <w:right w:val="none" w:sz="0" w:space="0" w:color="auto"/>
          </w:divBdr>
        </w:div>
        <w:div w:id="1989018603">
          <w:marLeft w:val="0"/>
          <w:marRight w:val="0"/>
          <w:marTop w:val="0"/>
          <w:marBottom w:val="0"/>
          <w:divBdr>
            <w:top w:val="none" w:sz="0" w:space="0" w:color="auto"/>
            <w:left w:val="none" w:sz="0" w:space="0" w:color="auto"/>
            <w:bottom w:val="none" w:sz="0" w:space="0" w:color="auto"/>
            <w:right w:val="none" w:sz="0" w:space="0" w:color="auto"/>
          </w:divBdr>
        </w:div>
      </w:divsChild>
    </w:div>
    <w:div w:id="1713187965">
      <w:bodyDiv w:val="1"/>
      <w:marLeft w:val="0"/>
      <w:marRight w:val="0"/>
      <w:marTop w:val="0"/>
      <w:marBottom w:val="0"/>
      <w:divBdr>
        <w:top w:val="none" w:sz="0" w:space="0" w:color="auto"/>
        <w:left w:val="none" w:sz="0" w:space="0" w:color="auto"/>
        <w:bottom w:val="none" w:sz="0" w:space="0" w:color="auto"/>
        <w:right w:val="none" w:sz="0" w:space="0" w:color="auto"/>
      </w:divBdr>
    </w:div>
    <w:div w:id="1738936605">
      <w:bodyDiv w:val="1"/>
      <w:marLeft w:val="0"/>
      <w:marRight w:val="0"/>
      <w:marTop w:val="0"/>
      <w:marBottom w:val="0"/>
      <w:divBdr>
        <w:top w:val="none" w:sz="0" w:space="0" w:color="auto"/>
        <w:left w:val="none" w:sz="0" w:space="0" w:color="auto"/>
        <w:bottom w:val="none" w:sz="0" w:space="0" w:color="auto"/>
        <w:right w:val="none" w:sz="0" w:space="0" w:color="auto"/>
      </w:divBdr>
    </w:div>
    <w:div w:id="1763139110">
      <w:bodyDiv w:val="1"/>
      <w:marLeft w:val="0"/>
      <w:marRight w:val="0"/>
      <w:marTop w:val="0"/>
      <w:marBottom w:val="0"/>
      <w:divBdr>
        <w:top w:val="none" w:sz="0" w:space="0" w:color="auto"/>
        <w:left w:val="none" w:sz="0" w:space="0" w:color="auto"/>
        <w:bottom w:val="none" w:sz="0" w:space="0" w:color="auto"/>
        <w:right w:val="none" w:sz="0" w:space="0" w:color="auto"/>
      </w:divBdr>
    </w:div>
    <w:div w:id="1786609261">
      <w:bodyDiv w:val="1"/>
      <w:marLeft w:val="0"/>
      <w:marRight w:val="0"/>
      <w:marTop w:val="0"/>
      <w:marBottom w:val="0"/>
      <w:divBdr>
        <w:top w:val="none" w:sz="0" w:space="0" w:color="auto"/>
        <w:left w:val="none" w:sz="0" w:space="0" w:color="auto"/>
        <w:bottom w:val="none" w:sz="0" w:space="0" w:color="auto"/>
        <w:right w:val="none" w:sz="0" w:space="0" w:color="auto"/>
      </w:divBdr>
      <w:divsChild>
        <w:div w:id="1213153274">
          <w:marLeft w:val="0"/>
          <w:marRight w:val="0"/>
          <w:marTop w:val="0"/>
          <w:marBottom w:val="0"/>
          <w:divBdr>
            <w:top w:val="none" w:sz="0" w:space="0" w:color="auto"/>
            <w:left w:val="none" w:sz="0" w:space="0" w:color="auto"/>
            <w:bottom w:val="none" w:sz="0" w:space="0" w:color="auto"/>
            <w:right w:val="none" w:sz="0" w:space="0" w:color="auto"/>
          </w:divBdr>
        </w:div>
      </w:divsChild>
    </w:div>
    <w:div w:id="1806240448">
      <w:bodyDiv w:val="1"/>
      <w:marLeft w:val="0"/>
      <w:marRight w:val="0"/>
      <w:marTop w:val="0"/>
      <w:marBottom w:val="0"/>
      <w:divBdr>
        <w:top w:val="none" w:sz="0" w:space="0" w:color="auto"/>
        <w:left w:val="none" w:sz="0" w:space="0" w:color="auto"/>
        <w:bottom w:val="none" w:sz="0" w:space="0" w:color="auto"/>
        <w:right w:val="none" w:sz="0" w:space="0" w:color="auto"/>
      </w:divBdr>
    </w:div>
    <w:div w:id="1816487532">
      <w:bodyDiv w:val="1"/>
      <w:marLeft w:val="0"/>
      <w:marRight w:val="0"/>
      <w:marTop w:val="0"/>
      <w:marBottom w:val="0"/>
      <w:divBdr>
        <w:top w:val="none" w:sz="0" w:space="0" w:color="auto"/>
        <w:left w:val="none" w:sz="0" w:space="0" w:color="auto"/>
        <w:bottom w:val="none" w:sz="0" w:space="0" w:color="auto"/>
        <w:right w:val="none" w:sz="0" w:space="0" w:color="auto"/>
      </w:divBdr>
      <w:divsChild>
        <w:div w:id="252403282">
          <w:marLeft w:val="0"/>
          <w:marRight w:val="0"/>
          <w:marTop w:val="240"/>
          <w:marBottom w:val="120"/>
          <w:divBdr>
            <w:top w:val="none" w:sz="0" w:space="0" w:color="auto"/>
            <w:left w:val="none" w:sz="0" w:space="0" w:color="auto"/>
            <w:bottom w:val="none" w:sz="0" w:space="0" w:color="auto"/>
            <w:right w:val="none" w:sz="0" w:space="0" w:color="auto"/>
          </w:divBdr>
        </w:div>
        <w:div w:id="422533055">
          <w:marLeft w:val="0"/>
          <w:marRight w:val="0"/>
          <w:marTop w:val="240"/>
          <w:marBottom w:val="120"/>
          <w:divBdr>
            <w:top w:val="none" w:sz="0" w:space="0" w:color="auto"/>
            <w:left w:val="none" w:sz="0" w:space="0" w:color="auto"/>
            <w:bottom w:val="none" w:sz="0" w:space="0" w:color="auto"/>
            <w:right w:val="none" w:sz="0" w:space="0" w:color="auto"/>
          </w:divBdr>
        </w:div>
      </w:divsChild>
    </w:div>
    <w:div w:id="1817407174">
      <w:bodyDiv w:val="1"/>
      <w:marLeft w:val="0"/>
      <w:marRight w:val="0"/>
      <w:marTop w:val="0"/>
      <w:marBottom w:val="0"/>
      <w:divBdr>
        <w:top w:val="none" w:sz="0" w:space="0" w:color="auto"/>
        <w:left w:val="none" w:sz="0" w:space="0" w:color="auto"/>
        <w:bottom w:val="none" w:sz="0" w:space="0" w:color="auto"/>
        <w:right w:val="none" w:sz="0" w:space="0" w:color="auto"/>
      </w:divBdr>
    </w:div>
    <w:div w:id="1837649422">
      <w:bodyDiv w:val="1"/>
      <w:marLeft w:val="0"/>
      <w:marRight w:val="0"/>
      <w:marTop w:val="0"/>
      <w:marBottom w:val="0"/>
      <w:divBdr>
        <w:top w:val="none" w:sz="0" w:space="0" w:color="auto"/>
        <w:left w:val="none" w:sz="0" w:space="0" w:color="auto"/>
        <w:bottom w:val="none" w:sz="0" w:space="0" w:color="auto"/>
        <w:right w:val="none" w:sz="0" w:space="0" w:color="auto"/>
      </w:divBdr>
      <w:divsChild>
        <w:div w:id="1189680453">
          <w:marLeft w:val="0"/>
          <w:marRight w:val="0"/>
          <w:marTop w:val="240"/>
          <w:marBottom w:val="120"/>
          <w:divBdr>
            <w:top w:val="none" w:sz="0" w:space="0" w:color="auto"/>
            <w:left w:val="none" w:sz="0" w:space="0" w:color="auto"/>
            <w:bottom w:val="none" w:sz="0" w:space="0" w:color="auto"/>
            <w:right w:val="none" w:sz="0" w:space="0" w:color="auto"/>
          </w:divBdr>
        </w:div>
        <w:div w:id="164512462">
          <w:marLeft w:val="0"/>
          <w:marRight w:val="0"/>
          <w:marTop w:val="240"/>
          <w:marBottom w:val="120"/>
          <w:divBdr>
            <w:top w:val="none" w:sz="0" w:space="0" w:color="auto"/>
            <w:left w:val="none" w:sz="0" w:space="0" w:color="auto"/>
            <w:bottom w:val="none" w:sz="0" w:space="0" w:color="auto"/>
            <w:right w:val="none" w:sz="0" w:space="0" w:color="auto"/>
          </w:divBdr>
        </w:div>
      </w:divsChild>
    </w:div>
    <w:div w:id="1846096218">
      <w:bodyDiv w:val="1"/>
      <w:marLeft w:val="0"/>
      <w:marRight w:val="0"/>
      <w:marTop w:val="0"/>
      <w:marBottom w:val="0"/>
      <w:divBdr>
        <w:top w:val="none" w:sz="0" w:space="0" w:color="auto"/>
        <w:left w:val="none" w:sz="0" w:space="0" w:color="auto"/>
        <w:bottom w:val="none" w:sz="0" w:space="0" w:color="auto"/>
        <w:right w:val="none" w:sz="0" w:space="0" w:color="auto"/>
      </w:divBdr>
    </w:div>
    <w:div w:id="1883589115">
      <w:bodyDiv w:val="1"/>
      <w:marLeft w:val="0"/>
      <w:marRight w:val="0"/>
      <w:marTop w:val="0"/>
      <w:marBottom w:val="0"/>
      <w:divBdr>
        <w:top w:val="none" w:sz="0" w:space="0" w:color="auto"/>
        <w:left w:val="none" w:sz="0" w:space="0" w:color="auto"/>
        <w:bottom w:val="none" w:sz="0" w:space="0" w:color="auto"/>
        <w:right w:val="none" w:sz="0" w:space="0" w:color="auto"/>
      </w:divBdr>
      <w:divsChild>
        <w:div w:id="838421909">
          <w:marLeft w:val="0"/>
          <w:marRight w:val="0"/>
          <w:marTop w:val="240"/>
          <w:marBottom w:val="120"/>
          <w:divBdr>
            <w:top w:val="none" w:sz="0" w:space="0" w:color="auto"/>
            <w:left w:val="none" w:sz="0" w:space="0" w:color="auto"/>
            <w:bottom w:val="none" w:sz="0" w:space="0" w:color="auto"/>
            <w:right w:val="none" w:sz="0" w:space="0" w:color="auto"/>
          </w:divBdr>
        </w:div>
        <w:div w:id="1909344134">
          <w:marLeft w:val="0"/>
          <w:marRight w:val="0"/>
          <w:marTop w:val="240"/>
          <w:marBottom w:val="120"/>
          <w:divBdr>
            <w:top w:val="none" w:sz="0" w:space="0" w:color="auto"/>
            <w:left w:val="none" w:sz="0" w:space="0" w:color="auto"/>
            <w:bottom w:val="none" w:sz="0" w:space="0" w:color="auto"/>
            <w:right w:val="none" w:sz="0" w:space="0" w:color="auto"/>
          </w:divBdr>
        </w:div>
      </w:divsChild>
    </w:div>
    <w:div w:id="1895241462">
      <w:bodyDiv w:val="1"/>
      <w:marLeft w:val="0"/>
      <w:marRight w:val="0"/>
      <w:marTop w:val="0"/>
      <w:marBottom w:val="0"/>
      <w:divBdr>
        <w:top w:val="none" w:sz="0" w:space="0" w:color="auto"/>
        <w:left w:val="none" w:sz="0" w:space="0" w:color="auto"/>
        <w:bottom w:val="none" w:sz="0" w:space="0" w:color="auto"/>
        <w:right w:val="none" w:sz="0" w:space="0" w:color="auto"/>
      </w:divBdr>
    </w:div>
    <w:div w:id="1895774191">
      <w:bodyDiv w:val="1"/>
      <w:marLeft w:val="0"/>
      <w:marRight w:val="0"/>
      <w:marTop w:val="0"/>
      <w:marBottom w:val="0"/>
      <w:divBdr>
        <w:top w:val="none" w:sz="0" w:space="0" w:color="auto"/>
        <w:left w:val="none" w:sz="0" w:space="0" w:color="auto"/>
        <w:bottom w:val="none" w:sz="0" w:space="0" w:color="auto"/>
        <w:right w:val="none" w:sz="0" w:space="0" w:color="auto"/>
      </w:divBdr>
      <w:divsChild>
        <w:div w:id="1924676278">
          <w:marLeft w:val="0"/>
          <w:marRight w:val="0"/>
          <w:marTop w:val="240"/>
          <w:marBottom w:val="120"/>
          <w:divBdr>
            <w:top w:val="none" w:sz="0" w:space="0" w:color="auto"/>
            <w:left w:val="none" w:sz="0" w:space="0" w:color="auto"/>
            <w:bottom w:val="none" w:sz="0" w:space="0" w:color="auto"/>
            <w:right w:val="none" w:sz="0" w:space="0" w:color="auto"/>
          </w:divBdr>
        </w:div>
        <w:div w:id="2111969833">
          <w:marLeft w:val="0"/>
          <w:marRight w:val="0"/>
          <w:marTop w:val="240"/>
          <w:marBottom w:val="120"/>
          <w:divBdr>
            <w:top w:val="none" w:sz="0" w:space="0" w:color="auto"/>
            <w:left w:val="none" w:sz="0" w:space="0" w:color="auto"/>
            <w:bottom w:val="none" w:sz="0" w:space="0" w:color="auto"/>
            <w:right w:val="none" w:sz="0" w:space="0" w:color="auto"/>
          </w:divBdr>
        </w:div>
        <w:div w:id="637103618">
          <w:marLeft w:val="0"/>
          <w:marRight w:val="0"/>
          <w:marTop w:val="240"/>
          <w:marBottom w:val="120"/>
          <w:divBdr>
            <w:top w:val="none" w:sz="0" w:space="0" w:color="auto"/>
            <w:left w:val="none" w:sz="0" w:space="0" w:color="auto"/>
            <w:bottom w:val="none" w:sz="0" w:space="0" w:color="auto"/>
            <w:right w:val="none" w:sz="0" w:space="0" w:color="auto"/>
          </w:divBdr>
        </w:div>
      </w:divsChild>
    </w:div>
    <w:div w:id="1924953586">
      <w:bodyDiv w:val="1"/>
      <w:marLeft w:val="0"/>
      <w:marRight w:val="0"/>
      <w:marTop w:val="0"/>
      <w:marBottom w:val="0"/>
      <w:divBdr>
        <w:top w:val="none" w:sz="0" w:space="0" w:color="auto"/>
        <w:left w:val="none" w:sz="0" w:space="0" w:color="auto"/>
        <w:bottom w:val="none" w:sz="0" w:space="0" w:color="auto"/>
        <w:right w:val="none" w:sz="0" w:space="0" w:color="auto"/>
      </w:divBdr>
      <w:divsChild>
        <w:div w:id="1671372655">
          <w:marLeft w:val="0"/>
          <w:marRight w:val="0"/>
          <w:marTop w:val="240"/>
          <w:marBottom w:val="120"/>
          <w:divBdr>
            <w:top w:val="none" w:sz="0" w:space="0" w:color="auto"/>
            <w:left w:val="none" w:sz="0" w:space="0" w:color="auto"/>
            <w:bottom w:val="none" w:sz="0" w:space="0" w:color="auto"/>
            <w:right w:val="none" w:sz="0" w:space="0" w:color="auto"/>
          </w:divBdr>
        </w:div>
        <w:div w:id="1775243485">
          <w:marLeft w:val="0"/>
          <w:marRight w:val="0"/>
          <w:marTop w:val="240"/>
          <w:marBottom w:val="120"/>
          <w:divBdr>
            <w:top w:val="none" w:sz="0" w:space="0" w:color="auto"/>
            <w:left w:val="none" w:sz="0" w:space="0" w:color="auto"/>
            <w:bottom w:val="none" w:sz="0" w:space="0" w:color="auto"/>
            <w:right w:val="none" w:sz="0" w:space="0" w:color="auto"/>
          </w:divBdr>
        </w:div>
      </w:divsChild>
    </w:div>
    <w:div w:id="1949042188">
      <w:bodyDiv w:val="1"/>
      <w:marLeft w:val="0"/>
      <w:marRight w:val="0"/>
      <w:marTop w:val="0"/>
      <w:marBottom w:val="0"/>
      <w:divBdr>
        <w:top w:val="none" w:sz="0" w:space="0" w:color="auto"/>
        <w:left w:val="none" w:sz="0" w:space="0" w:color="auto"/>
        <w:bottom w:val="none" w:sz="0" w:space="0" w:color="auto"/>
        <w:right w:val="none" w:sz="0" w:space="0" w:color="auto"/>
      </w:divBdr>
      <w:divsChild>
        <w:div w:id="1047414967">
          <w:marLeft w:val="0"/>
          <w:marRight w:val="0"/>
          <w:marTop w:val="0"/>
          <w:marBottom w:val="0"/>
          <w:divBdr>
            <w:top w:val="none" w:sz="0" w:space="0" w:color="auto"/>
            <w:left w:val="none" w:sz="0" w:space="0" w:color="auto"/>
            <w:bottom w:val="none" w:sz="0" w:space="0" w:color="auto"/>
            <w:right w:val="none" w:sz="0" w:space="0" w:color="auto"/>
          </w:divBdr>
        </w:div>
        <w:div w:id="707723711">
          <w:marLeft w:val="0"/>
          <w:marRight w:val="0"/>
          <w:marTop w:val="0"/>
          <w:marBottom w:val="0"/>
          <w:divBdr>
            <w:top w:val="none" w:sz="0" w:space="0" w:color="auto"/>
            <w:left w:val="none" w:sz="0" w:space="0" w:color="auto"/>
            <w:bottom w:val="none" w:sz="0" w:space="0" w:color="auto"/>
            <w:right w:val="none" w:sz="0" w:space="0" w:color="auto"/>
          </w:divBdr>
        </w:div>
        <w:div w:id="2040467447">
          <w:marLeft w:val="0"/>
          <w:marRight w:val="0"/>
          <w:marTop w:val="0"/>
          <w:marBottom w:val="0"/>
          <w:divBdr>
            <w:top w:val="none" w:sz="0" w:space="0" w:color="auto"/>
            <w:left w:val="none" w:sz="0" w:space="0" w:color="auto"/>
            <w:bottom w:val="none" w:sz="0" w:space="0" w:color="auto"/>
            <w:right w:val="none" w:sz="0" w:space="0" w:color="auto"/>
          </w:divBdr>
        </w:div>
        <w:div w:id="152650332">
          <w:marLeft w:val="0"/>
          <w:marRight w:val="0"/>
          <w:marTop w:val="0"/>
          <w:marBottom w:val="0"/>
          <w:divBdr>
            <w:top w:val="none" w:sz="0" w:space="0" w:color="auto"/>
            <w:left w:val="none" w:sz="0" w:space="0" w:color="auto"/>
            <w:bottom w:val="none" w:sz="0" w:space="0" w:color="auto"/>
            <w:right w:val="none" w:sz="0" w:space="0" w:color="auto"/>
          </w:divBdr>
        </w:div>
        <w:div w:id="1530606995">
          <w:marLeft w:val="0"/>
          <w:marRight w:val="0"/>
          <w:marTop w:val="0"/>
          <w:marBottom w:val="0"/>
          <w:divBdr>
            <w:top w:val="none" w:sz="0" w:space="0" w:color="auto"/>
            <w:left w:val="none" w:sz="0" w:space="0" w:color="auto"/>
            <w:bottom w:val="none" w:sz="0" w:space="0" w:color="auto"/>
            <w:right w:val="none" w:sz="0" w:space="0" w:color="auto"/>
          </w:divBdr>
        </w:div>
        <w:div w:id="1408116617">
          <w:marLeft w:val="0"/>
          <w:marRight w:val="0"/>
          <w:marTop w:val="0"/>
          <w:marBottom w:val="0"/>
          <w:divBdr>
            <w:top w:val="none" w:sz="0" w:space="0" w:color="auto"/>
            <w:left w:val="none" w:sz="0" w:space="0" w:color="auto"/>
            <w:bottom w:val="none" w:sz="0" w:space="0" w:color="auto"/>
            <w:right w:val="none" w:sz="0" w:space="0" w:color="auto"/>
          </w:divBdr>
        </w:div>
        <w:div w:id="1024207715">
          <w:marLeft w:val="0"/>
          <w:marRight w:val="0"/>
          <w:marTop w:val="0"/>
          <w:marBottom w:val="0"/>
          <w:divBdr>
            <w:top w:val="none" w:sz="0" w:space="0" w:color="auto"/>
            <w:left w:val="none" w:sz="0" w:space="0" w:color="auto"/>
            <w:bottom w:val="none" w:sz="0" w:space="0" w:color="auto"/>
            <w:right w:val="none" w:sz="0" w:space="0" w:color="auto"/>
          </w:divBdr>
        </w:div>
        <w:div w:id="315690869">
          <w:marLeft w:val="0"/>
          <w:marRight w:val="0"/>
          <w:marTop w:val="0"/>
          <w:marBottom w:val="0"/>
          <w:divBdr>
            <w:top w:val="none" w:sz="0" w:space="0" w:color="auto"/>
            <w:left w:val="none" w:sz="0" w:space="0" w:color="auto"/>
            <w:bottom w:val="none" w:sz="0" w:space="0" w:color="auto"/>
            <w:right w:val="none" w:sz="0" w:space="0" w:color="auto"/>
          </w:divBdr>
        </w:div>
        <w:div w:id="360935360">
          <w:marLeft w:val="0"/>
          <w:marRight w:val="0"/>
          <w:marTop w:val="0"/>
          <w:marBottom w:val="0"/>
          <w:divBdr>
            <w:top w:val="none" w:sz="0" w:space="0" w:color="auto"/>
            <w:left w:val="none" w:sz="0" w:space="0" w:color="auto"/>
            <w:bottom w:val="none" w:sz="0" w:space="0" w:color="auto"/>
            <w:right w:val="none" w:sz="0" w:space="0" w:color="auto"/>
          </w:divBdr>
        </w:div>
        <w:div w:id="1119295654">
          <w:marLeft w:val="0"/>
          <w:marRight w:val="0"/>
          <w:marTop w:val="0"/>
          <w:marBottom w:val="0"/>
          <w:divBdr>
            <w:top w:val="none" w:sz="0" w:space="0" w:color="auto"/>
            <w:left w:val="none" w:sz="0" w:space="0" w:color="auto"/>
            <w:bottom w:val="none" w:sz="0" w:space="0" w:color="auto"/>
            <w:right w:val="none" w:sz="0" w:space="0" w:color="auto"/>
          </w:divBdr>
        </w:div>
        <w:div w:id="361591032">
          <w:marLeft w:val="0"/>
          <w:marRight w:val="0"/>
          <w:marTop w:val="0"/>
          <w:marBottom w:val="0"/>
          <w:divBdr>
            <w:top w:val="none" w:sz="0" w:space="0" w:color="auto"/>
            <w:left w:val="none" w:sz="0" w:space="0" w:color="auto"/>
            <w:bottom w:val="none" w:sz="0" w:space="0" w:color="auto"/>
            <w:right w:val="none" w:sz="0" w:space="0" w:color="auto"/>
          </w:divBdr>
        </w:div>
        <w:div w:id="265773249">
          <w:marLeft w:val="0"/>
          <w:marRight w:val="0"/>
          <w:marTop w:val="0"/>
          <w:marBottom w:val="0"/>
          <w:divBdr>
            <w:top w:val="none" w:sz="0" w:space="0" w:color="auto"/>
            <w:left w:val="none" w:sz="0" w:space="0" w:color="auto"/>
            <w:bottom w:val="none" w:sz="0" w:space="0" w:color="auto"/>
            <w:right w:val="none" w:sz="0" w:space="0" w:color="auto"/>
          </w:divBdr>
        </w:div>
      </w:divsChild>
    </w:div>
    <w:div w:id="1950307065">
      <w:bodyDiv w:val="1"/>
      <w:marLeft w:val="0"/>
      <w:marRight w:val="0"/>
      <w:marTop w:val="0"/>
      <w:marBottom w:val="0"/>
      <w:divBdr>
        <w:top w:val="none" w:sz="0" w:space="0" w:color="auto"/>
        <w:left w:val="none" w:sz="0" w:space="0" w:color="auto"/>
        <w:bottom w:val="none" w:sz="0" w:space="0" w:color="auto"/>
        <w:right w:val="none" w:sz="0" w:space="0" w:color="auto"/>
      </w:divBdr>
      <w:divsChild>
        <w:div w:id="236746366">
          <w:marLeft w:val="0"/>
          <w:marRight w:val="0"/>
          <w:marTop w:val="0"/>
          <w:marBottom w:val="0"/>
          <w:divBdr>
            <w:top w:val="none" w:sz="0" w:space="0" w:color="auto"/>
            <w:left w:val="none" w:sz="0" w:space="0" w:color="auto"/>
            <w:bottom w:val="none" w:sz="0" w:space="0" w:color="auto"/>
            <w:right w:val="none" w:sz="0" w:space="0" w:color="auto"/>
          </w:divBdr>
        </w:div>
        <w:div w:id="1657492083">
          <w:marLeft w:val="0"/>
          <w:marRight w:val="0"/>
          <w:marTop w:val="0"/>
          <w:marBottom w:val="0"/>
          <w:divBdr>
            <w:top w:val="none" w:sz="0" w:space="0" w:color="auto"/>
            <w:left w:val="none" w:sz="0" w:space="0" w:color="auto"/>
            <w:bottom w:val="none" w:sz="0" w:space="0" w:color="auto"/>
            <w:right w:val="none" w:sz="0" w:space="0" w:color="auto"/>
          </w:divBdr>
        </w:div>
        <w:div w:id="453448515">
          <w:marLeft w:val="0"/>
          <w:marRight w:val="0"/>
          <w:marTop w:val="0"/>
          <w:marBottom w:val="0"/>
          <w:divBdr>
            <w:top w:val="none" w:sz="0" w:space="0" w:color="auto"/>
            <w:left w:val="none" w:sz="0" w:space="0" w:color="auto"/>
            <w:bottom w:val="none" w:sz="0" w:space="0" w:color="auto"/>
            <w:right w:val="none" w:sz="0" w:space="0" w:color="auto"/>
          </w:divBdr>
        </w:div>
        <w:div w:id="240792890">
          <w:marLeft w:val="0"/>
          <w:marRight w:val="0"/>
          <w:marTop w:val="0"/>
          <w:marBottom w:val="0"/>
          <w:divBdr>
            <w:top w:val="none" w:sz="0" w:space="0" w:color="auto"/>
            <w:left w:val="none" w:sz="0" w:space="0" w:color="auto"/>
            <w:bottom w:val="none" w:sz="0" w:space="0" w:color="auto"/>
            <w:right w:val="none" w:sz="0" w:space="0" w:color="auto"/>
          </w:divBdr>
        </w:div>
        <w:div w:id="349913899">
          <w:marLeft w:val="0"/>
          <w:marRight w:val="0"/>
          <w:marTop w:val="0"/>
          <w:marBottom w:val="0"/>
          <w:divBdr>
            <w:top w:val="none" w:sz="0" w:space="0" w:color="auto"/>
            <w:left w:val="none" w:sz="0" w:space="0" w:color="auto"/>
            <w:bottom w:val="none" w:sz="0" w:space="0" w:color="auto"/>
            <w:right w:val="none" w:sz="0" w:space="0" w:color="auto"/>
          </w:divBdr>
        </w:div>
      </w:divsChild>
    </w:div>
    <w:div w:id="1964579029">
      <w:bodyDiv w:val="1"/>
      <w:marLeft w:val="0"/>
      <w:marRight w:val="0"/>
      <w:marTop w:val="0"/>
      <w:marBottom w:val="0"/>
      <w:divBdr>
        <w:top w:val="none" w:sz="0" w:space="0" w:color="auto"/>
        <w:left w:val="none" w:sz="0" w:space="0" w:color="auto"/>
        <w:bottom w:val="none" w:sz="0" w:space="0" w:color="auto"/>
        <w:right w:val="none" w:sz="0" w:space="0" w:color="auto"/>
      </w:divBdr>
    </w:div>
    <w:div w:id="1964581707">
      <w:bodyDiv w:val="1"/>
      <w:marLeft w:val="0"/>
      <w:marRight w:val="0"/>
      <w:marTop w:val="0"/>
      <w:marBottom w:val="0"/>
      <w:divBdr>
        <w:top w:val="none" w:sz="0" w:space="0" w:color="auto"/>
        <w:left w:val="none" w:sz="0" w:space="0" w:color="auto"/>
        <w:bottom w:val="none" w:sz="0" w:space="0" w:color="auto"/>
        <w:right w:val="none" w:sz="0" w:space="0" w:color="auto"/>
      </w:divBdr>
    </w:div>
    <w:div w:id="1968774171">
      <w:bodyDiv w:val="1"/>
      <w:marLeft w:val="0"/>
      <w:marRight w:val="0"/>
      <w:marTop w:val="0"/>
      <w:marBottom w:val="0"/>
      <w:divBdr>
        <w:top w:val="none" w:sz="0" w:space="0" w:color="auto"/>
        <w:left w:val="none" w:sz="0" w:space="0" w:color="auto"/>
        <w:bottom w:val="none" w:sz="0" w:space="0" w:color="auto"/>
        <w:right w:val="none" w:sz="0" w:space="0" w:color="auto"/>
      </w:divBdr>
    </w:div>
    <w:div w:id="1971520710">
      <w:bodyDiv w:val="1"/>
      <w:marLeft w:val="0"/>
      <w:marRight w:val="0"/>
      <w:marTop w:val="0"/>
      <w:marBottom w:val="0"/>
      <w:divBdr>
        <w:top w:val="none" w:sz="0" w:space="0" w:color="auto"/>
        <w:left w:val="none" w:sz="0" w:space="0" w:color="auto"/>
        <w:bottom w:val="none" w:sz="0" w:space="0" w:color="auto"/>
        <w:right w:val="none" w:sz="0" w:space="0" w:color="auto"/>
      </w:divBdr>
    </w:div>
    <w:div w:id="2022707130">
      <w:bodyDiv w:val="1"/>
      <w:marLeft w:val="0"/>
      <w:marRight w:val="0"/>
      <w:marTop w:val="0"/>
      <w:marBottom w:val="0"/>
      <w:divBdr>
        <w:top w:val="none" w:sz="0" w:space="0" w:color="auto"/>
        <w:left w:val="none" w:sz="0" w:space="0" w:color="auto"/>
        <w:bottom w:val="none" w:sz="0" w:space="0" w:color="auto"/>
        <w:right w:val="none" w:sz="0" w:space="0" w:color="auto"/>
      </w:divBdr>
      <w:divsChild>
        <w:div w:id="928004364">
          <w:marLeft w:val="0"/>
          <w:marRight w:val="0"/>
          <w:marTop w:val="240"/>
          <w:marBottom w:val="120"/>
          <w:divBdr>
            <w:top w:val="none" w:sz="0" w:space="0" w:color="auto"/>
            <w:left w:val="none" w:sz="0" w:space="0" w:color="auto"/>
            <w:bottom w:val="none" w:sz="0" w:space="0" w:color="auto"/>
            <w:right w:val="none" w:sz="0" w:space="0" w:color="auto"/>
          </w:divBdr>
        </w:div>
        <w:div w:id="242221673">
          <w:marLeft w:val="0"/>
          <w:marRight w:val="0"/>
          <w:marTop w:val="240"/>
          <w:marBottom w:val="120"/>
          <w:divBdr>
            <w:top w:val="none" w:sz="0" w:space="0" w:color="auto"/>
            <w:left w:val="none" w:sz="0" w:space="0" w:color="auto"/>
            <w:bottom w:val="none" w:sz="0" w:space="0" w:color="auto"/>
            <w:right w:val="none" w:sz="0" w:space="0" w:color="auto"/>
          </w:divBdr>
        </w:div>
      </w:divsChild>
    </w:div>
    <w:div w:id="2032102412">
      <w:bodyDiv w:val="1"/>
      <w:marLeft w:val="0"/>
      <w:marRight w:val="0"/>
      <w:marTop w:val="0"/>
      <w:marBottom w:val="0"/>
      <w:divBdr>
        <w:top w:val="none" w:sz="0" w:space="0" w:color="auto"/>
        <w:left w:val="none" w:sz="0" w:space="0" w:color="auto"/>
        <w:bottom w:val="none" w:sz="0" w:space="0" w:color="auto"/>
        <w:right w:val="none" w:sz="0" w:space="0" w:color="auto"/>
      </w:divBdr>
      <w:divsChild>
        <w:div w:id="749274095">
          <w:marLeft w:val="0"/>
          <w:marRight w:val="0"/>
          <w:marTop w:val="0"/>
          <w:marBottom w:val="0"/>
          <w:divBdr>
            <w:top w:val="none" w:sz="0" w:space="0" w:color="auto"/>
            <w:left w:val="none" w:sz="0" w:space="0" w:color="auto"/>
            <w:bottom w:val="none" w:sz="0" w:space="0" w:color="auto"/>
            <w:right w:val="none" w:sz="0" w:space="0" w:color="auto"/>
          </w:divBdr>
        </w:div>
        <w:div w:id="1774126530">
          <w:marLeft w:val="0"/>
          <w:marRight w:val="0"/>
          <w:marTop w:val="0"/>
          <w:marBottom w:val="0"/>
          <w:divBdr>
            <w:top w:val="none" w:sz="0" w:space="0" w:color="auto"/>
            <w:left w:val="none" w:sz="0" w:space="0" w:color="auto"/>
            <w:bottom w:val="none" w:sz="0" w:space="0" w:color="auto"/>
            <w:right w:val="none" w:sz="0" w:space="0" w:color="auto"/>
          </w:divBdr>
        </w:div>
        <w:div w:id="1940405659">
          <w:marLeft w:val="0"/>
          <w:marRight w:val="0"/>
          <w:marTop w:val="0"/>
          <w:marBottom w:val="0"/>
          <w:divBdr>
            <w:top w:val="none" w:sz="0" w:space="0" w:color="auto"/>
            <w:left w:val="none" w:sz="0" w:space="0" w:color="auto"/>
            <w:bottom w:val="none" w:sz="0" w:space="0" w:color="auto"/>
            <w:right w:val="none" w:sz="0" w:space="0" w:color="auto"/>
          </w:divBdr>
        </w:div>
        <w:div w:id="110633973">
          <w:marLeft w:val="0"/>
          <w:marRight w:val="0"/>
          <w:marTop w:val="0"/>
          <w:marBottom w:val="0"/>
          <w:divBdr>
            <w:top w:val="none" w:sz="0" w:space="0" w:color="auto"/>
            <w:left w:val="none" w:sz="0" w:space="0" w:color="auto"/>
            <w:bottom w:val="none" w:sz="0" w:space="0" w:color="auto"/>
            <w:right w:val="none" w:sz="0" w:space="0" w:color="auto"/>
          </w:divBdr>
        </w:div>
        <w:div w:id="1867522057">
          <w:marLeft w:val="0"/>
          <w:marRight w:val="0"/>
          <w:marTop w:val="0"/>
          <w:marBottom w:val="0"/>
          <w:divBdr>
            <w:top w:val="none" w:sz="0" w:space="0" w:color="auto"/>
            <w:left w:val="none" w:sz="0" w:space="0" w:color="auto"/>
            <w:bottom w:val="none" w:sz="0" w:space="0" w:color="auto"/>
            <w:right w:val="none" w:sz="0" w:space="0" w:color="auto"/>
          </w:divBdr>
        </w:div>
      </w:divsChild>
    </w:div>
    <w:div w:id="2036424563">
      <w:bodyDiv w:val="1"/>
      <w:marLeft w:val="0"/>
      <w:marRight w:val="0"/>
      <w:marTop w:val="0"/>
      <w:marBottom w:val="0"/>
      <w:divBdr>
        <w:top w:val="none" w:sz="0" w:space="0" w:color="auto"/>
        <w:left w:val="none" w:sz="0" w:space="0" w:color="auto"/>
        <w:bottom w:val="none" w:sz="0" w:space="0" w:color="auto"/>
        <w:right w:val="none" w:sz="0" w:space="0" w:color="auto"/>
      </w:divBdr>
      <w:divsChild>
        <w:div w:id="1718622248">
          <w:marLeft w:val="0"/>
          <w:marRight w:val="0"/>
          <w:marTop w:val="0"/>
          <w:marBottom w:val="0"/>
          <w:divBdr>
            <w:top w:val="none" w:sz="0" w:space="0" w:color="auto"/>
            <w:left w:val="none" w:sz="0" w:space="0" w:color="auto"/>
            <w:bottom w:val="none" w:sz="0" w:space="0" w:color="auto"/>
            <w:right w:val="none" w:sz="0" w:space="0" w:color="auto"/>
          </w:divBdr>
          <w:divsChild>
            <w:div w:id="1772779654">
              <w:marLeft w:val="0"/>
              <w:marRight w:val="0"/>
              <w:marTop w:val="0"/>
              <w:marBottom w:val="0"/>
              <w:divBdr>
                <w:top w:val="none" w:sz="0" w:space="0" w:color="auto"/>
                <w:left w:val="none" w:sz="0" w:space="0" w:color="auto"/>
                <w:bottom w:val="none" w:sz="0" w:space="0" w:color="auto"/>
                <w:right w:val="none" w:sz="0" w:space="0" w:color="auto"/>
              </w:divBdr>
            </w:div>
          </w:divsChild>
        </w:div>
        <w:div w:id="799539563">
          <w:marLeft w:val="0"/>
          <w:marRight w:val="0"/>
          <w:marTop w:val="0"/>
          <w:marBottom w:val="0"/>
          <w:divBdr>
            <w:top w:val="none" w:sz="0" w:space="0" w:color="auto"/>
            <w:left w:val="none" w:sz="0" w:space="0" w:color="auto"/>
            <w:bottom w:val="none" w:sz="0" w:space="0" w:color="auto"/>
            <w:right w:val="none" w:sz="0" w:space="0" w:color="auto"/>
          </w:divBdr>
          <w:divsChild>
            <w:div w:id="110192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038194">
      <w:bodyDiv w:val="1"/>
      <w:marLeft w:val="0"/>
      <w:marRight w:val="0"/>
      <w:marTop w:val="0"/>
      <w:marBottom w:val="0"/>
      <w:divBdr>
        <w:top w:val="none" w:sz="0" w:space="0" w:color="auto"/>
        <w:left w:val="none" w:sz="0" w:space="0" w:color="auto"/>
        <w:bottom w:val="none" w:sz="0" w:space="0" w:color="auto"/>
        <w:right w:val="none" w:sz="0" w:space="0" w:color="auto"/>
      </w:divBdr>
      <w:divsChild>
        <w:div w:id="931090594">
          <w:marLeft w:val="0"/>
          <w:marRight w:val="0"/>
          <w:marTop w:val="0"/>
          <w:marBottom w:val="0"/>
          <w:divBdr>
            <w:top w:val="none" w:sz="0" w:space="0" w:color="auto"/>
            <w:left w:val="none" w:sz="0" w:space="0" w:color="auto"/>
            <w:bottom w:val="none" w:sz="0" w:space="0" w:color="auto"/>
            <w:right w:val="none" w:sz="0" w:space="0" w:color="auto"/>
          </w:divBdr>
          <w:divsChild>
            <w:div w:id="277033845">
              <w:marLeft w:val="0"/>
              <w:marRight w:val="0"/>
              <w:marTop w:val="0"/>
              <w:marBottom w:val="0"/>
              <w:divBdr>
                <w:top w:val="none" w:sz="0" w:space="0" w:color="auto"/>
                <w:left w:val="none" w:sz="0" w:space="0" w:color="auto"/>
                <w:bottom w:val="none" w:sz="0" w:space="0" w:color="auto"/>
                <w:right w:val="none" w:sz="0" w:space="0" w:color="auto"/>
              </w:divBdr>
              <w:divsChild>
                <w:div w:id="298146302">
                  <w:marLeft w:val="0"/>
                  <w:marRight w:val="0"/>
                  <w:marTop w:val="0"/>
                  <w:marBottom w:val="0"/>
                  <w:divBdr>
                    <w:top w:val="none" w:sz="0" w:space="0" w:color="auto"/>
                    <w:left w:val="none" w:sz="0" w:space="0" w:color="auto"/>
                    <w:bottom w:val="none" w:sz="0" w:space="0" w:color="auto"/>
                    <w:right w:val="none" w:sz="0" w:space="0" w:color="auto"/>
                  </w:divBdr>
                </w:div>
                <w:div w:id="1222443490">
                  <w:marLeft w:val="0"/>
                  <w:marRight w:val="0"/>
                  <w:marTop w:val="0"/>
                  <w:marBottom w:val="0"/>
                  <w:divBdr>
                    <w:top w:val="none" w:sz="0" w:space="0" w:color="auto"/>
                    <w:left w:val="none" w:sz="0" w:space="0" w:color="auto"/>
                    <w:bottom w:val="none" w:sz="0" w:space="0" w:color="auto"/>
                    <w:right w:val="none" w:sz="0" w:space="0" w:color="auto"/>
                  </w:divBdr>
                  <w:divsChild>
                    <w:div w:id="2063483237">
                      <w:marLeft w:val="0"/>
                      <w:marRight w:val="0"/>
                      <w:marTop w:val="0"/>
                      <w:marBottom w:val="0"/>
                      <w:divBdr>
                        <w:top w:val="none" w:sz="0" w:space="0" w:color="auto"/>
                        <w:left w:val="none" w:sz="0" w:space="0" w:color="auto"/>
                        <w:bottom w:val="none" w:sz="0" w:space="0" w:color="auto"/>
                        <w:right w:val="none" w:sz="0" w:space="0" w:color="auto"/>
                      </w:divBdr>
                    </w:div>
                  </w:divsChild>
                </w:div>
                <w:div w:id="1142380235">
                  <w:marLeft w:val="0"/>
                  <w:marRight w:val="0"/>
                  <w:marTop w:val="0"/>
                  <w:marBottom w:val="0"/>
                  <w:divBdr>
                    <w:top w:val="none" w:sz="0" w:space="0" w:color="auto"/>
                    <w:left w:val="none" w:sz="0" w:space="0" w:color="auto"/>
                    <w:bottom w:val="none" w:sz="0" w:space="0" w:color="auto"/>
                    <w:right w:val="none" w:sz="0" w:space="0" w:color="auto"/>
                  </w:divBdr>
                </w:div>
                <w:div w:id="109177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196262">
      <w:bodyDiv w:val="1"/>
      <w:marLeft w:val="0"/>
      <w:marRight w:val="0"/>
      <w:marTop w:val="0"/>
      <w:marBottom w:val="0"/>
      <w:divBdr>
        <w:top w:val="none" w:sz="0" w:space="0" w:color="auto"/>
        <w:left w:val="none" w:sz="0" w:space="0" w:color="auto"/>
        <w:bottom w:val="none" w:sz="0" w:space="0" w:color="auto"/>
        <w:right w:val="none" w:sz="0" w:space="0" w:color="auto"/>
      </w:divBdr>
      <w:divsChild>
        <w:div w:id="1183668879">
          <w:marLeft w:val="0"/>
          <w:marRight w:val="0"/>
          <w:marTop w:val="240"/>
          <w:marBottom w:val="120"/>
          <w:divBdr>
            <w:top w:val="none" w:sz="0" w:space="0" w:color="auto"/>
            <w:left w:val="none" w:sz="0" w:space="0" w:color="auto"/>
            <w:bottom w:val="none" w:sz="0" w:space="0" w:color="auto"/>
            <w:right w:val="none" w:sz="0" w:space="0" w:color="auto"/>
          </w:divBdr>
        </w:div>
        <w:div w:id="1255044047">
          <w:marLeft w:val="0"/>
          <w:marRight w:val="0"/>
          <w:marTop w:val="240"/>
          <w:marBottom w:val="120"/>
          <w:divBdr>
            <w:top w:val="none" w:sz="0" w:space="0" w:color="auto"/>
            <w:left w:val="none" w:sz="0" w:space="0" w:color="auto"/>
            <w:bottom w:val="none" w:sz="0" w:space="0" w:color="auto"/>
            <w:right w:val="none" w:sz="0" w:space="0" w:color="auto"/>
          </w:divBdr>
        </w:div>
      </w:divsChild>
    </w:div>
    <w:div w:id="2086608344">
      <w:bodyDiv w:val="1"/>
      <w:marLeft w:val="0"/>
      <w:marRight w:val="0"/>
      <w:marTop w:val="0"/>
      <w:marBottom w:val="0"/>
      <w:divBdr>
        <w:top w:val="none" w:sz="0" w:space="0" w:color="auto"/>
        <w:left w:val="none" w:sz="0" w:space="0" w:color="auto"/>
        <w:bottom w:val="none" w:sz="0" w:space="0" w:color="auto"/>
        <w:right w:val="none" w:sz="0" w:space="0" w:color="auto"/>
      </w:divBdr>
    </w:div>
    <w:div w:id="2094736706">
      <w:bodyDiv w:val="1"/>
      <w:marLeft w:val="0"/>
      <w:marRight w:val="0"/>
      <w:marTop w:val="0"/>
      <w:marBottom w:val="0"/>
      <w:divBdr>
        <w:top w:val="none" w:sz="0" w:space="0" w:color="auto"/>
        <w:left w:val="none" w:sz="0" w:space="0" w:color="auto"/>
        <w:bottom w:val="none" w:sz="0" w:space="0" w:color="auto"/>
        <w:right w:val="none" w:sz="0" w:space="0" w:color="auto"/>
      </w:divBdr>
      <w:divsChild>
        <w:div w:id="949966921">
          <w:marLeft w:val="0"/>
          <w:marRight w:val="0"/>
          <w:marTop w:val="0"/>
          <w:marBottom w:val="0"/>
          <w:divBdr>
            <w:top w:val="none" w:sz="0" w:space="0" w:color="auto"/>
            <w:left w:val="none" w:sz="0" w:space="0" w:color="auto"/>
            <w:bottom w:val="none" w:sz="0" w:space="0" w:color="auto"/>
            <w:right w:val="none" w:sz="0" w:space="0" w:color="auto"/>
          </w:divBdr>
          <w:divsChild>
            <w:div w:id="1792937729">
              <w:marLeft w:val="0"/>
              <w:marRight w:val="0"/>
              <w:marTop w:val="0"/>
              <w:marBottom w:val="0"/>
              <w:divBdr>
                <w:top w:val="none" w:sz="0" w:space="0" w:color="auto"/>
                <w:left w:val="none" w:sz="0" w:space="0" w:color="auto"/>
                <w:bottom w:val="none" w:sz="0" w:space="0" w:color="auto"/>
                <w:right w:val="none" w:sz="0" w:space="0" w:color="auto"/>
              </w:divBdr>
            </w:div>
          </w:divsChild>
        </w:div>
        <w:div w:id="351876627">
          <w:marLeft w:val="0"/>
          <w:marRight w:val="0"/>
          <w:marTop w:val="0"/>
          <w:marBottom w:val="0"/>
          <w:divBdr>
            <w:top w:val="none" w:sz="0" w:space="0" w:color="auto"/>
            <w:left w:val="none" w:sz="0" w:space="0" w:color="auto"/>
            <w:bottom w:val="none" w:sz="0" w:space="0" w:color="auto"/>
            <w:right w:val="none" w:sz="0" w:space="0" w:color="auto"/>
          </w:divBdr>
          <w:divsChild>
            <w:div w:id="147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339581">
      <w:bodyDiv w:val="1"/>
      <w:marLeft w:val="0"/>
      <w:marRight w:val="0"/>
      <w:marTop w:val="0"/>
      <w:marBottom w:val="0"/>
      <w:divBdr>
        <w:top w:val="none" w:sz="0" w:space="0" w:color="auto"/>
        <w:left w:val="none" w:sz="0" w:space="0" w:color="auto"/>
        <w:bottom w:val="none" w:sz="0" w:space="0" w:color="auto"/>
        <w:right w:val="none" w:sz="0" w:space="0" w:color="auto"/>
      </w:divBdr>
    </w:div>
    <w:div w:id="2134907406">
      <w:bodyDiv w:val="1"/>
      <w:marLeft w:val="0"/>
      <w:marRight w:val="0"/>
      <w:marTop w:val="0"/>
      <w:marBottom w:val="0"/>
      <w:divBdr>
        <w:top w:val="none" w:sz="0" w:space="0" w:color="auto"/>
        <w:left w:val="none" w:sz="0" w:space="0" w:color="auto"/>
        <w:bottom w:val="none" w:sz="0" w:space="0" w:color="auto"/>
        <w:right w:val="none" w:sz="0" w:space="0" w:color="auto"/>
      </w:divBdr>
    </w:div>
    <w:div w:id="2143501854">
      <w:bodyDiv w:val="1"/>
      <w:marLeft w:val="0"/>
      <w:marRight w:val="0"/>
      <w:marTop w:val="0"/>
      <w:marBottom w:val="0"/>
      <w:divBdr>
        <w:top w:val="none" w:sz="0" w:space="0" w:color="auto"/>
        <w:left w:val="none" w:sz="0" w:space="0" w:color="auto"/>
        <w:bottom w:val="none" w:sz="0" w:space="0" w:color="auto"/>
        <w:right w:val="none" w:sz="0" w:space="0" w:color="auto"/>
      </w:divBdr>
      <w:divsChild>
        <w:div w:id="1146123134">
          <w:marLeft w:val="0"/>
          <w:marRight w:val="0"/>
          <w:marTop w:val="0"/>
          <w:marBottom w:val="0"/>
          <w:divBdr>
            <w:top w:val="none" w:sz="0" w:space="0" w:color="auto"/>
            <w:left w:val="none" w:sz="0" w:space="0" w:color="auto"/>
            <w:bottom w:val="none" w:sz="0" w:space="0" w:color="auto"/>
            <w:right w:val="none" w:sz="0" w:space="0" w:color="auto"/>
          </w:divBdr>
          <w:divsChild>
            <w:div w:id="1026256462">
              <w:marLeft w:val="0"/>
              <w:marRight w:val="0"/>
              <w:marTop w:val="0"/>
              <w:marBottom w:val="0"/>
              <w:divBdr>
                <w:top w:val="none" w:sz="0" w:space="0" w:color="auto"/>
                <w:left w:val="none" w:sz="0" w:space="0" w:color="auto"/>
                <w:bottom w:val="none" w:sz="0" w:space="0" w:color="auto"/>
                <w:right w:val="none" w:sz="0" w:space="0" w:color="auto"/>
              </w:divBdr>
            </w:div>
            <w:div w:id="1465931767">
              <w:marLeft w:val="0"/>
              <w:marRight w:val="0"/>
              <w:marTop w:val="0"/>
              <w:marBottom w:val="0"/>
              <w:divBdr>
                <w:top w:val="none" w:sz="0" w:space="0" w:color="auto"/>
                <w:left w:val="none" w:sz="0" w:space="0" w:color="auto"/>
                <w:bottom w:val="none" w:sz="0" w:space="0" w:color="auto"/>
                <w:right w:val="none" w:sz="0" w:space="0" w:color="auto"/>
              </w:divBdr>
            </w:div>
          </w:divsChild>
        </w:div>
        <w:div w:id="764307867">
          <w:marLeft w:val="0"/>
          <w:marRight w:val="0"/>
          <w:marTop w:val="0"/>
          <w:marBottom w:val="0"/>
          <w:divBdr>
            <w:top w:val="none" w:sz="0" w:space="0" w:color="auto"/>
            <w:left w:val="none" w:sz="0" w:space="0" w:color="auto"/>
            <w:bottom w:val="none" w:sz="0" w:space="0" w:color="auto"/>
            <w:right w:val="none" w:sz="0" w:space="0" w:color="auto"/>
          </w:divBdr>
          <w:divsChild>
            <w:div w:id="1525437454">
              <w:marLeft w:val="0"/>
              <w:marRight w:val="0"/>
              <w:marTop w:val="0"/>
              <w:marBottom w:val="0"/>
              <w:divBdr>
                <w:top w:val="none" w:sz="0" w:space="0" w:color="auto"/>
                <w:left w:val="none" w:sz="0" w:space="0" w:color="auto"/>
                <w:bottom w:val="none" w:sz="0" w:space="0" w:color="auto"/>
                <w:right w:val="none" w:sz="0" w:space="0" w:color="auto"/>
              </w:divBdr>
              <w:divsChild>
                <w:div w:id="125547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226125">
      <w:bodyDiv w:val="1"/>
      <w:marLeft w:val="0"/>
      <w:marRight w:val="0"/>
      <w:marTop w:val="0"/>
      <w:marBottom w:val="0"/>
      <w:divBdr>
        <w:top w:val="none" w:sz="0" w:space="0" w:color="auto"/>
        <w:left w:val="none" w:sz="0" w:space="0" w:color="auto"/>
        <w:bottom w:val="none" w:sz="0" w:space="0" w:color="auto"/>
        <w:right w:val="none" w:sz="0" w:space="0" w:color="auto"/>
      </w:divBdr>
      <w:divsChild>
        <w:div w:id="1413157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u.chen@connect.polyu.h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13755067029@163.com" TargetMode="External"/><Relationship Id="rId4" Type="http://schemas.openxmlformats.org/officeDocument/2006/relationships/settings" Target="settings.xml"/><Relationship Id="rId9" Type="http://schemas.openxmlformats.org/officeDocument/2006/relationships/hyperlink" Target="mailto:ningdong@zj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6E352-ADA3-4738-AF01-BDD9FE916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1066</TotalTime>
  <Pages>39</Pages>
  <Words>14432</Words>
  <Characters>82269</Characters>
  <Application>Microsoft Office Word</Application>
  <DocSecurity>0</DocSecurity>
  <Lines>685</Lines>
  <Paragraphs>193</Paragraphs>
  <ScaleCrop>false</ScaleCrop>
  <Company/>
  <LinksUpToDate>false</LinksUpToDate>
  <CharactersWithSpaces>96508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bnds</dc:creator>
  <cp:keywords/>
  <dc:description/>
  <cp:lastModifiedBy>bnds</cp:lastModifiedBy>
  <cp:revision>429</cp:revision>
  <dcterms:created xsi:type="dcterms:W3CDTF">2026-04-20T01:10:00Z</dcterms:created>
  <dcterms:modified xsi:type="dcterms:W3CDTF">2026-08-25T00:56:00Z</dcterms:modified>
</cp:coreProperties>
</file>