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41B" w:rsidRPr="00913F6F" w:rsidRDefault="0048441B" w:rsidP="0048441B">
      <w:pPr>
        <w:spacing w:line="360" w:lineRule="auto"/>
        <w:jc w:val="center"/>
        <w:rPr>
          <w:rFonts w:ascii="宋体" w:eastAsia="宋体" w:hAnsi="宋体" w:cs="宋体"/>
          <w:b/>
          <w:color w:val="000000"/>
          <w:sz w:val="28"/>
          <w:szCs w:val="28"/>
        </w:rPr>
      </w:pPr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202</w:t>
      </w:r>
      <w:r w:rsidR="00F4440E">
        <w:rPr>
          <w:rFonts w:ascii="宋体" w:eastAsia="宋体" w:hAnsi="宋体" w:cs="宋体"/>
          <w:b/>
          <w:color w:val="000000"/>
          <w:sz w:val="28"/>
          <w:szCs w:val="28"/>
        </w:rPr>
        <w:t>6</w:t>
      </w:r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年第</w:t>
      </w:r>
      <w:r w:rsidR="00A55058">
        <w:rPr>
          <w:rFonts w:ascii="宋体" w:eastAsia="宋体" w:hAnsi="宋体" w:cs="宋体"/>
          <w:b/>
          <w:color w:val="000000"/>
          <w:sz w:val="28"/>
          <w:szCs w:val="28"/>
        </w:rPr>
        <w:t>3</w:t>
      </w:r>
      <w:r w:rsidR="0016036F">
        <w:rPr>
          <w:rFonts w:ascii="宋体" w:eastAsia="宋体" w:hAnsi="宋体" w:cs="宋体"/>
          <w:b/>
          <w:color w:val="000000"/>
          <w:sz w:val="28"/>
          <w:szCs w:val="28"/>
        </w:rPr>
        <w:t>4</w:t>
      </w:r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周</w:t>
      </w:r>
    </w:p>
    <w:p w:rsidR="0048441B" w:rsidRPr="00913F6F" w:rsidRDefault="0048441B" w:rsidP="0048441B">
      <w:pPr>
        <w:spacing w:line="360" w:lineRule="auto"/>
        <w:jc w:val="center"/>
        <w:rPr>
          <w:rFonts w:ascii="宋体" w:eastAsia="宋体" w:hAnsi="宋体" w:cs="宋体"/>
          <w:b/>
          <w:color w:val="000000"/>
          <w:sz w:val="28"/>
          <w:szCs w:val="28"/>
        </w:rPr>
      </w:pPr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境外学者发表的结核病英文文章摘要</w:t>
      </w:r>
    </w:p>
    <w:p w:rsidR="0048441B" w:rsidRPr="00913F6F" w:rsidRDefault="0048441B" w:rsidP="0048441B">
      <w:pPr>
        <w:spacing w:line="360" w:lineRule="auto"/>
        <w:jc w:val="center"/>
        <w:rPr>
          <w:rFonts w:ascii="宋体" w:eastAsia="宋体" w:hAnsi="宋体" w:cs="宋体"/>
          <w:b/>
          <w:color w:val="000000"/>
          <w:sz w:val="28"/>
          <w:szCs w:val="28"/>
        </w:rPr>
      </w:pPr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（</w:t>
      </w:r>
      <w:r w:rsidR="00CE7B62">
        <w:rPr>
          <w:rFonts w:ascii="宋体" w:eastAsia="宋体" w:hAnsi="宋体" w:cs="宋体" w:hint="eastAsia"/>
          <w:b/>
          <w:color w:val="000000"/>
          <w:sz w:val="28"/>
          <w:szCs w:val="28"/>
        </w:rPr>
        <w:t>8</w:t>
      </w:r>
      <w:r w:rsidR="00CE7B62">
        <w:rPr>
          <w:rFonts w:ascii="宋体" w:eastAsia="宋体" w:hAnsi="宋体" w:cs="宋体"/>
          <w:b/>
          <w:color w:val="000000"/>
          <w:sz w:val="28"/>
          <w:szCs w:val="28"/>
        </w:rPr>
        <w:t>5</w:t>
      </w:r>
      <w:bookmarkStart w:id="0" w:name="_GoBack"/>
      <w:bookmarkEnd w:id="0"/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篇）</w:t>
      </w:r>
    </w:p>
    <w:p w:rsidR="0048441B" w:rsidRPr="00440A9B" w:rsidRDefault="0048441B" w:rsidP="0048441B">
      <w:pPr>
        <w:jc w:val="left"/>
        <w:rPr>
          <w:rFonts w:ascii="宋体" w:eastAsia="宋体" w:hAnsi="宋体" w:cs="宋体"/>
          <w:b/>
          <w:color w:val="FF0000"/>
          <w:szCs w:val="24"/>
        </w:rPr>
      </w:pPr>
    </w:p>
    <w:p w:rsidR="0048441B" w:rsidRPr="00913F6F" w:rsidRDefault="00AE3580" w:rsidP="0048441B">
      <w:pPr>
        <w:jc w:val="left"/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 w:hint="eastAsia"/>
          <w:b/>
          <w:color w:val="FF0000"/>
          <w:szCs w:val="24"/>
        </w:rPr>
        <w:t>PubMed  Publication date: 202</w:t>
      </w:r>
      <w:r w:rsidR="009A67B7">
        <w:rPr>
          <w:rFonts w:ascii="宋体" w:eastAsia="宋体" w:hAnsi="宋体" w:cs="宋体"/>
          <w:b/>
          <w:color w:val="FF0000"/>
          <w:szCs w:val="24"/>
        </w:rPr>
        <w:t>6</w:t>
      </w:r>
      <w:r w:rsidR="008236E7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D1675A">
        <w:rPr>
          <w:rFonts w:ascii="宋体" w:eastAsia="宋体" w:hAnsi="宋体" w:cs="宋体"/>
          <w:b/>
          <w:color w:val="FF0000"/>
          <w:szCs w:val="24"/>
        </w:rPr>
        <w:t>8</w:t>
      </w:r>
      <w:r w:rsidR="0048441B" w:rsidRPr="00913F6F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695C08">
        <w:rPr>
          <w:rFonts w:ascii="宋体" w:eastAsia="宋体" w:hAnsi="宋体" w:cs="宋体"/>
          <w:b/>
          <w:color w:val="FF0000"/>
          <w:szCs w:val="24"/>
        </w:rPr>
        <w:t>1</w:t>
      </w:r>
      <w:r w:rsidR="0016036F">
        <w:rPr>
          <w:rFonts w:ascii="宋体" w:eastAsia="宋体" w:hAnsi="宋体" w:cs="宋体"/>
          <w:b/>
          <w:color w:val="FF0000"/>
          <w:szCs w:val="24"/>
        </w:rPr>
        <w:t>7</w:t>
      </w:r>
      <w:r w:rsidR="0038007F">
        <w:rPr>
          <w:rFonts w:ascii="宋体" w:eastAsia="宋体" w:hAnsi="宋体" w:cs="宋体"/>
          <w:b/>
          <w:color w:val="FF000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FF0000"/>
          <w:szCs w:val="24"/>
        </w:rPr>
        <w:t>---</w:t>
      </w:r>
      <w:r w:rsidR="001F13B5">
        <w:rPr>
          <w:rFonts w:ascii="宋体" w:eastAsia="宋体" w:hAnsi="宋体" w:cs="宋体"/>
          <w:b/>
          <w:color w:val="FF000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FF0000"/>
          <w:szCs w:val="24"/>
        </w:rPr>
        <w:t>202</w:t>
      </w:r>
      <w:r w:rsidR="00F4440E">
        <w:rPr>
          <w:rFonts w:ascii="宋体" w:eastAsia="宋体" w:hAnsi="宋体" w:cs="宋体"/>
          <w:b/>
          <w:color w:val="FF0000"/>
          <w:szCs w:val="24"/>
        </w:rPr>
        <w:t>6</w:t>
      </w:r>
      <w:r w:rsidR="00A46C82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E1534B">
        <w:rPr>
          <w:rFonts w:ascii="宋体" w:eastAsia="宋体" w:hAnsi="宋体" w:cs="宋体"/>
          <w:b/>
          <w:color w:val="FF0000"/>
          <w:szCs w:val="24"/>
        </w:rPr>
        <w:t>8</w:t>
      </w:r>
      <w:r w:rsidR="0048441B" w:rsidRPr="00913F6F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16036F">
        <w:rPr>
          <w:rFonts w:ascii="宋体" w:eastAsia="宋体" w:hAnsi="宋体" w:cs="宋体"/>
          <w:b/>
          <w:color w:val="FF0000"/>
          <w:szCs w:val="24"/>
        </w:rPr>
        <w:t>23</w:t>
      </w:r>
    </w:p>
    <w:p w:rsidR="006C3F55" w:rsidRDefault="0048441B" w:rsidP="00763AE2">
      <w:pPr>
        <w:rPr>
          <w:rFonts w:ascii="宋体" w:eastAsia="宋体" w:hAnsi="宋体" w:cs="宋体"/>
          <w:b/>
          <w:color w:val="FF0000"/>
          <w:szCs w:val="24"/>
        </w:rPr>
      </w:pPr>
      <w:r w:rsidRPr="00913F6F">
        <w:rPr>
          <w:rFonts w:ascii="宋体" w:eastAsia="宋体" w:hAnsi="宋体" w:cs="宋体" w:hint="eastAsia"/>
          <w:b/>
          <w:color w:val="FF0000"/>
          <w:szCs w:val="24"/>
        </w:rPr>
        <w:t>(tuberculosis[Title/Abstract]) AND (English[Language])</w:t>
      </w:r>
    </w:p>
    <w:p w:rsidR="00FA0D6F" w:rsidRDefault="00FA0D6F" w:rsidP="003D46F1">
      <w:pPr>
        <w:rPr>
          <w:rFonts w:ascii="宋体" w:eastAsia="宋体" w:hAnsi="宋体" w:cs="宋体"/>
          <w:b/>
          <w:color w:val="FF0000"/>
          <w:szCs w:val="24"/>
        </w:rPr>
      </w:pPr>
    </w:p>
    <w:p w:rsidR="007A20D0" w:rsidRPr="0048107F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</w:t>
      </w:r>
      <w:r w:rsidR="007A20D0" w:rsidRPr="0048107F">
        <w:rPr>
          <w:rFonts w:ascii="宋体" w:eastAsia="宋体" w:hAnsi="宋体" w:cs="宋体"/>
          <w:b/>
          <w:color w:val="FF0000"/>
          <w:szCs w:val="24"/>
        </w:rPr>
        <w:t xml:space="preserve">. Int J Womens Health. 2026 Aug 18;18:619066. doi: 10.2147/IJWH.S619066. </w:t>
      </w:r>
    </w:p>
    <w:p w:rsidR="007A20D0" w:rsidRPr="0048107F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48107F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Tuberculosis Screening During Pregnancy: A Systematic Review of Policies,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Practices, and Perceptions Across Global Settings.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Widiasih R(1), Ermiati E(1), Aini FHQ(2), Srimurni NA(2).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(1)Department of Maternity Nursing, Faculty of Nursing, Universitas Padjadjaran,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Sumedang, West Java, Indonesia.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(2)Faculty of Nursing, Universitas Padjadjaran, Sumedang, West Java, Indonesia.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Tuberculosis (TB) remains a leading infectious disease threatening maternal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neonatal health, especially in low- and middle-income countries. Although WHO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promotes integrating screening into antenatal care, implementation across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countries remains inconsistent and often insufficient. In Indonesia, TB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screening is a critical component of antenatal care due to the high prevalence.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This systematic literature review aimed to synthesize global evidence on TB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screening among pregnant women, with a focus on policies, practices,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implementation challenges, particularly within the Indonesian context. Following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PRISMA 2020 and Joanna Briggs Institute guidelines, a comprehensive search was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conducted across PubMed and Scopus. Studies published between 2010 and 2025 were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included. Ten eligible studies with diverse methodologies were identified,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ranging from policy reviews to behavioral and epidemiological analyses. Results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showed that only 64% of countries included TB screening for pregnant or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breastfeeding women in their policies. Most low-middle income countries also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still rely on symptom-based screening rather than advanced diagnostics such as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interferon-gamma release assays (IGRA) or Quantiferon testing. Behavioral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factors, stigma, and limited health infrastructure further reduce screening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uptake. In Indonesia, TB screening during pregnancy remains sporadic and poorly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integrated into maternal health services. This review highlights the urgent need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for context-specific screening models, stronger policy alignment, and better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integration of TB and maternal health programs to improve early detection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>reduce the burden of maternal TB.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2026 Widiasih et al.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10.2147/IJWH.S619066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PMCID: PMC13499563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42633305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48107F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</w:t>
      </w:r>
      <w:r w:rsidR="007A20D0" w:rsidRPr="0048107F">
        <w:rPr>
          <w:rFonts w:ascii="宋体" w:eastAsia="宋体" w:hAnsi="宋体" w:cs="宋体"/>
          <w:b/>
          <w:color w:val="FF0000"/>
          <w:szCs w:val="24"/>
        </w:rPr>
        <w:t>. iScience. 2026 Aug 12;29(8):117133. doi: 10.1016/j</w:t>
      </w:r>
      <w:r w:rsidR="0048107F" w:rsidRPr="0048107F">
        <w:rPr>
          <w:rFonts w:ascii="宋体" w:eastAsia="宋体" w:hAnsi="宋体" w:cs="宋体"/>
          <w:b/>
          <w:color w:val="FF0000"/>
          <w:szCs w:val="24"/>
        </w:rPr>
        <w:t xml:space="preserve">.isci.2026.117133. eCollection </w:t>
      </w:r>
      <w:r w:rsidR="007A20D0" w:rsidRPr="0048107F">
        <w:rPr>
          <w:rFonts w:ascii="宋体" w:eastAsia="宋体" w:hAnsi="宋体" w:cs="宋体"/>
          <w:b/>
          <w:color w:val="FF0000"/>
          <w:szCs w:val="24"/>
        </w:rPr>
        <w:t>2026 Aug 21.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Unraveling the multifaceted impact of tuberculosis on coinfections.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Fine J(1), Trottein F(1), Machelart A(1), Sencio V(1).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(1)Univ. Lille, CNRS, INSERM, CHU Lille, Institut Pasteur de Lille, U1019, UMR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9017 CIIL - Center for Infection and Immunity of Lille, Lille, France.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Tuberculosis (TB) remains the leading cause of death worldwide from a single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bacterial agent. However, an estimated one-quarter of the world's population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carries an asymptomatic form of TB. In this state, the host maintains a chronic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inflammatory lung environment in which the infection is contained and may even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be cleared. TB can be lifelong; thus, patients are likely to contract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superinfection by another pathogen. It is therefore relevant to investigate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impact of Mycobacterium tuberculosis (Mtb), the bacterium responsible for TB, 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the host's capacity to cope with a second infectious agent. TB is increasingly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recognized as a dynamic disease that exists along a broad clinical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immunological spectrum, far beyond the conventional dichotomy of active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latent infection. Yet, in the context of coinfections, this complexity is often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overlooked. This review therefore bridges historical outbreaks, global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epidemiology, and experimental models to illustrate the interplay between TB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co-occurring infections. In particular, Mtb infection shapes the outcome of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secondary infections, while coinfecting pathogens can in turn reshape TB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progression, immune control, and disease severity.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2026 The Authors.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10.1016/j.isci.2026.117133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PMCID: PMC13498980</w:t>
      </w:r>
    </w:p>
    <w:p w:rsidR="007A20D0" w:rsidRPr="007A20D0" w:rsidRDefault="0048107F" w:rsidP="007A20D0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42633122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48107F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</w:t>
      </w:r>
      <w:r w:rsidR="007A20D0" w:rsidRPr="0048107F">
        <w:rPr>
          <w:rFonts w:ascii="宋体" w:eastAsia="宋体" w:hAnsi="宋体" w:cs="宋体"/>
          <w:b/>
          <w:color w:val="FF0000"/>
          <w:szCs w:val="24"/>
        </w:rPr>
        <w:t xml:space="preserve">. Indian J Psychol Med. 2026 Aug 21:02537176261472323. doi: </w:t>
      </w:r>
    </w:p>
    <w:p w:rsidR="007A20D0" w:rsidRPr="0048107F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48107F">
        <w:rPr>
          <w:rFonts w:ascii="宋体" w:eastAsia="宋体" w:hAnsi="宋体" w:cs="宋体"/>
          <w:b/>
          <w:color w:val="FF0000"/>
          <w:szCs w:val="24"/>
        </w:rPr>
        <w:t>10.1177/02537176261472323. Online ahead of print.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Effectiveness of Online Suicide Prevention (Gatekeeper) E-module Training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Compared to In-person Training for Healthcare Workers: A Randomized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Interventional Trial.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Gowda GS(1), Raju A(1), Kallunawar H(1), Ghadigaonkar D(1), Satish S(1),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Raghuveer P(1), Krishnamurthy L(1), Antony S(1), Ganjekar S(1), Muliyala KP(1),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Thippeswamy H(1), Desai G(1), Srikanth T K(2), Singarajipura A(3), Parthasarathy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R(3), Reddi VSK(1).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(1)National Institute of Mental Health and Neuro Sciences (NIMHANS), Bengaluru,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Karnataka, India.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(2)International Institute of Information Technology, Bengaluru, Karnataka,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India.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(3)Dept. of Health and Family Welfare, Government of Karnataka, Bengaluru,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Karnataka, India.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48107F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People with tuberculosis (TB) have a suicide risk up to 25 times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higher than the general population. It may be due to stigma, isolation,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prolonged treatment, and psychological distress from the disease. Hence,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empowering healthcare workers (HCWs) who are involved in TB care with suicide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prevention skills is essential.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48107F">
        <w:rPr>
          <w:rFonts w:ascii="宋体" w:eastAsia="宋体" w:hAnsi="宋体" w:cs="宋体"/>
          <w:b/>
          <w:color w:val="000000" w:themeColor="text1"/>
          <w:szCs w:val="24"/>
        </w:rPr>
        <w:t xml:space="preserve">NOVELTY: 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This study will be integrating suicide prevention into TB care and will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be evaluating an asynchronous learning management solution (LMS)-based training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model against traditional in-person gatekeeper training for HCWs of high-risk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population.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48107F">
        <w:rPr>
          <w:rFonts w:ascii="宋体" w:eastAsia="宋体" w:hAnsi="宋体" w:cs="宋体"/>
          <w:b/>
          <w:color w:val="000000" w:themeColor="text1"/>
          <w:szCs w:val="24"/>
        </w:rPr>
        <w:t>OBJECTIVES: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This study will examine the effectiveness of the gatekeeper suicide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prevention training online e-module compared to in-person training for National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Tuberculosis Elimination Program (NTEP) HCWs.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48107F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HCWs in the Karnataka State NTEP program will be randomly assigned to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two training groups using parallel cluster-randomization at the district level.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The online training group (intervention group) will receive training through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customized and locally adapted e-modules hosted on an LMS. The In-person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training group (control group) will undergo training through presentations,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role-play simulations, and discussions. Training effectiveness will be assessed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using the Kirkpatrick model, with statistical evaluation and comparison of pre-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and post-test scores to measure knowledge acquisition, skill retention,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application (number of referrals) across both groups.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48107F">
        <w:rPr>
          <w:rFonts w:ascii="宋体" w:eastAsia="宋体" w:hAnsi="宋体" w:cs="宋体"/>
          <w:b/>
          <w:color w:val="000000" w:themeColor="text1"/>
          <w:szCs w:val="24"/>
        </w:rPr>
        <w:t>EXPECTED OUTCOME: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The study anticipates that e-module training will be as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effective as in-person training for developing competence and confidence in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suicide prevention and early identification and referral of suicidality.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2026 The Author(s).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10.1177/02537176261472323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PMCID: PMC13498673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42632976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48107F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</w:t>
      </w:r>
      <w:r w:rsidR="007A20D0" w:rsidRPr="0048107F">
        <w:rPr>
          <w:rFonts w:ascii="宋体" w:eastAsia="宋体" w:hAnsi="宋体" w:cs="宋体"/>
          <w:b/>
          <w:color w:val="FF0000"/>
          <w:szCs w:val="24"/>
        </w:rPr>
        <w:t xml:space="preserve">. Microb Pathog. 2026 Aug 22:108795. doi: 10.1016/j.micpath.2026.108795. Online </w:t>
      </w:r>
    </w:p>
    <w:p w:rsidR="007A20D0" w:rsidRPr="0048107F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48107F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The Role of Microbiota in Bovine Tuberculosis: Characterizing Bacterial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Communities Across Lungs, Gut, and Lymph Nodes.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de Castilhos V(1), Cruz JC(1), Braga A(1), Gabana ADA(2), Bertagnolli AC(2),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Cerva C(2), Varela APM(1), Klain V(1), Mayer FQ(3).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(1)Programa de Pós-graduação em Biologia Celular e Molecular, Centro de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Biotecnologia, Universidade Federal do Rio Grande do Sul, Porto Alegre, Brasil.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(2)Programa de Pós-graduação em Saúde Animal, Instituto de Pesquisas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Veterinárias Desidério Finamor, Secretaria da Agricultura, Pecuária, Produção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Sustentável e Irrigação do Rio Grande do Sul, Eldorado do Sul, Brasil.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(3)Programa de Pós-graduação em Biologia Celular e Molecular, Centro de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Biotecnologia, Universidade Federal do Rio Grande do Sul, Porto Alegre, Brasil;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Programa de Pós-graduação em Saúde Animal, Instituto de Pesquisas Veterinárias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Desidério Finamor, Secretaria da Agricultura, Pecuária, Produção Sustentável 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Irrigação do Rio Grande do Sul, Eldorado do Sul, Brasil. Electronic address: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fabiana.mayer@ufrgs.br.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Animals with bovine tuberculosis (bTB) develop granulomatous lesions as part of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 complex immune response to chronic antigenic stimulus involving innate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adaptive mechanisms; however, the association of the microbiota with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development of and susceptibility to bTB remains poorly understood. This study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characterizes the bacterial communities at different body sites involved in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pathophysiology of bTB, highlighting the gut-lung axis and their association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with disease. Lungs, gut, thoracic, and mesenteric lymph nodes samples were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collected from 31 bovines from a single herd (n = 19 bTB; n = 12 controls).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samples were analyzed using high-throughput sequencing of the 16S rRNA gene. 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significant difference in beta diversity was observed between the bTB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control groups only in the thoracic lymph nodes (p &lt; 0.05), whereas no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significant differences were detected in the other sites. LEfSe and GLM analyses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showed different taxa significantly enriched in the control group: Eubacterium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ventriosum, Lacticaseibacillus, Paucibacter, Clostridioides,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Bdellovibrio/Bdellovibrionaceae and Rhodobacteraceae, some of them suggested by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previous findings as taxa of interest in their potential as preventive or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diagnostic candidates. Additionally, analysis of microbial correlations along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the gut-lung axis identified distinct phylum-level associations between bTB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healthy groups, suggesting altered microbial patterns in bTB. These findings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contribute to the understanding of bovine microbiota composition across organs,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their association with bTB and the pathogenesis of bTB, highlighting microbial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candidates for future validation for microbiota-based interventions and laying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the groundwork for future studies exploring host-microbiota-pathogen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interactions in the context of bTB.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Copyright © 2026. Published by Elsevier Ltd.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10.1016/j.micpath.2026.108795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42632573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48107F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</w:t>
      </w:r>
      <w:r w:rsidR="007A20D0" w:rsidRPr="0048107F">
        <w:rPr>
          <w:rFonts w:ascii="宋体" w:eastAsia="宋体" w:hAnsi="宋体" w:cs="宋体"/>
          <w:b/>
          <w:color w:val="FF0000"/>
          <w:szCs w:val="24"/>
        </w:rPr>
        <w:t>. Infect Drug Resist. 2026 Aug 17;19:627174. doi: 10</w:t>
      </w:r>
      <w:r w:rsidR="0048107F" w:rsidRPr="0048107F">
        <w:rPr>
          <w:rFonts w:ascii="宋体" w:eastAsia="宋体" w:hAnsi="宋体" w:cs="宋体"/>
          <w:b/>
          <w:color w:val="FF0000"/>
          <w:szCs w:val="24"/>
        </w:rPr>
        <w:t xml:space="preserve">.2147/IDR.S627174. eCollection </w:t>
      </w:r>
      <w:r w:rsidR="007A20D0" w:rsidRPr="0048107F">
        <w:rPr>
          <w:rFonts w:ascii="宋体" w:eastAsia="宋体" w:hAnsi="宋体" w:cs="宋体"/>
          <w:b/>
          <w:color w:val="FF0000"/>
          <w:szCs w:val="24"/>
        </w:rPr>
        <w:t>2026.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Systemic Host Proteomic Signatures as Dynamic Markers for Monitoring Pulmonary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Tuberculosis Treatment Response.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Alfarafisa NM(1)(2), Pitaloka DAE(2)(3), Pamela Y(1), Pebrian NY(4), Rozaan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MN(4), Utomo AD(4), Zakiarto F(4), Chaidir L(1)(2).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(1)Department of Biomedical Science, Faculty of Medicine, Universitas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Padjadjaran, Sumedang, West Java, Indonesia.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(2)Center for Translational Biomarker Research, Universitas Padjadjaran,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Sumedang, West Java, Indonesia.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(3)Department of Pharmacology and Clinical Pharmacy, Faculty of Pharmacy,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Universitas Padjadjaran, Bandung, West Java, Indonesia.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(4)Faculty of Medicine, Universitas Jendral Achmad Yani, Cimahi, West Java,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Indonesia.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Monitoring treatment response of tuberculosis (TB) remains challenging due to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the low sensitivity and delayed culture results. Host-derived proteomic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biomarker offer a promising alternative by reflecting systemic immune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inflammatory response during therapy. This review aims to systematically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evaluate protein-based host biomarkers for monitoring TB treatment response. 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systematic search of PubMed and Scopus was conducted for studies published up to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September 2025. Eligible studies included human research evaluating protein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biomarkers associated with treatment response in adult pulmonary TB. A total of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54 studies comprising 105 distinct biomarkers were included. Biomarkers were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grouped into seven categories: acute-phase proteins, inflammatory cytokines,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innate immune markers, matrix remodeling enzymes, immune checkpoint molecules,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angiogenic factors, and metabolic recovery proteins. Successful treatment was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associated with a rapid decline in inflammatory markers followed by modulation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of immune and tissue remodeling pathways, while markers of metabolic recovery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increased over time. Multi-protein biosignatures demonstrated superior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diagnostic performance compared to individual biomarkers. Host-derived proteomic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biomarkers provide a dynamic and multidimensional approach to monitoring TB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treatment response. While multi-marker signatures show strong potential for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clinical application, further standardization, validation, and large-scale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studies are required to facilitate their integration into routine TB management.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2026 Alfarafisa et al.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10.2147/IDR.S627174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PMCID: PMC13496254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42631269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48107F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</w:t>
      </w:r>
      <w:r w:rsidR="007A20D0" w:rsidRPr="0048107F">
        <w:rPr>
          <w:rFonts w:ascii="宋体" w:eastAsia="宋体" w:hAnsi="宋体" w:cs="宋体"/>
          <w:b/>
          <w:color w:val="FF0000"/>
          <w:szCs w:val="24"/>
        </w:rPr>
        <w:t>. Clin Nutr ESPEN. 2026 Aug 21:105042. doi: 10.101</w:t>
      </w:r>
      <w:r w:rsidR="0048107F">
        <w:rPr>
          <w:rFonts w:ascii="宋体" w:eastAsia="宋体" w:hAnsi="宋体" w:cs="宋体"/>
          <w:b/>
          <w:color w:val="FF0000"/>
          <w:szCs w:val="24"/>
        </w:rPr>
        <w:t xml:space="preserve">6/j.clnesp.2026.105042. Online </w:t>
      </w:r>
      <w:r w:rsidR="007A20D0" w:rsidRPr="0048107F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Reply - Letter to the editor: Comment on "Admission systemic inflammation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predicts swallowing decline in older adults with pulmonary tuberculosis".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Kakiuchi M(1), Inoue T(2), Kobayashi H(3), Tsukamoto A(3), Nakano G(3), Kakehi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T(3), Tanaka T(3), Nishihara M(4).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(1)Department of Rehabilitation, Kobe City Nishi-Kobe Medical Center, 5-7-1,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Kojidai, Nishi-ku, Kobe-shi, Hyogo-ken, 651-2273, Japan. Electronic address: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kakiuchimasa@gmail.com.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(2)Department of Physical Therapy, Niigata University of Health and Welfare,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1398, Shimami-cho, Kita-ku, Niigata-shi, Niigata-ken, 950-3198, Japan.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(3)Department of Rehabilitation, Kobe City Nishi-Kobe Medical Center, 5-7-1,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Kojidai, Nishi-ku, Kobe-shi, Hyogo-ken, 651-2273, Japan.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(4)Department of Neurosurgery, Kobe City Nishi-Kobe Medical Center, 5-7-1,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Kojidai, Nishi-ku, Kobe-shi, Hyogo-ken, 651-2273, Japan.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10.1016/j.clnesp.2026.105042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42628742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48107F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</w:t>
      </w:r>
      <w:r w:rsidR="007A20D0" w:rsidRPr="0048107F">
        <w:rPr>
          <w:rFonts w:ascii="宋体" w:eastAsia="宋体" w:hAnsi="宋体" w:cs="宋体"/>
          <w:b/>
          <w:color w:val="FF0000"/>
          <w:szCs w:val="24"/>
        </w:rPr>
        <w:t xml:space="preserve">. Clin Microbiol Infect. 2026 Aug 21:S1198-743X(26)00471-4. doi: </w:t>
      </w:r>
    </w:p>
    <w:p w:rsidR="007A20D0" w:rsidRPr="0048107F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48107F">
        <w:rPr>
          <w:rFonts w:ascii="宋体" w:eastAsia="宋体" w:hAnsi="宋体" w:cs="宋体"/>
          <w:b/>
          <w:color w:val="FF0000"/>
          <w:szCs w:val="24"/>
        </w:rPr>
        <w:t>10.1016/j.cmi.2026.08.022. Online ahead of print.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Re: 'Immune-response magnitude to tuberculosis infection tests and short-term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disease risk' by Ratovoson et al.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 w:hint="eastAsia"/>
          <w:color w:val="000000" w:themeColor="text1"/>
          <w:szCs w:val="24"/>
        </w:rPr>
        <w:lastRenderedPageBreak/>
        <w:t>Ö</w:t>
      </w:r>
      <w:r w:rsidRPr="007A20D0">
        <w:rPr>
          <w:rFonts w:ascii="宋体" w:eastAsia="宋体" w:hAnsi="宋体" w:cs="宋体"/>
          <w:color w:val="000000" w:themeColor="text1"/>
          <w:szCs w:val="24"/>
        </w:rPr>
        <w:t>zer NK(1), Yilmaz E(2), Topal E(2).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(1)Inonu University, Faculty of Medicine, Pediatric Allergy and Immunology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Department, Malatya, Turkey. Electronic address: nezihe.koker@inonu.edu.tr.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(2)Inonu University, Faculty of Medicine, Pediatric Allergy and Immunology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Department, Malatya, Turkey.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10.1016/j.cmi.2026.08.022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42628732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48107F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</w:t>
      </w:r>
      <w:r w:rsidR="007A20D0" w:rsidRPr="0048107F">
        <w:rPr>
          <w:rFonts w:ascii="宋体" w:eastAsia="宋体" w:hAnsi="宋体" w:cs="宋体"/>
          <w:b/>
          <w:color w:val="FF0000"/>
          <w:szCs w:val="24"/>
        </w:rPr>
        <w:t>. Sci Adv. 2026 Aug 21;12(34):eaec7792. doi: 10.1126</w:t>
      </w:r>
      <w:r w:rsidR="0048107F" w:rsidRPr="0048107F">
        <w:rPr>
          <w:rFonts w:ascii="宋体" w:eastAsia="宋体" w:hAnsi="宋体" w:cs="宋体"/>
          <w:b/>
          <w:color w:val="FF0000"/>
          <w:szCs w:val="24"/>
        </w:rPr>
        <w:t xml:space="preserve">/sciadv.aec7792. Epub 2026 Aug </w:t>
      </w:r>
      <w:r w:rsidR="007A20D0" w:rsidRPr="0048107F">
        <w:rPr>
          <w:rFonts w:ascii="宋体" w:eastAsia="宋体" w:hAnsi="宋体" w:cs="宋体"/>
          <w:b/>
          <w:color w:val="FF0000"/>
          <w:szCs w:val="24"/>
        </w:rPr>
        <w:t>21.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Antigen-experienced airway CD8(+) effector memory T cells promote a detour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pathway for mycobacterial killing in the spleen.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Seifert J(1), Muruganandah V(1), Miranda-Hernandez S(1), Sathkumara HD(1),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Valencia-Hernandez AM(1), Pai S(1)(2), Kupz A(1).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(1)Australian Institute of Tropical Health and Medicine, James Cook University,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Cairns and Townsville, Queensland, Australia.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(2)TAARA Therapeutics Pty Ltd, Cairns, Queensland, Australia.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 3-week delay in the onset of T cell immunity to Mycobacterium tuberculosis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(Mtb) infection compromises lung bacterial control, resulting in tuberculosis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(TB). Restoring T cell function is a priority. We identified how airway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CD44+CD62L-KLRG1+CD8+ effector memory T cells (TEM) in the lung enhance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mycobacterial clearance via the spleen. Unexpectedly, a secondary immune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response following repeated exposure of mice to Bacille Calmette-Guérin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generated lower numbers of TEM versus primary. Paradoxically, lower numbers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correlated with faster bacterial clearance, due to enhanced trafficking of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secondary TEM to the spleen, where they responded to antigen. Further, secondary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TEM recruited dendritic cells, which accelerated bacterial translocation from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the lung to the spleen. Treating mice with a threshold number of airway-derived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secondary TEM significantly reduced Mtb burden in the lung and spleen. Notably,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Mtb killing was expedited by at least 15 days. Repeated antigen encounter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bypassed priming requirements and enhanced TEM durability, uncovering 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spleen-centered protective mechanism with implications for improved TB vaccines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and therapies.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10.1126/sciadv.aec7792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PMCID: PMC13496176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>PMID: 42627884 [Indexed for MEDLINE]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48107F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9</w:t>
      </w:r>
      <w:r w:rsidR="007A20D0" w:rsidRPr="0048107F">
        <w:rPr>
          <w:rFonts w:ascii="宋体" w:eastAsia="宋体" w:hAnsi="宋体" w:cs="宋体"/>
          <w:b/>
          <w:color w:val="FF0000"/>
          <w:szCs w:val="24"/>
        </w:rPr>
        <w:t>. Eur J Clin Microbiol Infect Dis. 2026 Aug 21. do</w:t>
      </w:r>
      <w:r w:rsidR="0048107F" w:rsidRPr="0048107F">
        <w:rPr>
          <w:rFonts w:ascii="宋体" w:eastAsia="宋体" w:hAnsi="宋体" w:cs="宋体"/>
          <w:b/>
          <w:color w:val="FF0000"/>
          <w:szCs w:val="24"/>
        </w:rPr>
        <w:t xml:space="preserve">i: 10.1007/s10096-026-05633-y. </w:t>
      </w:r>
      <w:r w:rsidR="007A20D0" w:rsidRPr="0048107F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Mycobacterial periprosthetic joint infection of the hip and knee: current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concepts in diagnosis and management.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Coelho Cunha C(1)(2), Pourbozorg G(3)(4), Jarusriwanna A(5), Balden K(6), Salles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MJ(1)(2)(7), Parvizi J(8).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(1)Special Laboratory of Clinical Microbiology (LEMC), Division of Infectious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Diseases, Department of Internal Medicine, Federal University of Sao Paulo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(UNIFESP), Sao Paulo, Brazil.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(2)Musculoskeletal Infection Group, Department of Orthopaedics and Traumatology,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Escola Paulista de Medicina (EPM), Federal University of Sao Paulo (UNIFESP),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Sao Paulo, Brazil.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(3)International Joint Center, Acibadem Mehmet Ali Ayd</w:t>
      </w:r>
      <w:r w:rsidRPr="007A20D0">
        <w:rPr>
          <w:rFonts w:ascii="Cambria" w:eastAsia="宋体" w:hAnsi="Cambria" w:cs="Cambria"/>
          <w:color w:val="000000" w:themeColor="text1"/>
          <w:szCs w:val="24"/>
        </w:rPr>
        <w:t>ı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nlar University,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Istanbul, Turkey.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(4)International Consensus Meeting (ICMI) Fellowship, Department of Orthopaedics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and Trauma Surgery, University Medical Center Schleswig-Holstein, Kiel, Germany.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(5)Department of Orthopaedics, Faculty of Medicine, Naresuan University,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Phitsanulok, Thailand.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(6)Division of Infectious Diseases and Environmental Medicine, Thomas Jefferson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University, Philadelphia, PA, USA.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(7)Discipline of Infectious Diseases, School of Medical Sciences of Santa Casa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de Sao Paulo, Sao Paulo, Brazil.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(8)International Joint Center, Acibadem Mehmet Ali Ayd</w:t>
      </w:r>
      <w:r w:rsidRPr="007A20D0">
        <w:rPr>
          <w:rFonts w:ascii="Cambria" w:eastAsia="宋体" w:hAnsi="Cambria" w:cs="Cambria"/>
          <w:color w:val="000000" w:themeColor="text1"/>
          <w:szCs w:val="24"/>
        </w:rPr>
        <w:t>ı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nlar University,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Istanbul, Turkey. javadparvizi@gmail.com.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48107F">
        <w:rPr>
          <w:rFonts w:ascii="宋体" w:eastAsia="宋体" w:hAnsi="宋体" w:cs="宋体"/>
          <w:b/>
          <w:color w:val="000000" w:themeColor="text1"/>
          <w:szCs w:val="24"/>
        </w:rPr>
        <w:t xml:space="preserve">PURPOSE: 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Mycobacterial periprosthetic joint infection (PJI) of the hip and knee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is rare and difficult to diagnose and treat. This narrative review summarizes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current evidence on the epidemiology, microbiology, diagnosis, surgical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management, antimicrobial therapy, and outcomes of PJI caused by Mycobacterium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tuberculosis complex (MTB) and nontuberculous mycobacteria (NTM).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48107F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We synthesized evidence from clinical studies, systematic reviews,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consensus documents, and relevant case series addressing hip and knee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mycobacterial PJI. Evidence on epidemiology, diagnostic methods, surgical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strategies, antimicrobial regimens, and outcomes was reviewed to derive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practical clinical considerations.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48107F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Mycobacterial PJI should be suspected in culture-negative or indolent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infection, failure of conventional antibacterial therapy, immunosuppression, or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relevant tuberculosis exposure. Diagnosis requires appropriate specimens for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prolonged mycobacterial culture, histopathology, molecular testing when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available, and antimicrobial susceptibility testing. Management should integrate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surgery with prolonged, species-directed multidrug therapy. Two-stage revision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is the most frequently reported reconstructive strategy when reimplantation is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feasible, but comparative evidence does not establish a universally superior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operation. Debridement with implant retention may be considered only in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carefully selected early infections, including selected rapidly growing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mycobacterial infections. Regimens and treatment duration differ substantially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between MTB and NTM.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48107F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Early recognition and accurate microbiological diagnosis are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essential. Management requires multidisciplinary collaboration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individualized medical-surgical treatment. Because current recommendations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derive mainly from retrospective studies and case series, multicenter studies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using standardized diagnostic, therapeutic, functional, and outcome definitions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are needed.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2026. The Author(s), under exclusive licence to Springer-Verlag GmbH Germany,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part of Springer Nature.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10.1007/s10096-026-05633-y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42627466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48107F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48107F">
        <w:rPr>
          <w:rFonts w:ascii="宋体" w:eastAsia="宋体" w:hAnsi="宋体" w:cs="宋体"/>
          <w:b/>
          <w:color w:val="FF0000"/>
          <w:szCs w:val="24"/>
        </w:rPr>
        <w:t>1</w:t>
      </w:r>
      <w:r w:rsidR="00CE7B62">
        <w:rPr>
          <w:rFonts w:ascii="宋体" w:eastAsia="宋体" w:hAnsi="宋体" w:cs="宋体"/>
          <w:b/>
          <w:color w:val="FF0000"/>
          <w:szCs w:val="24"/>
        </w:rPr>
        <w:t>0</w:t>
      </w:r>
      <w:r w:rsidRPr="0048107F">
        <w:rPr>
          <w:rFonts w:ascii="宋体" w:eastAsia="宋体" w:hAnsi="宋体" w:cs="宋体"/>
          <w:b/>
          <w:color w:val="FF0000"/>
          <w:szCs w:val="24"/>
        </w:rPr>
        <w:t xml:space="preserve">. Clin Case Rep. 2026 Aug 19;14(8):e73362. doi: 10.1002/ccr3.73362. eCollection </w:t>
      </w:r>
    </w:p>
    <w:p w:rsidR="007A20D0" w:rsidRPr="0048107F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48107F">
        <w:rPr>
          <w:rFonts w:ascii="宋体" w:eastAsia="宋体" w:hAnsi="宋体" w:cs="宋体"/>
          <w:b/>
          <w:color w:val="FF0000"/>
          <w:szCs w:val="24"/>
        </w:rPr>
        <w:t>2026 Aug.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Rare Pediatric Male Presentation of Systemic Lupus Erythematosus With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Catastrophic Antiphospholipid Syndrome Following Pulmonary Tuberculosis: A Case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Report.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Qureshi A(1), Maheshwari M(2), Sakarwala AS(3), Memon U(2), Das V(2), Lakho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MA(1), Kumar S(2), Ghafoor A(2), Yadav SK(4).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(1)Department of Medicine Liaquat University of Medical and Health Sciences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Jamshoro Pakistan.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(2)Liaquat University of Medical and Health Sciences Jamshoro Pakistan.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(3)Dow University of Health Sciences Karachi Pakistan.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(4)Patan Academy of Health Sciences Lalitpur Nepal.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We report a 15-year-old with a 3-year history of polyarthritis, unexplained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seizures, and pulmonary tuberculosis who presented with acute neuropsychiatric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decline, fever, and thrombocytopenia. Diagnostic workup confirmed systemic lupus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erythematosus with triple-positive antiphospholipid antibodies. Imaging revealed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bilateral middle cerebral artery thrombosis, meeting criteria for catastrophic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antiphospholipid syndrome triggered by active tuberculosis. Prompt initiation of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corticosteroids, anticoagulation, and immunosuppression was critical to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achieving clinical stabilization.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2026 The Author(s). Clinical Case Reports published by John Wiley &amp; Sons Ltd.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10.1002/ccr3.73362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PMCID: PMC13490713</w:t>
      </w:r>
    </w:p>
    <w:p w:rsidR="007A20D0" w:rsidRPr="007A20D0" w:rsidRDefault="0048107F" w:rsidP="007A20D0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42625889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48107F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48107F">
        <w:rPr>
          <w:rFonts w:ascii="宋体" w:eastAsia="宋体" w:hAnsi="宋体" w:cs="宋体"/>
          <w:b/>
          <w:color w:val="FF0000"/>
          <w:szCs w:val="24"/>
        </w:rPr>
        <w:t>1</w:t>
      </w:r>
      <w:r w:rsidR="00CE7B62">
        <w:rPr>
          <w:rFonts w:ascii="宋体" w:eastAsia="宋体" w:hAnsi="宋体" w:cs="宋体"/>
          <w:b/>
          <w:color w:val="FF0000"/>
          <w:szCs w:val="24"/>
        </w:rPr>
        <w:t>1</w:t>
      </w:r>
      <w:r w:rsidRPr="0048107F">
        <w:rPr>
          <w:rFonts w:ascii="宋体" w:eastAsia="宋体" w:hAnsi="宋体" w:cs="宋体"/>
          <w:b/>
          <w:color w:val="FF0000"/>
          <w:szCs w:val="24"/>
        </w:rPr>
        <w:t>. Clin Nutr ESPEN. 2026 Aug 20:105041. doi: 10.101</w:t>
      </w:r>
      <w:r w:rsidR="0048107F">
        <w:rPr>
          <w:rFonts w:ascii="宋体" w:eastAsia="宋体" w:hAnsi="宋体" w:cs="宋体"/>
          <w:b/>
          <w:color w:val="FF0000"/>
          <w:szCs w:val="24"/>
        </w:rPr>
        <w:t xml:space="preserve">6/j.clnesp.2026.105041. Online </w:t>
      </w:r>
      <w:r w:rsidRPr="0048107F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Comment on "Admission Systemic Inflammation Predicts Swallowing Decline in Older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Adults with Pulmonary Tuberculosis".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Arya R(1), Mohapatra AK(2).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(1)Department of Biotechnology, Yeungnam University, Gyeongsan 38541, Republic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of Korea. Electronic address: gundu1958@outlook.com.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(2)School of Life Sciences, Sambalpur University, Odisha 768019, India.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Electronic address: amitkumarmohapatra216@gmail.com.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10.1016/j.clnesp.2026.105041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42624400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48107F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48107F">
        <w:rPr>
          <w:rFonts w:ascii="宋体" w:eastAsia="宋体" w:hAnsi="宋体" w:cs="宋体"/>
          <w:b/>
          <w:color w:val="FF0000"/>
          <w:szCs w:val="24"/>
        </w:rPr>
        <w:t>1</w:t>
      </w:r>
      <w:r w:rsidR="00CE7B62">
        <w:rPr>
          <w:rFonts w:ascii="宋体" w:eastAsia="宋体" w:hAnsi="宋体" w:cs="宋体"/>
          <w:b/>
          <w:color w:val="FF0000"/>
          <w:szCs w:val="24"/>
        </w:rPr>
        <w:t>2</w:t>
      </w:r>
      <w:r w:rsidRPr="0048107F">
        <w:rPr>
          <w:rFonts w:ascii="宋体" w:eastAsia="宋体" w:hAnsi="宋体" w:cs="宋体"/>
          <w:b/>
          <w:color w:val="FF0000"/>
          <w:szCs w:val="24"/>
        </w:rPr>
        <w:t xml:space="preserve">. Int J Infect Dis. 2026 Aug 20:109061. doi: 10.1016/j.ijid.2026.109061. Online </w:t>
      </w:r>
    </w:p>
    <w:p w:rsidR="007A20D0" w:rsidRPr="0048107F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48107F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Tuberculosis enhanced transmission due to interterritorial mobility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prolonged diagnostic delay: A call for an integrated genomic analysis.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Saleeb SM(1), Vallejo-Godoy S(2), Abellán AM(3), Barroso-García P(4),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López-Llaría M(5), Martínez-Lirola M(6), Escabias F(7), Fernández MTC(6), Bernal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G(5), Wang L(8), Fernandez-Fuertes E(9), Buenestado-Serrano S(5), Martínez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FJM(10), López M(10), Comas I(11), Piqueras MG(12), López-Suarez A(13), Muñoz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P(14), Santiago B(15), Pérez-Lago L(5), de Viedma DG(16).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(1)Department of Clinical Microbiology and Infectious Diseases, Gregorio Marañón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General University Hospital, Gregorio Marañón Health Research, Institute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(IiSGM), Madrid, Spain; CIBER Respiratory Diseases (CIBERES), Spain; Doctoral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school, Autonomous University of Madrid, Spain.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(2)Department of Preventive Medicine, Public Health and Epidemiological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Surveillance, Poniente University Hospital, Almeria, Almeria, Spain.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(3)Department of Clinical Microbiology and Infectious Diseases, Gregorio Marañón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General University Hospital, Gregorio Marañón Health Research, Institute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(IiSGM), Madrid, Spain; CIBER Respiratory Diseases (CIBERES), Spain.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(4)Almería Health District, Andalusian Health Service, Almeria, Spain.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(5)Department of Clinical Microbiology and Infectious Diseases, Gregorio Marañón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General University Hospital, Gregorio Marañón Health Research, Institute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(IiSGM), Madrid, Spain.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(6)Microbiology department. Torrecárdenas University Hospital Complex, Almería,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Almeria, Spain.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(7)Andalusian Health Service - Almeria Spain.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(8)Faculty of Infectious and Tropical Diseases, London School of Hygiene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Tropical Medicine, London, United Kingdom.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(9)Internal Medicine Service, Poniente University Hospital, Almeria, Spain.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(10)Tuberculosis Genomics Unit, Instituto de Biomedicina de Valencia (IBV-CSIC),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Valencia, Spain.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(11)Tuberculosis Genomics Unit, Instituto de Biomedicina de Valencia (IBV-CSIC),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Valencia, Spain; CIBER Salud Pública (CIBERESP), Spain.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(12)Department of Pediatrics Infectious diseases, Gregorio Marañón General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University Hospital, Gregorio Marañón Health Research, Institute (IiSGM),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Madrid, Spain.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(13)Department of Pediatrics Infectious diseases, Gregorio Marañón General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University Hospital, Gregorio Marañón Health Research, Institute (IiSGM),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Madrid, Spain; CIBER Infectious Diseases (CIBERINFEC), Spain.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(14)Department of Clinical Microbiology and Infectious Diseases, Gregorio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Marañón General University Hospital, Gregorio Marañón Health Research, Institute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(IiSGM), Madrid, Spain; CIBER Respiratory Diseases (CIBERES), Spain; Department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of Medicine, Complutense University of Madrid, Spain.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(15)Department of Clinical Microbiology and Infectious Diseases, Gregorio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Marañón General University Hospital, Gregorio Marañón Health Research, Institute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(IiSGM), Madrid, Spain; Department of Pediatrics Infectious diseases, Gregorio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Marañón General University Hospital, Gregorio Marañón Health Research, Institute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(IiSGM), Madrid, Spain; CIBER Infectious Diseases (CIBERINFEC), Spain.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(16)Department of Clinical Microbiology and Infectious Diseases, Gregorio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Marañón General University Hospital, Gregorio Marañón Health Research, Institute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(IiSGM), Madrid, Spain; CIBER Respiratory Diseases (CIBERES), Spain. Electronic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address: dgviedma2@gmail.com.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D31924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Genomic epidemiology has revolutionised how we can delineate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tuberculosis (TB) transmission. However, surveillance in TB is restricted to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analysis of geographically limited populations, which impairs the identification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of cross-regional transmission.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D31924">
        <w:rPr>
          <w:rFonts w:ascii="宋体" w:eastAsia="宋体" w:hAnsi="宋体" w:cs="宋体"/>
          <w:b/>
          <w:color w:val="000000" w:themeColor="text1"/>
          <w:szCs w:val="24"/>
        </w:rPr>
        <w:t>OBJECTIVE: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To integrate genomic data from independent populations, targeted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strain sequencing and refined epidemiological research to enhance tuberculosis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transmission DESIGN: Integration of sequencing data from Madrid and Almería,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evolutionary analysis of the SNPs identified in the cluster, standardized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detailed interviews with patients to obtain more detailed epidemiological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information to identify links among the individuals, and targeted sequencing of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the strain-marker-SNPs to fast-track new involved cases.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D31924">
        <w:rPr>
          <w:rFonts w:ascii="宋体" w:eastAsia="宋体" w:hAnsi="宋体" w:cs="宋体"/>
          <w:b/>
          <w:color w:val="000000" w:themeColor="text1"/>
          <w:szCs w:val="24"/>
        </w:rPr>
        <w:t>RESULTS: W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 described the complex transmission patterns of a cluster involving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13 cases, characterised by the convergence of i) interterritorial transmission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due to the mobility of migrant cases, involving six different nationalities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autochthonous cases, ii) enhanced transmission due to an undiagnosed advanced TB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case, iii) extensive exposures attributable to substantial social gatherings,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and iv) two independent populations where the majority of cases were exposed or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diagnosed, respectively.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D31924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This study may serve as an illustration of the integrative efforts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and simultaneous strategic, methodological and analytical improvements that are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required to address the numerous novel challenges arising for a proper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surveillance of TB transmission in our current, increasingly complex,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epidemiological scenario.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Copyright © 2026. Published by Elsevier Ltd.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10.1016/j.ijid.2026.109061</w:t>
      </w:r>
    </w:p>
    <w:p w:rsidR="007A20D0" w:rsidRPr="007A20D0" w:rsidRDefault="00D31924" w:rsidP="007A20D0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42624283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D31924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D31924">
        <w:rPr>
          <w:rFonts w:ascii="宋体" w:eastAsia="宋体" w:hAnsi="宋体" w:cs="宋体"/>
          <w:b/>
          <w:color w:val="FF0000"/>
          <w:szCs w:val="24"/>
        </w:rPr>
        <w:t>1</w:t>
      </w:r>
      <w:r w:rsidR="00CE7B62">
        <w:rPr>
          <w:rFonts w:ascii="宋体" w:eastAsia="宋体" w:hAnsi="宋体" w:cs="宋体"/>
          <w:b/>
          <w:color w:val="FF0000"/>
          <w:szCs w:val="24"/>
        </w:rPr>
        <w:t>3</w:t>
      </w:r>
      <w:r w:rsidRPr="00D31924">
        <w:rPr>
          <w:rFonts w:ascii="宋体" w:eastAsia="宋体" w:hAnsi="宋体" w:cs="宋体"/>
          <w:b/>
          <w:color w:val="FF0000"/>
          <w:szCs w:val="24"/>
        </w:rPr>
        <w:t xml:space="preserve">. Mol Ther. 2026 Aug 20:S1525-0016(26)00681-7. doi: 10.1016/j.ymthe.2026.07.058. </w:t>
      </w:r>
    </w:p>
    <w:p w:rsidR="007A20D0" w:rsidRPr="00D31924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D31924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 renewed role for DNA vaccines for tuberculosis.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Counoupas C(1), Britton WJ(2).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(1)Centre for Infection and Immunity, Centenary Institute, The University of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Sydney, Camperdown, NSW, Australia; Sydney Infectious Diseases Institute (Sydney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ID), Faculty of Medicine and Health, The University of Sydney, Camperdown, NSW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2006, Australia; School of Medical Sciences, Faculty of Medicine and Health,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University of Sydney, Camperdown, NSW 2006, Australia; Charles Perkins Centre,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The University of Sydney, Camperdown, NSW 2006, Australia. Electronic address: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c.counoupas@centenary.org.au.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(2)Centre for Infection and Immunity, Centenary Institute, The University of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Sydney, Camperdown, NSW, Australia; Department of Clinical Immunology, Royal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Prince Alfred Hospital, Camperdown, NSW 2050, Australia. Electronic address: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w.britton@centenary.org.au.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>DOI: 10.1016/j.ymthe.2026.07.058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42624096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D31924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14</w:t>
      </w:r>
      <w:r w:rsidR="007A20D0" w:rsidRPr="00D31924">
        <w:rPr>
          <w:rFonts w:ascii="宋体" w:eastAsia="宋体" w:hAnsi="宋体" w:cs="宋体"/>
          <w:b/>
          <w:color w:val="FF0000"/>
          <w:szCs w:val="24"/>
        </w:rPr>
        <w:t xml:space="preserve">. Tuberculosis (Edinb). 2026 Aug 17;160:102801. doi: 10.1016/j.tube.2026.102801. </w:t>
      </w:r>
    </w:p>
    <w:p w:rsidR="007A20D0" w:rsidRPr="00D31924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D31924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Exploratory proteomic and metabolomic profiling of pleural effusions identifies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histone H4 and alanine as promising complementary markers for pleural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tuberculosis.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da Silva DS(1), de Macedo CS(2), da Silva Corrêa R(3), Leal Calvo T(4), El-Bacha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T(5), Masson AP(6), Faça VM(6), da Silva RJ(1), Saad MHF(1), Mafort TT(7),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Santos AP(7), Rufino R(7), Lara FA(1), Rodrigues LS(8), Lery LMS(9).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(1)Cellular Microbiology Laboratory, Oswaldo Cruz Institute, Oswaldo Cruz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Foundation (FIOCRUZ), Rio de Janeiro, 21040-900, Brazil.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(2)Cellular Microbiology Laboratory, Oswaldo Cruz Institute, Oswaldo Cruz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Foundation (FIOCRUZ), Rio de Janeiro, 21040-900, Brazil; Center for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Technological Development in Health, FIOCRUZ, Rio de Janeiro, 21040-900, Brazil.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(3)Laboratory of Immunopathology, Medical Sciences Faculty, Rio de Janeiro State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University (UERJ), Rio de Janeiro, 20550-900, Brazil.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(4)Center for CRISPR Target Discovery, Innovative Genomics Institute, UC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Berkeley, California, 94704, USA; Pioneer Science Initiative D'Or Institute for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Research and Education, Rio de Janeiro, 22281-100, Brazil.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(5)LeBioME-Bioactives, Mitochondrial and Placental Metabolism Core, Institute of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Nutrition Josué de Castro, Federal University of Rio de Janeiro, Rio de Janeiro,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21941-853, Brazil.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(6)Cancer Proteomics Laboratory, Biochemistry and Immunology Department, Medical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Sciences Faculty at Ribeirão Preto, São Paulo University, São Paulo, 14049-900,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Brazil.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(7)Pulmonology and Tuberculosis Service, Pedro Ernesto University Hospital,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UERJ, Rio de Janeiro, 20551-030, Brazil; Department of Thoracic Diseases,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Medical Sciences Faculty, UERJ, Rio de Janeiro, 20550-900, Brazil.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(8)Laboratory of Immunopathology, Medical Sciences Faculty, Rio de Janeiro State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University (UERJ), Rio de Janeiro, 20550-900, Brazil; General Pathology Service,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Pedro Ernesto University Hospital, UERJ, Rio de Janeiro, 20551-030, Brazil.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(9)Cellular Microbiology Laboratory, Oswaldo Cruz Institute, Oswaldo Cruz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Foundation (FIOCRUZ), Rio de Janeiro, 21040-900, Brazil. Electronic address: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leticia.lery@ioc.fiocruz.br.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The diagnosis of pleural tuberculosis (Pl-TB) remains challenging.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Histopathological analysis and pathogen detection in pleural biopsies are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informative but limited. We investigated differentially expressed proteins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metabolites in pleural effusions from patients with Pl-TB, malignancies,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other pathologies. A proteomic analysis of pooled pleural effusions identified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45 proteins exclusively detected or upregulated in Pl-TB samples, many linked to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infectious processes. Conversely, 18 proteins were uniquely found or upregulated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 malignant pleural effusions, mainly associated with detoxification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hemostasis. To validate these findings, we employed targeted proteomics in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individual samples. Eight proteins were validated: S100-A9, histone H4,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insulin-like growth factor-binding protein 2, fibrinogen beta chain, ficolin-3,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immunoglobulin heavy constant alpha 1, sulfhydryl oxidase 1, and histidine-rich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glycoprotein. Additionally, NMR-based metabolomics identified 13 metabolites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with differential abundance between Pl-TB and non-TB samples. Notably,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N-acetyl-glycoprotein and the branched-chain amino acids, alanine and lysine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differed between groups. Proteomic and metabolomic analyses revealed distinct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molecular profiles between Pl-TB and non-TB patients, despite intra-group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variability. To address this, we applied classification models. Histone H4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alanine consistently emerged as discriminative features. Overall, this study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provides novel insights into the molecular landscape of Pl-TB. The combined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quantification of proteins and metabolites may improve differential diagnosis,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although should be further validated in larger, independent cohorts before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clinical application.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Copyright © 2026 The Authors. Published by Elsevier Ltd.. All rights reserved.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10.1016/j.tube.2026.102801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42623998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D31924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15</w:t>
      </w:r>
      <w:r w:rsidR="007A20D0" w:rsidRPr="00D31924">
        <w:rPr>
          <w:rFonts w:ascii="宋体" w:eastAsia="宋体" w:hAnsi="宋体" w:cs="宋体"/>
          <w:b/>
          <w:color w:val="FF0000"/>
          <w:szCs w:val="24"/>
        </w:rPr>
        <w:t>. J Clin Microbiol. 2026 Aug 20:e0081326. doi: 10.1</w:t>
      </w:r>
      <w:r w:rsidR="00D31924" w:rsidRPr="00D31924">
        <w:rPr>
          <w:rFonts w:ascii="宋体" w:eastAsia="宋体" w:hAnsi="宋体" w:cs="宋体"/>
          <w:b/>
          <w:color w:val="FF0000"/>
          <w:szCs w:val="24"/>
        </w:rPr>
        <w:t xml:space="preserve">128/jcm.00813-26. Online ahead </w:t>
      </w:r>
      <w:r w:rsidR="007A20D0" w:rsidRPr="00D31924">
        <w:rPr>
          <w:rFonts w:ascii="宋体" w:eastAsia="宋体" w:hAnsi="宋体" w:cs="宋体"/>
          <w:b/>
          <w:color w:val="FF0000"/>
          <w:szCs w:val="24"/>
        </w:rPr>
        <w:t>of print.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MIC-based tuberculosis drug susceptibility testing using Sensititre MYCOTB: 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diagnostic accuracy meta-analysis.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 DR(1), G MK(2), Singh J(3), Ali S(4), Gaikwad S(5), Mohankumar T(1), S S(1),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Purwar S(5), Biswas D(5), Maurya AK(5), Sah S(6)(7)(8), Mohanty A(9), Mehta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R(10)(11).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(1)Medical Laboratory Technology (Microbiology), AIIMS, Bhopal, Madhya Pradesh,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India.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(2)Psychiatric Nursing, AIIMS, Bhopal, Madhya Pradesh, India.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(3)Department of Translational Medicine, AIIMS, Bhopal, Madhya Pradesh, India.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(4)Medical Research Unit (MRU), AIIMS, Bhopal, Madhya Pradesh, India.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(5)Department of Microbiology, AIIMS, Bhopal, Madhya Pradesh, India.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(6)Department of Paediatrics, Dr D.Y. Patil Medical College, Hospital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Research Centre. Dr. D.Y. Patil Vidyapeeth (Deemed-to-be-University), Pune,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Maharashtra, India.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(7)Department of Public Health Dentistry, Dr. D.Y. Patil Dental College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Hospital, Dr. D.Y. Patil Vidyapeeth, Pune, Maharashtra, India.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(8)Department of Medicine, Korea University, Seoul, South Korea.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(9)Department of Microbiology, AIIMS, Gorakhpur, Uttar Pradesh, India.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(10)Clinical Microbiology, RDC, Manav Rachna International Institute of Research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and Studies, Faridabad, Haryana, India.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(11)SR Sanjeevani hospital, Kalyanpur, Siraha, Nepal.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Accurate drug susceptibility testing (DST) is crucial for designing effective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regimens for multidrug-resistant (MDR) and pre-extensively drug-resistant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tuberculosis (pre-XDR TB). Sensititre MYCOTB enables simultaneous determination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of minimum inhibitory concentrations (MICs) for multiple drugs, but its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diagnostic performance varies across studies. This meta-analysis evaluated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diagnostic performance of Sensititre MYCOTB for key MDR and pre-XDR TB drugs.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The protocol was registered in PROSPERO (CRD420251230599). PubMed, Cochrane,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Google Scholar, Scopus, ONOS, Web of Science, ScienceDirect, and registries were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systematically searched for studies published between 2010 and 2025. Studies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comparing the Sensititre MYCOTB with reference DST for Mycobacterium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tuberculosis complex (MTBC) were included. Bias assessment and pooled diagnostic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accuracy estimates were generated. Fourteen studies, including 1,728 isolates,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were analyzed. Rifampicin and isoniazid demonstrated high sensitivity (0.976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[95% CI: 0.94-0.99] and 0.977 [95% CI: 0.95-0.99]) and specificity (0.958 [95%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CI: 0.84-0.98] and 0.957 [95% CI: 0.83-0.99], respectively) with low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heterogeneity. Amikacin, kanamycin, and ofloxacin demonstrate good diagnostic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accuracy, with high specificity (&gt;0.98 [95% CI]). Moderate diagnostic accuracy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was observed for ethambutol, streptomycin, ethionamide, and rifabutin.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Cycloserine, moxifloxacin, and para-aminosalicylic acid showed inconsistent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performance despite excellent specificity (&gt;0.97 [95% CI]). Sensitivity analysis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partially improved pooled sensitivity for moxifloxacin 0.801 (95% CI: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0.585-0.924) and para-aminosalicylic acid 0.76 (95% CI: 0.518-0.894), whereas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cycloserine remained at 0.436 (95% CI: 0.190-0.725), although heterogeneity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persisted. Sensititre MYCOTB DST demonstrates high diagnostic accuracy for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MDR-TB and pre-XDR-TB drugs, while caution is required with cycloserine,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moxifloxacin, and para-aminosalicylic acid. These findings support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integration of MIC-based testing into clinical decision-making.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10.1128/jcm.00813-26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42623427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D31924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16</w:t>
      </w:r>
      <w:r w:rsidR="007A20D0" w:rsidRPr="00D31924">
        <w:rPr>
          <w:rFonts w:ascii="宋体" w:eastAsia="宋体" w:hAnsi="宋体" w:cs="宋体"/>
          <w:b/>
          <w:color w:val="FF0000"/>
          <w:szCs w:val="24"/>
        </w:rPr>
        <w:t xml:space="preserve">. PLoS One. 2026 Aug 20;21(8):e0337152. doi: 10.1371/journal.pone.0337152. </w:t>
      </w:r>
    </w:p>
    <w:p w:rsidR="007A20D0" w:rsidRPr="00D31924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D31924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High prevalence of resistance to first-line drugs and multidrug resistance in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patients with tuberculosis and type 2 diabetes mellitus at a referral hospital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in Peru.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Barboza-Panaifo S(1), Erazo-Cárdenas I(1), Chapoñan-Agip NV(1), Tenorio-Quispe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A(1), Yovera-Aldana M(2).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(1)Universidad Científica del Sur, Lima, Perú.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(2)Grupo de Investigación NEMECS: Neurociencias, Metabolismo, Efectividad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Clínica y Sanitaria, Universidad Científica del Sur, Lima, Perú.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D31924">
        <w:rPr>
          <w:rFonts w:ascii="宋体" w:eastAsia="宋体" w:hAnsi="宋体" w:cs="宋体"/>
          <w:b/>
          <w:color w:val="000000" w:themeColor="text1"/>
          <w:szCs w:val="24"/>
        </w:rPr>
        <w:t>INTRODUCTION: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The coexistence of tuberculosis (TB) and type 2 diabetes mellitus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(T2DM) poses an emerging public health challenge, especially in high-TB-burden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settings such as Peru. This comorbidity has been associated to unfavorable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clinical outcomes and a higher frequency of drug-resistant TB.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D31924">
        <w:rPr>
          <w:rFonts w:ascii="宋体" w:eastAsia="宋体" w:hAnsi="宋体" w:cs="宋体"/>
          <w:b/>
          <w:color w:val="000000" w:themeColor="text1"/>
          <w:szCs w:val="24"/>
        </w:rPr>
        <w:t xml:space="preserve">OBJECTIVE: 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To estimate the prevalence of resistance to first-line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antituberculosis drugs and identify factors associated with multidrug resistance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tuberculosis (MDR-TB) among patients with T2DM and pulmonary TB treated at 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public hospital in Lima, Peru.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D31924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 cross-sectional study was conducted using secondary data from 130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adults with T2DM and microbiologically confirmed pulmonary TB treated at 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Peruvian hospital between 2015 and 2019. Drug susceptibility results were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categorized as susceptible, monoresistant, polyresistant, or MDR-TB. Factors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associated with MDR and resistance to at least one first-line drug were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evaluated using Poisson regression models with robust variance.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D31924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The prevalence of resistance to at least one first-line drug was 34.6%,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and the prevalence of MDR-TB was 21.5%. The most frequent resistances were to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isoniazid (28.4%) and rifampicin (26.2%). In the multivariable analysis, age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40-49 years (aPR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7A20D0">
        <w:rPr>
          <w:rFonts w:ascii="宋体" w:eastAsia="宋体" w:hAnsi="宋体" w:cs="宋体"/>
          <w:color w:val="000000" w:themeColor="text1"/>
          <w:szCs w:val="24"/>
        </w:rPr>
        <w:t>=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7A20D0">
        <w:rPr>
          <w:rFonts w:ascii="宋体" w:eastAsia="宋体" w:hAnsi="宋体" w:cs="宋体"/>
          <w:color w:val="000000" w:themeColor="text1"/>
          <w:szCs w:val="24"/>
        </w:rPr>
        <w:t>2.99; 95% CI: 1.00-8.97) and age 70-85 years (aPR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7A20D0">
        <w:rPr>
          <w:rFonts w:ascii="宋体" w:eastAsia="宋体" w:hAnsi="宋体" w:cs="宋体"/>
          <w:color w:val="000000" w:themeColor="text1"/>
          <w:szCs w:val="24"/>
        </w:rPr>
        <w:t>=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4.13; 95%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CI: 1.16-14.7) and were independently associated with MDR-TB. Furthermore, 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diabetes duration of at least 5 years was associated with resistance to at least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one drug (aPR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7A20D0">
        <w:rPr>
          <w:rFonts w:ascii="宋体" w:eastAsia="宋体" w:hAnsi="宋体" w:cs="宋体" w:hint="eastAsia"/>
          <w:color w:val="000000" w:themeColor="text1"/>
          <w:szCs w:val="24"/>
        </w:rPr>
        <w:t>≈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7A20D0">
        <w:rPr>
          <w:rFonts w:ascii="宋体" w:eastAsia="宋体" w:hAnsi="宋体" w:cs="宋体"/>
          <w:color w:val="000000" w:themeColor="text1"/>
          <w:szCs w:val="24"/>
        </w:rPr>
        <w:t>2.1).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D31924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 high prevalence of drug resistance, including MDR-TB was observed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among patients with T2DM and pulmonary TB. Older age and longer duration of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diabetes were associated with bacterial resistance in the adjusted analysis.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These findings underscore the importance of considering diabetes-related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clinical characteristics when evaluating drug resistance patterns in patients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with tuberculosis.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Copyright: © 2026 Barboza-Panaifo et al. This is an open access article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distributed under the terms of the Creative Commons Attribution License, which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permits unrestricted use, distribution, and reproduction in any medium, provided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the original author and source are credited.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10.1371/journal.pone.0337152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PMCID: PMC13492757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42623350 [Indexed for MEDLINE]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D31924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17</w:t>
      </w:r>
      <w:r w:rsidR="007A20D0" w:rsidRPr="00D31924">
        <w:rPr>
          <w:rFonts w:ascii="宋体" w:eastAsia="宋体" w:hAnsi="宋体" w:cs="宋体"/>
          <w:b/>
          <w:color w:val="FF0000"/>
          <w:szCs w:val="24"/>
        </w:rPr>
        <w:t>. JCI Insight. 2026 Aug 20:e201268. doi: 10.1172/jc</w:t>
      </w:r>
      <w:r w:rsidR="00D31924" w:rsidRPr="00D31924">
        <w:rPr>
          <w:rFonts w:ascii="宋体" w:eastAsia="宋体" w:hAnsi="宋体" w:cs="宋体"/>
          <w:b/>
          <w:color w:val="FF0000"/>
          <w:szCs w:val="24"/>
        </w:rPr>
        <w:t xml:space="preserve">i.insight.201268. Online ahead </w:t>
      </w:r>
      <w:r w:rsidR="007A20D0" w:rsidRPr="00D31924">
        <w:rPr>
          <w:rFonts w:ascii="宋体" w:eastAsia="宋体" w:hAnsi="宋体" w:cs="宋体"/>
          <w:b/>
          <w:color w:val="FF0000"/>
          <w:szCs w:val="24"/>
        </w:rPr>
        <w:t>of print.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The pleural tuberculosis-associated microenvironment promotes HIV-1 persistence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by impairing CD8+ T cell-mediated viral control.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Cronin S(1), Simpson J(1), Pereyra-Casanova A(1), Li Y(1), Marín-Rojas J(2),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Warner van Dijk FA(1), Fisher K(1), Buffa DJ(1), Rana H(1), Vahlas Z(3), Barros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J(4), Maio M(4), O'Neil TR(1), Bertram KM(1), Lee E(1), Nasr N(1), Harman AN(1),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Turk G(4), Quiroga MF(4), Kelleher AD(5), Vérollet C(6), Balboa L(4), Palmer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S(1), Duette G(1).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(1)Centre for Virus Research, The Westmead Institute for Medical Research,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Sydney, Australia.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(2)Centre for Virus Research, The Wesmtead Institute for Medical Research,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Sydney, Australia.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(3)Institut de Pharmacologie et de Biologie Structurale (IPBS), Université de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Toulouse, CNRS. Université Toulouse III - Paul Sabatier (UT3), Toulouse, France.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(4)Departamento de Microbiología, Parasitología e Inmunología, Universidad de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Buenos Aires, Buenos Aires, Argentina.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(5)The Kirby Institute, University of New South Wales, Sydney, Australia.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(6)Mécanismes Moléculaires des Infections Mycobactériennes, CNRS; IPBS (Institut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de Pharmacologie et de Biologie Structurale), Toulouse, France.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Mycobacteriumtuberculosis (Mtb), the causative agent of tuberculosis (TB), is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the most common coinfection in people living with HIV-1 (PLWH). This coinfection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is associated with accelerated HIV-1 disease progression and reduced survival.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However, the immunological and virological mechanisms driving this progression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are not completely understood. To address this knowledge gap, using pleural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effusion samples from PLWH and TB, we investigated how the HIV-1 genetic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landscape and the anti-HIV-1 immune response are impacted by a TB-associated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microenvironment. Our results revealed an enrichment of genetically intact HIV-1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and impaired CD8+ T cell-mediated antiviral response at this site of HIV-1/Mtb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coinfection. Moreover, efficient CD8+ T cell activation was inhibited by lipids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present in the TB-associated pleural effusion. These findings indicate that this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immune microenvironment induced by TB promotes the persistence of cells infected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with replication-competent HIV-1 by creating a niche of reduced antiviral immune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pressure, potentially contributing to the worsened clinical outcomes observed in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>PLWH and TB.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10.1172/jci.insight.201268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42623146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D31924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18</w:t>
      </w:r>
      <w:r w:rsidR="007A20D0" w:rsidRPr="00D31924">
        <w:rPr>
          <w:rFonts w:ascii="宋体" w:eastAsia="宋体" w:hAnsi="宋体" w:cs="宋体"/>
          <w:b/>
          <w:color w:val="FF0000"/>
          <w:szCs w:val="24"/>
        </w:rPr>
        <w:t xml:space="preserve">. Glob Public Health. 2026 Dec 31;21(1):2716988. doi: </w:t>
      </w:r>
    </w:p>
    <w:p w:rsidR="007A20D0" w:rsidRPr="00D31924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D31924">
        <w:rPr>
          <w:rFonts w:ascii="宋体" w:eastAsia="宋体" w:hAnsi="宋体" w:cs="宋体"/>
          <w:b/>
          <w:color w:val="FF0000"/>
          <w:szCs w:val="24"/>
        </w:rPr>
        <w:t>10.1080/17441692.2026.2716988. Epub 2026 Aug 20.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Tuberculosis prevention in low- and middle-income settings in the Asia-Pacific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region, a qualitative scoping review.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Jops P(1), Peprah P(1)(2)(3), Newland J(1), Tsogt B(4), Marks GB(5), Triasih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R(6), Prankumar SK(1)(7), Lestari T(6), Tinsay S(8), Poga P(9), Graham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SM(5)(10), Kelly-Hanku A(1)(9).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(1)Kirby Institute, UNSW Sydney, Sydney, Australia.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(2)Social Policy Research Centre, and Centre for Primary Health Care and Equity,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UNSW Sydney, Sydney, Australia.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(3)Australian Institute of Health Innovation, Macquarie University, Sydney,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Australia.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(4)Mongolian Anti-TB Coalition, Ulaanbaatar, Mongolia.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(5)Burnet Institute, Melbourne, Australia.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(6)Department of Child Health, Faculty of Medicine, Public Health and Nursing,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Universitas Gadjah Mada/Dr. Sardjito Hospital, Yogyakarta, Indonesia.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(7)Department of Global Health and Social Medicine, King's College London,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London, United Kingdom.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(8)College of Medicine, Cebu Doctors' University, Mandaue, Philippines.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(9)Papua New Guinea Institute of Medical Research, Goroka, Papua New Guinea.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(10)Department of Paediatrics, University of Melbourne, Royal Children's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Hospital, Melbourne, Australia.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Tuberculosis (TB) is a leading cause of death globally, with most new TB cases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notified in the Asia-Pacific region. We aimed to synthesize qualitative research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of TB prevention strategies from the region, summarizing reported barriers to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and facilitators of practices, and identifying important gaps and opportunities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for future research. A scoping review was conducted using the Arksey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O'Malley framework and includes qualitative studies published in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Asia-Pacific region between 2015 and 2025. Six databases were searched to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identify qualitative studies (or qualitative components of mixed-methods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studies) that focused on TB prevention. Articles were assessed for inclusion by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two authors who independently screened articles based on predetermined key words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and criteria. Of 1745 articles identified, 40 were included in this review. Most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qualitative research addressed secondary rather than primary prevention, such as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treatment of TB infection and early detection and treatment of disease. Articles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largely focused on healthcare workers, while vulnerable populations-such as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pregnant women and people living with HIV-are underrepresented. Key barriers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identified included health system weaknesses, TB-related stigma, and unclear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infection control policies. Strengthening health systems, decentralizing TB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services, and engaging communities were identified as crucial to ensuring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accessible and sustainable TB prevention efforts.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10.1080/17441692.2026.2716988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42622242 [Indexed for MEDLINE]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28039E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19</w:t>
      </w:r>
      <w:r w:rsidR="007A20D0" w:rsidRPr="0028039E">
        <w:rPr>
          <w:rFonts w:ascii="宋体" w:eastAsia="宋体" w:hAnsi="宋体" w:cs="宋体"/>
          <w:b/>
          <w:color w:val="FF0000"/>
          <w:szCs w:val="24"/>
        </w:rPr>
        <w:t xml:space="preserve">. Clin Adv Periodontics. 2026 Aug 20. doi: 10.1002/cap.70087. Online ahead of </w:t>
      </w:r>
    </w:p>
    <w:p w:rsidR="007A20D0" w:rsidRPr="0028039E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28039E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Mucogingival loss secondary to oral tuberculosis and its management using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periodontal plastic surgery: A case report.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Chacon Ramirez GJ(1), Abulatifa H(2), Zamora MA(3), Castillo V(4), Saleh MHA(2),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Villarroel-Dorrego M(5).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(1)Private Practice, Medellin, Colombia.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(2)Department of Periodontics and Oral Medicine, University of Michigan School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of Dentistry, Ann Arbor, Michigan, USA.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(3)Private practice, Barquisimeto, Venezuela.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(4)Private practice, Ciudad Bolívar, Venezuela.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(5)Universidad Central de Venezuela &amp; Universidad Santa María, Caracas,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Venezuela.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B2174E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Tuberculosis is widely recognized for its pulmonary manifestations;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however, the oral cavity may serve as an early and overlooked site of disease.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Although the tongue is the most affected region, gingival involvement is not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rare and may cause severe mucogingival destruction. The nonspecific nature of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these lesions frequently leads to diagnostic delay.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B2174E">
        <w:rPr>
          <w:rFonts w:ascii="宋体" w:eastAsia="宋体" w:hAnsi="宋体" w:cs="宋体"/>
          <w:b/>
          <w:color w:val="000000" w:themeColor="text1"/>
          <w:szCs w:val="24"/>
        </w:rPr>
        <w:t>METHODS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: A 25-year-old female presented with a persistent gingival ulcer in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maxillary anterior region associated with progressive recession and soft-tissue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loss. Histopathologic examination demonstrated necrotizing granulomatous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inflammation with multinucleated giant cells. Although Ziehl-Neelsen staining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was negative, chest radiography, sputum testing, and GeneXpert polymerase chain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reaction confirmed tuberculosis with pulmonary involvement. Following 9 months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of systemic anti-tubercular therapy, residual severe mucogingival defects were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managed using a modified split-full-split coronally advanced flap combined with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 subepithelial connective tissue graft and periosteal compartment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stabilization.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B2174E">
        <w:rPr>
          <w:rFonts w:ascii="宋体" w:eastAsia="宋体" w:hAnsi="宋体" w:cs="宋体"/>
          <w:b/>
          <w:color w:val="000000" w:themeColor="text1"/>
          <w:szCs w:val="24"/>
        </w:rPr>
        <w:lastRenderedPageBreak/>
        <w:t>RESULTS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: Healing was uneventful. At 2-year follow-up, complete root coverage was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achieved in the incisors and premolars, with approximately 95% root coverage at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the maxillary canine. Increased gingival thickness, stable soft-tissue margins,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and resolution of hypersensitivity were observed.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B2174E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This case highlights the importance of considering tuberculosis in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the differential diagnosis of persistent gingival lesions and demonstrates that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advanced periodontal plastic surgery can successfully rehabilitate extensive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mucogingival defects following medical stabilization.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B2174E">
        <w:rPr>
          <w:rFonts w:ascii="宋体" w:eastAsia="宋体" w:hAnsi="宋体" w:cs="宋体"/>
          <w:b/>
          <w:color w:val="000000" w:themeColor="text1"/>
          <w:szCs w:val="24"/>
        </w:rPr>
        <w:t>KEY POINTS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: Severe mucogingival destruction can occur as a rare manifestation of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oral tuberculosis and may persist despite resolution of infection. Accurate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diagnosis relies on combining histopathologic findings with systemic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molecular investigations. Modified periodontal plastic surgery techniques can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achieve predictable root coverage and long-term soft-tissue stability in complex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defects.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B2174E">
        <w:rPr>
          <w:rFonts w:ascii="宋体" w:eastAsia="宋体" w:hAnsi="宋体" w:cs="宋体"/>
          <w:b/>
          <w:color w:val="000000" w:themeColor="text1"/>
          <w:szCs w:val="24"/>
        </w:rPr>
        <w:t>PLAIN LANGUAGE SUMMARY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: Tuberculosis (TB) usually affects the lungs, but in rare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cases, it can also involve the oral cavity. This report describes a young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patient whose first sign of TB was a painful gum lesion that caused severe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gingival recession and loss of tissue around several teeth. After medical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treatment for TB, the infection resolved, but the significant mucosal damage did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not resolve. To restore the lost tissue, the patient underwent advanced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periodontal plastic surgery using a connective tissue graft and a specialized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flap technique. The procedure restored most of the lost gum and improved both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comfort and appearance.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2026 American Academy of Periodontology.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10.1002/cap.70087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42622134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B2174E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B2174E">
        <w:rPr>
          <w:rFonts w:ascii="宋体" w:eastAsia="宋体" w:hAnsi="宋体" w:cs="宋体"/>
          <w:b/>
          <w:color w:val="FF0000"/>
          <w:szCs w:val="24"/>
        </w:rPr>
        <w:t>2</w:t>
      </w:r>
      <w:r w:rsidR="00CE7B62">
        <w:rPr>
          <w:rFonts w:ascii="宋体" w:eastAsia="宋体" w:hAnsi="宋体" w:cs="宋体"/>
          <w:b/>
          <w:color w:val="FF0000"/>
          <w:szCs w:val="24"/>
        </w:rPr>
        <w:t>0</w:t>
      </w:r>
      <w:r w:rsidRPr="00B2174E">
        <w:rPr>
          <w:rFonts w:ascii="宋体" w:eastAsia="宋体" w:hAnsi="宋体" w:cs="宋体"/>
          <w:b/>
          <w:color w:val="FF0000"/>
          <w:szCs w:val="24"/>
        </w:rPr>
        <w:t xml:space="preserve">. Int J Infect Dis. 2026 Aug 19:109055. doi: 10.1016/j.ijid.2026.109055. Online </w:t>
      </w:r>
    </w:p>
    <w:p w:rsidR="007A20D0" w:rsidRPr="00B2174E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B2174E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Disseminated Sporotrichosis Masquerading as Tuberculosis in a Patient Without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Overt Immunodeficiency- Challenges in Tuberculosis-Endemic Area.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Suthammopasut N(1), Luangnara A(2).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(1)Division of Infectious Diseases and Tropical Medicine, Department of Internal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Medicine, Faculty of Medicine, Chiang Mai University, Thailand.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(2)Division of Infectious Diseases and Tropical Medicine, Department of Internal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Medicine, Faculty of Medicine, Chiang Mai University, Thailand. Electronic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address: athitaya.luangnara@gmail.com.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Sporotrichosis is a mycosis with multitudinous clinical manifestation based 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varying factors. We report a 78-year-old man who came to an out-patient clinic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for progressive ulcerative cutaneous lesions for 6 months with concurrent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pulmonary symptoms and osteomyelitis. Initial investigations were negative for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infectious organisms and therapeutic trial of standard anti-tuberculous regimen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failed to improve clinical symptoms. Subsequent fungal culture from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ulcerative skin showed dark colonies of Sporothrix schenckii complex. A review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of sporotrichosis cases mimicking tuberculosis is provided to demonstrate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diagnostic and therapeutic challenges, especially when tuberculosis is endemic.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Copyright © 2026 The Author(s). Published by Elsevier Ltd.. All rights reserved.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10.1016/j.ijid.2026.109055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42617940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B2174E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B2174E">
        <w:rPr>
          <w:rFonts w:ascii="宋体" w:eastAsia="宋体" w:hAnsi="宋体" w:cs="宋体"/>
          <w:b/>
          <w:color w:val="FF0000"/>
          <w:szCs w:val="24"/>
        </w:rPr>
        <w:t>2</w:t>
      </w:r>
      <w:r w:rsidR="00CE7B62">
        <w:rPr>
          <w:rFonts w:ascii="宋体" w:eastAsia="宋体" w:hAnsi="宋体" w:cs="宋体"/>
          <w:b/>
          <w:color w:val="FF0000"/>
          <w:szCs w:val="24"/>
        </w:rPr>
        <w:t>1</w:t>
      </w:r>
      <w:r w:rsidRPr="00B2174E">
        <w:rPr>
          <w:rFonts w:ascii="宋体" w:eastAsia="宋体" w:hAnsi="宋体" w:cs="宋体"/>
          <w:b/>
          <w:color w:val="FF0000"/>
          <w:szCs w:val="24"/>
        </w:rPr>
        <w:t xml:space="preserve">. Niger Postgrad Med J. 2026 Sep 1;33(5):678-682. doi: 10.4103/npmj.npmj_650_25. </w:t>
      </w:r>
    </w:p>
    <w:p w:rsidR="007A20D0" w:rsidRPr="00B2174E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B2174E">
        <w:rPr>
          <w:rFonts w:ascii="宋体" w:eastAsia="宋体" w:hAnsi="宋体" w:cs="宋体"/>
          <w:b/>
          <w:color w:val="FF0000"/>
          <w:szCs w:val="24"/>
        </w:rPr>
        <w:t>Epub 2026 Aug 17.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Surgical Management of Post-tuberculous Spinal Deformity in Adults: A Case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Series Report from a Nigerian Tertiary Orthopaedic Centre.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Toluse AM(1), Odejobi KO, Adeyemi TO.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(1)Department of Orthopaedic Surgery and Trauma, National Orthopaedic Hospital,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Lagos, Nigeria.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Post-tuberculous spinal deformity remains an important cause of chronic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morbidity following healed spinal tuberculosis, particularly in low-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middle-income countries. Residual kyphosis may result in persistent pain,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sagittal imbalance, cosmetic deformity and late neurological deterioration.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Surgical correction is technically demanding because of rigid deformity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compromised bone quality, yet it may offer meaningful functional recovery when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appropriately indicated. We report a case series of three adult patients with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post-tuberculous spinal deformity managed surgically at a Nigerian tertiary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orthopaedic centre. All patients underwent single-stage posterior-only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decompression, deformity correction and pedicle screw-rod instrumentation.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Anterior column reconstruction was performed in all cases using either an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expandable titanium cage or a fibular strut graft. Clinical, radiological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neurological outcomes were assessed during follow-up. The patients were aged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24-33 years (median 32 years), with follow-up ranging from 26 to 60 months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(median 36 months). Two patients presented with thoracic kyphotic deformity (90°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and 92°), while one had lumbar involvement (20°). Postoperatively, thoracic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kyphosis improved to 25° and 45°, and lumbar alignment was restored to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physiological lordosis. The median angular correction achieved was 47° (range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40°-65°). One patient presented with paraparesis (ASIA D) and achieved complete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neurological recovery, while the remaining two maintained intact neurology (ASIA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E). All patients demonstrated radiological fusion and maintained deformity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correction at the latest follow-up, with no implant-related complications.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Single-stage posterior-only surgical correction of post-tuberculous spinal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deformity in adults can achieve satisfactory deformity correction, solid fusion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and neurological recovery in carefully selected patients.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Copyright © 2026 Nigerian Postgraduate Medical Journal.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10.4103/npmj.npmj_650_25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42616984 [Indexed for MEDLINE]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B2174E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22</w:t>
      </w:r>
      <w:r w:rsidR="007A20D0" w:rsidRPr="00B2174E">
        <w:rPr>
          <w:rFonts w:ascii="宋体" w:eastAsia="宋体" w:hAnsi="宋体" w:cs="宋体"/>
          <w:b/>
          <w:color w:val="FF0000"/>
          <w:szCs w:val="24"/>
        </w:rPr>
        <w:t xml:space="preserve">. Proc Natl Acad Sci U S A. 2026 Aug 25;123(34):e2619778123. doi: </w:t>
      </w:r>
    </w:p>
    <w:p w:rsidR="007A20D0" w:rsidRPr="00B2174E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B2174E">
        <w:rPr>
          <w:rFonts w:ascii="宋体" w:eastAsia="宋体" w:hAnsi="宋体" w:cs="宋体"/>
          <w:b/>
          <w:color w:val="FF0000"/>
          <w:szCs w:val="24"/>
        </w:rPr>
        <w:t>10.1073/pnas.2619778123. Epub 2026 Aug 19.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 cloaked glutamate decarboxylase sustains the GABA shunt in Mycobacterium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tuberculosis.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Thai HM(#)(1)(2), Hunt DM(#)(3), Miyahara Y(4), Priya M(1), Aung HL(4), Zallot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R(5), de Carvalho LPS(1)(2)(3).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(1)Department of Chemistry, The Herbert Wertheim University of Florida (UF)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Scripps Institute for Biomedical Innovation and Technology, Jupiter, FL 33458.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(2)The Skaggs Graduate School, The Scripps Research Institute, La Jolla, CA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92037.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(3)Mycobacterial Metabolism and Antibiotic Research Laboratory, The Francis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Crick Institute, London NW1 1AT, United Kingdom.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(4)Division of Health Sciences, Department of Microbiology and Immunology,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Faculty of Biomedical Sciences, University of Otago, Dunedin 9016, New Zealand.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(5)Department of Life Sciences, Manchester Metropolitan University, Manchester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M1 5GD, United Kingdom.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Despite the exponential growth in genome sequencing, the functional annotation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of genes, particularly the discovery of novel enzymatic activities, remains 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formidable challenge. This gap is exacerbated by annotation biases that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propagate assumptions about enzyme function across homologous sequences. Here,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we report the identification of an unannotated enzymatic activity within 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presumed well-characterized enzyme family. The gene rv2531c, under strong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purifying selection across Mycobacterium tuberculosis strains, has been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annotated as a member of the lysine-ornithine-arginine (KOR) decarboxylase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superfamily, which includes over 26,000 sequences. Contrary to this annotation,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we show that Rv2531c does not decarboxylate KOR substrates. Instead, using an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integrative approach combining bioinformatics, microbiology, metabolomics,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enzymology, we demonstrate that Rv2531c is a L-glutamate decarboxylase that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sustains carbon flux through the γ-aminobutyric acid shunt in M. tuberculosis.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This newly identified subfamily of enzymes is conserved across Bacteria,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Archaea, and Eukarya and exhibits distinct structural and kinetic features,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including an additional domain, hysteresis, and strong positive cooperativity.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These characteristics differentiate it from canonical, enterobacterial KOR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decarboxylases. More broadly, our findings challenge the narrow substrate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functional scope traditionally assigned to the KOR-DC superfamily. We propose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that many members of this large and diverse enzyme family catalyze distinct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reactions and participate in previously unrecognized metabolic pathways,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revealing a broader and more nuanced role for pyridoxal 5'-phosphate-dependent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enzymes in microbial physiology and evolution.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10.1073/pnas.2619778123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42616789 [Indexed for MEDLINE]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B2174E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23</w:t>
      </w:r>
      <w:r w:rsidR="007A20D0" w:rsidRPr="00B2174E">
        <w:rPr>
          <w:rFonts w:ascii="宋体" w:eastAsia="宋体" w:hAnsi="宋体" w:cs="宋体"/>
          <w:b/>
          <w:color w:val="FF0000"/>
          <w:szCs w:val="24"/>
        </w:rPr>
        <w:t xml:space="preserve">. PLOS Glob Public Health. 2026 Aug 19;6(8):e0006971. doi: </w:t>
      </w:r>
    </w:p>
    <w:p w:rsidR="007A20D0" w:rsidRPr="00B2174E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B2174E">
        <w:rPr>
          <w:rFonts w:ascii="宋体" w:eastAsia="宋体" w:hAnsi="宋体" w:cs="宋体"/>
          <w:b/>
          <w:color w:val="FF0000"/>
          <w:szCs w:val="24"/>
        </w:rPr>
        <w:t>10.1371/journal.pgph.0006971. eCollection 2026.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Identifying pediatric extrapulmonary tuberculosis through an active screening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program: Findings and programmatic implications from Bangladesh.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Sosa Soto G(1), Campbell JI(2), Malik AA(3)(4), Rahman MM(5), Hossain F(5),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Kulkarni S(2), Kamrul K(6), Rahman MT(5)(7), Creswell J(7), Hussain H(3), Roy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T(3)(5), Brooks MB(8).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(1)Department of Pediatrics, Boston Children's Hospital, Boston, Massachusetts,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United States of America.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(2)Boston Medical Center, Boston, Massachusetts, United States of America.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(3)IRD Global, Singapore.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(4)UT Southwestern Medical Center, Dallas, Texas, United States of America.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(5)IRD Bangladesh, Dhaka, Bangladesh.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(6)Bangladesh Shishu Hospital &amp; Institute, Dhaka, Bangladesh.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(7)Innovations &amp; Grants Team, Stop TB Partnership, Geneva, Switzerland.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(8)Department of Global Health, Boston University School of Public Health,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Boston, Massachusetts, United States of America.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We assessed 188 children diagnosed with extrapulmonary tuberculosis in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Bangladesh. Over half were aged 10-14 years old. Common symptoms included fever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(91.5%), weight loss (88.3%), and decreased appetite (72.9%). Four children died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prior to treatment; of 176 children on treatment, 4.0% had unsuccessful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outcomes, potentially influenced by age and low weight. Findings highlight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need for improved diagnosis and management in children.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Copyright: © 2026 Sosa Soto et al. This is an open access article distributed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under the terms of the Creative Commons Attribution License, which permits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unrestricted use, distribution, and reproduction in any medium, provided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original author and source are credited.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10.1371/journal.pgph.0006971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PMCID: PMC13489430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42616726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B2174E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24</w:t>
      </w:r>
      <w:r w:rsidR="007A20D0" w:rsidRPr="00B2174E">
        <w:rPr>
          <w:rFonts w:ascii="宋体" w:eastAsia="宋体" w:hAnsi="宋体" w:cs="宋体"/>
          <w:b/>
          <w:color w:val="FF0000"/>
          <w:szCs w:val="24"/>
        </w:rPr>
        <w:t>. Eur J Transl Myol. 2026 Aug 19. doi: 10.4081/ej</w:t>
      </w:r>
      <w:r w:rsidR="00B2174E">
        <w:rPr>
          <w:rFonts w:ascii="宋体" w:eastAsia="宋体" w:hAnsi="宋体" w:cs="宋体"/>
          <w:b/>
          <w:color w:val="FF0000"/>
          <w:szCs w:val="24"/>
        </w:rPr>
        <w:t xml:space="preserve">tm.2026.15594. Online ahead of </w:t>
      </w:r>
      <w:r w:rsidR="007A20D0" w:rsidRPr="00B2174E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From destruction to restoration: total hip arthroplasty in advanced hip joint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tuberculosis. A case report.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Tzachev N(1), Papathanasiou J(2), Milev R(1), Ivanov P(1), Hariskov N(1), Ginev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P(1), Tsitou VM(3).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(1)Department of Orthopedics and Trauma-Surgery, Military Medical Academy,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Sofia.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(2)Department of Physical Medicine and Rehabilitation, Medical University of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Sofia, Bulgaria; Department of Physical and Rehabilitation Medicine, Medical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University of Plovdiv.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(3)Department of Medical Microbiology, Medical University of Sofia.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Hip Tuberculosis (HTB) is a severe form of extrapulmonary Tuberculosis (TB) that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can lead to progressive joint destruction, functional impairment, and reduced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Quality Of Life (QoL). Optimal management requires timely Antitubercular Therapy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(ATT), appropriate surgical intervention, and structured rehabilitation. This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case report aims to present a 57-year-old Bulgarian female with advanced HTB,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persisting chronic pain, severe functional limitation, and marked restriction in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Range Of Motion (ROM) and Muscle Strength (MS). Baseline assessment revealed 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Harris Hip Score (HHS) of 56 and pain intensity of 7/10 on the Visual Analogue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Scale (VAS). Microbiological confirmation of Mycobacterium tuberculosis was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obtained via bone biopsy. Following completion of ATT and normalization of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inflammatory markers, the patient underwent Total Hip Arthroplasty (THA) using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 anterolateral approach. An individualized Exercise-Based Postoperative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Rehabilitation Program (EBRP) was implemented. At 6-Hip Flexion (HF) improved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from 25° to 55°, while hip abduction increased fr</w:t>
      </w:r>
      <w:r w:rsidR="00B2174E">
        <w:rPr>
          <w:rFonts w:ascii="宋体" w:eastAsia="宋体" w:hAnsi="宋体" w:cs="宋体"/>
          <w:color w:val="000000" w:themeColor="text1"/>
          <w:szCs w:val="24"/>
        </w:rPr>
        <w:t xml:space="preserve">om 15° to 40°.MS improved </w:t>
      </w:r>
      <w:r w:rsidR="00B2174E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from 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2/5 to 4+/5 in key muscle groups (MG). Functional performance improved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significantly, with HHS increasing from 56 to 81 (+44.6%), and pain decreasing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from 7/10 to 2/10 (-71.4%). No postoperative complications or infection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recurrence were observed. This case highlights the importance of appropriate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timing of THA after successful infection control with ATT, combined with 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structured EBRP.  A multidisciplinary approach is essential to optimize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functional recovery and minimize complications in patients with HTB.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10.4081/ejtm.2026.15594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42616002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B2174E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25</w:t>
      </w:r>
      <w:r w:rsidR="007A20D0" w:rsidRPr="00B2174E">
        <w:rPr>
          <w:rFonts w:ascii="宋体" w:eastAsia="宋体" w:hAnsi="宋体" w:cs="宋体"/>
          <w:b/>
          <w:color w:val="FF0000"/>
          <w:szCs w:val="24"/>
        </w:rPr>
        <w:t>. Ann Med. 2026 Dec;58(1):2714685. doi: 10.1080/07</w:t>
      </w:r>
      <w:r w:rsidR="00B2174E" w:rsidRPr="00B2174E">
        <w:rPr>
          <w:rFonts w:ascii="宋体" w:eastAsia="宋体" w:hAnsi="宋体" w:cs="宋体"/>
          <w:b/>
          <w:color w:val="FF0000"/>
          <w:szCs w:val="24"/>
        </w:rPr>
        <w:t xml:space="preserve">853890.2026.2714685. Epub 2026 </w:t>
      </w:r>
      <w:r w:rsidR="007A20D0" w:rsidRPr="00B2174E">
        <w:rPr>
          <w:rFonts w:ascii="宋体" w:eastAsia="宋体" w:hAnsi="宋体" w:cs="宋体"/>
          <w:b/>
          <w:color w:val="FF0000"/>
          <w:szCs w:val="24"/>
        </w:rPr>
        <w:t>Aug 19.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Tuberculosis disease and infection among household contacts of bacteriologically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confirmed vs unconfirmed tuberculosis in Cambodia: considerations for optimising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contact investigation and preventive treatment.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Tep S(1), Tuot S(1)(2)(3), Cheng S(4), Ung S(4), Guillard B(4), Menh S(1), Choub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SC(1), Huot CY(5), Borand L(6)(7), Fox GJ(8)(9), Teo AKJ(8)(9)(10).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(1)KHANA and KHANA Centre for Population Health Research, Phnom Penh, Cambodia.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(2)Department of Community and Global Health, Graduate School of Medicine,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University of Tokyo, Tokyo, Japan.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(3)Faculty of Social Sciences and Humanity, Royal University of Phnom Penh,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Phnom Penh, Cambodia.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(4)Medical Biology Laboratory, Institut Pasteur du Cambodge, Phnom Penh,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Cambodia.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(5)National Centre for Tuberculosis and Leprosy Control (CENAT), Phnom Penh,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Cambodia.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(6)Clinical Research Group, Epidemiology and Public Health Unit, Institut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Pasteur in Cambodia, Phnom Penh, Cambodia.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(7)Center for Tuberculosis Research, Division of Infectious Diseases, Johns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Hopkins University School of Medicine, Baltimore, MD, USA.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(8)Faculty of Medicine and Health, University of Sydney, Sydney, NSW, Australia.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(9)University of Sydney Infectious Diseases Institute (Sydney ID), Sydney, NSW,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Australia.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(10)Saw Swee Hock School of Public Health, National University of Singapore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National University Health System, Singapore, Singapore.</w:t>
      </w:r>
    </w:p>
    <w:p w:rsidR="007A20D0" w:rsidRPr="00B2174E" w:rsidRDefault="007A20D0" w:rsidP="007A20D0">
      <w:pPr>
        <w:rPr>
          <w:rFonts w:ascii="宋体" w:eastAsia="宋体" w:hAnsi="宋体" w:cs="宋体"/>
          <w:b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B2174E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This study aimed to describe the yield of tuberculosis (TB) disease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among household contacts (HHC) of individuals with bacteriologically confirmed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and unconfirmed pulmonary TB, to estimate the prevalence of TB infection using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Interferon Gamma Release Assay (IGRA), and to identify factors associated with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IGRA positivity.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B2174E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We conducted a pragmatic, cross-sectional study in five operational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districts between February 2023 and April 2024. HHC of persons with pulmonary TB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 the preceding two years were screened for TB. Among eligible contacts (aged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 w:hint="eastAsia"/>
          <w:color w:val="000000" w:themeColor="text1"/>
          <w:szCs w:val="24"/>
        </w:rPr>
        <w:t>≥</w:t>
      </w:r>
      <w:r w:rsidRPr="007A20D0">
        <w:rPr>
          <w:rFonts w:ascii="宋体" w:eastAsia="宋体" w:hAnsi="宋体" w:cs="宋体"/>
          <w:color w:val="000000" w:themeColor="text1"/>
          <w:szCs w:val="24"/>
        </w:rPr>
        <w:t>5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years and HIV negative) at two purposively selected sites (one urban and one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rural), blood samples were collected for IGRA using QuantiFERON®-TB Gold Plus.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Modified Poisson regression with robust variance estimation was used to identify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factors independently associated with IGRA positivity.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B2174E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Among 864 HHC, 26 were diagnosed with TB disease: 2.7 per 100 (95% CI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1.4-4.6) among contacts of bacteriologically confirmed TB and 3.4 per 100 (95%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CI 1.9-5.6) among contacts of bacteriologically unconfirmed TB. More than half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were asymptomatic (37.5% bacteriologically confirmed, 66.7% bacteriologically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unconfirmed). Of 453 valid IGRA results, 21.2% (95% CI 17.5-25.2) were positive.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IGRA positivity was associated with older age, urban residence, and being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contacts of bacteriologically confirmed TB.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B2174E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 these selected programmatic settings, limiting contact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investigation to bacteriologically confirmed TB and relying on symptom screening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may result in missed cases. Without infection testing, most HHC offered TPT may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not require it, while others with asymptomatic TB disease may inappropriately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receive preventive treatment.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10.1080/07853890.2026.2714685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PMCID: PMC13491897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42615857 [Indexed for MEDLINE]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3A4EE5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</w:t>
      </w:r>
      <w:r w:rsidR="007A20D0" w:rsidRPr="003A4EE5">
        <w:rPr>
          <w:rFonts w:ascii="宋体" w:eastAsia="宋体" w:hAnsi="宋体" w:cs="宋体"/>
          <w:b/>
          <w:color w:val="FF0000"/>
          <w:szCs w:val="24"/>
        </w:rPr>
        <w:t xml:space="preserve">6. Breathe (Sheff). 2026 Aug 18;22(3):260028. doi: 10.1183/20734735.0028-2026. </w:t>
      </w:r>
    </w:p>
    <w:p w:rsidR="007A20D0" w:rsidRPr="003A4EE5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3A4EE5">
        <w:rPr>
          <w:rFonts w:ascii="宋体" w:eastAsia="宋体" w:hAnsi="宋体" w:cs="宋体"/>
          <w:b/>
          <w:color w:val="FF0000"/>
          <w:szCs w:val="24"/>
        </w:rPr>
        <w:t>eCollection 2026 Jul.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Adverse effects of linezolid in the treatment of drug-resistant tuberculosis: 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scoping review.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Naia JV(1)(2), Pipa S(3)(2), Varandas P(4)(2), Vieira M(5)(6), Ramos JP(5)(6),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Pinheiro M(5)(6)(7)(8), Duarte R(5)(6)(9)(8).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(1)Pulmonology Department of Braga Hospital, Local Unit of Health of Braga,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Braga, Portugal.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(2)Contributed equally as first authors.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(3)Pulmonology Department of Vila Real Hospital, Local Unit of Health of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Trás-os-Montes e Alto Douro, Vila Real, Portugal.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(4)Pulmonology Department of Santa Maria Hospital and Pulido Valente Hospital,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Local Unit of Health of Santa Maria, Lisbon, Portugal.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(5)EPI Unit ITR, Institute of Public Health of the University of Porto, Porto,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>Portugal.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(6)School of Medicine and Biomedical Sciences (ICBAS), University of Porto,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Porto, Portugal.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(7)Public Heath Unit, Local Unit of Health of Braga, Braga, Portugal.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(8)Equal contributors as last authors.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(9)Instituto de Saúde Pública Doutor Ricardo Jorge (INSA Porto), Porto,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Portugal.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3A4EE5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Linezolid (LZD) has emerged as a key drug for multidrug-resistant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(MDR) and extensively drug-resistant (XDR) tuberculosis (TB) treatment. However,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its clinical use is limited by substantial toxicity. This scoping review aimed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to synthesise evidence on LZD-associated adverse effects (AEs) to support safer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and more effective TB management clinical decisions.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3A4EE5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A systematic search of PubMed, Scopus, Web of Science, and EMBASE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databases (conducted in October 2024) identified 103 primary studies published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between 2005 and 2024 that reported AEs related to LZD use in MDR/XDR-TB. Data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on frequency, severity, onset, and management of AEs were extracted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narratively synthesised.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3A4EE5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Of the 103 included studies, 102 (99%) reported at least one AE.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overall frequency of AEs ranged from 2.8% to 100%. Neurological toxicity was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reported in 3.5-91.9% of patients, most commonly presenting as peripheral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neuropathy. Haematological toxicity was observed in 1.9-84.6% of participants,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mainly reported as anaemia and thrombocytopenia. Gastrointestinal disturbances,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metabolic complications, such as lactic acidosis and hyperlactacidaemia,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dermatological events were also reported.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3A4EE5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LZD-associated toxicity is frequent and often clinically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significant, particularly during prolonged treatment. Careful patient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assessment, including comorbidities and potential contributing factors such as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vitamin deficiencies, along with regular monitoring and, where available,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therapeutic drug monitoring, may help optimise safety and treatment outcomes.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Future research should focus on standardised toxicity assessment,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pharmacokinetic-based dosing strategies, and the inclusion of diverse patient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populations to improve the safety and effectiveness of LZD-based regimens.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Copyright ©ERS 2026.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10.1183/20734735.0028-2026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PMCID: PMC13482734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42614775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3A4EE5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</w:t>
      </w:r>
      <w:r w:rsidR="007A20D0" w:rsidRPr="003A4EE5">
        <w:rPr>
          <w:rFonts w:ascii="宋体" w:eastAsia="宋体" w:hAnsi="宋体" w:cs="宋体"/>
          <w:b/>
          <w:color w:val="FF0000"/>
          <w:szCs w:val="24"/>
        </w:rPr>
        <w:t xml:space="preserve">7. Breathe (Sheff). 2026 Aug 18;22(3):250370. doi: 10.1183/20734735.0370-2025. </w:t>
      </w:r>
    </w:p>
    <w:p w:rsidR="007A20D0" w:rsidRPr="003A4EE5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3A4EE5">
        <w:rPr>
          <w:rFonts w:ascii="宋体" w:eastAsia="宋体" w:hAnsi="宋体" w:cs="宋体"/>
          <w:b/>
          <w:color w:val="FF0000"/>
          <w:szCs w:val="24"/>
        </w:rPr>
        <w:t>eCollection 2026 Jul.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Surgical intervention in bronchiectasis and pulmonary tuberculosis.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Fallatah RZ(1), Mohamed A(2)(3), Syed AM(3), Saleh W(2)(3), AlKattan K(2)(3),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Migliore M(2)(3)(4).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(1)Department of General Surgery, King Faisal Specialist Hospital and Research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Centre, Riyadh, Saudi Arabia.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(2)Section of Thoracic Surgery and Lung Transplantation, Organ Transplant Centre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of Excellence, King Faisal Specialist Hospital and Research Centre, Riyadh,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Saudi Arabia.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(3)Al Faisal University, Riyadh, Saudi Arabia.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(4)Department of General Surgery and Medical Specialties, University of Catania,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Catania, Italy.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Bronchiectasis and pulmonary tuberculosis (TB) remain common causes of chronic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respiratory morbidity worldwide, despite major advances in antimicrobial therapy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and structured airway clearance strategies. In a subset of patients, medical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treatment alone is insufficient, and surgical intervention may be required when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disease is anatomically localised or when serious complications develop. From 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surgical perspective, resection of non-functional, chronically infected lung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segments in bronchiectasis can lead to sustained symptom improvement, fewer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exacerbations, and effective control of haemoptysis when patients are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appropriately selected. In pulmonary TB, surgery continues to serve both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diagnostic and therapeutic purposes. Operative intervention may be necessary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when noninvasive investigations fail to establish a diagnosis, or when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persistent cavitary disease, drug-resistant infection, or structural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complications such as destroyed lung, chronic empyema, or bronchopleural fistula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are present. Current respiratory guidelines emphasise careful medical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optimisation and multidisciplinary assessment before surgical referral,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highlighting the importance of appropriate patient selection. This narrative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educational review focuses on practical principles that guide surgical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decision-making in bronchiectasis and pulmonary TB. Indications for surgery,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contraindications to operative intervention, and criteria for referral for lung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transplantation are discussed, with the aim of supporting clinicians involved in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the care of patients with complex structural lung disease.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Copyright ©ERS 2026.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10.1183/20734735.0370-2025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PMCID: PMC13482733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42614759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3A4EE5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</w:t>
      </w:r>
      <w:r w:rsidR="007A20D0" w:rsidRPr="003A4EE5">
        <w:rPr>
          <w:rFonts w:ascii="宋体" w:eastAsia="宋体" w:hAnsi="宋体" w:cs="宋体"/>
          <w:b/>
          <w:color w:val="FF0000"/>
          <w:szCs w:val="24"/>
        </w:rPr>
        <w:t xml:space="preserve">8. Health Sci Rep. 2026 Aug 18;9(8):e73072. doi: 10.1002/hsr2.73072. eCollection </w:t>
      </w:r>
    </w:p>
    <w:p w:rsidR="007A20D0" w:rsidRPr="003A4EE5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3A4EE5">
        <w:rPr>
          <w:rFonts w:ascii="宋体" w:eastAsia="宋体" w:hAnsi="宋体" w:cs="宋体"/>
          <w:b/>
          <w:color w:val="FF0000"/>
          <w:szCs w:val="24"/>
        </w:rPr>
        <w:t>2026 Aug.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Integrated HIV and TB Services for the Management of Coinfection in West Africa: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 Scoping Review of Strategies, Outcomes, Barriers and Enablers.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Nartey CM(1), Afrane AKA(2), Tagoe B(1), Kwapong AA(3), Amponsah SK(1).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(1)Department of Medical Pharmacology University of Ghana Medical School Accra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Ghana.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(2)Department of Child Health University of Ghana Medical School Accra Ghana.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(3)Department of Pharmaceutics and Microbiology, School of Pharmacy University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of Ghana Accra Ghana.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C5E71">
        <w:rPr>
          <w:rFonts w:ascii="宋体" w:eastAsia="宋体" w:hAnsi="宋体" w:cs="宋体"/>
          <w:b/>
          <w:color w:val="000000" w:themeColor="text1"/>
          <w:szCs w:val="24"/>
        </w:rPr>
        <w:t>BACKGROUND AND AIM: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There is a concern about treatment outcomes for human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immunodeficiency virus and tuberculosis infections in West Africa. This has led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to a focus on the development of strategies for integrated care; however, data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on the barriers and enablers of these strategies are limited. The scoping review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aimed to map strategies for the integrated management of HIV and TB services in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West Africa and identify barriers and enablers influencing implementation.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C5E71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The Arksey and O'Malley scoping review design was used for the study.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The PRISMA extension for scoping review guidelines were followed meticulously.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Four data sources (Scopus, PubMed, MEDLINE and CINAHL) were searched for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strategies of integrated management for HIV and TB co-infection in West Africa,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from January 1, 2000 to March 31, 2022. Of the 813 records screened, 22 studies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met the inclusion criteria.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C5E71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Seven key components were identified: anti-TB therapy (for active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co-infection), isoniazid preventive therapy (IPT), tuberculosis infection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control (TBIC), antiretroviral therapy (ART) initiation, TB testing,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co-trimoxazole preventive therapy (prophylaxis), and patient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education/counseling. ART initiation and TB testing showed moderate-to-high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success (75%-98% testing rates), while isoniazid preventive therapy (IPT)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TBIC had poor implementation (median IPT score: 0 in Ghana; 0%-42% TBIC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adherence). The treatment success rates of the integrated management of HIV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TB co-infection reached 77% in settings with robust integration although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mortality remained high (15%-19.5%). Barriers included staff shortages, stigma,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inadequate financing, drug shortages, infrastructure gaps and fear of adverse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drug interactions. The enablers were patient education, healthcare worker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training, optimized logistics and strengthened health information systems.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C5E71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Integration of TB and HIV services was found to be possible in West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Africa, with different degrees of effectiveness due to differences in law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local settings. Scaling up requires addressing health system barriers, enhancing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training, and leveraging enablers such as patient empowerment and data-driven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logistics.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 w:hint="eastAsia"/>
          <w:color w:val="000000" w:themeColor="text1"/>
          <w:szCs w:val="24"/>
        </w:rPr>
        <w:lastRenderedPageBreak/>
        <w:t>©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2026 The Author(s). Health Science Reports published by Wiley Periodicals LLC.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10.1002/hsr2.73072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PMCID: PMC13482352</w:t>
      </w:r>
    </w:p>
    <w:p w:rsidR="007A20D0" w:rsidRPr="007A20D0" w:rsidRDefault="007C5E71" w:rsidP="007A20D0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42614725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C5E71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</w:t>
      </w:r>
      <w:r w:rsidR="007A20D0" w:rsidRPr="007C5E71">
        <w:rPr>
          <w:rFonts w:ascii="宋体" w:eastAsia="宋体" w:hAnsi="宋体" w:cs="宋体"/>
          <w:b/>
          <w:color w:val="FF0000"/>
          <w:szCs w:val="24"/>
        </w:rPr>
        <w:t xml:space="preserve">9. Respirol Case Rep. 2026 Aug 17;14(8):e70722. doi: 10.1002/rcr2.70722. </w:t>
      </w:r>
    </w:p>
    <w:p w:rsidR="007A20D0" w:rsidRPr="007C5E71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7C5E71">
        <w:rPr>
          <w:rFonts w:ascii="宋体" w:eastAsia="宋体" w:hAnsi="宋体" w:cs="宋体"/>
          <w:b/>
          <w:color w:val="FF0000"/>
          <w:szCs w:val="24"/>
        </w:rPr>
        <w:t>eCollection 2026 Aug.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Endobronchial Hamartoma Masquerading as Endobronchial Tuberculosis-A Case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Report.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Panigrahi MK(1), Parekh A(1), Farween S(2), Singh S(1), De S(1), Sable M(2).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(1)Department of Pulmonary Medicine &amp; Critical Care All India Institute of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Medical Sciences Bhubaneswar Odisha India.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(2)Department of Pathology &amp; Laboratory Medicine All India Institute of Medical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Sciences Bhubaneswar Odisha India.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Endobronchial hamartoma (EH) is a rare benign bronchial tumour that represents 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small subset of pulmonary hamartomas. EH often presents with non-specific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symptoms and may mimic malignancy or chronic infections such as tuberculosis,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leading to delayed diagnosis or inappropriate treatment. We report here a case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of a 60-year-old man who presented with 6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months of progressive dyspnoea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productive cough, and 2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months of low-grade fever. Flexible bronchoscopy showed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 endobronchial mass, and forceps biopsies performed twice were reported as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granulomatous inflammation. He received antitubercular treatment based 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presumptive diagnosis of endobronchial tuberculosis. However, there was no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clinical and radiological improvement despite 7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months of treatment. We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performed rigid bronchoscopy and removed the endobronchial tumour using an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electrocautery snare and cryoextraction. The excisional biopsy confirmed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diagnosis of EH. This case highlights the limitations of small biopsy specimens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 diagnosing hamartoma and reemphasises the role of advanced pulmonary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interventions, such as electrocautery snare and cryotherapy, as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diagnostic-cum-therapeutic tools in such lesions.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2026 The Author(s). Respirology Case Reports published by John Wiley &amp; Sons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Australia, Ltd on behalf of The Asian Pacific Society of Respirology.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10.1002/rcr2.70722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PMCID: PMC13481701</w:t>
      </w:r>
    </w:p>
    <w:p w:rsidR="007A20D0" w:rsidRPr="007A20D0" w:rsidRDefault="007C5E71" w:rsidP="007A20D0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42614486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C5E71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lastRenderedPageBreak/>
        <w:t>30</w:t>
      </w:r>
      <w:r w:rsidR="007A20D0" w:rsidRPr="007C5E71">
        <w:rPr>
          <w:rFonts w:ascii="宋体" w:eastAsia="宋体" w:hAnsi="宋体" w:cs="宋体"/>
          <w:b/>
          <w:color w:val="FF0000"/>
          <w:szCs w:val="24"/>
        </w:rPr>
        <w:t>. NPJ Antimicrob Resist. 2026 Aug 18;4(1):47. doi: 10.1038/s44259-026-00238-z.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Antimicrobial peptides for tuberculosis in a post-antibiotic era: from in vitro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promise to therapeutic potential.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Dominic G(1), Sabino YNV(2), Famous M(2)(3), Fagunwa OE(2), Wheatley RM(2),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Bauer R(4), Hingley-Wilson S(5), Oyama LB(6).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(1)Institute for Global Food Security, School of Biological Sciences, Queen's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University Belfast, Belfast, UK. gdominic01@qub.ac.uk.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(2)Institute for Global Food Security, School of Biological Sciences, Queen's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University Belfast, Belfast, UK.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(3)Department of Animal Science, Khulna Agricultural University, Khulna,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Bangladesh.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(4)University of Strathclyde, Technology &amp; Innovation Centre, Glasgow, UK.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(5)School of Biosciences, University of Surrey, Guildford, Surrey, UK.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s.hingley-wilson@surrey.ac.uk.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(6)Institute for Global Food Security, School of Biological Sciences, Queen's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University Belfast, Belfast, UK. l.oyama@qub.ac.uk.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Tuberculosis remains the leading cause of death from a single infectious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pathogen, driven by prolonged treatment regimens and escalating drug resistance.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Antimicrobial peptides represent a promising alternative therapeutic class with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diverse mechanisms and limited resistance emergence. This review distinguishes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anti-mycobacterial from anti-Mycobacterium tuberculosis peptides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systematically analyses 22 candidates curated in the APD6 alongside additional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literature reports. We evaluate their structural and physicochemical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determinants of activity, mechanistic evidence in vitro and in vivo, and synergy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with conventional agents. Finally, we discuss rational design strategies,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machine learning-guided optimisation, and translational barriers that must be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overcome to realise peptide-based tuberculosis therapeutics.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2026. The Author(s).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10.1038/s44259-026-00238-z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PMCID: PMC13487149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42613358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C5E71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31</w:t>
      </w:r>
      <w:r w:rsidR="007A20D0" w:rsidRPr="007C5E71">
        <w:rPr>
          <w:rFonts w:ascii="宋体" w:eastAsia="宋体" w:hAnsi="宋体" w:cs="宋体"/>
          <w:b/>
          <w:color w:val="FF0000"/>
          <w:szCs w:val="24"/>
        </w:rPr>
        <w:t xml:space="preserve">. Pediatrics. 2026 Aug 19:e2025074675. doi: 10.1542/peds.2025-074675. </w:t>
      </w:r>
      <w:r w:rsidR="007C5E71" w:rsidRPr="007C5E71">
        <w:rPr>
          <w:rFonts w:ascii="宋体" w:eastAsia="宋体" w:hAnsi="宋体" w:cs="宋体"/>
          <w:b/>
          <w:color w:val="FF0000"/>
          <w:szCs w:val="24"/>
        </w:rPr>
        <w:t xml:space="preserve">Online ahead </w:t>
      </w:r>
      <w:r w:rsidR="007A20D0" w:rsidRPr="007C5E71">
        <w:rPr>
          <w:rFonts w:ascii="宋体" w:eastAsia="宋体" w:hAnsi="宋体" w:cs="宋体"/>
          <w:b/>
          <w:color w:val="FF0000"/>
          <w:szCs w:val="24"/>
        </w:rPr>
        <w:t>of print.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Congenital Tuberculosis in a 2-Week-Old Neonate With an Asymptomatic Mother.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Pavalagantharajah S(1), Ahmed SU(2), Hummel B(2)(3), Malhi R(2)(3), Pernica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JM(2)(3)(4).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(1)The Hospital for Sick Children, Toronto, Ontario, Canada.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(2)McMaster University Department of Pediatrics, Hamilton, Ontario, Canada.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(3)McMaster Children's Hospital, Hamilton, Ontario, Canada.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(4)McMaster University Department of Health Research Methods, Evidence,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Impact, Hamilton, Ontario, Canada.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Congenital tuberculosis (TB) is a rare condition, and diagnosis is challenging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due to its nonspecific clinical presentation and rarity. It has a very high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case-fatality rate (estimated at 30%-50%). We report the case of a 2-week-old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male neonate, born from an uncomplicated diamniotic, dichorionic twin pregnancy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at 36 weeks 1 day's gestation, who presented with poor feeding and low-grade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fever. Blood, urine, and cerebrospinal fluid (CSF) cultures, as well as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nasopharyngeal and CSF viral polymerase chain reactions were negative. However,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persistent poor feeding and rising inflammatory markers prompted continued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hospitalization. On the fourth day of admission, he developed acute hypoxemic,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hypercarbic respiratory failure with apneas and progressive lung parenchymal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disease requiring intubation. The diagnosis of congenital TB was confirmed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through endotracheal aspirates. He was initiated on TB treatment but ultimately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developed a paradoxical reaction, requiring readmission and initiation of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corticosteroids. His mother, father, and twin brother were initially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asymptomatic. His twin was subsequently admitted to the hospital and was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diagnosed with congenital TB as well. His mother was ultimately diagnosed with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genitourinary TB based on an endometrial biopsy. This case contributes to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limited literature on congenital TB, highlighting the broad clinical spectrum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and complications in managing the disease. Additionally, the unique presentation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of disseminated congenital TB in an infant with an asymptomatic mother and 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fraternal twin who initially did not require hospitalization underscores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importance of heightened awareness of tuberculosis during pregnancy,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particularly in populations at risk, to facilitate early diagnosis and prevent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perinatal transmission.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Copyright © 2026 by the American Academy of Pediatrics.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10.1542/peds.2025-074675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42613046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C5E71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32</w:t>
      </w:r>
      <w:r w:rsidR="007A20D0" w:rsidRPr="007C5E71">
        <w:rPr>
          <w:rFonts w:ascii="宋体" w:eastAsia="宋体" w:hAnsi="宋体" w:cs="宋体"/>
          <w:b/>
          <w:color w:val="FF0000"/>
          <w:szCs w:val="24"/>
        </w:rPr>
        <w:t xml:space="preserve">. Int J Biol Macromol. 2026 Aug 18:154061. doi: 10.1016/j.ijbiomac.2026.154061. </w:t>
      </w:r>
    </w:p>
    <w:p w:rsidR="007A20D0" w:rsidRPr="007C5E71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7C5E71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Conformational switching of Trp399 regulates opening and closing of loop-1 in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>galactofuranosyl transferase 2 of Mycobacterium tuberculosis.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Ali Y(1), Sánchez-Murcia PA(2), Kozmon S(3).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(1)Institute of Chemistry Slovak Academy of Sciences, Dúbravská cesta 9, 845 38,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Bratislava, Slovakia; Laboratory of Computer-Aided Molecular Design, Division of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Medicinal Chemistry, Otto-Loewi Research Center, Medical University of Graz,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Stiftingtalstrasse 6/III, Graz, 8010, Austria.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(2)Laboratory of Computer-Aided Molecular Design, Division of Medicinal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Chemistry, Otto-Loewi Research Center, Medical University of Graz,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Stiftingtalstrasse 6/III, Graz, 8010, Austria; BioTechmed-Graz, Mozartgasse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12/II, Graz, 8010, Austria. Electronic address: pedro.murcia@medunigraz.at.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(3)Institute of Chemistry Slovak Academy of Sciences, Dúbravská cesta 9, 845 38,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Bratislava, Slovakia. Electronic address: chemsksa@savba.sk.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Mycobacterial cell-wall assembly depends on multiple glycosyltransferases among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which the processive galactofuranosyl transferase 2 (GlfT2) executes alternating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 w:hint="eastAsia"/>
          <w:color w:val="000000" w:themeColor="text1"/>
          <w:szCs w:val="24"/>
        </w:rPr>
        <w:t>β</w:t>
      </w:r>
      <w:r w:rsidRPr="007A20D0">
        <w:rPr>
          <w:rFonts w:ascii="宋体" w:eastAsia="宋体" w:hAnsi="宋体" w:cs="宋体"/>
          <w:color w:val="000000" w:themeColor="text1"/>
          <w:szCs w:val="24"/>
        </w:rPr>
        <w:t>(1</w:t>
      </w:r>
      <w:r w:rsidRPr="007A20D0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7A20D0">
        <w:rPr>
          <w:rFonts w:ascii="宋体" w:eastAsia="宋体" w:hAnsi="宋体" w:cs="宋体" w:hint="eastAsia"/>
          <w:color w:val="000000" w:themeColor="text1"/>
          <w:szCs w:val="24"/>
        </w:rPr>
        <w:t>→</w:t>
      </w:r>
      <w:r w:rsidRPr="007A20D0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7A20D0">
        <w:rPr>
          <w:rFonts w:ascii="宋体" w:eastAsia="宋体" w:hAnsi="宋体" w:cs="宋体"/>
          <w:color w:val="000000" w:themeColor="text1"/>
          <w:szCs w:val="24"/>
        </w:rPr>
        <w:t>5) and β(1</w:t>
      </w:r>
      <w:r w:rsidRPr="007A20D0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7A20D0">
        <w:rPr>
          <w:rFonts w:ascii="宋体" w:eastAsia="宋体" w:hAnsi="宋体" w:cs="宋体" w:hint="eastAsia"/>
          <w:color w:val="000000" w:themeColor="text1"/>
          <w:szCs w:val="24"/>
        </w:rPr>
        <w:t>→</w:t>
      </w:r>
      <w:r w:rsidRPr="007A20D0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6) transfers of galactofuranose (Galf) within a single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catalytic site through an oxocarbenium-like transition state. Despite the well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characterized SN2-like chemistry of GlfT2, the role of loop-1 dynamics in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regulating substrate binding and processivity remains poorly understood. Here,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we modeled the ternary complex of GlfT2 with UDP-Galf and a galactan acceptor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(n</w:t>
      </w:r>
      <w:r w:rsidRPr="007A20D0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7A20D0">
        <w:rPr>
          <w:rFonts w:ascii="宋体" w:eastAsia="宋体" w:hAnsi="宋体" w:cs="宋体"/>
          <w:color w:val="000000" w:themeColor="text1"/>
          <w:szCs w:val="24"/>
        </w:rPr>
        <w:t>=</w:t>
      </w:r>
      <w:r w:rsidRPr="007A20D0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3) to show that loop-1 undergoes conformational gating governed by Trp399.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This residue acts as a conformational pivot, stabilizing the acceptor through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CH-π interactions in a compact closed state and facilitating the post-reaction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rearrangement toward an open state compatible with acceptor translocation. These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states are defined by distinct Trp399 side chain conformations and are separated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by a shallow free energy difference (~1</w:t>
      </w:r>
      <w:r w:rsidRPr="007A20D0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7A20D0">
        <w:rPr>
          <w:rFonts w:ascii="宋体" w:eastAsia="宋体" w:hAnsi="宋体" w:cs="宋体"/>
          <w:color w:val="000000" w:themeColor="text1"/>
          <w:szCs w:val="24"/>
        </w:rPr>
        <w:t>kcal</w:t>
      </w:r>
      <w:r w:rsidRPr="007A20D0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mol-1), enabling dynamic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interconversion. Markov state modeling shows that transitions between the closed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and open loop-1 states occur on the nanosecond timescale, with a reactive mean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first passage time of 42.5</w:t>
      </w:r>
      <w:r w:rsidRPr="007A20D0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ns. This rearrangement proceeds through both direct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and an intermediate-mediated pathways, contributing 54.2% and 45.8% of the total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reactive flux, respectively. Together, these findings support a mechanistic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model in which Trp399-mediated loop-1 plasticity couples substrate stabilization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with post-reaction rearrangement, providing new insight into the processive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elongation mechanism of GlfT2.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Copyright © 2026. Published by Elsevier B.V.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10.1016/j.ijbiomac.2026.154061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42612939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C5E71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33</w:t>
      </w:r>
      <w:r w:rsidR="007A20D0" w:rsidRPr="007C5E71">
        <w:rPr>
          <w:rFonts w:ascii="宋体" w:eastAsia="宋体" w:hAnsi="宋体" w:cs="宋体"/>
          <w:b/>
          <w:color w:val="FF0000"/>
          <w:szCs w:val="24"/>
        </w:rPr>
        <w:t xml:space="preserve">. Lancet Infect Dis. 2026 Aug 18:S1473-3099(26)00374-9. doi: </w:t>
      </w:r>
    </w:p>
    <w:p w:rsidR="007A20D0" w:rsidRPr="007C5E71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7C5E71">
        <w:rPr>
          <w:rFonts w:ascii="宋体" w:eastAsia="宋体" w:hAnsi="宋体" w:cs="宋体"/>
          <w:b/>
          <w:color w:val="FF0000"/>
          <w:szCs w:val="24"/>
        </w:rPr>
        <w:lastRenderedPageBreak/>
        <w:t>10.1016/S1473-3099(26)00374-9. Online ahead of print.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Comparison of VPM1002 with BCG in the prevention of tuberculosis in newborn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infants: a multicentre, double-blind, randomised, phase 3, non-inferiority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trial.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Nduba V(1), Mathebula M(2), Nankabirwa V(3), Dempster M(4), Mhimbira F(5), Sabi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I(6), Wajja A(7), Cotton MF(8), Barnabas S(8), Adegnika AA(9), Kaufmann SHE(10),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Brückner S(11), May M(12), Höß CW(12), Revathy M(13), Niranjan V(14), Bhargava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A(15), Gupta M(16), Kapse D(16), Desai S(16), Grode L(12), Kulkarni PS(16),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Shaligram U(16); priMe consortium.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Collaborators: Kisinda A, Bhargava A, Namuwonge AR, Elliott A, L Willa A,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Gutschmidt A, Meinema A, Wajja A, Adegnika AA, Adegbite BR, Huglin B, Lamsfus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Calle C, Höß CW, Kapse D, Egger-Adam D, Noko D, Dobbles E, Mhimbira F, Walzl G,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Nandudu GM, Ramboho I, Sabi I, Mirera J, Meiring J, Weiner J, Edoa JR, Hella J,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Kiuri J, Robertson K, Davidow L, Grode L, Buluma LR, Gupta M, Nchabeleng M, May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M, Holleman M, Cotton MF, Mathebula M, Dempster M, Mwale M, Twinamasiko N,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Olesen OF, Kremsner PG, Kulkarni PS, Adamou R, Ngailo R, Strehlau R, M R, N'noh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Dansou Akoua REM, Fendel R, Desai S, Fry S, Barnabas S, Brückner S, Kaufmann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SHE, Zumba T, Shaligram U, Namazzi V, Nankabirwa V, Nduba V, Niranjan V.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(1)Kenya Medical Research Institute/Center for Respiratory Disease Research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(KEMRI/CRDR), Nairobi and Siaya, Kenya.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(2)Medunsa Clinical Research Unit (MeCRU), Sefako Makgatho Health Sciences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University, Pretoria, Gauteng, South Africa.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(3)Makerere University/CISMAC School of Public Health (Makerere), Kampala,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Uganda; Vilirana Hospital, Kampala, Uganda.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(4)Vaccines and Infectious Diseases Analytics (WITS VIDA) Research Unit,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University of the Witwatersrand, Soweto, South Africa; Department of Paediatrics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and Child Health, School of Clinical Medicine, Faculty of Health Sciences,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University of the Witwatersrand, Johannesburg, South Africa.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(5)Ifakara Health Institute (IHI), Ifakara, Tanzania.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(6)The National Institute for Medical Research-Mbeya Medical Research Center,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Mbeya, Tanzania.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(7)Medical Research Council/Uganda Virus Research Institute and London School of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Hygiene &amp; Tropical Medicine (MRC/UVRI and LSHTM) Uganda Research Unit, Entebbe,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Uganda.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(8)Family Center for Research with Ubuntu (FAMCRU), Stellenbosch University,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Cape Town, Western Cape, South Africa.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(9)Centre de Recherches Médicales de Lambaréné (CERMEL), Lambaréné, Gabon;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Institute of Tropical Medicine, Universitätsklinikum Tübingen, Universität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Tübingen, Tübingen, Germany; German Center for Infection Research (DZIF),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>partner site Tübingen, Tübingen, Germany.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(10)Max Planck Institute for Infection Biology, Berlin, Germany; Max Planck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Institute for Multidisciplinary Sciences, Göttingen, Germany; Charité -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Universitätsmedizin Berlin, Berlin, Germany.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(11)Serum Life Science Europe, Hanover, Germany. Electronic address: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brueckner@sls-eu.com.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(12)Serum Life Science Europe, Hanover, Germany.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(13)Aseesa, South San Francisco, CA, USA; Narsee Monjee Institute of Management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Studies, Bengaluru, India.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(14)Aseesa, South San Francisco, CA, USA; MIT Vishwaprayag University, Solapur,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Maharashtra, India.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(15)Aseesa, South San Francisco, CA, USA; Center for Reproductive Sciences,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Department of ObGyn, University of California San Francisco, San Francisco, CA,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USA.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(16)Serum Institute of India, Pune, India.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C5E71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Although BCG provides protection against severe forms of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tuberculosis in children, its efficacy against pulmonary tuberculosis in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adolescents and adults is highly variable, and it offers limited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inconsistent protection against infection and transmission. VPM1002 is 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recombinant BCG vaccine that showed manageable toxicity and immunogenicity in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phase 1 trials in adults and in phase 2 trials in South African newborns. We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compared VPM1002 with BCG for the prevention of Mycobacterium tuberculosis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infection in infants.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C5E71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This double-blind, randomised, active-controlled, phase 3 trial was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conducted at ten main sites and four satellite sites in sub-Saharan Africa,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ranging from rural to urban settings, with experience in tuberculosis trials.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Healthy newborn infants, aged 0-14 days and with a birthweight of at least 2·3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kg, were randomly assigned (1:1) to receive single 0·05 mL doses of either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VPM1002 or BCG, administered intradermally. Follow-up was extended from 36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months up to 48 months (due to the lower than expected event rate) or until 632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cases of M tuberculosis had accrued. The randomisation was done centrally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through an interactive web response system and allocation was stratified by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maternal HIV status at a 1:10 ratio, using a permuted block design with variable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block sizes. Only the site personnel involved in preparation and administration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of the vaccines were not masked to the trial. Mothers were aged 18 years or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older, free from active tuberculosis, and without household contact with an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individual with tuberculosis within the 3 months before enrolment. Neonates were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excluded for any fever, acute or chronic illness, congenital malformation,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substantial skin lesion or infection at the site of injection, or previous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receipt of routine BCG vaccination. The primary endpoint was non-inferiority of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VPM1002 versus BCG for prevention of M tuberculosis infection, defined by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incident QuantiFERON-TB Gold Plus (QFT; an interferon-γ release assay [IGRA])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conversion, assessed every 6 months from month 6 until the final visit and more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frequently in suspected cases of tuberculosis. In the time-to-event efficacy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analysis, participants with missing event occurrence data were censored at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last timepoint for which there was no clear evidence of the event occurrence.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The primary efficacy analysis was in the per-protocol population (randomly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assigned, vaccinated participants with at least one post-vaccination result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no major efficacy-relevant protocol deviations) with a supportive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intention-to-treat analysis of all randomly assigned participants; both were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analysed as assigned. As estimates were concordant, intention-to-treat results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are presented. Safety was analysed as treated in all vaccinated participants.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Non-inferiority required the upper bound of the 95% CI for the hazard ratio (HR)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to be less than 1·25. The trial was registered on ClinicalTrials.gov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(NCT04351685) and PACTR (PACTR202007868402718) and is complete.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C5E71">
        <w:rPr>
          <w:rFonts w:ascii="宋体" w:eastAsia="宋体" w:hAnsi="宋体" w:cs="宋体"/>
          <w:b/>
          <w:color w:val="000000" w:themeColor="text1"/>
          <w:szCs w:val="24"/>
        </w:rPr>
        <w:t xml:space="preserve">FINDINGS: 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Between Nov 9, 2020, and June 21, 2022, we enrolled 6950 infants.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trial was terminated early in October, 2024, due to a lower than expected QFT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conversion rate. After the withdrawal of ten infants, 6940 were randomly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assigned to treatment, including 720 infants born to mothers living with HIV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6220 HIV-unexposed infants. Overall, 3449 male and 3491 female infants were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included in the intention-to-treat population. 6897 infants received vaccination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(3452 received VPM1002 and 3445 received BCG). Median follow-up was 35 months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(IQR 30-38). QFT conversion occurred in 184 (5·3%) of 3471 infants in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VPM1002 group and 150 (4·3%) of 3469 infants in the BCG group. Cox proportional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hazards regression analysis (VPM1002 vs BCG) revealed VPM1002 was not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non-inferior to BCG, with an HR of 1·23 (95% CI 0·99-1·53). Adverse event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profiles, including serious adverse events and deaths, were similar between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groups; no vaccine-related serious adverse events were reported.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C5E71">
        <w:rPr>
          <w:rFonts w:ascii="宋体" w:eastAsia="宋体" w:hAnsi="宋体" w:cs="宋体"/>
          <w:b/>
          <w:color w:val="000000" w:themeColor="text1"/>
          <w:szCs w:val="24"/>
        </w:rPr>
        <w:t>INTERPRETATION: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VPM1002 did not show non-inferiority to BCG on the primary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endpoint of QFT conversion. Because fewer infections occurred than expected (334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of 632 planned events, despite extending the duration to 48 months), the trial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did not have sufficient statistical certainty to definitively compare the two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vaccines. Moreover, discordance between the QFT surrogate and confirmed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tuberculosis endpoints, approximately 33·0% higher household tuberculosis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exposure in the VPM1002 group, and violation of the proportional hazards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assumption when tuberculosis exposure was included as a covariate (that is,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effect of tuberculosis exposure on QFT conversion was not constant over time,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precluding reliable HR estimation without penalised modelling) collectively add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to this uncertainty. Both vaccines showed similar adverse event profiles. These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findings highlight challenges in using IGRA-defined infection endpoints in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infant vaccine trials.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C5E71">
        <w:rPr>
          <w:rFonts w:ascii="宋体" w:eastAsia="宋体" w:hAnsi="宋体" w:cs="宋体"/>
          <w:b/>
          <w:color w:val="000000" w:themeColor="text1"/>
          <w:szCs w:val="24"/>
        </w:rPr>
        <w:t>FUNDING: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European and Developing Countries Clinical Trials Partnership 2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(EDCTP2) programme (RIA2016V-1645-priMe), supported by the European Union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co-funded by Deutsches Zentrum für Luft- und Raumfahrt (DLR) and the European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Investment Bank (EIB).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Copyright © 2026 Elsevier Ltd. All rights reserved, including those for text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>data mining, AI training, and similar technologies.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10.1016/S1473-3099(26)00374-9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42612668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C5E71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34</w:t>
      </w:r>
      <w:r w:rsidR="007A20D0" w:rsidRPr="007C5E71">
        <w:rPr>
          <w:rFonts w:ascii="宋体" w:eastAsia="宋体" w:hAnsi="宋体" w:cs="宋体"/>
          <w:b/>
          <w:color w:val="FF0000"/>
          <w:szCs w:val="24"/>
        </w:rPr>
        <w:t xml:space="preserve">. Lancet Infect Dis. 2026 Aug 18:S1473-3099(26)00412-3. doi: </w:t>
      </w:r>
    </w:p>
    <w:p w:rsidR="007A20D0" w:rsidRPr="007C5E71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7C5E71">
        <w:rPr>
          <w:rFonts w:ascii="宋体" w:eastAsia="宋体" w:hAnsi="宋体" w:cs="宋体"/>
          <w:b/>
          <w:color w:val="FF0000"/>
          <w:szCs w:val="24"/>
        </w:rPr>
        <w:t>10.1016/S1473-3099(26)00412-3. Online ahead of print.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Lessons from another negative tuberculosis vaccine trial.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McShane H(1).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(1)Nuffield Department of Medicine, University of Oxford, Oxford, OX3 7DQ, UK.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Electronic address: helen.mcshane@ndm.ox.ac.uk.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10.1016/S1473-3099(26)00412-3</w:t>
      </w:r>
    </w:p>
    <w:p w:rsidR="007A20D0" w:rsidRPr="007A20D0" w:rsidRDefault="007C5E71" w:rsidP="007A20D0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42612666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C5E71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35</w:t>
      </w:r>
      <w:r w:rsidR="007A20D0" w:rsidRPr="007C5E71">
        <w:rPr>
          <w:rFonts w:ascii="宋体" w:eastAsia="宋体" w:hAnsi="宋体" w:cs="宋体"/>
          <w:b/>
          <w:color w:val="FF0000"/>
          <w:szCs w:val="24"/>
        </w:rPr>
        <w:t xml:space="preserve">. PLoS One. 2026 Aug 18;21(8):e0325868. doi: 10.1371/journal.pone.0325868. </w:t>
      </w:r>
    </w:p>
    <w:p w:rsidR="007A20D0" w:rsidRPr="007C5E71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7C5E71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Tertiary-care management of TB/HIV co-infection in Port Harcourt, Nigeria: 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retrospective cohort analysis.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Nnadozie PC(1)(2), Nnadozie SC(2)(3), Awopeju AT(4), Ojule IN(5).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(1)Department of Global Public Health &amp; Primary Care, Centre for International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Health, University of Bergen, Bergen, Norway.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(2)Public Health Society Against Infectious Diseases (PHSAID), Elimgbu, Port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Harcourt, Rivers State, Nigeria.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(3)Department of Physical Activity and Health, Occupational Science, Norwegian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University of Science and Technology, Trondheim, Norway.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(4)Department of Medical Microbiology, University of Port Harcourt Teaching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Hospital, Port Harcourt, Nigeria.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(5)Department of Community Medicine, University of Port Harcourt Teaching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Hospital, Port Harcourt, Nigeria.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C5E71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Monitoring the treatment of tuberculosis(TB) and human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immunodeficiency virus(HIV) co-infection is very important to improve patient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management and compliance; however, treatment outcome monitoring remains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inadequate in Nigeria. This study assessed the treatment outcomes of registered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TB/HIV co-infected patients enrolled in the Directly Observed Treatment Short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>course(DOTS) program.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C5E71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 retrospective study was conducted in a tertiary-care hospital in Port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Harcourt, Nigeria from January 1, 2014 to December 31, 2019. Data were extracted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from the National TB program register and analyzed using the statistical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software package(IBM SPSS version30.0). Bivariate and multivariate logistic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regressions were used to identify factors associated with treatment outcomes at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95% confidence intervals.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C5E71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Among 305(37.4%) TB/HIV co-infected patients, the mean age was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29.2years, with 29.8% in the 0-14 age group, 89.5% new cases, and 89.2%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pulmonary TB(PTB) cases. Males(50.2%) slightly outnumbered females(49.8%).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Antiretroviral therapy(ART) and cotrimoxazole preventive therapy(CPT) uptake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were high(95.1% and 93.4%, respectively). Treatment outcomes were: 19.0% cured,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23.3% completed treatment, 0.3% failed treatment, 23.6% died, 14.8% lost to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follow-up, 10.8% transferred out, and 8.2% not evaluated. Overall, treatment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success rate was 52.2%. Age(15-24 years: adjusted odds ratio [AOR]=6.35,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95%CI:1.56-25.86; 25-34 years: AOR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7A20D0">
        <w:rPr>
          <w:rFonts w:ascii="宋体" w:eastAsia="宋体" w:hAnsi="宋体" w:cs="宋体"/>
          <w:color w:val="000000" w:themeColor="text1"/>
          <w:szCs w:val="24"/>
        </w:rPr>
        <w:t>=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3.97, 95%CI:1.37-11.45; and 45-54 years: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AOR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7A20D0">
        <w:rPr>
          <w:rFonts w:ascii="宋体" w:eastAsia="宋体" w:hAnsi="宋体" w:cs="宋体"/>
          <w:color w:val="000000" w:themeColor="text1"/>
          <w:szCs w:val="24"/>
        </w:rPr>
        <w:t>=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7A20D0">
        <w:rPr>
          <w:rFonts w:ascii="宋体" w:eastAsia="宋体" w:hAnsi="宋体" w:cs="宋体"/>
          <w:color w:val="000000" w:themeColor="text1"/>
          <w:szCs w:val="24"/>
        </w:rPr>
        <w:t>6.40, 95%CI:2.27-18.06) and alternative diagnostic method(AOR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7A20D0">
        <w:rPr>
          <w:rFonts w:ascii="宋体" w:eastAsia="宋体" w:hAnsi="宋体" w:cs="宋体"/>
          <w:color w:val="000000" w:themeColor="text1"/>
          <w:szCs w:val="24"/>
        </w:rPr>
        <w:t>=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0.32,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95%CI:0.12-0.76) were significantly associated with unsuccessful treatment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outcomes.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C5E71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The treatment success rate of TB/HIV co-infected patients was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relatively low and fell below the World Health Organization's (WHO) target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despite high uptake of ART and CPT. Study underscores the need for integrating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targeted interventions, including alternative diagnostic methods, into clinical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practice and policy to improve treatment outcomes among TB/HIV co-infected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patients, particularly in specific age groups.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Copyright: © 2026 Nnadozie et al. This is an open access article distributed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under the terms of the Creative Commons Attribution License, which permits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unrestricted use, distribution, and reproduction in any medium, provided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original author and source are credited.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10.1371/journal.pone.0325868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PMCID: PMC13484985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42611849 [Indexed for MEDLINE]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C5E71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36</w:t>
      </w:r>
      <w:r w:rsidR="007A20D0" w:rsidRPr="007C5E71">
        <w:rPr>
          <w:rFonts w:ascii="宋体" w:eastAsia="宋体" w:hAnsi="宋体" w:cs="宋体"/>
          <w:b/>
          <w:color w:val="FF0000"/>
          <w:szCs w:val="24"/>
        </w:rPr>
        <w:t>. Microbiol Spectr. 2026 Aug 18:e0101826. doi: 10.</w:t>
      </w:r>
      <w:r w:rsidR="007C5E71">
        <w:rPr>
          <w:rFonts w:ascii="宋体" w:eastAsia="宋体" w:hAnsi="宋体" w:cs="宋体"/>
          <w:b/>
          <w:color w:val="FF0000"/>
          <w:szCs w:val="24"/>
        </w:rPr>
        <w:t xml:space="preserve">1128/spectrum.01018-26. Online </w:t>
      </w:r>
      <w:r w:rsidR="007A20D0" w:rsidRPr="007C5E71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Adaptation of the molecular bacterial load assay for real-time quantification of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Mycobacterium tuberculosis in the clinical routine laboratory.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Andersson B(1), Kholod V(2), Jonsson Nordvall M(1)(2), Braian C(1), Kumar R(1),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Niward K(1)(3), Schön T(1)(3)(4).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(1)Department of Biomedical and Clinical Sciences, Division of Inflammation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Infection, Linköping University, Linköping, Sweden.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(2)Department of Clinical Microbiology, Linköping University Hospital,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Linköping, Sweden.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(3)Department of Infectious Diseases, Linköping University Hospital, Linköping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University, Linköping, Sweden.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(4)Department of Infectious Diseases, Kalmar County Hospital, Linköping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University, Kalmar, Sweden.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Rapid quantification of Mycobacterium tuberculosis (Mtb) is important for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monitoring bacterial load during treatment and in clinical studies.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molecular bacterial load assay detecting Mtb 16S ribosomal RNA (TB-MBLA) can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quantify mycobacterial load within hours. As the current TB-MBLA protocol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includes highly toxic chemicals and manual RNA extraction, we aimed to optimize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TB-MBLA for routine clinical laboratories. We compared several strategies to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inactivate Mtb in sputum samples, which would facilitate analysis outside a BSL3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laboratory. Heating at 80°C for 20 min was the most efficient inactivation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strategy, whereas GTC-DTT and 1 M NaOH failed to inactivate Mtb sufficiently. We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used Mtb-inoculated sputum samples to compare manual phenol-chloroform RNA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extraction, as recommended by the TB-MBLA protocol, to an automated magnetic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bead-based extraction. Automated RNA extraction reduced total analysis time by 2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h and performed equally to phenol-chloroform extraction, with a detection limit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of close to 100 CFU in 10-fold dilution series (mean Ct value: 36.0 ± 1.4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automated versus 33.5 ± 3.6 manual, n = 6). Freezing samples in lysis buffer up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to 14 days did not affect TB-MBLA performance (mean Ct value: 22.6 ± 0.3 fresh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versus 22.6 ± 0.6 frozen, n = 6). The final TB-MBLA protocol quantified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bacterial load up to 11 days faster than time-to-positive culture (TTP) (mean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TTP: 11 days, 2-24 days, n = 9) in sputum from patients with pulmonary TB. We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adapted the TB-MBLA method for faster throughput in a routine clinical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laboratory by using inactivation at 80°C for 20 min, followed by automated RNA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extraction, achieving equal sensitivity compared to the original TB-MBLA method,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and avoiding manual extraction and toxic reagents.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C5E71">
        <w:rPr>
          <w:rFonts w:ascii="宋体" w:eastAsia="宋体" w:hAnsi="宋体" w:cs="宋体"/>
          <w:b/>
          <w:color w:val="000000" w:themeColor="text1"/>
          <w:szCs w:val="24"/>
        </w:rPr>
        <w:t>IMPORTANCE: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The current tuberculosis molecular bacterial load assay (TB-MBLA)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protocol relies on toxic chemicals and manual RNA extraction, making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procedure both time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‑</w:t>
      </w:r>
      <w:r w:rsidRPr="007A20D0">
        <w:rPr>
          <w:rFonts w:ascii="宋体" w:eastAsia="宋体" w:hAnsi="宋体" w:cs="宋体"/>
          <w:color w:val="000000" w:themeColor="text1"/>
          <w:szCs w:val="24"/>
        </w:rPr>
        <w:t>consuming and labor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‑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intensive. We optimized and validated 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faster TB-MBLA strategy, which can be adapted for routine clinical laboratories,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including inactivation by heating, to facilitate implementation in settings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without a BSL3 laboratory.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10.1128/spectrum.01018-26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42610705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C5E71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37</w:t>
      </w:r>
      <w:r w:rsidR="007A20D0" w:rsidRPr="007C5E71">
        <w:rPr>
          <w:rFonts w:ascii="宋体" w:eastAsia="宋体" w:hAnsi="宋体" w:cs="宋体"/>
          <w:b/>
          <w:color w:val="FF0000"/>
          <w:szCs w:val="24"/>
        </w:rPr>
        <w:t>. mSphere. 2026 Aug 18:e0022826. doi: 10.1128/msp</w:t>
      </w:r>
      <w:r w:rsidR="007C5E71">
        <w:rPr>
          <w:rFonts w:ascii="宋体" w:eastAsia="宋体" w:hAnsi="宋体" w:cs="宋体"/>
          <w:b/>
          <w:color w:val="FF0000"/>
          <w:szCs w:val="24"/>
        </w:rPr>
        <w:t xml:space="preserve">here.00228-26. Online ahead </w:t>
      </w:r>
      <w:r w:rsidR="007C5E71">
        <w:rPr>
          <w:rFonts w:ascii="宋体" w:eastAsia="宋体" w:hAnsi="宋体" w:cs="宋体"/>
          <w:b/>
          <w:color w:val="FF0000"/>
          <w:szCs w:val="24"/>
        </w:rPr>
        <w:lastRenderedPageBreak/>
        <w:t xml:space="preserve">of </w:t>
      </w:r>
      <w:r w:rsidR="007A20D0" w:rsidRPr="007C5E71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Airflow constraints govern natural airborne transmission of tuberculosis.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Naqvi KF(1), Guo Y(#)(2), Kulkarni Y(#)(3), Sapkota D(2), Lu P(1), Wang S(2),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Dias BRS(1), Ektnitphong VA(1), Martin AE(1), Evers BM(4), Lu LL(1)(5), Ouyang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H(2), Bourouiba L(3), Shiloh MU(1)(6).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(1)Department of Internal Medicine, University of Texas Southwestern Medical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Center, Dallas, Texas, USA.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(2)Department of Mechanical Engineering, University of Texas at Dallas,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Richardson, Texas, USA.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(3)The Fluid Dynamics of Disease Transmission Laboratory, Fluids and Health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Network, Massachusetts Institute of Technology, Cambridge, Massachusetts, USA.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(4)Department of Pathology, University of Texas Southwestern Medical Center,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Dallas, Texas, USA.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(5)Department of Immunology, University of Texas Southwestern Medical Center,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Dallas, Texas, USA.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(6)Department of Microbiology, University of Texas Southwestern Medical Center,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Dallas, Texas, USA.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Tuberculosis (TB) spreads through the air, yet the physical conditions that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permit effective airborne transmission remain poorly defined. Although early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20th-century guinea pig studies demonstrated efficient transmission of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Mycobacterium tuberculosis (Mtb), this experimental paradigm has not been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reestablished in modern high-containment facilities. Here, we show that airflow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can impose constraints that suppress or permit biologically effective exposure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between infected and susceptible hosts. Using a guinea pig model of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animal-to-animal exposure, we combined transmission experiments with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quantitative particle tracking and particle transport modeling to explain why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some housing configurations fail to support effective exposure. Static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environments and excessive unidirectional airflow prevented transmission,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whereas controlled low-velocity airflow restored evidence of exposure, including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tuberculin skin test conversion, antigen-specific immune responses,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pulmonary inflammation consistent with early infection. These findings identify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airflow as a critical constraint on airborne TB transmission and establish 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reproducible experimental framework for dissecting host, microbial,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environmental determinants of spread.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C5E71">
        <w:rPr>
          <w:rFonts w:ascii="宋体" w:eastAsia="宋体" w:hAnsi="宋体" w:cs="宋体"/>
          <w:b/>
          <w:color w:val="000000" w:themeColor="text1"/>
          <w:szCs w:val="24"/>
        </w:rPr>
        <w:t>IMPORTANCE: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Tuberculosis remains one of the leading causes of death from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infectious disease worldwide, and its spread depends on airborne transmission of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Mycobacterium tuberculosis. Yet surprisingly little is known about the physical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conditions that determine when transmission actually occurs. Classic experiments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in guinea pigs demonstrated airborne spread of tuberculosis, but these systems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have been difficult to reproduce in modern high-containment laboratories. In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this study, we show that airflow conditions can determine whether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pathogen-containing aerosols persist long enough to expose a susceptible host.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By identifying airflow as a key constraint on transmission and establishing an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experimental system that functions under contemporary biosafety conditions, this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work provides a platform to experimentally dissect how microbial, host,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environmental factors interact to shape tuberculosis spread.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10.1128/msphere.00228-26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42610704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C5E71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38</w:t>
      </w:r>
      <w:r w:rsidR="007A20D0" w:rsidRPr="007C5E71">
        <w:rPr>
          <w:rFonts w:ascii="宋体" w:eastAsia="宋体" w:hAnsi="宋体" w:cs="宋体"/>
          <w:b/>
          <w:color w:val="FF0000"/>
          <w:szCs w:val="24"/>
        </w:rPr>
        <w:t>. mBio. 2026 Aug 18:e0169226. doi: 10.1128/mbio.01692-26. Online ahead of print.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The bacterial pH gradient contributes to persistence in Mycobacterium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tuberculosis.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Eldesouky HE(1), Adams KN(1), Brache JK(1), Aguila LKT(1), Garcia M(1), Xing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E(2), Li P-K(2), Sherman DR(1).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(1)Department of Microbiology, University of Washington, Seattle, Washington,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USA.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(2)Division of Medicinal Chemistry and Pharmacognosy, College of Pharmacy,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Ohio State University, Columbus, Ohio, USA.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Tuberculosis (TB) remains difficult to cure due in part to poorly defined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drug-tolerant persister cells formed by Mycobacterium tuberculosis (Mtb), which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survive antibiotic treatment without evidence of genetic resistance. To better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define this phenotype, we screened 2,336 U.S. Food and Drug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Administration-approved drugs for compounds that target persistence.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Unexpectedly, we identified a strong inducer of drug tolerance-the antiparasitic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niclosamide (NCA), which is known to disrupt proton motive force. In contrast to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earlier reports that it harbors promising anti-TB activity, we found that NCA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protected Mtb from bactericidal doses of isoniazid, rifampicin, and other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standard TB drugs. Investigating further, we showed that disruption of the pH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gradient and consequent intracellular acidification is needed to induce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tolerance, while disruption of membrane potential is not, and also that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protection is tunable by external pH. Transcriptomic analysis of these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chemically induced persister cells implicated Mtb-specific genes in this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phenotype, and targeted knockdowns confirmed roles for three genes in either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promoting or mitigating the tolerant state. These findings highlight that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chemical disruption of the pH gradient is a facile and rapid means to induce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drug tolerance, offering a potentially useful tool to probe persister biology in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TB and other infectious diseases.IMPORTANCETuberculosis (TB) is difficult to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cure due in part to poorly defined drug-tolerant persister cells formed by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Mycobacterium tuberculosis (Mtb) that survive antibiotic treatment without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genetic resistance. In this work, we screened for drugs that target persistence.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Unexpectedly, we identified a strong inducer of drug tolerance-the antiparasitic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agent niclosamide (NCA), which is known to disrupt proton motive force. We found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that NCA protected Mtb from lethal doses of most standard TB drugs. We showed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that disruption of the pH gradient and consequent intracellular acidification is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needed to induce tolerance, and that protection is tunable by external pH. We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identified three Mtb genes that contribute to either promoting or mitigating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tolerant state. These findings highlight that chemical disruption of the pH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gradient is a facile and rapid way to induce drug tolerance, offering 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potentially useful tool to probe persister biology in TB and other infectious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diseases.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10.1128/mbio.01692-26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42610698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C5E71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39</w:t>
      </w:r>
      <w:r w:rsidR="007A20D0" w:rsidRPr="007C5E71">
        <w:rPr>
          <w:rFonts w:ascii="宋体" w:eastAsia="宋体" w:hAnsi="宋体" w:cs="宋体"/>
          <w:b/>
          <w:color w:val="FF0000"/>
          <w:szCs w:val="24"/>
        </w:rPr>
        <w:t xml:space="preserve">. Glob Health Action. 2026 Dec 31;19(1):2710936. doi: </w:t>
      </w:r>
    </w:p>
    <w:p w:rsidR="007A20D0" w:rsidRPr="007C5E71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7C5E71">
        <w:rPr>
          <w:rFonts w:ascii="宋体" w:eastAsia="宋体" w:hAnsi="宋体" w:cs="宋体"/>
          <w:b/>
          <w:color w:val="FF0000"/>
          <w:szCs w:val="24"/>
        </w:rPr>
        <w:t>10.1080/16549716.2026.2710936. Epub 2026 Aug 18.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Towards ending tuberculosis in South Africa: an uncertainty analysis of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programmes and factors most critical to future declines.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Johnson LF(1), Kubjane M(2), Imai-Eaton JW(3)(4), Brown LR(5), Jamieson L(2)(5),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Naidoo P(6), Tanna G(7), Meyer-Rath G(2)(5)(8).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(1)Centre for Integrated Data and Epidemiological Research, University of Cape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Town, Cape Town, South Africa.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(2)Health Economics and Epidemiology Research Office, University of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Witwatersrand, Johannesburg, South Africa.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(3)Center for Communicable Disease Dynamics, Department of Epidemiology, Harvard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T H Chan School of Public Health, Boston, MA, USA.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(4)MRC Centre for Global Infectious Disease Analysis, School of Public Health,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Imperial College London, London, UK.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(5)South African Centre for Epidemiological Modelling and Analysis (SACEMA),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Centre for Epidemic Response and Innovation (CERI), School for Data Science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Computational Thinking, Stellenbosch University, Stellenbosch, South Africa.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(6)Independent Researcher.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(7)Gates Foundation, Johannesburg, South Africa.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(8)Department of Global Health, Boston University, Boston, MA, USA.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C5E71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The WHO End Tuberculosis (TB) strategy targets 80% and 90%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>reductions in TB incidence and mortality, respectively, between 2015 and 2030.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C5E71">
        <w:rPr>
          <w:rFonts w:ascii="宋体" w:eastAsia="宋体" w:hAnsi="宋体" w:cs="宋体"/>
          <w:b/>
          <w:color w:val="000000" w:themeColor="text1"/>
          <w:szCs w:val="24"/>
        </w:rPr>
        <w:t>OBJECTIVE: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To assess which policy-changeable and external factors are most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critical to reducing future TB in South Africa.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C5E71">
        <w:rPr>
          <w:rFonts w:ascii="宋体" w:eastAsia="宋体" w:hAnsi="宋体" w:cs="宋体"/>
          <w:b/>
          <w:color w:val="000000" w:themeColor="text1"/>
          <w:szCs w:val="24"/>
        </w:rPr>
        <w:t>METHODS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: We adapted an existing mathematical model of TB and HIV in South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Africa. Prior distributions were specified to represent uncertainty ranges for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27 model parameters that are highly uncertain and potentially important in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driving future TB dynamics. Latin Hypercube Sampling was used to sample 1000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parameter combinations from these distributions, and the model was projected to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2040 for each. Partial rank correlation coefficients (PRCCs) were calculated to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assess correlation between each parameter and average adult TB incidence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mortality rates over 2025-2040.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C5E71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Adult TB incidence and mortality rates in South Africa were projected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to decline by 46% (95% uncertainty interval [UI]: 17-69%) and 54% (95% UI: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21-84%) respectively by 2030, relative to 2015. The parameters most strongly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associated with future TB incidence were the increase in microbiological testing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 symptomatic individuals due to near-point-of-care/tongue swab (NPOC/TS)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testing (PRCC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7A20D0">
        <w:rPr>
          <w:rFonts w:ascii="宋体" w:eastAsia="宋体" w:hAnsi="宋体" w:cs="宋体"/>
          <w:color w:val="000000" w:themeColor="text1"/>
          <w:szCs w:val="24"/>
        </w:rPr>
        <w:t>=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-0.67), reductions in social contact rates post-COVID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(PRCC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7A20D0">
        <w:rPr>
          <w:rFonts w:ascii="宋体" w:eastAsia="宋体" w:hAnsi="宋体" w:cs="宋体"/>
          <w:color w:val="000000" w:themeColor="text1"/>
          <w:szCs w:val="24"/>
        </w:rPr>
        <w:t>=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-0.61), the probability of sputum testing in symptomatic individuals in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the absence of NPOC/TS testing (PRCC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7A20D0">
        <w:rPr>
          <w:rFonts w:ascii="宋体" w:eastAsia="宋体" w:hAnsi="宋体" w:cs="宋体"/>
          <w:color w:val="000000" w:themeColor="text1"/>
          <w:szCs w:val="24"/>
        </w:rPr>
        <w:t>=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-0.39), and the efficacy of TB preventive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therapy (PRCC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7A20D0">
        <w:rPr>
          <w:rFonts w:ascii="宋体" w:eastAsia="宋体" w:hAnsi="宋体" w:cs="宋体"/>
          <w:color w:val="000000" w:themeColor="text1"/>
          <w:szCs w:val="24"/>
        </w:rPr>
        <w:t>=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7A20D0">
        <w:rPr>
          <w:rFonts w:ascii="宋体" w:eastAsia="宋体" w:hAnsi="宋体" w:cs="宋体"/>
          <w:color w:val="000000" w:themeColor="text1"/>
          <w:szCs w:val="24"/>
        </w:rPr>
        <w:t>-0.35). TB mortality predictors were similar.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C5E71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Increasing testing among people with TB symptoms, including through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new NPOC/TS technologies, is likely to have the largest impact on progress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towards End TB goals in South Africa, though attainment by 2030 is unlikely.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10.1080/16549716.2026.2710936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PMCID: PMC13487854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42609173 [Indexed for MEDLINE]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C5E71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40</w:t>
      </w:r>
      <w:r w:rsidR="007A20D0" w:rsidRPr="007C5E71">
        <w:rPr>
          <w:rFonts w:ascii="宋体" w:eastAsia="宋体" w:hAnsi="宋体" w:cs="宋体"/>
          <w:b/>
          <w:color w:val="FF0000"/>
          <w:szCs w:val="24"/>
        </w:rPr>
        <w:t xml:space="preserve">. Int J Gynaecol Obstet. 2026 Aug 18. doi: 10.1002/ijgo.71289. Online ahead of </w:t>
      </w:r>
    </w:p>
    <w:p w:rsidR="007A20D0" w:rsidRPr="007C5E71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7C5E71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When tuberculosis tunnels: Unmasking genital tuberculosis through hidden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fistulous tract connection: The silent scourge.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Agarwal S(1), Chandak S(2), Singh A(3).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(1)Department of Obstetrics &amp; Gynaecology, TMMC&amp;RC, Moradabad, India.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(2)Department of RadioDiagnosis, TMMC&amp;RC, Moradabad, India.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(3)Department of Urology, TMMC&amp;RC, Moradabad, India.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10.1002/ijgo.71289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42609159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C5E71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lastRenderedPageBreak/>
        <w:t>41</w:t>
      </w:r>
      <w:r w:rsidR="007A20D0" w:rsidRPr="007C5E71">
        <w:rPr>
          <w:rFonts w:ascii="宋体" w:eastAsia="宋体" w:hAnsi="宋体" w:cs="宋体"/>
          <w:b/>
          <w:color w:val="FF0000"/>
          <w:szCs w:val="24"/>
        </w:rPr>
        <w:t>. Public Health Rep. 2026 Aug 17:333549261468283. d</w:t>
      </w:r>
      <w:r w:rsidR="007C5E71">
        <w:rPr>
          <w:rFonts w:ascii="宋体" w:eastAsia="宋体" w:hAnsi="宋体" w:cs="宋体"/>
          <w:b/>
          <w:color w:val="FF0000"/>
          <w:szCs w:val="24"/>
        </w:rPr>
        <w:t xml:space="preserve">oi: 10.1177/00333549261468283. </w:t>
      </w:r>
      <w:r w:rsidR="007A20D0" w:rsidRPr="007C5E71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Evaluating Estimates of Recent Tuberculosis Transmission Using Epidemiologic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Whole-Genome Sequencing Data, Los Angeles County, California, 2014-2018.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McDaniel CJ(1), Talarico S(1), Raz KM(1), Kammerer S(1), Poonja S(1)(2), Hsu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S(1)(2), Higashi J(2), Chang AH(2), Shaw T(3), Cilnis M(3), Noboa W(1)(2),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Wortham J(1), Cowan L(1), Posey J(1), Silk BJ(1).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(1)Division of Tuberculosis Elimination, Centers for Disease Control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Prevention, Atlanta, GA, USA.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(2)Tuberculosis Control Program, Los Angeles County Department of Public Health,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Los Angeles, CA, USA.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(3)Tuberculosis Control Branch, California Department of Public Health,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Richmond, CA, USA.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C5E71">
        <w:rPr>
          <w:rFonts w:ascii="宋体" w:eastAsia="宋体" w:hAnsi="宋体" w:cs="宋体"/>
          <w:b/>
          <w:color w:val="000000" w:themeColor="text1"/>
          <w:szCs w:val="24"/>
        </w:rPr>
        <w:t xml:space="preserve">OBJECTIVES: 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Estimating the percentage of tuberculosis cases in a population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attributable to recent transmission, compared with reactivation of past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infections, is crucial for public health decision-making. This study evaluated 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previously published plausible-source case (PSC) method for estimating recent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transmission in Los Angeles County (LA County) against a reference standard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based on epidemiologic and whole-genome sequencing data.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C5E71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We analyzed tuberculosis cases diagnosed in LA County from 2014 through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2018 using surveillance data. Cases were classified as consistent or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inconsistent with recent transmission using the PSC method and a stepwise review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of epidemiologic links and single nucleotide polymorphisms (Epi/SNP). We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compared classifications from both methods and assessed discrepancies.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C5E71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Of 2949 tuberculosis cases in LA County, 650 had epidemiologic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whole-genome sequencing data for evaluating recent transmission; 44 were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excluded due to missing genotyping data, including 7 pediatric patients aged &lt;15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years. The Epi/SNP review classified 195 (30%) cases as consistent with recent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transmission, while the PSC method attributed 301 (46%) cases to recent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transmission. The 2 methods agreed on 454 (70%) cases. Discrepancies arose from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genetic diversity, geographic distance, nonmatching genotypes, and diagnosis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timing. Performance varied by race and ethnicity, nativity, lineage, history of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homelessness, and substance use.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C5E71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The PSC method accurately classified more than two-thirds of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tuberculosis cases included in a cluster investigation in LA County. However,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findings underscore the need to refine the PSC method by integrating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whole-genome sequencing data, including nongenotyped cases in pediatric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patients, and reevaluating the geographic and timing criteria to enhance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completeness and inform public health interventions aimed at interrupting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>tuberculosis transmission.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10.1177/00333549261468283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PMCID: PMC13486391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42608857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C5E71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42</w:t>
      </w:r>
      <w:r w:rsidR="007A20D0" w:rsidRPr="007C5E71">
        <w:rPr>
          <w:rFonts w:ascii="宋体" w:eastAsia="宋体" w:hAnsi="宋体" w:cs="宋体"/>
          <w:b/>
          <w:color w:val="FF0000"/>
          <w:szCs w:val="24"/>
        </w:rPr>
        <w:t xml:space="preserve">. Lancet HIV. 2026 Aug 17:S2352-3018(26)00140-2. doi: </w:t>
      </w:r>
    </w:p>
    <w:p w:rsidR="007A20D0" w:rsidRPr="007C5E71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7C5E71">
        <w:rPr>
          <w:rFonts w:ascii="宋体" w:eastAsia="宋体" w:hAnsi="宋体" w:cs="宋体"/>
          <w:b/>
          <w:color w:val="FF0000"/>
          <w:szCs w:val="24"/>
        </w:rPr>
        <w:t>10.1016/S2352-3018(26)00140-2. Online ahead of print.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Programmatic effectiveness of tuberculosis preventive treatment for people with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HIV in six high-tuberculosis-burden countries (PROTECT): a prospective cohort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study and meta-analysis.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Shah NS(1), Mishara F(2), Zissette S(3), Mesidor RN(4), Ssevvume S(5), Riabokon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S(6), Mushangwe B(7), Motoku J(8), Balogun S(9), Kashmiri N(2), Bello M(2),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Augustin GM(10), Lukoye D(11), Barzilay EJ(12), Maphosa T(13), Weyenga H(14),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Oladipo A(9), Ferroussier-Davis O(15), Silva JD(15), Ershova J(15), Ajiboye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AS(15), Gleason BL(15), Valles JS(10), Jean-Charles K(16), Achia T(14), Benkeser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D(17), Charles M(15); PROTECT study team.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Collaborators: Bhakta R, François K, Jean-Francois D, Nicasky C, Richard M,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Solide JG, Lutalo I, Muchuro S, Namuwenge P, Walusimbi S, Hetman L, Martynov P,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Pals S, Podolchak N, Sodeke O, Chaputsira S, Dhliwayo R, Gonese G, Madzivire D,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Marisa C, Munakamwe W, Waithaka W, Abujah S, Ahson M, Anyaike C, Balogun K,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Bashorun A, Daniel I, Falokun VT, Gobir IB, Muoghalu F, Niyang P, Nwagagbo F,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Umeh 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(1)Department of Epidemiology, Rollins School of Public Health, Emory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University, Atlanta, GA, USA; Department of Medicine, School of Medicine, Emory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University, Atlanta, GA, USA. Electronic address: sarita.shah@emory.edu.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(2)National Foundation for the Centers for Disease Control and Prevention,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Atlanta, GA, USA.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(3)Department of Epidemiology, Rollins School of Public Health, Emory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University, Atlanta, GA, USA.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(4)Catholic Medical Mission Board, Port-au-Prince, Haiti.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(5)Monitoring and Evaluation Technical Support Program, Makere University School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of Public Health, Kampala, Uganda.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(6)Public Health Center of Ukraine, Ministry of Health, Kyiv, Ukraine.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(7)Zimbabwe Technical Assistance, Training &amp; Education Center for Health,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Harare, Zimbabwe.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(8)Eastern Deanery AIDS Relief Program, Nairobi, Kenya.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(9)Division of Global HIV and Tuberculosis, US Centers for Disease Control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Prevention Nigeria, Abuja, Nigeria.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(10)Division of Global HIV and Tuberculosis, US Centers for Disease Control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Prevention Haiti, Port-au-Prince, Haiti.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(11)Division of Global HIV and Tuberculosis, US Centers for Disease Control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Prevention Uganda, Kampala, Uganda.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(12)Division of Global HIV and Tuberculosis, US Centers for Disease Control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Prevention Ukraine, Kyiv, Ukraine.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(13)Division of Global HIV and Tuberculosis, US Centers for Disease Control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Prevention Zimbabwe, Harare, Zimbabwe.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(14)Division of Global HIV and Tuberculosis, US Centers for Disease Control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Prevention Kenya, Nairobi, Kenya.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(15)Division of Global HIV and Tuberculosis, US Centers for Disease Control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Prevention, Atlanta, GA, USA.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(16)Solutions, Port-au-Prince, Haiti.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(17)Department of Biostatistics and Bioinformatics, Rollins School of Public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Health, Emory University, Atlanta, GA, USA.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C5E71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 randomised clinical trials (RCTs), tuberculosis preventive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treatment (TPT) reduced tuberculosis incidence and mortality among people with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HIV; however, real-world impact has not been evaluated since antiretroviral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therapy (ART) was expanded to all people with HIV regardless of CD4 cell count.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This study aimed to determine the programmatic effectiveness of TPT on reducing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tuberculosis incidence and all-cause mortality among people with HIV initiating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ART.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C5E71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This prospective cohort study emulated six RCTs using individual-level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data from electronic health records in Haiti, Kenya, Nigeria, Uganda, Ukraine,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and Zimbabwe to estimate TPT effectiveness among people with HIV initiating ART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between Jan 1, 2018, and Dec 31, 2021 (Haiti, Kenya, Nigeria, and Ukraine) or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Dec 31, 2022 (Uganda and Zimbabwe). In each country, we created cohorts of newly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enrolled people with HIV initiating ART, regardless of age. We excluded people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diagnosed with tuberculosis 6 months before to 30 days after ART start.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De-identified extracted data for each patient included visit-level data for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selected study variables between the date of enrolment into HIV care and Dec 31,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2023 (Haiti, Kenya, Nigeria, and Ukraine) or Dec 31, 2024 (Uganda and Zimbabwe).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Target trial emulation was used to define a hypothetical randomised trial of TPT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initiation during an 8-week grace period compared with no TPT initiation. TPT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effectiveness was summarised using adjusted hazard ratios (HRs) for tuberculosis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and all-cause mortality estimated using an inverse propensity weighting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approach, with weights adjusted for confounders including age and sex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(time-fixed) and CD4 cell count, viral load, clinical stage, ART initiation,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ART adherence (time-varying). The six countries were pooled in a meta-analysis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using inverse-variance weighting with effect heterogeneity assessed using I2.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FINDINGS: We included 235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 </w:t>
      </w:r>
      <w:r w:rsidRPr="007A20D0">
        <w:rPr>
          <w:rFonts w:ascii="宋体" w:eastAsia="宋体" w:hAnsi="宋体" w:cs="宋体"/>
          <w:color w:val="000000" w:themeColor="text1"/>
          <w:szCs w:val="24"/>
        </w:rPr>
        <w:t>424 people with HIV: 69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 </w:t>
      </w:r>
      <w:r w:rsidRPr="007A20D0">
        <w:rPr>
          <w:rFonts w:ascii="宋体" w:eastAsia="宋体" w:hAnsi="宋体" w:cs="宋体"/>
          <w:color w:val="000000" w:themeColor="text1"/>
          <w:szCs w:val="24"/>
        </w:rPr>
        <w:t>936 people from Haiti, 65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 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936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from Uganda, 57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 </w:t>
      </w:r>
      <w:r w:rsidRPr="007A20D0">
        <w:rPr>
          <w:rFonts w:ascii="宋体" w:eastAsia="宋体" w:hAnsi="宋体" w:cs="宋体"/>
          <w:color w:val="000000" w:themeColor="text1"/>
          <w:szCs w:val="24"/>
        </w:rPr>
        <w:t>851 from Ukraine, 24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 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099 from Zimbabwe, 9549 from Kenya,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8053 from Nigeria. In 235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 </w:t>
      </w:r>
      <w:r w:rsidRPr="007A20D0">
        <w:rPr>
          <w:rFonts w:ascii="宋体" w:eastAsia="宋体" w:hAnsi="宋体" w:cs="宋体"/>
          <w:color w:val="000000" w:themeColor="text1"/>
          <w:szCs w:val="24"/>
        </w:rPr>
        <w:t>424 people, 147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 </w:t>
      </w:r>
      <w:r w:rsidRPr="007A20D0">
        <w:rPr>
          <w:rFonts w:ascii="宋体" w:eastAsia="宋体" w:hAnsi="宋体" w:cs="宋体"/>
          <w:color w:val="000000" w:themeColor="text1"/>
          <w:szCs w:val="24"/>
        </w:rPr>
        <w:t>667 (62</w:t>
      </w:r>
      <w:r w:rsidRPr="007A20D0">
        <w:rPr>
          <w:rFonts w:ascii="宋体" w:eastAsia="宋体" w:hAnsi="宋体" w:cs="宋体" w:hint="eastAsia"/>
          <w:color w:val="000000" w:themeColor="text1"/>
          <w:szCs w:val="24"/>
        </w:rPr>
        <w:t>·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7%) were aged 25-44 years,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>133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 </w:t>
      </w:r>
      <w:r w:rsidRPr="007A20D0">
        <w:rPr>
          <w:rFonts w:ascii="宋体" w:eastAsia="宋体" w:hAnsi="宋体" w:cs="宋体"/>
          <w:color w:val="000000" w:themeColor="text1"/>
          <w:szCs w:val="24"/>
        </w:rPr>
        <w:t>582 (56</w:t>
      </w:r>
      <w:r w:rsidRPr="007A20D0">
        <w:rPr>
          <w:rFonts w:ascii="宋体" w:eastAsia="宋体" w:hAnsi="宋体" w:cs="宋体" w:hint="eastAsia"/>
          <w:color w:val="000000" w:themeColor="text1"/>
          <w:szCs w:val="24"/>
        </w:rPr>
        <w:t>·</w:t>
      </w:r>
      <w:r w:rsidRPr="007A20D0">
        <w:rPr>
          <w:rFonts w:ascii="宋体" w:eastAsia="宋体" w:hAnsi="宋体" w:cs="宋体"/>
          <w:color w:val="000000" w:themeColor="text1"/>
          <w:szCs w:val="24"/>
        </w:rPr>
        <w:t>7%) were female, 101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 </w:t>
      </w:r>
      <w:r w:rsidRPr="007A20D0">
        <w:rPr>
          <w:rFonts w:ascii="宋体" w:eastAsia="宋体" w:hAnsi="宋体" w:cs="宋体"/>
          <w:color w:val="000000" w:themeColor="text1"/>
          <w:szCs w:val="24"/>
        </w:rPr>
        <w:t>842 (43</w:t>
      </w:r>
      <w:r w:rsidRPr="007A20D0">
        <w:rPr>
          <w:rFonts w:ascii="宋体" w:eastAsia="宋体" w:hAnsi="宋体" w:cs="宋体" w:hint="eastAsia"/>
          <w:color w:val="000000" w:themeColor="text1"/>
          <w:szCs w:val="24"/>
        </w:rPr>
        <w:t>·</w:t>
      </w:r>
      <w:r w:rsidRPr="007A20D0">
        <w:rPr>
          <w:rFonts w:ascii="宋体" w:eastAsia="宋体" w:hAnsi="宋体" w:cs="宋体"/>
          <w:color w:val="000000" w:themeColor="text1"/>
          <w:szCs w:val="24"/>
        </w:rPr>
        <w:t>3%) were male, 104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  </w:t>
      </w:r>
      <w:r w:rsidRPr="007A20D0">
        <w:rPr>
          <w:rFonts w:ascii="宋体" w:eastAsia="宋体" w:hAnsi="宋体" w:cs="宋体"/>
          <w:color w:val="000000" w:themeColor="text1"/>
          <w:szCs w:val="24"/>
        </w:rPr>
        <w:t>277 (44</w:t>
      </w:r>
      <w:r w:rsidRPr="007A20D0">
        <w:rPr>
          <w:rFonts w:ascii="宋体" w:eastAsia="宋体" w:hAnsi="宋体" w:cs="宋体" w:hint="eastAsia"/>
          <w:color w:val="000000" w:themeColor="text1"/>
          <w:szCs w:val="24"/>
        </w:rPr>
        <w:t>·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3%) had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clinical stage 1, and 138</w:t>
      </w:r>
      <w:r w:rsidRPr="007A20D0">
        <w:rPr>
          <w:rFonts w:ascii="MS Gothic" w:eastAsia="MS Gothic" w:hAnsi="MS Gothic" w:cs="MS Gothic" w:hint="eastAsia"/>
          <w:color w:val="000000" w:themeColor="text1"/>
          <w:szCs w:val="24"/>
        </w:rPr>
        <w:t> </w:t>
      </w:r>
      <w:r w:rsidRPr="007A20D0">
        <w:rPr>
          <w:rFonts w:ascii="宋体" w:eastAsia="宋体" w:hAnsi="宋体" w:cs="宋体"/>
          <w:color w:val="000000" w:themeColor="text1"/>
          <w:szCs w:val="24"/>
        </w:rPr>
        <w:t>914 (59</w:t>
      </w:r>
      <w:r w:rsidRPr="007A20D0">
        <w:rPr>
          <w:rFonts w:ascii="宋体" w:eastAsia="宋体" w:hAnsi="宋体" w:cs="宋体" w:hint="eastAsia"/>
          <w:color w:val="000000" w:themeColor="text1"/>
          <w:szCs w:val="24"/>
        </w:rPr>
        <w:t>·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0%) were on dolutegravir-based regimens.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adjusted HR for tuberculosis ranged from 0·35 (95% CI 0·28-0·43) in Haiti to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0·60 (0·36-0·91) in Kenya. The pooled HR for tub</w:t>
      </w:r>
      <w:r w:rsidR="007C5E71">
        <w:rPr>
          <w:rFonts w:ascii="宋体" w:eastAsia="宋体" w:hAnsi="宋体" w:cs="宋体"/>
          <w:color w:val="000000" w:themeColor="text1"/>
          <w:szCs w:val="24"/>
        </w:rPr>
        <w:t xml:space="preserve">erculosis was 0·39 (0·34-0·43) </w:t>
      </w:r>
      <w:r w:rsidRPr="007A20D0">
        <w:rPr>
          <w:rFonts w:ascii="宋体" w:eastAsia="宋体" w:hAnsi="宋体" w:cs="宋体"/>
          <w:color w:val="000000" w:themeColor="text1"/>
          <w:szCs w:val="24"/>
        </w:rPr>
        <w:t>with minimal variation across countries (I2=0%,</w:t>
      </w:r>
      <w:r w:rsidR="007C5E71">
        <w:rPr>
          <w:rFonts w:ascii="宋体" w:eastAsia="宋体" w:hAnsi="宋体" w:cs="宋体"/>
          <w:color w:val="000000" w:themeColor="text1"/>
          <w:szCs w:val="24"/>
        </w:rPr>
        <w:t xml:space="preserve"> 95% CI 0-75). The adjusted HR </w:t>
      </w:r>
      <w:r w:rsidRPr="007A20D0">
        <w:rPr>
          <w:rFonts w:ascii="宋体" w:eastAsia="宋体" w:hAnsi="宋体" w:cs="宋体"/>
          <w:color w:val="000000" w:themeColor="text1"/>
          <w:szCs w:val="24"/>
        </w:rPr>
        <w:t>for mortality ranged from 0·25 (95% CI 0·20-0·30)</w:t>
      </w:r>
      <w:r w:rsidR="007C5E71">
        <w:rPr>
          <w:rFonts w:ascii="宋体" w:eastAsia="宋体" w:hAnsi="宋体" w:cs="宋体"/>
          <w:color w:val="000000" w:themeColor="text1"/>
          <w:szCs w:val="24"/>
        </w:rPr>
        <w:t xml:space="preserve"> in Uganda to 0·69 (0·53-0·96) </w:t>
      </w:r>
      <w:r w:rsidRPr="007A20D0">
        <w:rPr>
          <w:rFonts w:ascii="宋体" w:eastAsia="宋体" w:hAnsi="宋体" w:cs="宋体"/>
          <w:color w:val="000000" w:themeColor="text1"/>
          <w:szCs w:val="24"/>
        </w:rPr>
        <w:t>in Zimbabwe. The pooled HR for mortality was 0·5</w:t>
      </w:r>
      <w:r w:rsidR="007C5E71">
        <w:rPr>
          <w:rFonts w:ascii="宋体" w:eastAsia="宋体" w:hAnsi="宋体" w:cs="宋体"/>
          <w:color w:val="000000" w:themeColor="text1"/>
          <w:szCs w:val="24"/>
        </w:rPr>
        <w:t xml:space="preserve">5 (0·51-0·58) with significant </w:t>
      </w:r>
      <w:r w:rsidRPr="007A20D0">
        <w:rPr>
          <w:rFonts w:ascii="宋体" w:eastAsia="宋体" w:hAnsi="宋体" w:cs="宋体"/>
          <w:color w:val="000000" w:themeColor="text1"/>
          <w:szCs w:val="24"/>
        </w:rPr>
        <w:t>variation across countries (I2=96%, 95% CI 93-97).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C5E71">
        <w:rPr>
          <w:rFonts w:ascii="宋体" w:eastAsia="宋体" w:hAnsi="宋体" w:cs="宋体"/>
          <w:b/>
          <w:color w:val="000000" w:themeColor="text1"/>
          <w:szCs w:val="24"/>
        </w:rPr>
        <w:t>INTERPRETATION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: TPT was effective in reducing tuberculosis incidence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mortality in people with HIV across various epidemiological contexts and risk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groups. In an era of universal test-and-treat and new ART regimens, these data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reinforce support for TPT as essential in HIV care.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FUNDING: Gates Foundation.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TRANSLATIONS: For the French and Ukrainian translations of the abstract see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Supplementary Materials section.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Copyright © 2026 The Author(s). Published by Elsevier Ltd. This is an Open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Access article under the CC BY 4.0 license. Published by Elsevier Ltd.. All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rights reserved.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10.1016/S2352-3018(26)00140-2</w:t>
      </w:r>
    </w:p>
    <w:p w:rsidR="007A20D0" w:rsidRPr="007A20D0" w:rsidRDefault="007C5E71" w:rsidP="007A20D0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42607703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C5E71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43</w:t>
      </w:r>
      <w:r w:rsidR="007A20D0" w:rsidRPr="007C5E71">
        <w:rPr>
          <w:rFonts w:ascii="宋体" w:eastAsia="宋体" w:hAnsi="宋体" w:cs="宋体"/>
          <w:b/>
          <w:color w:val="FF0000"/>
          <w:szCs w:val="24"/>
        </w:rPr>
        <w:t xml:space="preserve">. PLoS One. 2026 Aug 17;21(8):e0351164. doi: 10.1371/journal.pone.0351164. </w:t>
      </w:r>
    </w:p>
    <w:p w:rsidR="007A20D0" w:rsidRPr="007C5E71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7C5E71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Burden of catastrophic costs, income inequalities and associated factors in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Guatemala: First national tuberculosis costs survey, 2023.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Silvestre Tuch HA(1), Samayoa-Peláez M(1), Marcelino Martinez BA(2), Montoro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E(2), Avedillo P(2), Reis-Santos B(3).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(1)Tuberculosis Program, Ministry of Health and Social Assistance of Guatemala,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Guatemala City, Guatemala.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(2)Pan American Health Organization, Washington D. C., United States of America.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(3)Autonomous researcher, São Paulo, São Paulo, Brazil.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C5E71">
        <w:rPr>
          <w:rFonts w:ascii="宋体" w:eastAsia="宋体" w:hAnsi="宋体" w:cs="宋体"/>
          <w:b/>
          <w:color w:val="000000" w:themeColor="text1"/>
          <w:szCs w:val="24"/>
        </w:rPr>
        <w:t xml:space="preserve">OBJECTIVES: 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To estimate the prevalence of catastrophic costs incurred by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households of people with tuberculosis (TB) in Guatemala, and to assess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potential wealth inequalities and the associated factors with the catastrophic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costs, social consequences and coping strategies.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C5E71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A national representative survey, employing a clustered sampling based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on health facilities, was conducted in 2023. The participants were people with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TB and the data was collected by trained professionals using a standardized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questionnaire. Catastrophic costs were defined as costs incurred by TB treatment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that exceeds 20% of annual household income. We estimated the burden of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catastrophic costs, social consequences and coping strategies. The primary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analysis encompassed the output approach, while sensitivity analyses were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conducted with the human capital approach and income loss adjustments.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associations were assessed using Poisson regression models with robust variance.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C5E71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The First Guatemala National Tuberculosis Costs Survey had 530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participants enrolled in 42 clusters. The estimated catastrophic costs incurred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by people with TB, through the output approach, was 36% (95% CI 29% - 43%).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prevalence among the poorest wealth quintile was 66%, while among the richest it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was 50%, throughout the output approach adjusted for income loss (sensitivity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analysis). Catastrophic costs were twice as high for 15-44-years old, but lower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for people in the South West (PR 0.72; 95% CI 0.55-0.94), those in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five-plus-person households (PR 0.73; 95% CI 0.57-0.93), and those treated in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primary/secondary facilities (PR 0.69; 95% CI 0.49-0.97). Social effects were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related with sociodemographic characteristics and catastrophic costs (PR 1.21;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95% CI 1.09-1.34). Coping strategies were associated with sociodemographic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factors, presence of social support (PR 1.11; 95% CI 1.01-1.22), and TB type (PR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1.16; 95% CI 1.01-1.33).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C5E71">
        <w:rPr>
          <w:rFonts w:ascii="宋体" w:eastAsia="宋体" w:hAnsi="宋体" w:cs="宋体"/>
          <w:b/>
          <w:color w:val="000000" w:themeColor="text1"/>
          <w:szCs w:val="24"/>
        </w:rPr>
        <w:t>CONCLUSION: I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n Guatemala, catastrophic costs were identified as a burden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characterized by inequities, posing a challenge to the country in achieving zero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to this indicator. However, the analyses revealed pathways that could be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prioritized when formulating policies to effectively address this issue.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Copyright: © 2026 Silvestre Tuch et al. This is an open access article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distributed under the terms of the Creative Commons Attribution License, which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permits unrestricted use, distribution, and reproduction in any medium, provided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the original author and source are credited.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10.1371/journal.pone.0351164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PMCID: PMC13480651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42607100 [Indexed for MEDLINE]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336598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44</w:t>
      </w:r>
      <w:r w:rsidR="007A20D0" w:rsidRPr="00336598">
        <w:rPr>
          <w:rFonts w:ascii="宋体" w:eastAsia="宋体" w:hAnsi="宋体" w:cs="宋体"/>
          <w:b/>
          <w:color w:val="FF0000"/>
          <w:szCs w:val="24"/>
        </w:rPr>
        <w:t xml:space="preserve">. PLoS One. 2026 Aug 17;21(8):e0355124. doi: 10.1371/journal.pone.0355124. </w:t>
      </w:r>
    </w:p>
    <w:p w:rsidR="007A20D0" w:rsidRPr="00336598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336598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7A20D0" w:rsidRPr="00336598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Artificial Intelligence and Machine Learning-based prediction of tuberculosis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treatment failure: A systematic review and meta-analysis.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Kamulegeya R(1), Nabatanzi R(1), Semugenze D(1)(2), Mugala F(1), Takuwa M(1),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Nasinghe E(1), Musinguzi D(3), Namiiro S(4)(5), Katumba A(6), Ssengooba W(1),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Nakatumba-Nabende J(3), Kivunike FN(7), Kateete DP(1).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(1)Department of Immunology and Molecular Biology, Makerere University College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of Health Sciences (MakCHS), Kampala, Uganda.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(2)Department of Global Health and Amsterdam Institute for Global Health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Development, Amsterdam University Medical Centers, Amsterdam, Netherlands.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(3)Department of Computer Science, College of Computing and Information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Sciences, Makerere University (CoCIS), Kampala, Uganda.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(4)Masaka Regional Referral Hospital, Masaka, Uganda.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(5)Makerere University Lung Institute (MLI), Kampala, Uganda.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(6)Department of Electrical and Computer Engineering, College of Engineering,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Art and Design, Makerere University (CEDAT), Kampala, Uganda.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(7)Department of Information Technology, College of Computing and Information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Sciences, Makerere University (CoCIS), Kampala, Uganda.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>BACKGROUND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: Tuberculosis (TB) remains a leading cause of infectious disease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mortality worldwide, and treatment failure contributes to ongoing transmission,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drug resistance, and poor clinical outcomes. Artificial intelligence (AI)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machine learning (ML) approaches have attracted growing interest in predicting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TB treatment outcomes, but the literature is heterogeneous and lacks 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comprehensive synthesis.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We systematically searched PubMed/MEDLINE and Embase (January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2000-October 2025) for studies developing or validating AI/ML models to predict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TB treatment failure. Two reviewers independently screened records and extracted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data on study characteristics, predictor modalities, algorithms, validation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strategies, and performance metrics, i.e., area under the curve (AUC),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sensitivity, specificity, and confidence intervals. Studies reporting AUC with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confidence intervals or sufficient data for calculation were included in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random-effects meta-analysis. Missing standard errors were estimated from sample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sizes and event rates using established methods. Risk of bias was assessed using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PROBAST. Subgroup analyses and meta-regression explored heterogeneity,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publication bias was assessed using funnel plots, Egger's test,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trim-and-fill analysis. The study is registered with PROSPERO (CRD420251101443).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Thirty-four studies met the inclusion criteria. Publications increased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markedly from 2019 onwards (91% of studies). Tree-based methods predominated </w:t>
      </w:r>
    </w:p>
    <w:p w:rsidR="007A20D0" w:rsidRPr="007A20D0" w:rsidRDefault="007A20D0" w:rsidP="007A20D0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7A20D0">
        <w:rPr>
          <w:rFonts w:ascii="宋体" w:eastAsia="宋体" w:hAnsi="宋体" w:cs="宋体" w:hint="eastAsia"/>
          <w:color w:val="000000" w:themeColor="text1"/>
          <w:szCs w:val="24"/>
        </w:rPr>
        <w:t xml:space="preserve">(52.9%), and multimodal models (≥3 data types) were used in 41.2% of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studies. Nineteen studies (100,790 participants) contributed to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meta-analysis. The pooled AUC was 0.836 (95% CI 0.799-0.868), with substantial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heterogeneity (I²</w:t>
      </w:r>
      <w:r w:rsidRPr="007A20D0">
        <w:rPr>
          <w:rFonts w:ascii="MS Gothic" w:eastAsia="宋体" w:hAnsi="MS Gothic" w:cs="MS Gothic"/>
          <w:color w:val="000000" w:themeColor="text1"/>
          <w:szCs w:val="24"/>
        </w:rPr>
        <w:t> </w:t>
      </w:r>
      <w:r w:rsidRPr="007A20D0">
        <w:rPr>
          <w:rFonts w:ascii="宋体" w:eastAsia="宋体" w:hAnsi="宋体" w:cs="宋体"/>
          <w:color w:val="000000" w:themeColor="text1"/>
          <w:szCs w:val="24"/>
        </w:rPr>
        <w:t>=</w:t>
      </w:r>
      <w:r w:rsidRPr="007A20D0">
        <w:rPr>
          <w:rFonts w:ascii="MS Gothic" w:eastAsia="宋体" w:hAnsi="MS Gothic" w:cs="MS Gothic"/>
          <w:color w:val="000000" w:themeColor="text1"/>
          <w:szCs w:val="24"/>
        </w:rPr>
        <w:t> 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97.9%). In subgroup analyses, studies including HIV-positive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participants showed lower discrimination (AUC 0.748) than those excluding them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(0.924). Only eight studies (23.5%) performed external validation, and only one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study (2.9%) was rated low risk of bias overall (PROBAST), primarily due to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analytical domain deficiencies. Egger's test suggested publication bias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(p</w:t>
      </w:r>
      <w:r w:rsidRPr="007A20D0">
        <w:rPr>
          <w:rFonts w:ascii="MS Gothic" w:eastAsia="宋体" w:hAnsi="MS Gothic" w:cs="MS Gothic"/>
          <w:color w:val="000000" w:themeColor="text1"/>
          <w:szCs w:val="24"/>
        </w:rPr>
        <w:t> </w:t>
      </w:r>
      <w:r w:rsidRPr="007A20D0">
        <w:rPr>
          <w:rFonts w:ascii="宋体" w:eastAsia="宋体" w:hAnsi="宋体" w:cs="宋体"/>
          <w:color w:val="000000" w:themeColor="text1"/>
          <w:szCs w:val="24"/>
        </w:rPr>
        <w:t>=</w:t>
      </w:r>
      <w:r w:rsidRPr="007A20D0">
        <w:rPr>
          <w:rFonts w:ascii="MS Gothic" w:eastAsia="宋体" w:hAnsi="MS Gothic" w:cs="MS Gothic"/>
          <w:color w:val="000000" w:themeColor="text1"/>
          <w:szCs w:val="24"/>
        </w:rPr>
        <w:t> 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0.024). Major evidence gaps included underrepresentation of high-burden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countries, HIV-affected populations, social determinants, pediatric TB,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>extrapulmonary disease.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AI/ML models for predicting TB treatment failure show promising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discrimination but are not yet ready for routine clinical implementation.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Performance varies substantially across populations and settings,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methodological limitations, including inadequate validation, poor calibration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assessment, and high risk of bias, limit confidence in current estimates. Future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research should prioritize rigorous external validation, calibration assessment,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and development in underrepresented populations, particularly HIV-affected and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high TB burden settings.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Copyright: © 2026 Kamulegeya et al. This is an open access article distributed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under the terms of the Creative Commons Attribution License, which permits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unrestricted use, distribution, and reproduction in any medium, provided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original author and source are credited.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10.1371/journal.pone.0355124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PMCID: PMC13480653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42607088 [Indexed for MEDLINE]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336598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45</w:t>
      </w:r>
      <w:r w:rsidR="007A20D0" w:rsidRPr="00336598">
        <w:rPr>
          <w:rFonts w:ascii="宋体" w:eastAsia="宋体" w:hAnsi="宋体" w:cs="宋体"/>
          <w:b/>
          <w:color w:val="FF0000"/>
          <w:szCs w:val="24"/>
        </w:rPr>
        <w:t xml:space="preserve">. Expert Rev Anti Infect Ther. 2026 Aug 17:1-4. doi: </w:t>
      </w:r>
    </w:p>
    <w:p w:rsidR="007A20D0" w:rsidRPr="00336598" w:rsidRDefault="007A20D0" w:rsidP="007A20D0">
      <w:pPr>
        <w:rPr>
          <w:rFonts w:ascii="宋体" w:eastAsia="宋体" w:hAnsi="宋体" w:cs="宋体"/>
          <w:b/>
          <w:color w:val="FF0000"/>
          <w:szCs w:val="24"/>
        </w:rPr>
      </w:pPr>
      <w:r w:rsidRPr="00336598">
        <w:rPr>
          <w:rFonts w:ascii="宋体" w:eastAsia="宋体" w:hAnsi="宋体" w:cs="宋体"/>
          <w:b/>
          <w:color w:val="FF0000"/>
          <w:szCs w:val="24"/>
        </w:rPr>
        <w:t>10.1080/14787210.2026.2719693. Online ahead of print.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HigBA toxin-antitoxin systems in Mycobacterium tuberculosis: stress-responsive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regulation, persistence, and therapeutic perspectives.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Thakur Z(1), Chaudhary R(2), Mehta PK(3).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(1)University Centre for Research and Development, Chandigarh University,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Mohali, India.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(2)Structural Biology Lab, CSIR-Institute of Genomics and Integrative Biology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(IGIB), New Delhi, India.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(3)Department of Life Sciences, School of Allied Health Sciences, Shree Guru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Gobind Singh Tricentenary University, Gurugram, India.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10.1080/14787210.2026.2719693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42606287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336598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46</w:t>
      </w:r>
      <w:r w:rsidR="007A20D0" w:rsidRPr="00336598">
        <w:rPr>
          <w:rFonts w:ascii="宋体" w:eastAsia="宋体" w:hAnsi="宋体" w:cs="宋体"/>
          <w:b/>
          <w:color w:val="FF0000"/>
          <w:szCs w:val="24"/>
        </w:rPr>
        <w:t>. Microbiol Spectr. 2026 Aug 17:e0084026. doi: 10.</w:t>
      </w:r>
      <w:r w:rsidR="00336598">
        <w:rPr>
          <w:rFonts w:ascii="宋体" w:eastAsia="宋体" w:hAnsi="宋体" w:cs="宋体"/>
          <w:b/>
          <w:color w:val="FF0000"/>
          <w:szCs w:val="24"/>
        </w:rPr>
        <w:t xml:space="preserve">1128/spectrum.00840-26. Online </w:t>
      </w:r>
      <w:r w:rsidR="007A20D0" w:rsidRPr="00336598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Tongue swab Xpert MTB/RIF Ultra for tuberculosis diagnosis in Ethiopian prisons.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Adane K(1), Kempker RR(2), Bobosha K(3), Meaza A(4), Blumberg HM(2)(5)(6).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(1)Department of Microbiology, Immunology and Parasitology, College of Health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Sciences, Addis Ababa University, Addis Ababa, Ethiopia.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(2)Department of Medicine, Division of Infectious Diseases, Emory University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School of Medicine, Atlanta, Georgia, USA.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(3)Armauer Hansen Research Institute, Mycobacterial Diseases Research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Directorate, Addis Ababa, Ethiopia.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(4)Ethiopian Public Health Institute, Addis Ababa, Ethiopia.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(5)Department of Global Health, Emory University Rollins School of Public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Health, Atlanta, Georgia, USA.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(6)Department of Epidemiology, Emory University Rollins School of Public Health,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Atlanta, Georgia, USA.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Tuberculosis (TB) diagnosis remains a major challenge in Ethiopian prisons,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where access to diagnostics is limited. Current TB diagnostic strategies in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Ethiopian prisons rely primarily on sputum-based testing. However, sputum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collection is often challenging due to logistical barriers and infection-control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concerns. Tongue swabs offer a promising non-sputum alternative. We assessed the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diagnostic accuracy and feasibility of tongue swab testing using Xpert MTB/RIF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Ultra (Ultra) for diagnosing pulmonary TB in Ethiopian prisons. Incarcerated men </w:t>
      </w:r>
    </w:p>
    <w:p w:rsidR="007A20D0" w:rsidRPr="007A20D0" w:rsidRDefault="007A20D0" w:rsidP="007A20D0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7A20D0">
        <w:rPr>
          <w:rFonts w:ascii="宋体" w:eastAsia="宋体" w:hAnsi="宋体" w:cs="宋体" w:hint="eastAsia"/>
          <w:color w:val="000000" w:themeColor="text1"/>
          <w:szCs w:val="24"/>
        </w:rPr>
        <w:t xml:space="preserve">(≥18 years) presenting with a cough of any duration were enrolled. Two tongue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swabs were collected from each participant: an early-morning swab and a second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swab collected 30 min later. Tongue swabs were processed using a 2:1 sample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reagent (SR) to sample ratio and tested with Ultra. Diagnostic accuracy was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assessed against a composite microbiological reference standard (MRS) comprising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sputum Ultra and liquid culture. Of 221 participants included in the final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analysis, 34 (15.4%) had TB. Compared with the MRS, tongue swab Ultra detected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21 cases, yielding a sensitivity of 61.8% (95% CI: 44.7%-76.6%) and 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specificity of 100.0%. Sensitivity compared with sputum Ultra was 63.6% (95% CI: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45.1%-79.6%), with 100.0% specificity. Sensitivity varied according to sputum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Ultra bacillary load: 100.0% (9/9) for medium or high loads, 70.6% (12/17) for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low or very low loads, and 0.0% (0/7) for "trace" loads. Tongue swab testing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with Ultra was feasible and showed modest sensitivity but excellent specificity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for TB diagnosis in Ethiopian prisons, supporting its use as a complementary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diagnostic approach to improve case detection.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>IMPORTANCE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: This study is among the few to evaluate tongue swab testing using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Ultra for TB diagnosis in a sub-Saharan African prison setting. It demonstrates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the diagnostic performance and operational feasibility of this approach in a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high-burden prison context. It supports the potential integration of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non-sputum-based diagnostic approaches into prison TB diagnostic systems. Tongue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swab testing using Ultra could improve access to TB diagnostics within existing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case-finding algorithms, particularly by identifying individuals who are unable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or unwilling to produce sputum.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10.1128/spectrum.00840-26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42606209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336598" w:rsidRDefault="00CE7B62" w:rsidP="007A20D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47</w:t>
      </w:r>
      <w:r w:rsidR="007A20D0" w:rsidRPr="00336598">
        <w:rPr>
          <w:rFonts w:ascii="宋体" w:eastAsia="宋体" w:hAnsi="宋体" w:cs="宋体"/>
          <w:b/>
          <w:color w:val="FF0000"/>
          <w:szCs w:val="24"/>
        </w:rPr>
        <w:t>. Clin Infect Dis. 2026 Aug 17:ciag483. doi: 10.109</w:t>
      </w:r>
      <w:r w:rsidR="00336598" w:rsidRPr="00336598">
        <w:rPr>
          <w:rFonts w:ascii="宋体" w:eastAsia="宋体" w:hAnsi="宋体" w:cs="宋体"/>
          <w:b/>
          <w:color w:val="FF0000"/>
          <w:szCs w:val="24"/>
        </w:rPr>
        <w:t xml:space="preserve">3/cid/ciag483. Online ahead of </w:t>
      </w:r>
      <w:r w:rsidR="007A20D0" w:rsidRPr="00336598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The Impact of Isoniazid Preventive Therapy on Tuberculosis Infection and Disease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Progression.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Zazueta OE(1), Becerra MC(2), Galea JT(3), Calderon RI(4), Contreras C(5), Huang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CC(2)(6), Jimenez J(5), Lecca L(2)(5), Yataco RM(5), Zhang Z(6), Murray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MB(1)(2)(6).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(1)Department of Epidemiology, Harvard T.H. Chan School of Public Health.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Boston, MA, United States.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(2)Department of Global Health and Social Medicine, Harvard Medical School,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Boston, MA, United States.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(3)School of Social Work, University of South Florida, United States.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(4)Facultad de Medicina Humana, Universidad de San Martín de Porres. Lima, Peru.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(5)Socios En Salud, Lima, Peru.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(6)Division of Global Health Equity, Brigham and Women's Hospital, Boston, MA,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United States.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Tuberculosis (TB) causes major morbidity and mortality among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children worldwide. Isoniazid preventive therapy (IPT) protects against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progression to TB disease, but its effect on preventing new TB infection remains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uncertain.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We conducted a longitudinal cohort study in Lima, Peru, enrolling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adults with microbiologically confirmed pulmonary TB and their household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contacts (HHCs). We assessed HHCs at baseline and 6 months for TB infection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using tuberculin skin testing (TST) and for TB disease through clinical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evaluation. We assessed two outcomes in relation to IPT initiation: TB infection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among HHCs under 5 years of age, indicated by an increase in TST induration of </w:t>
      </w:r>
    </w:p>
    <w:p w:rsidR="007A20D0" w:rsidRPr="007A20D0" w:rsidRDefault="007A20D0" w:rsidP="007A20D0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7A20D0">
        <w:rPr>
          <w:rFonts w:ascii="宋体" w:eastAsia="宋体" w:hAnsi="宋体" w:cs="宋体" w:hint="eastAsia"/>
          <w:color w:val="000000" w:themeColor="text1"/>
          <w:szCs w:val="24"/>
        </w:rPr>
        <w:t xml:space="preserve">≥6 mm from baseline to 6 months, and progression to TB disease among HHCs of all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ages, diagnosed between 15 days and 12 months after enrollment.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>RESULTS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: Among 666 under-5-year-olds included assessed for TST conversion, 361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(54.2%) had initiated IPT. Overall, 103 (15.5%) converted at 6 months; IPT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initiation was not associated with conversion (adjusted OR 1.01; 95% CI,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0.64-1.59). Index-participant cavitary disease was associated with an increased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risk of conversion. In contrast, IPT initiation was associated with reduced risk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of progression to TB disease among 14,032 HHCs of all ages (adjusted HR 0.45;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95% CI, 0.32-0.64) with more pronounced efficacy among under-5s (adjusted HR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lastRenderedPageBreak/>
        <w:t>0.19; 95% CI, 0.10-0.36).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IPT was not associated with reduced TST conversion among children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under 5 years, but it was strongly associated with reduced progression to TB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disease among HHCs of all ages.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 The Author(s) 2026. Published by Oxford University Press on behalf of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Infectious Diseases Society of America. All rights reserved. For commercial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re-use, please contact reprints@oup.com for reprints and translation rights for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reprints. All other permissions can be obtained through our RightsLink service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via the Permissions link on the article page on our site—for further information 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please contact journals.permissions@oup.com.</w:t>
      </w: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7A20D0" w:rsidRPr="007A20D0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10.1093/cid/ciag483</w:t>
      </w:r>
    </w:p>
    <w:p w:rsidR="00330A46" w:rsidRDefault="007A20D0" w:rsidP="007A20D0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42605523</w:t>
      </w:r>
    </w:p>
    <w:p w:rsidR="00E479DD" w:rsidRDefault="00E479DD" w:rsidP="007A20D0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336598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48</w:t>
      </w:r>
      <w:r w:rsidR="00EA19B3" w:rsidRPr="00336598">
        <w:rPr>
          <w:rFonts w:ascii="宋体" w:eastAsia="宋体" w:hAnsi="宋体" w:cs="宋体"/>
          <w:b/>
          <w:color w:val="FF0000"/>
          <w:szCs w:val="24"/>
        </w:rPr>
        <w:t>. Cureus. 2026 Jul 23;18(7):e113227. doi: 10.7759/c</w:t>
      </w:r>
      <w:r w:rsidR="00336598" w:rsidRPr="00336598">
        <w:rPr>
          <w:rFonts w:ascii="宋体" w:eastAsia="宋体" w:hAnsi="宋体" w:cs="宋体"/>
          <w:b/>
          <w:color w:val="FF0000"/>
          <w:szCs w:val="24"/>
        </w:rPr>
        <w:t xml:space="preserve">ureus.113227. eCollection 2026 </w:t>
      </w:r>
      <w:r w:rsidR="00EA19B3" w:rsidRPr="00336598">
        <w:rPr>
          <w:rFonts w:ascii="宋体" w:eastAsia="宋体" w:hAnsi="宋体" w:cs="宋体"/>
          <w:b/>
          <w:color w:val="FF0000"/>
          <w:szCs w:val="24"/>
        </w:rPr>
        <w:t>Jul.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Silent Renal Autodestruction: Incidental Discovery of End-Stage Genitourinary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Tuberculosis (Putty Kidney) 14 Years After Treatment for Pulmonary Tuberculosis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With Multisystem Sequelae.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Kurale M(1), Chaudhary S(2), Nimje R(2).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(1)Department of Surgery, N.K.P. Salve Institute of Medical Sciences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Research Centre and Lata Mangeshkar Hospital, Nagpur, IND.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(2)Department of Urology, N.K.P. Salve Institute of Medical Sciences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Research Centre and Lata Mangeshkar Hospital, Nagpur, IND.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Genitourinary tuberculosis (GUTB) is a prevalent yet frequently underdiagnosed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form of extrapulmonary tuberculosis (TB), owing to its characteristically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indolent and asymptomatic clinical course. In its most advanced form, renal TB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culminates in complete destruction and dystrophic calcification of the renal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parenchyma, a condition known as "putty kidney" or autonephrectomy. This entity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can develop silently over many years, even in patients who have completed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antitubercular therapy for pulmonary disease. A 44-year-old woman with a remote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history of pulmonary TB treated 14 years prior presented to the gynecology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outpatient department for the evaluation of menstrual irregularities. She denied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all urinary symptoms. Incidental ultrasonography revealed gross hydronephrosis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and calcification of the left kidney. Contrast-enhanced computed tomography (CT)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of the abdomen demonstrated a calcified, nonexcreting left kidney consistent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with a putty kidney, accompanied by calcified hepatic and splenic granulomas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calcified mesenteric lymph nodes. High-resolution CT of the thorax identified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calcified pulmonary nodules consistent with healed pulmonary TB. Magnetic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resonance imaging of the spine revealed lytic lesions at L4-L5 suggestive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healed spinal TB. A diethylenetriamine pentaacetic acid (DTPA) renal scan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confirmed absent left renal function. The patient underwent open left simple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nephrectomy. Histopathological examination demonstrated granulomatous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inflammation with multinucleated giant cells and caseous necrosis, confirming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renal TB. The postoperative course was uneventful. Renal TB is characterized by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slow, progressive hematogenous dissemination of Mycobacterium tuberculosis,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leading to granuloma formation, fibrosis, and ultimately parenchymal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calcification. Renal TB may become clinically apparent years after treated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pulmonary TB. The underlying mechanism may involve reactivation of dormant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bacilli or progression of previously established latent genitourinary infection,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and the exact mechanism cannot be determined in this case. The absence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urinary symptoms can result in years of undetected progression, rendering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incidental imaging an important diagnostic pathway. Nephrectomy is indicated for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 nonfunctioning tuberculous kidney to prevent complications such as recurrent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infection, persistent pain, uncontrolled hypertension, or when malignancy cannot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be excluded. This case illustrates that end-stage GUTB may remain clinically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silent for years and be detected incidentally despite previous treatment for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pulmonary TB. Long-term clinical vigilance should be maintained in patients with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previous TB, particularly when new symptoms or suspicious imaging findings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develop. Routine imaging surveillance for all patients is not established by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current evidence.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Copyright © 2026, Kurale et al.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10.7759/cureus.113227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PMCID: PMC13499503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42633409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336598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49</w:t>
      </w:r>
      <w:r w:rsidR="00EA19B3" w:rsidRPr="00336598">
        <w:rPr>
          <w:rFonts w:ascii="宋体" w:eastAsia="宋体" w:hAnsi="宋体" w:cs="宋体"/>
          <w:b/>
          <w:color w:val="FF0000"/>
          <w:szCs w:val="24"/>
        </w:rPr>
        <w:t>. ADMET DMPK. 2026 Jun 8;14:3322. doi: 10.5599/admet.3322. eCollection 2026.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Design, synthesis and antitubercular evaluation of novel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5,6-diphenyl-1,2,4-triazine-piperazine derivatives targeting mycobacterial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dihydrofolate reductase.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Thakkar U(1), Shah M(1), Khona P(2), Patel H(3), Yadav MR(2), Patel S(4), Singh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C(1), Bhamre R(1), Nagani A(1)(5).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(1)Parul Institute of Pharmacy, Parul University, Vadodara, Gujarat, India.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(2)Faculty of Pharmacy, Parul University, Vadodara, Gujarat, India.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(3)Krishna School of Pharmacy, KPGU, Vadodara, Gujarat, India.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(4)Research and Development Chemist, Purical Inc., Etobicoke, Canada.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lastRenderedPageBreak/>
        <w:t>(5)Research and Development Cell, Parul University, Vadodara, Gujarat, India.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>BACKGROUND AND PURPOSE: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Tuberculosis (TB), a serious global health concern,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continues to contribute to the global health burden, underscoring the urgent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need to discover potent antitubercular agents. In the present study, a series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novel 5,6-diphenyl-1,2,4-triazine-piperazine derivatives were synthesized,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their potential for anti-tubercular activity was assessed.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 xml:space="preserve">EXPERIMENTAL APPROACH: 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The antitubercular potential of the synthesized compounds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was assessed using the microplate alamar blue assay (MABA). Cytotoxicity studies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were carried out on RAW 264.7 macrophages. To assess the mode of action of the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synthesized compounds, docking analysis of the active compounds was performed on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two key enzymes of Mycobacterium, decaprenylphosphoryl-β-D-ribose 2'-epimerase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and Mycobacterium tuberculosis-dihydrofolate reductase (Mtb-DHFR). Furthermore,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molecular dynamics simulations and density functional theory calculations were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performed to validate the stability of the ligand-protein complexes and the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electronic properties of the lead compounds.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 xml:space="preserve">KEY RESULTS: 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The results revealed promising anti-tubercular activity for the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synthesized compounds. Among these, compounds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2-((5,6-Diphenyl-1,2,4-triazin-3-yl)thio)--1-(4-(4-fluorobenz</w:t>
      </w:r>
      <w:r w:rsidR="00336598">
        <w:rPr>
          <w:rFonts w:ascii="宋体" w:eastAsia="宋体" w:hAnsi="宋体" w:cs="宋体"/>
          <w:color w:val="000000" w:themeColor="text1"/>
          <w:szCs w:val="24"/>
        </w:rPr>
        <w:t xml:space="preserve">oyl)piperazin-1-yl)ethan-1-one </w:t>
      </w:r>
      <w:r w:rsidRPr="00EA19B3">
        <w:rPr>
          <w:rFonts w:ascii="宋体" w:eastAsia="宋体" w:hAnsi="宋体" w:cs="宋体"/>
          <w:color w:val="000000" w:themeColor="text1"/>
          <w:szCs w:val="24"/>
        </w:rPr>
        <w:t>(FP3) and 2-((5,6-diphenyl-1,2,4-triazin-3-y</w:t>
      </w:r>
      <w:r w:rsidR="00336598">
        <w:rPr>
          <w:rFonts w:ascii="宋体" w:eastAsia="宋体" w:hAnsi="宋体" w:cs="宋体"/>
          <w:color w:val="000000" w:themeColor="text1"/>
          <w:szCs w:val="24"/>
        </w:rPr>
        <w:t xml:space="preserve">l)thio)-1-(4-(4-methylbenzoyl) </w:t>
      </w:r>
      <w:r w:rsidRPr="00EA19B3">
        <w:rPr>
          <w:rFonts w:ascii="宋体" w:eastAsia="宋体" w:hAnsi="宋体" w:cs="宋体"/>
          <w:color w:val="000000" w:themeColor="text1"/>
          <w:szCs w:val="24"/>
        </w:rPr>
        <w:t>piperazin--1-yl)ethan-1-one (FP8) exhibited p</w:t>
      </w:r>
      <w:r w:rsidR="00336598">
        <w:rPr>
          <w:rFonts w:ascii="宋体" w:eastAsia="宋体" w:hAnsi="宋体" w:cs="宋体"/>
          <w:color w:val="000000" w:themeColor="text1"/>
          <w:szCs w:val="24"/>
        </w:rPr>
        <w:t xml:space="preserve">otent activity with an minimum </w:t>
      </w:r>
      <w:r w:rsidRPr="00EA19B3">
        <w:rPr>
          <w:rFonts w:ascii="宋体" w:eastAsia="宋体" w:hAnsi="宋体" w:cs="宋体"/>
          <w:color w:val="000000" w:themeColor="text1"/>
          <w:szCs w:val="24"/>
        </w:rPr>
        <w:t>inhibitory concentration of 1.6 μg mL-1, alo</w:t>
      </w:r>
      <w:r w:rsidR="00336598">
        <w:rPr>
          <w:rFonts w:ascii="宋体" w:eastAsia="宋体" w:hAnsi="宋体" w:cs="宋体"/>
          <w:color w:val="000000" w:themeColor="text1"/>
          <w:szCs w:val="24"/>
        </w:rPr>
        <w:t xml:space="preserve">ng with promising cytotoxicity </w:t>
      </w:r>
      <w:r w:rsidRPr="00EA19B3">
        <w:rPr>
          <w:rFonts w:ascii="宋体" w:eastAsia="宋体" w:hAnsi="宋体" w:cs="宋体"/>
          <w:color w:val="000000" w:themeColor="text1"/>
          <w:szCs w:val="24"/>
        </w:rPr>
        <w:t>profiles against RAW 264.7 macrophage cells. D</w:t>
      </w:r>
      <w:r w:rsidR="00336598">
        <w:rPr>
          <w:rFonts w:ascii="宋体" w:eastAsia="宋体" w:hAnsi="宋体" w:cs="宋体"/>
          <w:color w:val="000000" w:themeColor="text1"/>
          <w:szCs w:val="24"/>
        </w:rPr>
        <w:t xml:space="preserve">ocking studies revealed potent 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docking scores compared to the standard, thereby confirming the involvement of the DHFR enzyme. Interaction analysis revealed stable hydrogen-bond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interactions, π-π stacking, and hydrophobic interactions with the active-site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residues of the DHFR enzyme. Additionally, molecular dynamics simulation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validated the stability of the interactions and the structural integrity of the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complexes, while density functional theory calculations supported the desirable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electronic properties of the lead compounds.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The combined results of the experiments and calculations validated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the potential of FP3 and FP8 as DHFR-targeted antitubercular agents. The study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highlights the potential of 5,6-diphenyl-1,2,4-triazine-piperazine derivatives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as promising candidates for further anti-tubercular drug development.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Copyright © 2026 by the authors.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10.5599/admet.3322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PMCID: PMC13499672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42633376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336598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50</w:t>
      </w:r>
      <w:r w:rsidR="00EA19B3" w:rsidRPr="00336598">
        <w:rPr>
          <w:rFonts w:ascii="宋体" w:eastAsia="宋体" w:hAnsi="宋体" w:cs="宋体"/>
          <w:b/>
          <w:color w:val="FF0000"/>
          <w:szCs w:val="24"/>
        </w:rPr>
        <w:t>. Radiol Case Rep. 2026 Aug 14;21(11):5384-5389. doi</w:t>
      </w:r>
      <w:r w:rsidR="00336598">
        <w:rPr>
          <w:rFonts w:ascii="宋体" w:eastAsia="宋体" w:hAnsi="宋体" w:cs="宋体"/>
          <w:b/>
          <w:color w:val="FF0000"/>
          <w:szCs w:val="24"/>
        </w:rPr>
        <w:t xml:space="preserve">: 10.1016/j.radcr.2026.07.053. </w:t>
      </w:r>
      <w:r w:rsidR="00EA19B3" w:rsidRPr="00336598">
        <w:rPr>
          <w:rFonts w:ascii="宋体" w:eastAsia="宋体" w:hAnsi="宋体" w:cs="宋体"/>
          <w:b/>
          <w:color w:val="FF0000"/>
          <w:szCs w:val="24"/>
        </w:rPr>
        <w:t>eCollection 2026 Nov.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Perforated acute appendicitis on computed tomography revealing underlying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tuberculosis.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Mikoshi A(1), Ichio K(2), Shinto E(2), Matsunaga A(3).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(1)Department of Radiology, Japan Self-Defense Forces Central Hospital, Tokyo,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Japan.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(2)Department of Surgery, Japan Self-Defense Forces Central Hospital, Tokyo,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Japan.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(3)Department of Pathology, Japan Self-Defense Forces Central Hospital, Tokyo,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Japan.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Tuberculous appendicitis is an extremely rare manifestation of gastrointestinal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tuberculosis and is often clinically and radiologically indistinguishable from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conventional acute appendicitis. We report the case of a 27-year-old man who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presented with fever and pain in the right lower quadrant. Contrast-enhanced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computed tomography revealed an enlarged appendix with an appendicolith, a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distal wall defect, and periappendiceal abscess formation, consistent with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perforated acute appendicitis. Laparoscopic appendectomy was performed.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Histopathological examination revealed acute gangrenous appendicitis with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multiple caseating granulomas predominantly involving the mucosa and submucosa.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Although acid-fast bacilli staining was negative, the interferon-gamma release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assay was positive, and chest computed tomography revealed pulmonary nodular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lesions, supporting the clinical diagnosis of tuberculosis. Anti-tuberculous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therapy was initiated. Isolated appendiceal tuberculosis lacks specific imaging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features and is frequently indistinguishable from typical acute appendicitis,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particularly when complicated by an appendicolith or perforation. This case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highlights the importance of considering tuberculosis when granulomatous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inflammation is identified on histopathology and performing a systemic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evaluation even in patients presenting with typical features of acute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appendicitis.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2026 The Author(s).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10.1016/j.radcr.2026.07.053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PMCID: PMC13499194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42633240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336598" w:rsidRDefault="00EA19B3" w:rsidP="00EA19B3">
      <w:pPr>
        <w:rPr>
          <w:rFonts w:ascii="宋体" w:eastAsia="宋体" w:hAnsi="宋体" w:cs="宋体"/>
          <w:b/>
          <w:color w:val="FF0000"/>
          <w:szCs w:val="24"/>
        </w:rPr>
      </w:pPr>
      <w:r w:rsidRPr="00336598">
        <w:rPr>
          <w:rFonts w:ascii="宋体" w:eastAsia="宋体" w:hAnsi="宋体" w:cs="宋体"/>
          <w:b/>
          <w:color w:val="FF0000"/>
          <w:szCs w:val="24"/>
        </w:rPr>
        <w:t>5</w:t>
      </w:r>
      <w:r w:rsidR="00CE7B62">
        <w:rPr>
          <w:rFonts w:ascii="宋体" w:eastAsia="宋体" w:hAnsi="宋体" w:cs="宋体"/>
          <w:b/>
          <w:color w:val="FF0000"/>
          <w:szCs w:val="24"/>
        </w:rPr>
        <w:t>1</w:t>
      </w:r>
      <w:r w:rsidRPr="00336598">
        <w:rPr>
          <w:rFonts w:ascii="宋体" w:eastAsia="宋体" w:hAnsi="宋体" w:cs="宋体"/>
          <w:b/>
          <w:color w:val="FF0000"/>
          <w:szCs w:val="24"/>
        </w:rPr>
        <w:t>. Radiol Case Rep. 2026 Aug 13;21(11):5354-5361. doi</w:t>
      </w:r>
      <w:r w:rsidR="00336598">
        <w:rPr>
          <w:rFonts w:ascii="宋体" w:eastAsia="宋体" w:hAnsi="宋体" w:cs="宋体"/>
          <w:b/>
          <w:color w:val="FF0000"/>
          <w:szCs w:val="24"/>
        </w:rPr>
        <w:t xml:space="preserve">: 10.1016/j.radcr.2026.07.060. </w:t>
      </w:r>
      <w:r w:rsidRPr="00336598">
        <w:rPr>
          <w:rFonts w:ascii="宋体" w:eastAsia="宋体" w:hAnsi="宋体" w:cs="宋体"/>
          <w:b/>
          <w:color w:val="FF0000"/>
          <w:szCs w:val="24"/>
        </w:rPr>
        <w:t>eCollection 2026 Nov.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Navigating complex presentations of central nervous system tuberculosis: A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two-case analysis.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Boada-Garnica JA(1), Arias-Saavedra A(1), Montes MI(2), Betancur JF(3), Ramírez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B(4).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(1)Grupo QuirónSalud, Clínica Medellín, Medellín, Colombia.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(2)Neurology Department, Grupo QuirónSalud, Clínica Medellín, Universidad de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Antioquia, Medellín, Colombia.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(3)Centro de Investigaciones Clínicas SURA, Clinical Research Department,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Clínica Medellín QuirónSalud, Medellín, Colombia.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(4)Clinical Research Department, Clínica Medellín QuirónSalud, Medellín,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Colombia.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Tuberculosis (TB) remains a significant global health concern, and the COVID-19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pandemic has negatively impacted TB control. This report presents 2 challenging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cases of central nervous system (CNS) tuberculosis with atypical presentation in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adult patients. The first case involved a young male patient with disseminated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tuberculosis who presented with meningoencephalitis, multiple brain abscesses,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vasculitis, and extensive myelopathy, resulting in paraplegia. The patient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required multiple neurosurgical interventions and experienced complications such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as drug-induced hepatotoxicity and neurogenic bladder. The second case describes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an elderly male patient with an oncological history of tuberculous meningitis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that mimicked tumor dissemination and presented with multiple hemorrhagic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intraventricular nodular lesions. In both cases, the integration of advanced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neuroimaging techniques and molecular methods, such as PCR for Mycobacterium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tuberculosis in the cerebrospinal fluid, was crucial for confirming the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diagnosis. Despite the early initiation of anti-tuberculosis therapy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steroids, both patients experienced significant residual neurological morbidity.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These cases highlight the importance of considering tuberculosis in the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differential diagnosis of atypical neurological lesions, even in immunocompetent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patients, and the need for rapid diagnostic tests to reduce complications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permanent sequelae of the disease. A multidisciplinary approach and close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follow-up are essential for managing complex cases of CNS tuberculosis.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2026 The Authors.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10.1016/j.radcr.2026.07.060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PMCID: PMC13499101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42633156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336598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52</w:t>
      </w:r>
      <w:r w:rsidR="00EA19B3" w:rsidRPr="00336598">
        <w:rPr>
          <w:rFonts w:ascii="宋体" w:eastAsia="宋体" w:hAnsi="宋体" w:cs="宋体"/>
          <w:b/>
          <w:color w:val="FF0000"/>
          <w:szCs w:val="24"/>
        </w:rPr>
        <w:t xml:space="preserve">. Talanta. 2026 Aug 14;312(Pt B):130462. doi: 10.1016/j.talanta.2026.130462. </w:t>
      </w:r>
    </w:p>
    <w:p w:rsidR="00EA19B3" w:rsidRPr="00336598" w:rsidRDefault="00EA19B3" w:rsidP="00EA19B3">
      <w:pPr>
        <w:rPr>
          <w:rFonts w:ascii="宋体" w:eastAsia="宋体" w:hAnsi="宋体" w:cs="宋体"/>
          <w:b/>
          <w:color w:val="FF0000"/>
          <w:szCs w:val="24"/>
        </w:rPr>
      </w:pPr>
      <w:r w:rsidRPr="00336598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Tuberculosis biomarker detection using the intrinsic photoluminescence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lastRenderedPageBreak/>
        <w:t>carbonated hydroxyapatite nanoparticles.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Takeuti NNK(1), Machado TR(2), Sampaio I(3), Zucolotto V(4).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(1)GNANO - Nanomedicine and Nanotoxicology Group, São Carlos Institute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Physics, University of São Paulo, São Carlos, SP, 13566-590, Brazil.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(2)GNANO - Nanomedicine and Nanotoxicology Group, São Carlos Institute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Physics, University of São Paulo, São Carlos, SP, 13566-590, Brazil. Electronic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address: trmachado@ifsc.usp.br.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(3)Department of Engineering, Physics and Mathematics, Institute of Chemistry,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São Paulo State University, Araraquara, SP, 14800-060, Brazil.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(4)GNANO - Nanomedicine and Nanotoxicology Group, São Carlos Institute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Physics, University of São Paulo, São Carlos, SP, 13566-590, Brazil. Electronic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address: zuco@ifsc.usp.br.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Tuberculosis (TB) is an infectious disease caused by Mycobacterium tuberculosis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(Mtb), classified as one of the main causes of death from infectious diseases in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the world. Conventional diagnosis relies on sputum culture, an accurate but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time-consuming method that requires specialized infrastructure, highlighting the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urgent need for alternative diagnostic approaches. Here, we report the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development of an optical nanosensor based on the intrinsic photoluminescence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(PL) of carbonated hydroxyapatite nanoparticles (HA NPs) for the detection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the CFP10/ESAT6 protein complex, a typical TB biomarker. The intrinsic PL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properties of chemically precipitated HA NPs were optimized by tailoring the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density of defect-related emission centers through a combined strategy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carbonate incorporation and thermal treatment, eliminating the need for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lanthanide ions doping, organic fluorophores, or secondary luminescent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materials. Carbonated HA NPs were functionalized with citrate ions and specific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antibodies, as confirmed through morphological, topological, and compositional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analyses. Using the PL intensity of the functionalized HA NPs as the signal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response, a quenching effect was observed upon interaction with the target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molecule, demonstrating that the optical properties of this nanostructured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system can be used for detecting molecules of interest. The optimized HA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NPs-based biosensor exhibited analytical sensitivity of 0.15</w:t>
      </w:r>
      <w:r w:rsidRPr="00EA19B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EA19B3">
        <w:rPr>
          <w:rFonts w:ascii="宋体" w:eastAsia="宋体" w:hAnsi="宋体" w:cs="宋体" w:hint="eastAsia"/>
          <w:color w:val="000000" w:themeColor="text1"/>
          <w:szCs w:val="24"/>
        </w:rPr>
        <w:t>±</w:t>
      </w:r>
      <w:r w:rsidRPr="00EA19B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0.02%/(ng/mL), a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working range from 300 to 500</w:t>
      </w:r>
      <w:r w:rsidRPr="00EA19B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EA19B3">
        <w:rPr>
          <w:rFonts w:ascii="宋体" w:eastAsia="宋体" w:hAnsi="宋体" w:cs="宋体"/>
          <w:color w:val="000000" w:themeColor="text1"/>
          <w:szCs w:val="24"/>
        </w:rPr>
        <w:t>ng/mL, and a limit of detection (LOD) of 132</w:t>
      </w:r>
      <w:r w:rsidRPr="00EA19B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ng/mL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within 30</w:t>
      </w:r>
      <w:r w:rsidRPr="00EA19B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min. While the selectivity assessment was limited to a single negative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control protein, these proof-of-concept results demonstrate the potential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intrinsically photoluminescent carbonated HA NPs as a simple, rapid,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label-free optical biosensing platform, without complex architectures, or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signal-amplification steps.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Copyright © 2026 The Authors. Published by Elsevier B.V. All rights reserved.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lastRenderedPageBreak/>
        <w:t>DOI: 10.1016/j.talanta.2026.130462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42632114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336598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53</w:t>
      </w:r>
      <w:r w:rsidR="00EA19B3" w:rsidRPr="00336598">
        <w:rPr>
          <w:rFonts w:ascii="宋体" w:eastAsia="宋体" w:hAnsi="宋体" w:cs="宋体"/>
          <w:b/>
          <w:color w:val="FF0000"/>
          <w:szCs w:val="24"/>
        </w:rPr>
        <w:t xml:space="preserve">. J Community Hosp Intern Med Perspect. 2026 Jul 17;16(4):55-61. doi: </w:t>
      </w:r>
    </w:p>
    <w:p w:rsidR="00EA19B3" w:rsidRPr="00336598" w:rsidRDefault="00EA19B3" w:rsidP="00EA19B3">
      <w:pPr>
        <w:rPr>
          <w:rFonts w:ascii="宋体" w:eastAsia="宋体" w:hAnsi="宋体" w:cs="宋体"/>
          <w:b/>
          <w:color w:val="FF0000"/>
          <w:szCs w:val="24"/>
        </w:rPr>
      </w:pPr>
      <w:r w:rsidRPr="00336598">
        <w:rPr>
          <w:rFonts w:ascii="宋体" w:eastAsia="宋体" w:hAnsi="宋体" w:cs="宋体"/>
          <w:b/>
          <w:color w:val="FF0000"/>
          <w:szCs w:val="24"/>
        </w:rPr>
        <w:t>10.55729/2000-9666.1623. eCollection 2026.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The Effect of Empiric Initiation of Treatment on Outcomes Among Patients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Presenting With Extrapulmonary Mycobacterium Tuberculosis Infection in a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Community Hospital Setting.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Awwal T(1), Kh FR(2), Awaba H(3), Anwar W(4), Ren J(5), Safdar MA(6)(7), Walayat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S(1), Farrell J(1)(8).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(1)Department of Medicine, University of Illinois College of Medicine, Peoria,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IL, USA.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(2)American University of Barbados, Barbados.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(3)Foundation University Medical College, Rawalpindi, Pakistan.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(4)Shaukat Khanum Cancer Institute, Lahore, Pakistan.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(5)Center for Outcomes Research, University of Illinois College of Medicine,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Peoria, IL, USA.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(6)National TB Control Program, Ministry of Health Services, Government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Pakistan, Pakistan.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(7)Pakistan Institute of Medical Sciences, Islamabad, Pakistan.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(8)Department of Laboratory Medicine, Division of Clinical Microbiology &amp;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Serology, OSF System Lab, Peoria, IL, USA.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Extrapulmonary tuberculosis (EPTB) accounts for ~20%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Mycobacterium tuberculosis infections in Pakistan. Diagnostic delays are common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and may worsen outcomes. We evaluated whether empiric treatment initiation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improves outcomes among patients with EPTB at a large public hospital in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Islamabad, Pakistan.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Retrospective cohort of consecutive EPTB cases at Pakistan Institute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Medical Sciences (January-June 2016). Patients were categorized as clinically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diagnosed (symptoms/radiology) or laboratory-supported (histology, microbiology,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or biochemical tests). Standard Directly Observed Therapy Short-course (DOTS)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based regimens were used. Outcomes were treatment success, failure, loss to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follow-up, and mortality; groups were compared using chi-square testing.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Of 317 EPTB patients, 275 completed treatment and were analyzed. Mean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age was 34.4 years; 57% were male. The most common sites were pleural (28.7%)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and lymphatic (20.3%) TB. Clinically diagnosed patients had higher cure rates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than laboratory supported diagnosis group patients (87.6% vs. 79.6%; p = 0.221)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and significantly lower mortality (5.3% vs. 9.3%; p = 0.041). Among patients who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completed treatment, 82.9% achieved treatment success; overall cure rate was 71%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lastRenderedPageBreak/>
        <w:t>including non-completion and loss to follow-up.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Early empiric therapy may be associated with improved survival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higher cure rates compared with delaying treatment pending laboratory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confirmation. Context-appropriate EPTB guidelines emphasizing prompt clinical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treatment are warranted in high burden settings.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2026 Greater Baltimore Medical Center.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10.55729/2000-9666.1623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PMCID: PMC13496508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42631308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336598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54</w:t>
      </w:r>
      <w:r w:rsidR="00EA19B3" w:rsidRPr="00336598">
        <w:rPr>
          <w:rFonts w:ascii="宋体" w:eastAsia="宋体" w:hAnsi="宋体" w:cs="宋体"/>
          <w:b/>
          <w:color w:val="FF0000"/>
          <w:szCs w:val="24"/>
        </w:rPr>
        <w:t xml:space="preserve">. J Community Hosp Intern Med Perspect. 2026 Jul 17;16(4):134-137. doi: </w:t>
      </w:r>
    </w:p>
    <w:p w:rsidR="00EA19B3" w:rsidRPr="00336598" w:rsidRDefault="00EA19B3" w:rsidP="00EA19B3">
      <w:pPr>
        <w:rPr>
          <w:rFonts w:ascii="宋体" w:eastAsia="宋体" w:hAnsi="宋体" w:cs="宋体"/>
          <w:b/>
          <w:color w:val="FF0000"/>
          <w:szCs w:val="24"/>
        </w:rPr>
      </w:pPr>
      <w:r w:rsidRPr="00336598">
        <w:rPr>
          <w:rFonts w:ascii="宋体" w:eastAsia="宋体" w:hAnsi="宋体" w:cs="宋体"/>
          <w:b/>
          <w:color w:val="FF0000"/>
          <w:szCs w:val="24"/>
        </w:rPr>
        <w:t>10.55729/2000-9666.1614. eCollection 2026.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Rasmussen's Aneurysm: A Rare but Life-Threatening Complication of Pulmonary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Tuberculosis - A Case Report.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Puri K(1).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(1)Monmouth Medical Center Southern Campus/Robert Wood Johnson Barnabas Health,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New Jersey, USA.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Rasmussen's aneurysm is a rare but potentially fatal complication of pulmonary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tuberculosis. It represents a pseudoaneurysm of a pulmonary arterial branch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caused by erosion of the arterial wall secondary to chronic inflammation within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 tuberculosis cavity. Although uncommon, especially in non-endemic regions,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rupture of this aneurysm can result in massive hemoptysis and carries a high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mortality if not promptly recognized and managed. We report a case of a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healthcare worker in the United States, a non-endemic region, who presented with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massive, life-threatening hemoptysis. She was found to have active pulmonary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tuberculosis. Computed tomography angiography demonstrated a 10-mm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pseudoaneurysm arising from the apical branch of the left pulmonary artery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protruding into a cavitary lesion in the left upper lobe. Four months prior to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presentation, she had been diagnosed with latent tuberculosis but had declined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treatment. The patient was started on anti-tuberculosis therapy after presenting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with hemoptysis. Endovascular embolization of the left upper-lobe subsegmental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pulmonary artery was successfully performed, resulting in complete resolution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hemoptysis. Rasmussen's aneurysm, though rare, can occur outside endemic regions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and may follow a rapid progression from latent to active tuberculosis.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Awareness, early imaging, and prompt endovascular intervention are crucial to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reduce morbidity and mortality. Screening and treatment of latent tuberculosis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remain essential to prevent progression to active disease and such severe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lastRenderedPageBreak/>
        <w:t>complications.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2026 Greater Baltimore Medical Center.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10.55729/2000-9666.1614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PMCID: PMC13496503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42631029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336598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55</w:t>
      </w:r>
      <w:r w:rsidR="00EA19B3" w:rsidRPr="00336598">
        <w:rPr>
          <w:rFonts w:ascii="宋体" w:eastAsia="宋体" w:hAnsi="宋体" w:cs="宋体"/>
          <w:b/>
          <w:color w:val="FF0000"/>
          <w:szCs w:val="24"/>
        </w:rPr>
        <w:t xml:space="preserve">. Front Immunol. 2026 Aug 7;17:1761877. doi: 10.3389/fimmu.2026.1761877. </w:t>
      </w:r>
    </w:p>
    <w:p w:rsidR="00EA19B3" w:rsidRPr="00336598" w:rsidRDefault="00EA19B3" w:rsidP="00EA19B3">
      <w:pPr>
        <w:rPr>
          <w:rFonts w:ascii="宋体" w:eastAsia="宋体" w:hAnsi="宋体" w:cs="宋体"/>
          <w:b/>
          <w:color w:val="FF0000"/>
          <w:szCs w:val="24"/>
        </w:rPr>
      </w:pPr>
      <w:r w:rsidRPr="00336598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Profiling complement proteins in pediatric tuberculosis children with or without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serological evidence of prior SARS-CoV-2 exposure.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Kumar NP(1), Mohan G(1), Balaji S(#)(2), Vanamudhu A(#)(1), R P(3), Ramraj B(1),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Devi PG(1), Ahamed SF(1), M K(1), S G(1), Adavath SK(1), C HG(1), Varadarajan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P(2), Babu S(#)(4)(5), Venkataraman A(#)(1).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(1)ICMR - National Institute for Research in Tuberculosis, Chennai, India.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(2)Institute of Child Health and Hospital for Children, Chennai, India.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(3)Government Rajaji Hospital, Madurai, India.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(4)National Institutes of Health - International Center for Excellence in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Research, Chennai, India.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(5)Laboratory of Parasitic Diseases, National Institute of Allergy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Infectious Diseases, National Institutes of Health, Bethesda, MA, United States.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>INTRODUCTION: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Coinfection with Mycobacterium tuberculosis (TB) and SARS-CoV-2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poses unique challenges in pediatric population due to overlapping immune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pathways and potential immune dysregulation. The complement system, a key arm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innate immunity, plays a dual role in pathogen clearance and inflammation.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This study aimed to investigate complement activation in TB in children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with or without serological evidence of prior SARS-CoV-2 exposure. Children aged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2-17 years with pulmonary or extrapulmonary TB were recruited from two tertiary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hospitals in South India. Participants were grouped based on SARS-CoV-2 IgG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serostatus: CoV2</w:t>
      </w:r>
      <w:r w:rsidRPr="00EA19B3">
        <w:rPr>
          <w:rFonts w:ascii="MS Gothic" w:eastAsia="MS Gothic" w:hAnsi="MS Gothic" w:cs="MS Gothic" w:hint="eastAsia"/>
          <w:color w:val="000000" w:themeColor="text1"/>
          <w:szCs w:val="24"/>
        </w:rPr>
        <w:t>⁺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(n = 30) and CoV2</w:t>
      </w:r>
      <w:r w:rsidRPr="00EA19B3">
        <w:rPr>
          <w:rFonts w:ascii="MS Gothic" w:eastAsia="MS Gothic" w:hAnsi="MS Gothic" w:cs="MS Gothic" w:hint="eastAsia"/>
          <w:color w:val="000000" w:themeColor="text1"/>
          <w:szCs w:val="24"/>
        </w:rPr>
        <w:t>⁻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(n = 30). Blood samples were collected at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baseline, and at months 3, and 6 for complement profiling. Levels of classical,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lectin, and alternative pathway proteins, as well as regulatory factors, were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quantified using multiplex bead-based assays. Canonical discriminant analysis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(CDA) and Spearman correlation were used to analyse temporal and relational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patterns in complement activation.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CoV2+ children had significantly elevated levels of classical pathway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proteins (C1q, C3, C4, C5a) and regulatory factors (Factor B, H, and I) at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baseline, month 3 and month 6 in comparison to CoV2- children. However C2 and C5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diminished in CoV2+ children in comparison to CoV2-CDA revealed distinct,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time-resolved complement activity in CoV2</w:t>
      </w:r>
      <w:r w:rsidRPr="00EA19B3">
        <w:rPr>
          <w:rFonts w:ascii="MS Gothic" w:eastAsia="MS Gothic" w:hAnsi="MS Gothic" w:cs="MS Gothic" w:hint="eastAsia"/>
          <w:color w:val="000000" w:themeColor="text1"/>
          <w:szCs w:val="24"/>
        </w:rPr>
        <w:t>⁻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children, whereas CoV2</w:t>
      </w:r>
      <w:r w:rsidRPr="00EA19B3">
        <w:rPr>
          <w:rFonts w:ascii="MS Gothic" w:eastAsia="MS Gothic" w:hAnsi="MS Gothic" w:cs="MS Gothic" w:hint="eastAsia"/>
          <w:color w:val="000000" w:themeColor="text1"/>
          <w:szCs w:val="24"/>
        </w:rPr>
        <w:t>⁺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profiles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showed overlap, suggesting prolonged immune alteration. Correlation analysis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identified significant associations between SARS-CoV-2 IgG and complement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proteins, with differing patterns in CoV2+ and CoV2- groups over time.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>DISCUSSION: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SARS-CoV-2 seropositivity may contribute to changes in the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complement activation trajectory in TB-diseased children, potentially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contributing to persistent inflammation. Complement profiling may inform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therapeutic strategies and serve as a biomarker of immune recovery in TB-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SARS-CoV-2 co-infection.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Copyright © 2026 Kumar, Mohan, Balaji, Vanamudhu, R, Ramraj, Devi, Ahamed, M, S,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Adavath, C, Varadarajan, Babu and Venkataraman.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10.3389/fimmu.2026.1761877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PMCID: PMC13493294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42630194 [Indexed for MEDLINE]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336598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56</w:t>
      </w:r>
      <w:r w:rsidR="00EA19B3" w:rsidRPr="00336598">
        <w:rPr>
          <w:rFonts w:ascii="宋体" w:eastAsia="宋体" w:hAnsi="宋体" w:cs="宋体"/>
          <w:b/>
          <w:color w:val="FF0000"/>
          <w:szCs w:val="24"/>
        </w:rPr>
        <w:t>. Immunohorizons. 2026 Aug 4;10(8):vlag047. doi: 10.1093/immhor/vlag047.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Binding specificity of IgG antibodies to mycobacterial DNA in plasmas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patients with tuberculosis and healthy controls.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Garza Reyna A(1), Spencer D(2), Gautam U(3), Pisetsky DS(1)(2)(4).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(1)Department of Integrative Immunobiology, Duke University School of Medicine,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Durham, NC, United States.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(2)Medical Research Service, Durham Veterans Administration Medical Center,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Durham, NC, United States.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(3)Duke University School of Medicine, Durham, NC, United States.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(4)Department of Medicine, Duke University School of Medicine, Durham, NC,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United States.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Anti-DNA antibodies are a diverse set of antibodies that bind to structures on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DNA that vary with clinical setting. In systemic lupus erythematosus (SLE),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anti-DNA antibodies interact with the B-DNA backbone, binding DNA irrespective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of species origin. In contrast, in the sera of otherwise healthy individuals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(normal human subjects [NHSs]), anti-DNA antibodies bind to certain bacterial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DNA. Furthermore, sera from patients with SLE and NHS controls can bind to the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left-handed Z-DNA conformation. In the current studies, we have explored the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antibody response to mycobacterial DNA from patients with tuberculosis (TB)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NHSs, focusing on DNA from Mycobacterium tuberculosis (Mtb) and Mycobacterium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bovis bacillus Calmette-Guérin (BCG), given their high GC content and predicted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capacity to form Z-DNA. Using ELISAs, we demonstrated that plasmas from patients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with TB and NHSs contain antibodies to mycobacterial DNA, with a greater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response to Mtb DNA than BCG DNA. To elucidate these findings, we conducted an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 silico analysis with Z-Hunt-III, synteny analysis, and an in-house R Shiny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program, Z-GENIE, to identify Z-DNA-forming sequences (ZFSs) and genomic regions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that may be antigenic. Our analysis suggested that regions of difference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single-nucleotide polymorphism-generated ZFSs may contribute to sequence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differences, which may influence antigenicity. Additionally, we provide evidence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that shared sequences between DNA of Mtb and nontuberculous mycobacteria could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explain the observed pattern of antibody reactivity. Together, these findings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suggest that anti-DNA antibodies from patients with TB and NHS controls can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distinguish between the DNA of different mycobacterial species and could serve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as serological markers for infection or exposure.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Published by Oxford University Press on behalf of The American Association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Immunologists 2026.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10.1093/immhor/vlag047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PMCID: PMC13495106</w:t>
      </w:r>
    </w:p>
    <w:p w:rsidR="00EA19B3" w:rsidRPr="00EA19B3" w:rsidRDefault="00EA19B3" w:rsidP="00EA19B3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</w:t>
      </w:r>
      <w:r w:rsidR="00336598">
        <w:rPr>
          <w:rFonts w:ascii="宋体" w:eastAsia="宋体" w:hAnsi="宋体" w:cs="宋体"/>
          <w:color w:val="000000" w:themeColor="text1"/>
          <w:szCs w:val="24"/>
        </w:rPr>
        <w:t xml:space="preserve"> 42627338 [Indexed for MEDLINE]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336598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57</w:t>
      </w:r>
      <w:r w:rsidR="00EA19B3" w:rsidRPr="00336598">
        <w:rPr>
          <w:rFonts w:ascii="宋体" w:eastAsia="宋体" w:hAnsi="宋体" w:cs="宋体"/>
          <w:b/>
          <w:color w:val="FF0000"/>
          <w:szCs w:val="24"/>
        </w:rPr>
        <w:t xml:space="preserve">. HeartRhythm Case Rep. 2026 May 20;12(8):937-940. doi: </w:t>
      </w:r>
    </w:p>
    <w:p w:rsidR="00EA19B3" w:rsidRPr="00336598" w:rsidRDefault="00EA19B3" w:rsidP="00EA19B3">
      <w:pPr>
        <w:rPr>
          <w:rFonts w:ascii="宋体" w:eastAsia="宋体" w:hAnsi="宋体" w:cs="宋体"/>
          <w:b/>
          <w:color w:val="FF0000"/>
          <w:szCs w:val="24"/>
        </w:rPr>
      </w:pPr>
      <w:r w:rsidRPr="00336598">
        <w:rPr>
          <w:rFonts w:ascii="宋体" w:eastAsia="宋体" w:hAnsi="宋体" w:cs="宋体"/>
          <w:b/>
          <w:color w:val="FF0000"/>
          <w:szCs w:val="24"/>
        </w:rPr>
        <w:t>10.1016/j.hrcr.2026.05.011. eCollection 2026 Aug.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Tuberculous empyema necessitans with pacemaker pocket abscess.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Krishna Relangi HS(1), Deepti S(1), Patel CD(2), Parakh N(1), Sharma G(1), Naik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N(1).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(1)Department of Cardiology, All India Institute of Medical Sciences, New Delhi,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India.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(2)Department of Nuclear Medicine, All India Institute of Medical Sciences, New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Delhi, India.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10.1016/j.hrcr.2026.05.011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PMCID: PMC13492323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42626582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336598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58</w:t>
      </w:r>
      <w:r w:rsidR="00EA19B3" w:rsidRPr="00336598">
        <w:rPr>
          <w:rFonts w:ascii="宋体" w:eastAsia="宋体" w:hAnsi="宋体" w:cs="宋体"/>
          <w:b/>
          <w:color w:val="FF0000"/>
          <w:szCs w:val="24"/>
        </w:rPr>
        <w:t xml:space="preserve">. Vet Res Forum. 2026;17(5):333-338. doi: 10.30466/vrf.2025.2059566.4747. Epub </w:t>
      </w:r>
    </w:p>
    <w:p w:rsidR="00EA19B3" w:rsidRPr="00336598" w:rsidRDefault="00EA19B3" w:rsidP="00EA19B3">
      <w:pPr>
        <w:rPr>
          <w:rFonts w:ascii="宋体" w:eastAsia="宋体" w:hAnsi="宋体" w:cs="宋体"/>
          <w:b/>
          <w:color w:val="FF0000"/>
          <w:szCs w:val="24"/>
        </w:rPr>
      </w:pPr>
      <w:r w:rsidRPr="00336598">
        <w:rPr>
          <w:rFonts w:ascii="宋体" w:eastAsia="宋体" w:hAnsi="宋体" w:cs="宋体"/>
          <w:b/>
          <w:color w:val="FF0000"/>
          <w:szCs w:val="24"/>
        </w:rPr>
        <w:t>2026 May 15.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Pathological and molecular characterization of Mycobacterium tuberculosis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complex in necropsied tissues of sambar deer (Rusa unicolor) and nilgai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(Boselaphus tragocamelus) from Assam state, India.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Kader NA(1), Barman NN(1)(2), Bora DP(2), Ali A(2), Dutta R(3), Gogoi SM(2),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Deka P(2), Dehingia M(1), Sharma P(4), Deka A(5), Das S(6).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(1)Advanced Animal Disease Diagnosis and Management Consortium, College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Veterinary Science, Assam Agricultural University, Guwahati, India.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(2)Department of Veterinary Microbiology, College of Veterinary Science, Assam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Agricultural University, Guwahati, India.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(3)Department of Animal Biotechnology, College of Veterinary Science, Assam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Agricultural University, Guwahati, India.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(4)Assam State Zoo, Guwahati, India.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(5)Department of Veterinary Pathology, College of Veterinary Science, Assam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Agricultural University, Guwahati, India.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(6)Indian Council of Agricultural Research Complex for North Eastern Hill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Region, Umiam, India.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Bovine tuberculosis is a chronic bacterial disease primarily caused by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Mycobacterium bovis, a member of the Mycobacterium tuberculosis complex (MTBC),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with significant zoonotic implications. This study aimed to detect MTBC in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wildlife species, specifically nilgai (Boselaphus tragocamelus) and sambar deer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(Rusa unicolor), using gross pathology, histopathology, acid-fast staining,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molecular confirmation. Necropsied tissue samples were collected during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post-mortem examination of a nilgai and a sambar deer from the Assam State Zoo,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Guwahati, India. Macroscopically, multiple granulomatous tubercles of varying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sizes were observed in the lungs and liver, with creamy white caseous material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marked upon sectioning. Ziehl-Neelsen staining of the tissue smears from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granulomatous lesions confirmed the presence of acid-fast bacilli. Microscopic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examination of tuberculosis granulomas revealed a central necrotic mass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surrounded by inflammatory cell infiltration, including Langerhans-type giant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cells. Molecular confirmation of MTBC infection was achieved by amplifying hsp65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and IS1081 in tissue samples, further validated by Basic Local Alignment Search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Tool for nucleotide analysis following Sanger dideoxy sequencing. In conclusion,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this study confirmed the presence of tuberculosis in these wildlife species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through an integrated approach combining pathology, microbiology, and molecular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diagnostics, highlighting the need to understand pathogen entry into the herd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and prevent potential spillover.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10.30466/vrf.2025.2059566.4747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PMCID: PMC13493097</w:t>
      </w:r>
    </w:p>
    <w:p w:rsidR="00EA19B3" w:rsidRPr="00EA19B3" w:rsidRDefault="00EA19B3" w:rsidP="00EA19B3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</w:t>
      </w:r>
      <w:r w:rsidR="00336598">
        <w:rPr>
          <w:rFonts w:ascii="宋体" w:eastAsia="宋体" w:hAnsi="宋体" w:cs="宋体"/>
          <w:color w:val="000000" w:themeColor="text1"/>
          <w:szCs w:val="24"/>
        </w:rPr>
        <w:t>2626435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336598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lastRenderedPageBreak/>
        <w:t>59</w:t>
      </w:r>
      <w:r w:rsidR="00EA19B3" w:rsidRPr="00336598">
        <w:rPr>
          <w:rFonts w:ascii="宋体" w:eastAsia="宋体" w:hAnsi="宋体" w:cs="宋体"/>
          <w:b/>
          <w:color w:val="FF0000"/>
          <w:szCs w:val="24"/>
        </w:rPr>
        <w:t>. Iran J Microbiol. 2026 Aug;18(4):553-560. doi: 10.18502/ijm.v18i4.22198.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Utility of RGM medium for recovery of Mycobacterium abscessus from presumptive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pulmonary tuberculosis patients and its molecular phylogenetic characterization.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Kattamanchi U(1)(2), Kodati R(3), Angaali N(4), Madhusudhan P(4), Govindaraj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V(5), Paramjyothi GK(3), Ebineshan K(2), Mariya Joseph N(1).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(1)Department of Microbiology, Jawaharlal Institute of Postgraduate Medical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Education and Research (JIPMER), Pondicherry/Puducherry, India.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(2)Department of Microbiology, LEPRA Society - Blue Peter Public Health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Research Centre (LS-BPHRC), Cherlapally, Hyderabad, India.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(3)Department of Pulmonology, Nizams Institute of Medical Sciences (NIMS),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Hyderabad, Telangana, India.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(4)Department of Microbiology, Nizams Institute of Medical Sciences (NIMS),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Hyderabad, Telangana, India.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(5)Department of Pulmonary Medicine, Jawaharlal Institute of Postgraduate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Medical Education and Research (JIPMER), Pondicherry/Puducherry, India.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 xml:space="preserve">BACKGROUND AND OBJECTIVES: 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Non-tuberculous mycobacteria (NTM), especially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Mycobacterium abscessus, are emerging causes of pulmonary disease and are often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misdiagnosed as tuberculosis in high TB burden countries. Conventional culture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methods are time-consuming and may reduce viable organism recovery. Rapidly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growing mycobacteria (RGM) medium enables direct inoculation of respiratory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specimens and improved recovery of rapidly growing NTM. This study evaluated the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utility of RGM medium for isolation of M. abscessus from presumptive pulmonary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tuberculosis patients and characterized the isolates using molecular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phylogenetic analyses.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>MATERIALS AND METHODS: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A total of 223 sputum samples collected from presumptive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pulmonary tuberculosis patients. Untreated sputum samples were inoculated onto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RGM medium with selective antibiotics and incubated at 30°C for 10 days.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Suspected colonies were confirmed by Ziehl-Neelsen staining. Identification was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performed by PCR and sequencing of hsp65 and rpoB genes. Phylogenetic analysis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was done using the Neighbour-Joining method in MEGA12. Mycobacterium abscessus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isolates were further analysed using the GenoType NTM-DR assay.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Among the 223 sputum samples processed, 7.6% (17/223) demonstrated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positive growth on RGM medium. Of the culture-positive isolates, 64.7% (11/17)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were identified as Mycobacterium abscessus, while 35.3% (6/17) were identified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as other non-tuberculous mycobacterial (NTM) species. All isolates were positive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for the rpoB and hsp65 genes. Eleven M. abscessus isolates were further analysed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using the GenoType NTM-DR assay, and no resistance-associated mutations were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detected in the erm(41), rrl, or rrs genes. Additionally, all isolates were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found to be susceptible to macrolides and aminoglycosides.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lastRenderedPageBreak/>
        <w:t>CONCLUSION: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RGM medium demonstrated good utility for recovery of clinically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significant rapidly growing mycobacteria, particularly M. abscessus, directly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from sputum samples. Molecular and phylogenetic analyses enabled accurate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species identification and characterization. The absence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resistance-associated mutations suggests retained susceptibility to key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therapeutic agents. These findings support the use of RGM medium for improved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detection of pulmonary NTM infections in TB-endemic settings.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Copyright © 2026 The Authors. Published by Tehran University of Medical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Sciences.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10.18502/ijm.v18i4.22198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PMCID: PMC13490901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42625905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336598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</w:t>
      </w:r>
      <w:r w:rsidR="00EA19B3" w:rsidRPr="00336598">
        <w:rPr>
          <w:rFonts w:ascii="宋体" w:eastAsia="宋体" w:hAnsi="宋体" w:cs="宋体"/>
          <w:b/>
          <w:color w:val="FF0000"/>
          <w:szCs w:val="24"/>
        </w:rPr>
        <w:t xml:space="preserve">0. Front Epidemiol. 2026 Aug 6;6:1813571. doi: 10.3389/fepid.2026.1813571. </w:t>
      </w:r>
    </w:p>
    <w:p w:rsidR="00EA19B3" w:rsidRPr="00336598" w:rsidRDefault="00EA19B3" w:rsidP="00EA19B3">
      <w:pPr>
        <w:rPr>
          <w:rFonts w:ascii="宋体" w:eastAsia="宋体" w:hAnsi="宋体" w:cs="宋体"/>
          <w:b/>
          <w:color w:val="FF0000"/>
          <w:szCs w:val="24"/>
        </w:rPr>
      </w:pPr>
      <w:r w:rsidRPr="00336598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Mixed-strain infection and heteroresistance in drug-resistant tuberculosis: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insights from a whole-genome sequencing pilot.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Manika M(1), Faye LM(1), Dlatu N(2), Hosu MC(1), Apalata T(1).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(1)Tuberculosis and Associated Research and Innovation Platform (TARIP), School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of Pathology, Faculty of Medicine and Health Sciences, Walter Sisulu University,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Mthatha, Eastern Cape, South Africa.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(2)Walter Sisulu Institute for Clinical Governance, Healthcare Administration,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School of Public Health, Faculty of Medicine and Health Sciences, Walter Sisulu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University, Mthatha, South Africa.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Mixed-strain Mycobacterium tuberculosis (M. tuberculosis; Mtb)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infections and heteroresistance are increasingly recognized as under-detected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contributors to drug resistance dynamics. In high-burden rural settings such as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the Eastern Cape, these genomic features may reflect both within-host diversity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and ongoing transmission. However, their epidemiological and clinical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implications remain incompletely understood, particularly in contexts with high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HIV co-infection.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We conducted an exploratory whole-genome sequencing (WGS) analysis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28 drug-resistant M. tuberculosis isolates obtained through routine diagnostic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workflows. Mixed-strain candidacy was defined using a composite genomic </w:t>
      </w:r>
    </w:p>
    <w:p w:rsidR="00EA19B3" w:rsidRPr="00EA19B3" w:rsidRDefault="00EA19B3" w:rsidP="00EA19B3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EA19B3">
        <w:rPr>
          <w:rFonts w:ascii="宋体" w:eastAsia="宋体" w:hAnsi="宋体" w:cs="宋体" w:hint="eastAsia"/>
          <w:color w:val="000000" w:themeColor="text1"/>
          <w:szCs w:val="24"/>
        </w:rPr>
        <w:t xml:space="preserve">criterion, including multi-lineage assignments, ≥2 heteroallelic variants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[allele frequency (AF): 0.10-0.90], or heteroresistance across multiple drug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classes. A Random Forest (RF) model with Leave-One-Out Cross-Validation (LOOCV)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was used as a feature-prioritization tool to identify genomic characteristics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associated with mixed-strain candidacy. Given the limited sample size, analyses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were designed to generate hypotheses rather than support causal inference.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Clinical and epidemiological metadata, including HIV status and treatment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outcomes, were not available.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Lineage 4 (46%) and Lineage 2 (43%) predominated, with 10.7%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isolates classified as probable mixed-strain candidates. Heteroallelic variants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were most frequently observed in fabG1/inhA and rpoB, with a median AF of 0.22,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consistent with subclonal diversity and possible within-host microevolution.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Additional heteroallelic variants were identified in non-resistance-associated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genes, suggesting broader genomic heterogeneity. The RF model demonstrated high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discriminatory performance (AUC</w:t>
      </w:r>
      <w:r w:rsidRPr="00EA19B3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EA19B3">
        <w:rPr>
          <w:rFonts w:ascii="宋体" w:eastAsia="宋体" w:hAnsi="宋体" w:cs="宋体"/>
          <w:color w:val="000000" w:themeColor="text1"/>
          <w:szCs w:val="24"/>
        </w:rPr>
        <w:t>=</w:t>
      </w:r>
      <w:r w:rsidRPr="00EA19B3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1.00), although this likely reflects the small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sample size and should be interpreted cautiously. Feature importance analysis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identified heteroresistance burden as the most prominent predictor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mixed-strain candidacy.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This pilot study provides preliminary genomic evidence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mixed-strain infection and heteroresistance in a high-burden rural setting.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While these findings highlight the potential role of subclonal diversity in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shaping resistance patterns, their clinical and epidemiological relevance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remains uncertain due to the absence of patient-level data and limited sample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size. Future studies integrating genomic, clinical, and epidemiological data in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larger cohorts and incorporating benchmarking against established tools are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required to validate these findings and clarify their implications for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tuberculosis control.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2026 Manika, Faye, Dlatu, Hosu and Apalata.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10.3389/fepid.2026.1813571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PMCID: PMC13489903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42625812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336598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</w:t>
      </w:r>
      <w:r w:rsidR="00EA19B3" w:rsidRPr="00336598">
        <w:rPr>
          <w:rFonts w:ascii="宋体" w:eastAsia="宋体" w:hAnsi="宋体" w:cs="宋体"/>
          <w:b/>
          <w:color w:val="FF0000"/>
          <w:szCs w:val="24"/>
        </w:rPr>
        <w:t xml:space="preserve">1. Front Cell Infect Microbiol. 2026 Aug 6;16:1880496. doi: </w:t>
      </w:r>
    </w:p>
    <w:p w:rsidR="00EA19B3" w:rsidRPr="00336598" w:rsidRDefault="00EA19B3" w:rsidP="00EA19B3">
      <w:pPr>
        <w:rPr>
          <w:rFonts w:ascii="宋体" w:eastAsia="宋体" w:hAnsi="宋体" w:cs="宋体"/>
          <w:b/>
          <w:color w:val="FF0000"/>
          <w:szCs w:val="24"/>
        </w:rPr>
      </w:pPr>
      <w:r w:rsidRPr="00336598">
        <w:rPr>
          <w:rFonts w:ascii="宋体" w:eastAsia="宋体" w:hAnsi="宋体" w:cs="宋体"/>
          <w:b/>
          <w:color w:val="FF0000"/>
          <w:szCs w:val="24"/>
        </w:rPr>
        <w:t>10.3389/fcimb.2026.1880496. eCollection 2026.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Machine learning-based feature selection suggests circulating proteins as best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at predicting and diagnosing tuberculosis in Mycobacterium tuberculosis-exposed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rhesus macaques.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Woodard TAL(1)(2), Mehra S(3), Kaushal D(1), Ganusov VV(1).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(1)Host-Pathogen Interactions program, Texas Biomedical Research Institute, San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Antonio, TX, United States.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(2)Department of Mathematics, College of Science, University of Texas at San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lastRenderedPageBreak/>
        <w:t>Antonio, San Antonio, TX, United States.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(3)Disease Intervention and Prevention program, Texas Biomedical Research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Institute, San Antonio, TX, United States.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Mycobacterium tuberculosis (Mtb), bacteria causing tuberculosis (TB), is a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leading cause of morbidity and mortality worldwide. Even though billions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individuals have evidence of past or present Mtb infection and millions develop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TB yearly, most individuals exposed to Mtb do not progress to TB (active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disease) and successfully control (and perhaps eliminate) the infection. Factors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determining the likelihood of TB progression of Mtb-exposed individuals remains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poorly understood, however. Mtb-exposed non-human primates (NHPs) such as rhesus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macaques (RMs) also exhibit variable likelihood of developing active disease.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Previous analysis of Mtb-exposed RMs suggested that blood proteins such as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C-reactive protein (CRP), albumin to globulin (A/G),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kynurenine-to-tryptophan ratios and blood leukocytes (e.g., neutrophil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frequency) were best correlated with TB diagnosis. We extended this previous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work by using several machine learning (ML) techniques to further quantify the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relative contribution of 20 features (and their derivatives) to predict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development or diagnosis of active disease in Mtb-exposed RMs. We found that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independent of the specific ML technique (random forest, linear support vector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machine, or logistic regression), CRP and A/G ratio values and lung CFU were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most informative at discriminating between animals with active disease or no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disease; furthermore, when excluding endpoint measurements (measurements done at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necropsy), CRP.peak and A/G.bottom dramatically outperformed all other features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at determining progression to active disease. Top 5 (when including all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features) or top 2 (when excluding endpoint measurements) features together had </w:t>
      </w:r>
    </w:p>
    <w:p w:rsidR="00EA19B3" w:rsidRPr="00EA19B3" w:rsidRDefault="00EA19B3" w:rsidP="00EA19B3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EA19B3">
        <w:rPr>
          <w:rFonts w:ascii="宋体" w:eastAsia="宋体" w:hAnsi="宋体" w:cs="宋体" w:hint="eastAsia"/>
          <w:color w:val="000000" w:themeColor="text1"/>
          <w:szCs w:val="24"/>
        </w:rPr>
        <w:t xml:space="preserve">nearly as high discriminatory power (AUC ≥0.98) as all 20+ features.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Importantly, in our analysis, frequency of blood leukocytes (e.g., percent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neutrophils or lymphocytes) or their ratios (e.g., neutrophil to lymphocyte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ratio) had relatively poorer predictive or diagnostic value (AUC&lt;0.8). Our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results thus suggest that a combination of CRP and A/G ratio have a high power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at predicting and/or diagnosing TB in Mtb-exposed RMs. Future studies will need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to investigate if temporal changes in blood protein concentrations and leukocyte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frequencies may further improve our ability to predict and/or diagnose TB in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NHPs.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Copyright © 2026 Woodard, Mehra, Kaushal and Ganusov.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10.3389/fcimb.2026.1880496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PMCID: PMC13489891</w:t>
      </w:r>
    </w:p>
    <w:p w:rsidR="00EA19B3" w:rsidRPr="00EA19B3" w:rsidRDefault="00EA19B3" w:rsidP="00EA19B3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42625659 [Indexed for MEDL</w:t>
      </w:r>
      <w:r w:rsidR="00336598">
        <w:rPr>
          <w:rFonts w:ascii="宋体" w:eastAsia="宋体" w:hAnsi="宋体" w:cs="宋体"/>
          <w:color w:val="000000" w:themeColor="text1"/>
          <w:szCs w:val="24"/>
        </w:rPr>
        <w:t>INE]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CE7B62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 w:rsidRPr="00CE7B62">
        <w:rPr>
          <w:rFonts w:ascii="宋体" w:eastAsia="宋体" w:hAnsi="宋体" w:cs="宋体"/>
          <w:b/>
          <w:color w:val="FF0000"/>
          <w:szCs w:val="24"/>
        </w:rPr>
        <w:t>62</w:t>
      </w:r>
      <w:r w:rsidR="00EA19B3" w:rsidRPr="00CE7B62">
        <w:rPr>
          <w:rFonts w:ascii="宋体" w:eastAsia="宋体" w:hAnsi="宋体" w:cs="宋体"/>
          <w:b/>
          <w:color w:val="FF0000"/>
          <w:szCs w:val="24"/>
        </w:rPr>
        <w:t xml:space="preserve">. Clin Epidemiol Glob Health. 2026 May-Jun;39:102360. doi: </w:t>
      </w:r>
    </w:p>
    <w:p w:rsidR="00EA19B3" w:rsidRPr="00CE7B62" w:rsidRDefault="00EA19B3" w:rsidP="00EA19B3">
      <w:pPr>
        <w:rPr>
          <w:rFonts w:ascii="宋体" w:eastAsia="宋体" w:hAnsi="宋体" w:cs="宋体"/>
          <w:b/>
          <w:color w:val="FF0000"/>
          <w:szCs w:val="24"/>
        </w:rPr>
      </w:pPr>
      <w:r w:rsidRPr="00CE7B62">
        <w:rPr>
          <w:rFonts w:ascii="宋体" w:eastAsia="宋体" w:hAnsi="宋体" w:cs="宋体"/>
          <w:b/>
          <w:color w:val="FF0000"/>
          <w:szCs w:val="24"/>
        </w:rPr>
        <w:t>10.1016/j.cegh.2026.102360. Epub 2026 Apr 13.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Prevalence and correlates of Mycobacterium tuberculosis infection among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healthcare workers at the university hospital in Monterrey, Mexico.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Gaboyan S(1), Flores-Perez RO(2), Soto-Moncivais B(2), Lozano-Rodriguez B(2),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Catanzaro A(1), Seifert M(1), Rendon A(2).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(1)University of California, San Diego, Department of Medicine, Division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Pulmonary, Critical Care, And Sleep Medicine &amp; Physiology, La Jolla, CA, United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States.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(2)Universidad Autonoma de Nuevo Leon, Hospital Universitario "Dr. Jose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Eleuterio Gonzalez", Centro de Investigación, Prevención y Tratamiento de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Infecciones Respiratorias (CIPTIR), Monterrey, Nuevo Leon, Mexico.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>BACKGROUND: H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ealthcare workers (HCWs) are at an increased risk of developing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Mycobacterium tuberculosis (Mtb) infection (TBI) due to occupational exposure to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patients with active tuberculosis (TB) disease. The risk is heightened in high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TB burden regions. This study aimed to determine the prevalence and conversion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rates of TBI among HCWs in a TB treatment hospital in Mexico.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A prospective cohort study of HCWs (n = 178) was conducted at the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public University Hospital of the Universidad Autónoma de Nuevo León (UANL) in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Monterrey, Mexico from 2017 to 2019. Eligible HCWs working in the emergency or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internal medicine departments were tested at baseline using QuantiFERON®-TB Gold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Plus (QFT) and Tuberculin Skin Test (TST). Individuals who tested positive were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classified as having TBI, while those who tested negative were retested 4-18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months later at a follow-up evaluation.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Prevalence of TBI was 63.5% at baseline as detected by QFT and/or TST.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Males, nurses, and administrative staff had increased odds of TBI at baseline.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Among the 52 participants who tested negative for TBI at baseline, 16 (30.8%)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converted to TBI. Combined baseline and follow-up test results indicated fair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agreement (kappa = 0.38) between the QFT and TST.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336598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This study found both high prevalence and conversion of TBI among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HCWs at the UANL University Hospital in Monterrey, Mexico and identified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associated biological and occupational risk factors. These findings highlight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the importance of repeat, short-term testing in regions with high TB prevalence,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and underscore the need for improved TBI diagnostics.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10.1016/j.cegh.2026.102360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PMCID: PMC13489595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42621644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49371B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63</w:t>
      </w:r>
      <w:r w:rsidR="00EA19B3" w:rsidRPr="0049371B">
        <w:rPr>
          <w:rFonts w:ascii="宋体" w:eastAsia="宋体" w:hAnsi="宋体" w:cs="宋体"/>
          <w:b/>
          <w:color w:val="FF0000"/>
          <w:szCs w:val="24"/>
        </w:rPr>
        <w:t xml:space="preserve">. bioRxiv [Preprint]. 2026 Aug 6:2026.08.05.743129. doi: </w:t>
      </w:r>
    </w:p>
    <w:p w:rsidR="00EA19B3" w:rsidRPr="0049371B" w:rsidRDefault="00EA19B3" w:rsidP="00EA19B3">
      <w:pPr>
        <w:rPr>
          <w:rFonts w:ascii="宋体" w:eastAsia="宋体" w:hAnsi="宋体" w:cs="宋体"/>
          <w:b/>
          <w:color w:val="FF0000"/>
          <w:szCs w:val="24"/>
        </w:rPr>
      </w:pPr>
      <w:r w:rsidRPr="0049371B">
        <w:rPr>
          <w:rFonts w:ascii="宋体" w:eastAsia="宋体" w:hAnsi="宋体" w:cs="宋体"/>
          <w:b/>
          <w:color w:val="FF0000"/>
          <w:szCs w:val="24"/>
        </w:rPr>
        <w:t>10.64898/2026.08.05.743129.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Host control of Mycobacterium tuberculosis infection is not influenced by the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gut microbiome.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Agudelo C, Balakhmet A, Berry SB, Fox DM, Stanley SA, Wolf AR.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Tuberculosis (TB) is a life-threatening disease with heterogenous presentation.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Approximately one-quarter of the global population is infected with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Mycobacterium tuberculosis (Mtb), yet a much smaller fraction develops active TB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disease. Host genetics, immune system function, and environmental factors have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all been implicated in susceptibility to Mtb, yet no one factor fully explains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TB heterogeneity. Strikingly, many of these same factors are linked to gut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microbiome composition, which is intimately linked to systemic development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the immune system. Antibiotic treated mouse models suggest that increased gut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microbiota diversity is protective against Mtb infection. In contrast,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Helicobacter hepaticus colonization is correlated with exacerbated Mtb burden.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However, antibiotics can have both microbial and nonmicrobial targets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studies to date have not deconvoluted these effects. Focused testing of specific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microbiome members has been impossible without a gnotobiotic model for Mtb.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Here, we develop the first gnotobiotic mouse model for Mtb infection and test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how microbial diversity in the gut microbiome impacts host susceptibility to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Mtb. Surprisingly, after intranasal challenge with Mtb, germ-free wild type mice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had no difference in lung burden when compared to mice born with either a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defined gut microbiome community (OMM-12) or a diverse, conventional microbiota.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H. hepaticus gut colonization of OMM-12 and conventional mice also did not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impact Mtb burden in the lungs in this controlled setting. H. hepaticus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colonization of the gut did perturb lung immune responses associated with TB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infection control. CD4+ T cells were decreased, CD8+ T cells were increased,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IL-6 production was decreased. While the gut microbiome may yet play a role in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immune compromised mouse models or human disease, comparing drastically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different gut microbiotas in gnotobiotically controlled C57BL/6 mice did not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yield any evidence of alteration in Mtb lung burden. The host's unique immune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response to Mtb may in part make the pathogen resistant to immune disruption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caused by gut microbiome changes.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10.64898/2026.08.05.743129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PMCID: PMC13484720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42620301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49371B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64</w:t>
      </w:r>
      <w:r w:rsidR="00EA19B3" w:rsidRPr="0049371B">
        <w:rPr>
          <w:rFonts w:ascii="宋体" w:eastAsia="宋体" w:hAnsi="宋体" w:cs="宋体"/>
          <w:b/>
          <w:color w:val="FF0000"/>
          <w:szCs w:val="24"/>
        </w:rPr>
        <w:t xml:space="preserve">. Res Sq [Preprint]. 2026 Aug 6:rs.3.rs-10595035. doi: </w:t>
      </w:r>
    </w:p>
    <w:p w:rsidR="00EA19B3" w:rsidRPr="0049371B" w:rsidRDefault="00EA19B3" w:rsidP="00EA19B3">
      <w:pPr>
        <w:rPr>
          <w:rFonts w:ascii="宋体" w:eastAsia="宋体" w:hAnsi="宋体" w:cs="宋体"/>
          <w:b/>
          <w:color w:val="FF0000"/>
          <w:szCs w:val="24"/>
        </w:rPr>
      </w:pPr>
      <w:r w:rsidRPr="0049371B">
        <w:rPr>
          <w:rFonts w:ascii="宋体" w:eastAsia="宋体" w:hAnsi="宋体" w:cs="宋体"/>
          <w:b/>
          <w:color w:val="FF0000"/>
          <w:szCs w:val="24"/>
        </w:rPr>
        <w:t>10.21203/rs.3.rs-10595035/v1.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Characterizing Tuberculosis Medication Side Effects Using Video Directly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Observed Therapy Monitoring in Uganda: Opportunities for Digital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lastRenderedPageBreak/>
        <w:t>Pharmacovigilance.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Sekandi JN(1), Bwambale K(1), Indiralarasati A(1), Kalembe DK(1), Patel K(1),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Nakkonde D(2), Zalwango S(3).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(1)University of Georgia.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(2)Makerere University.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(3)Kampala Capital City Authority.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49371B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Monitoring medication-related side effects is essential to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tuberculosis (TB) pharmacovigilance, yet remains challenging in resource-limited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settings. Video directly observed therapy (VDOT) offers an opportunity to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capture patient-reported side effects in real time. This study characterized TB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medication side effects reported through VDOT.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49371B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We conducted a secondary analysis of 68 adults treated for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drug-susceptible TB in a randomized VDOT trial in Kampala, Uganda, during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2020-2021. Side effects were recorded longitudinally through the VDOT platform.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 severity-weighted burden score was developed from reporting frequency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severity, and latent class analysis identified burden subgroups.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49371B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Median age was 30 years; 50% were female and 31% were living with HIV.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The most frequent side effects were joint/body pain (84%), body weakness (79%),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and red/discolored urine (68%). Higher burden scores were observed among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participants aged &gt; 30 years (p = 0.030), people living with HIV (p = 0.023),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smokers (p = 0.023), and those with lower TB knowledge (p = 0.033). Two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subgroups emerged: High (66.2%) and Low Burden (33.8%).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49371B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VDOT enabled longitudinal monitoring of medication-related side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effects and revealed substantial variation in burden, along with associated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factors. VDOT shows promise as a digital pharmacovigilance tool supporting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patient-centered TB care. Future studies should evaluate its integration into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routine TB programs.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10.21203/rs.3.rs-10595035/v1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PMCID: PMC13484861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42620230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49371B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65</w:t>
      </w:r>
      <w:r w:rsidR="00EA19B3" w:rsidRPr="0049371B">
        <w:rPr>
          <w:rFonts w:ascii="宋体" w:eastAsia="宋体" w:hAnsi="宋体" w:cs="宋体"/>
          <w:b/>
          <w:color w:val="FF0000"/>
          <w:szCs w:val="24"/>
        </w:rPr>
        <w:t xml:space="preserve">. medRxiv [Preprint]. 2026 Jul 27:2026.07.24.26358841. doi: </w:t>
      </w:r>
    </w:p>
    <w:p w:rsidR="00EA19B3" w:rsidRPr="0049371B" w:rsidRDefault="00EA19B3" w:rsidP="00EA19B3">
      <w:pPr>
        <w:rPr>
          <w:rFonts w:ascii="宋体" w:eastAsia="宋体" w:hAnsi="宋体" w:cs="宋体"/>
          <w:b/>
          <w:color w:val="FF0000"/>
          <w:szCs w:val="24"/>
        </w:rPr>
      </w:pPr>
      <w:r w:rsidRPr="0049371B">
        <w:rPr>
          <w:rFonts w:ascii="宋体" w:eastAsia="宋体" w:hAnsi="宋体" w:cs="宋体"/>
          <w:b/>
          <w:color w:val="FF0000"/>
          <w:szCs w:val="24"/>
        </w:rPr>
        <w:t>10.64898/2026.07.24.26358841.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Analytical benchmarking of extraction-free lysis devices for molecular detection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of tuberculosis.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Jain S, Ball A, Anderson C, Cattamanchi A, Denkinger CM, Steadman A, Yerlikaya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Sample preparation remains a barrier for decentralized, swab-based molecular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testing of tuberculosis (TB). Extraction-free workflows offer a simpler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alternative, but systematic benchmarking against standard methods is lacking. We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evaluated five novel lysis devices, BLINK Shaker Prototype, nPOC-BB, SPS-1,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Truelyse, and Thermolyse, against a heat- and bead-beating reference method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using contrived M. tuberculosis -spiked tongue and sputum swabs. The primary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outcome was lysis efficiency, measured as the relative DNA recovery compared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with the reference workflow. Secondary outcomes included nuclease inactivation,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biosafety, and usability. In the reference buffer, lysis efficiencies ranged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from 51-63% to 95- 154% on tongue swabs and 12-54% to 280-644% on sputum swabs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across the five devices. In proprietary buffers, performance varied more widely,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with lysis efficiencies of 2-4% to 64- 80% on tongue swabs and 1% to 94-398% on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sputum swabs. Complete biosafety inactivation was achieved by three devices; two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showed residual growth (&lt;0.02%). Lysis efficiency of several devices met or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exceeded the reference, supporting the feasibility of extraction-free workflows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for TB diagnosis, with further optimization of buffer compatibility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biosafety profiles expected to enhance performance.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10.64898/2026.07.24.26358841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PMCID: PMC13484345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42620006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49371B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66</w:t>
      </w:r>
      <w:r w:rsidR="00EA19B3" w:rsidRPr="0049371B">
        <w:rPr>
          <w:rFonts w:ascii="宋体" w:eastAsia="宋体" w:hAnsi="宋体" w:cs="宋体"/>
          <w:b/>
          <w:color w:val="FF0000"/>
          <w:szCs w:val="24"/>
        </w:rPr>
        <w:t xml:space="preserve">. Res Sq [Preprint]. 2026 Jul 27:rs.3.rs-10453356. doi: </w:t>
      </w:r>
    </w:p>
    <w:p w:rsidR="00EA19B3" w:rsidRPr="0049371B" w:rsidRDefault="00EA19B3" w:rsidP="00EA19B3">
      <w:pPr>
        <w:rPr>
          <w:rFonts w:ascii="宋体" w:eastAsia="宋体" w:hAnsi="宋体" w:cs="宋体"/>
          <w:b/>
          <w:color w:val="FF0000"/>
          <w:szCs w:val="24"/>
        </w:rPr>
      </w:pPr>
      <w:r w:rsidRPr="0049371B">
        <w:rPr>
          <w:rFonts w:ascii="宋体" w:eastAsia="宋体" w:hAnsi="宋体" w:cs="宋体"/>
          <w:b/>
          <w:color w:val="FF0000"/>
          <w:szCs w:val="24"/>
        </w:rPr>
        <w:t>10.21203/rs.3.rs-10453356/v1.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Machine learning approaches for tuberculosis prevalence and risk factor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association among high-risk groups in Kigali health facilities.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Igihozo T(1), Rugero FR(1), Umutoniwase EM(1), Ndoli E(1), Niyonshuti E(1),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Eugene R(1), Sibomana E(2), Uwase M(1), Kayiranga D(1), Mugisha M(1), Twizere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C(3), Mbalawata IS(4), Victor DR(5), Wilcox A(5), Foraker R(6), Gomina I(6),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Schneider M(7), Tumusiime D(1), Mugisha E(3).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(1)College of Medicine and Health Sciences, University of Rwanda.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(2)College of Business and Economics, University of Rwanda.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(3)Health Informatics, Regional Center of Excellence in Biomedical Engineering &amp;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E-Health, University of Rwanda, Kigali Innovation City.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(4)African Institute for Mathematical Sciences Research and Innovation Centre.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(5)School of Medicine, Washington University in St. Louis, St. Louis.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(6)School of Medicine, University of Missouri, Columbia.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(7)Institute for Informatics, Data Science and Biostatistics, Washington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University in St. Louis, St. Louis.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49371B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Tuberculosis (TB) remains a major global health challenge,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disproportionately affecting vulnerable populations in resource-limited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settings. In Rwanda, the burden is high among high-risk groups including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prisoners, mining workers, people living with HIV, and healthcare workers.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Despite well-established national surveillance infrastructure, published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evidence on applying machine learning (ML) to routinely collected electronic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medical records (EMR) for identifying factors associated with TB in these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populations remains limited. This study develops and compares multiple ML models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to identify factors associated with TB among high-risk groups using national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surveillance data from Kigali health facilities, while emphasizing careful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feature engineering to avoid information leakage.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49371B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We conducted a retrospective, cross-sectional analysis of 2,254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high-risk patient EMR from Rwanda Biomedical Center (RBC) surveillance systems,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with TB status defined by GeneXpert results. Rigorous data cleaning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preprocessing were performed, including exclusion of records with indeterminate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outcomes, removal of diagnostic and operational variables that could introduce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information leakage, imputation of missing values, normalization of numerical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features, and one-hot encoding of categorical variables. Multiple supervised ML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models were developed and evaluated using a stratified train-test split,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including logistic regression (LR), balanced random forest (BRF), gradient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boosting methods (XGBoost, LightGBM, and GBM), support vector machines (SVM)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with a radial basis function kernel, and an EasyEnsemble classifier. Model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performance was assessed using accuracy, precision, recall, F1-score, and area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under the receiver operating characteristic (ROC) curve (AUC).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49371B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After excluding indeterminate GeneXpert outcomes, 358 cases were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retained for evaluation. Ensemble-based models showed consistently strong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stable performance, with BRF achieving the highest discrimination (AUC = 0.86),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while GBM, SVM, and EasyEnsemble classifiers showed comparable performance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across accuracy, precision, recall, and F1-score. Feature-importance analysis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identified clinically meaningful factors, associated with TB, including site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disease, age, TB-related body mass index, HIV status, and diabetes status,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indicating that the models relied on plausible biological and demographic risk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factors rather than diagnostic artifacts.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49371B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This first application of EMR-driven ML for identifying TB risk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factor associations in Rwanda shows that ensemble models, combined with rigorous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leakage control, achieve promising performance among high-risk populations.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These tools could support national TB surveillance and screening to enhance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early detection and resource allocation.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10.21203/rs.3.rs-10453356/v1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PMCID: PMC13484438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42619975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49371B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lastRenderedPageBreak/>
        <w:t>67</w:t>
      </w:r>
      <w:r w:rsidR="00EA19B3" w:rsidRPr="0049371B">
        <w:rPr>
          <w:rFonts w:ascii="宋体" w:eastAsia="宋体" w:hAnsi="宋体" w:cs="宋体"/>
          <w:b/>
          <w:color w:val="FF0000"/>
          <w:szCs w:val="24"/>
        </w:rPr>
        <w:t xml:space="preserve">. bioRxiv [Preprint]. 2026 Jul 30:2026.07.27.740024. doi: </w:t>
      </w:r>
    </w:p>
    <w:p w:rsidR="00EA19B3" w:rsidRPr="0049371B" w:rsidRDefault="00EA19B3" w:rsidP="00EA19B3">
      <w:pPr>
        <w:rPr>
          <w:rFonts w:ascii="宋体" w:eastAsia="宋体" w:hAnsi="宋体" w:cs="宋体"/>
          <w:b/>
          <w:color w:val="FF0000"/>
          <w:szCs w:val="24"/>
        </w:rPr>
      </w:pPr>
      <w:r w:rsidRPr="0049371B">
        <w:rPr>
          <w:rFonts w:ascii="宋体" w:eastAsia="宋体" w:hAnsi="宋体" w:cs="宋体"/>
          <w:b/>
          <w:color w:val="FF0000"/>
          <w:szCs w:val="24"/>
        </w:rPr>
        <w:t>10.64898/2026.07.27.740024.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Predicting tuberculosis relapse based on 28-day CFU, RS ratio, and/or drug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contribution for novel regimens in the relapsing mouse model.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van Wijk RC, Solans BP, Chaba L, Sordello S, Upton AM, Nuermberger EL, Robertson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GT, Walter ND, Savic RM.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Treatment shortening in tuberculosis therapy is needed, but testing all novel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antibiotic combinations is unfeasible. Especially the tuberculosis relapsing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mouse model is time- and resource demanding. Therefore, our objective is to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develop a computational model predictive of long-term relapse prevention in mice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based on short-term biomarkers, increasing the number of regimens that can be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tested and prioritize regimens for further development. The innovative ribosomal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RNA synthesis (RS) ratio is utilized to characterize drug effect on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Mycobacterium tuberculosis health and activity, together with colony forming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units (CFU) in murine lungs. Nine datasets of 58 unique regimens with 843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short-term biomarker and 2,239 long-term relapse observations were leveraged for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model development in 3 iterations with external validations. The final model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included therapeutic predictors, such as CFU and RS ratio change from baseline,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and corrected for experimental conditions, to enable unbiased ranking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regimens between experiments. Model performance was optimal without model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structure change despite fully separate model development at each iteration.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Final external validation had an area under the receiver operator curve of 0.90.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Challenging the model by assessing removal of either biomarker showed that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performance of CFU only was similar to CFU and RS ratio once the sterilizing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contribution of individual drugs to the regimens was accounted for. New drugs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without this contribution quantified could benefit from RS ratio determination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to predict relapse. Our predictive model can successfully differentiate between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2-, 3-, and 4-month regimens in the relapsing mouse model based on 4-week data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only, supporting acceleration of treatment-shortening regimen development.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ONE SENTENCE SUMMARY: Our predictive model ranks new drug regimens by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tuberculosis relapse prevention based on 28-day CFU and RS ratio, or on CFU only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for known drugs.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10.64898/2026.07.27.740024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PMCID: PMC13483872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42619733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49371B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68</w:t>
      </w:r>
      <w:r w:rsidR="00EA19B3" w:rsidRPr="0049371B">
        <w:rPr>
          <w:rFonts w:ascii="宋体" w:eastAsia="宋体" w:hAnsi="宋体" w:cs="宋体"/>
          <w:b/>
          <w:color w:val="FF0000"/>
          <w:szCs w:val="24"/>
        </w:rPr>
        <w:t xml:space="preserve">. bioRxiv [Preprint]. 2026 Jul 27:2026.05.27.727477. doi: </w:t>
      </w:r>
    </w:p>
    <w:p w:rsidR="00EA19B3" w:rsidRPr="0049371B" w:rsidRDefault="00EA19B3" w:rsidP="00EA19B3">
      <w:pPr>
        <w:rPr>
          <w:rFonts w:ascii="宋体" w:eastAsia="宋体" w:hAnsi="宋体" w:cs="宋体"/>
          <w:b/>
          <w:color w:val="FF0000"/>
          <w:szCs w:val="24"/>
        </w:rPr>
      </w:pPr>
      <w:r w:rsidRPr="0049371B">
        <w:rPr>
          <w:rFonts w:ascii="宋体" w:eastAsia="宋体" w:hAnsi="宋体" w:cs="宋体"/>
          <w:b/>
          <w:color w:val="FF0000"/>
          <w:szCs w:val="24"/>
        </w:rPr>
        <w:t>10.64898/2026.05.27.727477.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Within-host diversity of Mycobacterium tuberculosis : weak host association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lastRenderedPageBreak/>
        <w:t>no transmission signal in a Ghanaian cohort.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Séraphin MN, Afriyie-Mensah JS, Asare-Baah M, Chariker J, Domotey C, Kwarteng E,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Zoungrana M, Mireku Appah S, Ganu HM, Omari MA.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49371B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Within host diversity (WHD) in Mycobacterium tuberculosis is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increasingly used to infer transmission and treatment response, but it lies at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low allele frequencies where sequencing error and reference mapping artifact can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be mistaken for signal.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49371B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In a cohort in Accra, Ghana, we measured WHD using deep short read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whole genome sequencing and LoFreq with a depth-conditional detection limit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an artifact-aware mask and assessed reproducibility using within-patient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biological replicates.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49371B">
        <w:rPr>
          <w:rFonts w:ascii="宋体" w:eastAsia="宋体" w:hAnsi="宋体" w:cs="宋体"/>
          <w:b/>
          <w:color w:val="000000" w:themeColor="text1"/>
          <w:szCs w:val="24"/>
        </w:rPr>
        <w:t>FINDINGS: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Among 83 single strain infections, about a fifth of called variants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were recurrent artifact, and the corrected WHD burden was modest (median 16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variants per patient). WHD was higher in M. africanum than in lineage 4 (median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26 versus 14; p = 0.002) and was not explained by host or clinical features.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Over the first two months of treatment the within host bacterial population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drifted and cleared without detectable positive selection. Patients with an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unfavorable two-month outcome carried higher baseline WHD (median 20.5 versus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14.0; p = 0.014). Shared within host variants did not mark transmission, and a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single sputum undercaptured diversity.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49371B">
        <w:rPr>
          <w:rFonts w:ascii="宋体" w:eastAsia="宋体" w:hAnsi="宋体" w:cs="宋体"/>
          <w:b/>
          <w:color w:val="000000" w:themeColor="text1"/>
          <w:szCs w:val="24"/>
        </w:rPr>
        <w:t>INTERPRETATION: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WHD in early treatment is modest, lineage-patterned,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drift-dominated, and reading it for clinical or epidemiological signal depends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first on measuring it defensibly.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49371B">
        <w:rPr>
          <w:rFonts w:ascii="宋体" w:eastAsia="宋体" w:hAnsi="宋体" w:cs="宋体"/>
          <w:b/>
          <w:color w:val="000000" w:themeColor="text1"/>
          <w:szCs w:val="24"/>
        </w:rPr>
        <w:t>RESEARCH IN CONTEXT: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Evidence before this study: We searched PubMed, Semantic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Scholar, and Scopus (via Consensus) through July 2026 for within-host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Mycobacterium tuberculosis diversity, using terms combining "within-host /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minority / intra-host variants", "sequencing error / artifact", "transmission",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"treatment outcome", and " M. africanum / West Africa". Within-host M.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tuberculosis diversity is real but small and inconsistently measured, and low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frequency calls are strongly shaped by sequencing and mapping artifact[1-5].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Shared minority variants have been proposed to sharpen transmission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inference[1], while baseline diversity has not predicted treatment outcome[6].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Artifact-aware within-host data that include M. africanum , which causes a large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share of West African tuberculosis, are lacking[7,8]. Added value of this study: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Using a depth-conditional empirical limit of detection with a monomorphic site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false positive check, we provide an artifact-aware within-host diversity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measurement in a Ghanaian cohort: a modest burden (median 16 iSNVs) an M.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africanum elevation, weak host association, no transmission signal, and marked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single-sputum undercapture. Implications of all the available evidence: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Within-host diversity holds public health promise as densely captured minority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variants could refine transmission chain reconstruction, flag mixed infection,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and surface emerging drug resistance earlier than consensus genomes allow.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Realizing that promise requires sampling and measurement dense enough to recover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the signal that single sputum specimens miss.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10.64898/2026.05.27.727477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PMCID: PMC13483822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42619720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49371B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69</w:t>
      </w:r>
      <w:r w:rsidR="00EA19B3" w:rsidRPr="0049371B">
        <w:rPr>
          <w:rFonts w:ascii="宋体" w:eastAsia="宋体" w:hAnsi="宋体" w:cs="宋体"/>
          <w:b/>
          <w:color w:val="FF0000"/>
          <w:szCs w:val="24"/>
        </w:rPr>
        <w:t>. Ann Indian Acad Neurol. 2026 Aug 13. doi: 10.4103/aian.aian_33</w:t>
      </w:r>
      <w:r w:rsidR="0049371B" w:rsidRPr="0049371B">
        <w:rPr>
          <w:rFonts w:ascii="宋体" w:eastAsia="宋体" w:hAnsi="宋体" w:cs="宋体"/>
          <w:b/>
          <w:color w:val="FF0000"/>
          <w:szCs w:val="24"/>
        </w:rPr>
        <w:t xml:space="preserve">7_26. Online ahead </w:t>
      </w:r>
      <w:r w:rsidR="00EA19B3" w:rsidRPr="0049371B">
        <w:rPr>
          <w:rFonts w:ascii="宋体" w:eastAsia="宋体" w:hAnsi="宋体" w:cs="宋体"/>
          <w:b/>
          <w:color w:val="FF0000"/>
          <w:szCs w:val="24"/>
        </w:rPr>
        <w:t>of print.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Relapsing Cavernous Sinus Pachymeningitis as a Paradoxical Reaction to Central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Nervous System Tuberculosis Successfully Treated with Infliximab.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Srinath M(1), Phillip VJ(1), Pulukool S(2), Dash GK(1), Shetty K(1).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(1)Department of Neurology, Narayana Health City, Bangalore, Karnataka, India.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(2)Department of Rheumatology, Narayana Health City, Bangalore, Karnataka,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India.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10.4103/aian.aian_337_26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42616994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49371B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</w:t>
      </w:r>
      <w:r w:rsidR="00EA19B3" w:rsidRPr="0049371B">
        <w:rPr>
          <w:rFonts w:ascii="宋体" w:eastAsia="宋体" w:hAnsi="宋体" w:cs="宋体"/>
          <w:b/>
          <w:color w:val="FF0000"/>
          <w:szCs w:val="24"/>
        </w:rPr>
        <w:t xml:space="preserve">0. J Postgrad Med. 2026 Aug 11. doi: 10.4103/jpgm.jpgm_158_26. Online ahead of </w:t>
      </w:r>
    </w:p>
    <w:p w:rsidR="00EA19B3" w:rsidRPr="0049371B" w:rsidRDefault="00EA19B3" w:rsidP="00EA19B3">
      <w:pPr>
        <w:rPr>
          <w:rFonts w:ascii="宋体" w:eastAsia="宋体" w:hAnsi="宋体" w:cs="宋体"/>
          <w:b/>
          <w:color w:val="FF0000"/>
          <w:szCs w:val="24"/>
        </w:rPr>
      </w:pPr>
      <w:r w:rsidRPr="0049371B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Diagnostic utility of the urine lipoarabinomannan assay for tuberculosis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screening in patients with diabetes mellitus.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Mariappan G(1), Kumarasamy PS, Balachander C.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(1)Department of Microbiology, Tirunelveli Medical College, Tamil Nadu, India.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Individuals with diabetes have a two- to four-fold increased risk of active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tuberculosis (TB), and up to 30% of people with TB are more likely to have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diabetes mellitus (DM). Commonly used methods for diagnosing TB include sputum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smear microscopy, liquid culture of Mycobacterium tuberculosis (M. tuberculosis)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with drug susceptibility testing, tuberculin testing, interferon-γ release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assay, lipoarabinomannan (LAM) lateral flow assay, and Xpert MTB/RIF. In this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context, this study was conducted to evaluate the diagnostic accuracy of the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urine LAM assay in diagnosing TB in individuals with diabetes, as well as the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agreement between urine LAM and sputum microscopy and cartridge-based nucleic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acid amplification test (CBNAAT). A total of 61 patients with diabetes were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included; two sputum samples were collected, one for microscopy and another for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CBNAAT, and a urine sample was collected for the LAM assay. Of the 61 patients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with diabetes, 47 (77%) were male and 14 (23%) were female. The mean age of the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study population was 51.89 years. Of the 61 patients, 35 (57%) were positive by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sputum microscopy, 39 (64%) by CBNAAT, and 36 (59%) by urine LAM assay. All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patients who tested negative by CBNAAT also tested negative using the urine LAM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assay and sputum microscopy, demonstrating complete consistency in results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between these diagnostic methods for this subgroup. Hence, the urine LAM assay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can be used as a screening test in patients who have difficulty providing sputum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samples, as well as in patients with human immunodeficiency virus and pediatric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patients.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Copyright © 2026 Journal of Postgraduate Medicine.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10.4103/jpgm.jpgm_158_26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42616919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49371B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71</w:t>
      </w:r>
      <w:r w:rsidR="00EA19B3" w:rsidRPr="0049371B">
        <w:rPr>
          <w:rFonts w:ascii="宋体" w:eastAsia="宋体" w:hAnsi="宋体" w:cs="宋体"/>
          <w:b/>
          <w:color w:val="FF0000"/>
          <w:szCs w:val="24"/>
        </w:rPr>
        <w:t>. Infect Drug Resist. 2026 Aug 14;19:610711. doi: 10.2147/IDR.S61071</w:t>
      </w:r>
      <w:r w:rsidR="0049371B" w:rsidRPr="0049371B">
        <w:rPr>
          <w:rFonts w:ascii="宋体" w:eastAsia="宋体" w:hAnsi="宋体" w:cs="宋体"/>
          <w:b/>
          <w:color w:val="FF0000"/>
          <w:szCs w:val="24"/>
        </w:rPr>
        <w:t xml:space="preserve">1. eCollection </w:t>
      </w:r>
      <w:r w:rsidR="00EA19B3" w:rsidRPr="0049371B">
        <w:rPr>
          <w:rFonts w:ascii="宋体" w:eastAsia="宋体" w:hAnsi="宋体" w:cs="宋体"/>
          <w:b/>
          <w:color w:val="FF0000"/>
          <w:szCs w:val="24"/>
        </w:rPr>
        <w:t>2026.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Lineage-Dependent IFN-γ Responses to Drug-Sensitive and Isoniazid-Resistant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Mycobacterium tuberculosis Clinical Isolates.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Setiawan Y(1)(2), Chaidir L(3)(4), Irawan R(5), Indrati AR(6), Panigoro R(3).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(1)Faculty of Medicine, Universitas Padjadjaran, Bandung, West Java, Indonesia.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(2)Department of Biomedical Sciences, Faculty of Medicine, Universitas Katolik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Parahyangan, Bandung, West Java, Indonesia.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(3)Department of Biomedical Sciences, Faculty of Medicine, Universitas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Padjadjaran, Sumedang, West Java, Indonesia.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(4)Center for Translational Biomarker Research, Universitas Padjadjaran,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Bandung, West Java, Indonesia.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(5)Center for Mathematics and Society, Faculty of Science, Universitas Katolik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Parahyangan, Bandung, West Java, Indonesia.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(6)Department of Clinical Pathology, Faculty of Medicine, Universitas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Padjadjaran, Bandung, West Java, Indonesia.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49371B">
        <w:rPr>
          <w:rFonts w:ascii="宋体" w:eastAsia="宋体" w:hAnsi="宋体" w:cs="宋体"/>
          <w:b/>
          <w:color w:val="000000" w:themeColor="text1"/>
          <w:szCs w:val="24"/>
        </w:rPr>
        <w:t xml:space="preserve">PURPOSE: 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Genetic diversity of Mycobacterium tuberculosis (Mtb) contributes to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variations in host immune responses. The Modern Beijing (MB) sub-lineage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(Lineage 2, L2) has been associated with reduced interferon-gamma (IFN-γ)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responses compared with strains from other lineages. However, the influence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drug-resistance status on lineage-specific immune responses remains poorly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understood. This study investigated IFN-γ responses induced by clinical Mtb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lastRenderedPageBreak/>
        <w:t>isolates with different lineages and resistance profiles.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49371B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Peripheral blood mononuclear cells (PBMCs) from 18 healthy adults were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stimulated with lysates of clinical Mtb isolates representing the LAM and MB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sub-lineages, including drug-sensitive (DS) and isoniazid mono-resistant (Hr-TB)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variants. IFN-γ levels were measured using ELISA after 48-hour stimulation.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Paired t-tests and two-way repeated-measures ANOVA were used to evaluate the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effects of lineage, resistance status, and their interaction on IFN-γ responses.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49371B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MB isolates induced significantly lower IFN-γ levels than LAM isolates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(15.30 ± 6.28 vs 19.16 ± 7.28 pg/mL; p &lt; 0.001). Similarly, Hr-TB isolates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induced lower IFN-γ responses than DS isolates (15.44 ± 6.39 pg/mL vs 19.02 ±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7.26 pg/mL; p &lt; 0.001). Stratified analysis revealed that within the MB lineage,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Hr-TB isolates significantly reduced IFN-γ production compared to DS isolates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(13.14 ± 6.13 pg/mL vs 17.45 ± 5.81 pg/mL; p &lt; 0.001). In contrast, no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significant difference was observed between DS and Hr-TB isolates within the LAM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lineage (p = 0.061). No significant interaction was observed between Mtb lineage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and drug-resistance status on IFN-γ responses (p = 0.390).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49371B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These findings demonstrate that IFN-γ responses to Mtb are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influenced by both bacterial lineage and drug-resistance status. The MB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sub-lineage, particularly in Hr-TB isolates, was associated with reduced IFN-γ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production, indicating lineage-associated differences in immunomodulatory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capacity. These findings provide insights into TB pathogenesis and may support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the development of future vaccine or host-directed therapeutic strategies.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2026 Setiawan et al.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10.2147/IDR.S610711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PMCID: PMC13484886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42614809</w:t>
      </w:r>
    </w:p>
    <w:p w:rsidR="00EA19B3" w:rsidRPr="00EA19B3" w:rsidRDefault="00EA19B3" w:rsidP="00EA19B3">
      <w:pPr>
        <w:rPr>
          <w:rFonts w:ascii="宋体" w:eastAsia="宋体" w:hAnsi="宋体" w:cs="宋体" w:hint="eastAsia"/>
          <w:color w:val="000000" w:themeColor="text1"/>
          <w:szCs w:val="24"/>
        </w:rPr>
      </w:pPr>
    </w:p>
    <w:p w:rsidR="00EA19B3" w:rsidRPr="0049371B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72</w:t>
      </w:r>
      <w:r w:rsidR="00EA19B3" w:rsidRPr="0049371B">
        <w:rPr>
          <w:rFonts w:ascii="宋体" w:eastAsia="宋体" w:hAnsi="宋体" w:cs="宋体"/>
          <w:b/>
          <w:color w:val="FF0000"/>
          <w:szCs w:val="24"/>
        </w:rPr>
        <w:t>. Health SA. 2025 Nov 13;30:3162. doi: 10.4102/hsag.v30i0.3162. eCollection 2025.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Experiences of nurses in managing HIV and Tuberculosis in rural clinics, South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Africa.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Tokwe L(1), Jordan PJ(1), Marie Modeste RR(1).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(1)Department of Nursing and Midwifery, Faculty of Medicine and Health Sciences,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Stellenbosch University, Cape Town, South Africa.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49371B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Globally, an estimated 40.8 million people were living with Human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Immunodeficiency Virus (HIV) in 2024, with approximately 8.15 million reported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 South Africa by 2025. Pulmonary tuberculosis (PTB) remains a prevalent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opportunistic infection among people living with HIV. There is a paucity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research on the experiences of professional nurses in managing HIV and PTB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co-infection.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49371B">
        <w:rPr>
          <w:rFonts w:ascii="宋体" w:eastAsia="宋体" w:hAnsi="宋体" w:cs="宋体"/>
          <w:b/>
          <w:color w:val="000000" w:themeColor="text1"/>
          <w:szCs w:val="24"/>
        </w:rPr>
        <w:t>AIM: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This study aimed to explore and describe the experiences of professional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nurses in managing newly diagnosed patients living with HIV and PTB co-infection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in the rural primary health care (PHC) clinics.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49371B">
        <w:rPr>
          <w:rFonts w:ascii="宋体" w:eastAsia="宋体" w:hAnsi="宋体" w:cs="宋体"/>
          <w:b/>
          <w:color w:val="000000" w:themeColor="text1"/>
          <w:szCs w:val="24"/>
        </w:rPr>
        <w:t>SETTING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: The research was conducted in Mthatha, Eastern Cape province, South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Africa.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49371B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A qualitative research approach with an exploratory, descriptive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contextual design was used. Data were gathered from 11 professional nurses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through semi-structured interviews, which were audio recorded, transcribed,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analysed using Tesch's eight-step method.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49371B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Three themes emerged, with Theme 1, exploring the roles of professional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nurses in managing HIV and PTB co-infection. Theme 2, delved into the challenges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experienced in managing this co-infection. Lastly, Theme 3 focused on the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support structures that facilitated the care provision of patients.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49371B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The HIV and PTB co-infection affects people globally. Tailored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interventions are needed to support clinicians, especially professional nurses,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 managing HIV and PTB co-infection and improving care for newly diagnosed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patients.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49371B">
        <w:rPr>
          <w:rFonts w:ascii="宋体" w:eastAsia="宋体" w:hAnsi="宋体" w:cs="宋体"/>
          <w:b/>
          <w:color w:val="000000" w:themeColor="text1"/>
          <w:szCs w:val="24"/>
        </w:rPr>
        <w:t>CONTRIBUTION: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This study provides insights into the experiences of professional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nurses in managing newly diagnosed patients living with HIV and PTB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co-infection. It further expands the knowledge on health care interventions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adopted by professional nurses to promote the health of these patients.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2025. The Authors.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10.4102/hsag.v30i0.3162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PMCID: PMC13482047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42614595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2F432E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73</w:t>
      </w:r>
      <w:r w:rsidR="00EA19B3" w:rsidRPr="002F432E">
        <w:rPr>
          <w:rFonts w:ascii="宋体" w:eastAsia="宋体" w:hAnsi="宋体" w:cs="宋体"/>
          <w:b/>
          <w:color w:val="FF0000"/>
          <w:szCs w:val="24"/>
        </w:rPr>
        <w:t>. Monaldi Arch Chest Dis. 2026 Aug 5. doi: 10.4081/m</w:t>
      </w:r>
      <w:r w:rsidR="002F432E" w:rsidRPr="002F432E">
        <w:rPr>
          <w:rFonts w:ascii="宋体" w:eastAsia="宋体" w:hAnsi="宋体" w:cs="宋体"/>
          <w:b/>
          <w:color w:val="FF0000"/>
          <w:szCs w:val="24"/>
        </w:rPr>
        <w:t xml:space="preserve">onaldi.2026.3828. Online ahead </w:t>
      </w:r>
      <w:r w:rsidR="00EA19B3" w:rsidRPr="002F432E">
        <w:rPr>
          <w:rFonts w:ascii="宋体" w:eastAsia="宋体" w:hAnsi="宋体" w:cs="宋体"/>
          <w:b/>
          <w:color w:val="FF0000"/>
          <w:szCs w:val="24"/>
        </w:rPr>
        <w:t>of print.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Diagnostic predictors of tuberculosis in exudative pleural effusion patients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with intermediate adenosine deaminase values: a retrospective diagnostic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prediction model study.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Prem G(1), Bhaglani DK(2), Negi RS(2), P V ST(3), Pannu HS(4).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(1)Department of Pulmonary Medicine, Christian Medical College Vellore, Tamil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Nadu.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(2)Department of Pulmonary Medicine, Indira Gandhi Medical College, Shimla,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lastRenderedPageBreak/>
        <w:t>Himachal Pradesh.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(3)Department of Neuroanesthesia, Christian Medical College, Vellore.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(4)Department of Orthopaedic Surgery, Dr Baba Saheb Ambedkar Medical College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Hospital, New Delhi.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Adenosine deaminase (ADA) in pleural fluid is widely used to support the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diagnosis of tuberculous pleural effusion. However, ADA levels between 40 and 60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IU/L represent a gray area where both tuberculous and non-tuberculous conditions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can coexist. It can potentially lead to empirical antitubercular therapy and a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delay in the diagnosis of other conditions. The aim of this study was to create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and validate a prediction model to improve the diagnosis of tuberculosis (TB) in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patients with exudative pleural effusions and intermediate ADA levels. This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retrospective diagnostic modeling study included 125 consecutive adults with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exudative pleural effusions, meeting Light's criteria, and pleural fluid ADA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levels between 40 and 60 IU/L. These patients were referred to a tertiary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respiratory care center in northern India. Univariable receiver operating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characteristic curve analysis was used to shortlist candidate predictors with an </w:t>
      </w:r>
    </w:p>
    <w:p w:rsidR="00EA19B3" w:rsidRPr="00EA19B3" w:rsidRDefault="00EA19B3" w:rsidP="00EA19B3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EA19B3">
        <w:rPr>
          <w:rFonts w:ascii="宋体" w:eastAsia="宋体" w:hAnsi="宋体" w:cs="宋体" w:hint="eastAsia"/>
          <w:color w:val="000000" w:themeColor="text1"/>
          <w:szCs w:val="24"/>
        </w:rPr>
        <w:t xml:space="preserve">area under the curve (AUC) of ≥0.60 and p≤0.05. A multivariable logistic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regression model was developed using the forward stepwise procedure, including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ADA, pleural fluid protein, and patient age. The performance of the model was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assessed for discrimination, calibration, and classification and compared to the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performance of ADA alone. Internal validation was done using 10-fold stratified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cross-validation. Of 125 patients, 77 (62%) had TB and 48 (38%) had non</w:t>
      </w:r>
      <w:r w:rsidRPr="00EA19B3">
        <w:rPr>
          <w:rFonts w:ascii="MS Gothic" w:eastAsia="MS Gothic" w:hAnsi="MS Gothic" w:cs="MS Gothic" w:hint="eastAsia"/>
          <w:color w:val="000000" w:themeColor="text1"/>
          <w:szCs w:val="24"/>
        </w:rPr>
        <w:t>‑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TB </w:t>
      </w:r>
    </w:p>
    <w:p w:rsidR="00EA19B3" w:rsidRPr="00EA19B3" w:rsidRDefault="00EA19B3" w:rsidP="00EA19B3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EA19B3">
        <w:rPr>
          <w:rFonts w:ascii="宋体" w:eastAsia="宋体" w:hAnsi="宋体" w:cs="宋体" w:hint="eastAsia"/>
          <w:color w:val="000000" w:themeColor="text1"/>
          <w:szCs w:val="24"/>
        </w:rPr>
        <w:t xml:space="preserve">aetiologies (malignancy ≈30%; acute inflammatory/parapneumonic effusion ≈12%;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chronic inflammatory conditions </w:t>
      </w:r>
      <w:r w:rsidRPr="00EA19B3">
        <w:rPr>
          <w:rFonts w:ascii="宋体" w:eastAsia="宋体" w:hAnsi="宋体" w:cs="宋体" w:hint="eastAsia"/>
          <w:color w:val="000000" w:themeColor="text1"/>
          <w:szCs w:val="24"/>
        </w:rPr>
        <w:t>≈</w:t>
      </w:r>
      <w:r w:rsidRPr="00EA19B3">
        <w:rPr>
          <w:rFonts w:ascii="宋体" w:eastAsia="宋体" w:hAnsi="宋体" w:cs="宋体"/>
          <w:color w:val="000000" w:themeColor="text1"/>
          <w:szCs w:val="24"/>
        </w:rPr>
        <w:t>6%). The 3</w:t>
      </w:r>
      <w:r w:rsidRPr="00EA19B3">
        <w:rPr>
          <w:rFonts w:ascii="MS Gothic" w:eastAsia="MS Gothic" w:hAnsi="MS Gothic" w:cs="MS Gothic" w:hint="eastAsia"/>
          <w:color w:val="000000" w:themeColor="text1"/>
          <w:szCs w:val="24"/>
        </w:rPr>
        <w:t>‑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predictor model achieved an AUC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0.89 [95% confidence interval (CI) 0.83-0.95] and an overall accuracy of 85%,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with sensitivity 89%, specificity 79%, positive predictive value 84%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negative predictive value 86% at a probability cut</w:t>
      </w:r>
      <w:r w:rsidRPr="00EA19B3">
        <w:rPr>
          <w:rFonts w:ascii="MS Gothic" w:eastAsia="MS Gothic" w:hAnsi="MS Gothic" w:cs="MS Gothic" w:hint="eastAsia"/>
          <w:color w:val="000000" w:themeColor="text1"/>
          <w:szCs w:val="24"/>
        </w:rPr>
        <w:t>‑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off of 0.50. ADA alone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yielded an AUC of 0.72 (95% CI 0.62-0.82) and accuracy of 68%, with sensitivity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70% and specificity 65%. Ten</w:t>
      </w:r>
      <w:r w:rsidRPr="00EA19B3">
        <w:rPr>
          <w:rFonts w:ascii="MS Gothic" w:eastAsia="MS Gothic" w:hAnsi="MS Gothic" w:cs="MS Gothic" w:hint="eastAsia"/>
          <w:color w:val="000000" w:themeColor="text1"/>
          <w:szCs w:val="24"/>
        </w:rPr>
        <w:t>‑</w:t>
      </w:r>
      <w:r w:rsidRPr="00EA19B3">
        <w:rPr>
          <w:rFonts w:ascii="宋体" w:eastAsia="宋体" w:hAnsi="宋体" w:cs="宋体"/>
          <w:color w:val="000000" w:themeColor="text1"/>
          <w:szCs w:val="24"/>
        </w:rPr>
        <w:t>fold stratified cross</w:t>
      </w:r>
      <w:r w:rsidRPr="00EA19B3">
        <w:rPr>
          <w:rFonts w:ascii="MS Gothic" w:eastAsia="MS Gothic" w:hAnsi="MS Gothic" w:cs="MS Gothic" w:hint="eastAsia"/>
          <w:color w:val="000000" w:themeColor="text1"/>
          <w:szCs w:val="24"/>
        </w:rPr>
        <w:t>‑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validation showed stable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performance (mean cross</w:t>
      </w:r>
      <w:r w:rsidRPr="00EA19B3">
        <w:rPr>
          <w:rFonts w:ascii="MS Gothic" w:eastAsia="MS Gothic" w:hAnsi="MS Gothic" w:cs="MS Gothic" w:hint="eastAsia"/>
          <w:color w:val="000000" w:themeColor="text1"/>
          <w:szCs w:val="24"/>
        </w:rPr>
        <w:t>‑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validated AUC 0.87±0.04; optimism 0.02). Independent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predictors were ADA [odds ratio (OR) 1.24 per IU/L], protein (OR 1.65 per g/dL)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and age (OR 0.93 per year; all p&lt;0.001). In exudative pleural effusions with an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ADA level of intermediate values, a simple model combining ADA, pleural protein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concentration, and patient age improves the diagnostic discrimination for TB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over ADA alone, with a marked improvement in negative predictive probability.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External validation in a prospective multicenter study is needed before its use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in clinical practice.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10.4081/monaldi.2026.3828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42614084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2F432E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74</w:t>
      </w:r>
      <w:r w:rsidR="00EA19B3" w:rsidRPr="002F432E">
        <w:rPr>
          <w:rFonts w:ascii="宋体" w:eastAsia="宋体" w:hAnsi="宋体" w:cs="宋体"/>
          <w:b/>
          <w:color w:val="FF0000"/>
          <w:szCs w:val="24"/>
        </w:rPr>
        <w:t>. Monaldi Arch Chest Dis. 2026 Aug 3. doi: 10.4081/m</w:t>
      </w:r>
      <w:r w:rsidR="002F432E" w:rsidRPr="002F432E">
        <w:rPr>
          <w:rFonts w:ascii="宋体" w:eastAsia="宋体" w:hAnsi="宋体" w:cs="宋体"/>
          <w:b/>
          <w:color w:val="FF0000"/>
          <w:szCs w:val="24"/>
        </w:rPr>
        <w:t xml:space="preserve">onaldi.2026.3782. Online ahead </w:t>
      </w:r>
      <w:r w:rsidR="00EA19B3" w:rsidRPr="002F432E">
        <w:rPr>
          <w:rFonts w:ascii="宋体" w:eastAsia="宋体" w:hAnsi="宋体" w:cs="宋体"/>
          <w:b/>
          <w:color w:val="FF0000"/>
          <w:szCs w:val="24"/>
        </w:rPr>
        <w:t>of print.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Determinants of delayed pulmonary tuberculosis diagnosis in a rural district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Pakistan.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Rahman AU(1), Qamar Z(2), Fayaz A(3), Arif B(4), Habib I(3), Aurakzai WN(5).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(1)Department of Public Health, Institute of Management Sciences, Peshawar.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(2)Jinnah International Hospital, Abbottabad.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(3)Hayatabad Medical Complex, Peshawar.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(4)Ayub Teaching Hospital, Abbottabad.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(5)Afridi Medical Complex, Peshawar.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Tuberculosis (TB) caused by acid-fast bacilli is one of the leading causes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morbidity and mortality in developing countries. Pakistan has the world's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fifth-largest prevalence of TB, with 276/100,000 cases in prevalence and a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mortality of 34/100,000. Delayed diagnosis, disruptions in treatment continuity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and a lack of awareness are the key issues leading to multidrug-resistant TB.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The current study aimed to find out the determinants of delayed pulmonary TB in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 rural district of Khyber Pakhtunkhwa Province, Pakistan. The cross-sectional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study was conducted in six TB control program centers designated by the National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TB Control Program from March to December 2024. Data were collected from 250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eligible patients, and after removal of incomplete questionnaires, the data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229 patients were analyzed. The study was approved by the district TB officer,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and participants' consent was obtained before data collection. A delay of &gt;21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days was considered the cutoff point for delayed TB diagnosis. Among 229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patients, 51.1% were male and 48.9% female participants, with a mean age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33.31±21.32 years. The mean diagnostic delay was 23.66±14.94 days. Descriptive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analysis of data showed 52% of delayed TB diagnosis cases; 92.2% of the studied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patients were from rural areas, in which 80% of delayed TB diagnosis cases were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reported. Male gender [odds ratio (OR)=2.31], getting treatment from public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hospitals (OR=4.13), age group 31-45 years (OR=3.10), presence of acute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extrapulmonary symptoms of cough, fever, and weight loss (OR=2.84), perception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that the symptoms will be relieved by oneself (OR=9.99), economic constraints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(OR=6.58), and perception of the poor quality of healthcare services at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hospitals (OR=7.32) were found to be significant factors of delayed TB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diagnosis. Primary school- (OR=0.20), college- or university-level education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(OR=0.42) and high-income groups (OR=0.39) were significant protective factors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against delayed TB diagnosis. Marital status, occupation, residence,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comorbidities, distance from healthcare facility, previous exposure to TB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patients, fever, weight loss, chronic cough, hemoptysis, fear of diagnosis, fear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of social isolation, and bad experience of the healthcare staff behavior were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found to be non-significant factors for delayed TB diagnosis. The study only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focused on delayed diagnosis and did not report healthcare system-related or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total delay in tuberculosis management. The study affirmed the significant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impact of patient perceptions and socioeconomic status on delayed TB diagnosis.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10.4081/monaldi.2026.3782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42614081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2F432E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75</w:t>
      </w:r>
      <w:r w:rsidR="00EA19B3" w:rsidRPr="002F432E">
        <w:rPr>
          <w:rFonts w:ascii="宋体" w:eastAsia="宋体" w:hAnsi="宋体" w:cs="宋体"/>
          <w:b/>
          <w:color w:val="FF0000"/>
          <w:szCs w:val="24"/>
        </w:rPr>
        <w:t>. Pediatr Pulmonol. 2026 Aug;61(8):e71802. doi: 10.1002/ppul.71802.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Pseudotumoral Tuberculosis in Children: Two Case Reports.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Golla R(1), Sahoo N(1), Kumar K(1), Gulla KM(1), Das RR(1).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(1)Department of Pediatrics, All India Institute of Medical Sciences,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Bhubaneswar, Odisha, India.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10.1002/ppul.71802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PMCID: PMC13487350</w:t>
      </w:r>
    </w:p>
    <w:p w:rsidR="00EA19B3" w:rsidRPr="00EA19B3" w:rsidRDefault="00EA19B3" w:rsidP="00EA19B3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</w:t>
      </w:r>
      <w:r w:rsidR="002F432E">
        <w:rPr>
          <w:rFonts w:ascii="宋体" w:eastAsia="宋体" w:hAnsi="宋体" w:cs="宋体"/>
          <w:color w:val="000000" w:themeColor="text1"/>
          <w:szCs w:val="24"/>
        </w:rPr>
        <w:t>13904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2F432E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76</w:t>
      </w:r>
      <w:r w:rsidR="00EA19B3" w:rsidRPr="002F432E">
        <w:rPr>
          <w:rFonts w:ascii="宋体" w:eastAsia="宋体" w:hAnsi="宋体" w:cs="宋体"/>
          <w:b/>
          <w:color w:val="FF0000"/>
          <w:szCs w:val="24"/>
        </w:rPr>
        <w:t xml:space="preserve">. Infect Disord Drug Targets. 2026 Jul 31. doi: </w:t>
      </w:r>
    </w:p>
    <w:p w:rsidR="00EA19B3" w:rsidRPr="002F432E" w:rsidRDefault="00EA19B3" w:rsidP="00EA19B3">
      <w:pPr>
        <w:rPr>
          <w:rFonts w:ascii="宋体" w:eastAsia="宋体" w:hAnsi="宋体" w:cs="宋体"/>
          <w:b/>
          <w:color w:val="FF0000"/>
          <w:szCs w:val="24"/>
        </w:rPr>
      </w:pPr>
      <w:r w:rsidRPr="002F432E">
        <w:rPr>
          <w:rFonts w:ascii="宋体" w:eastAsia="宋体" w:hAnsi="宋体" w:cs="宋体"/>
          <w:b/>
          <w:color w:val="FF0000"/>
          <w:szCs w:val="24"/>
        </w:rPr>
        <w:t>10.2174/0118715265468836260721115408. Online ahead of print.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Isolated Splenic Tuberculosis with Possible Concurrent Scrub Typhus in an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Immunocompetent Host: An Uncommon Case Report.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Dinkar A(1), Maheshwari U(2), Singh J(2), Verma R(2), Bhasin P(2).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(1)Department of Microbiology, Sanjay Gandhi Postgraduate Institute of Medical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Sciences, Lucknow, Uttar Pradesh, India.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(2)Department of Medicine, King George's Medical University, Lucknow, Uttar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Pradesh, India.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2F432E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Isolated splenic tuberculosis is an exceptionally unusual clinical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condition, particularly in immunocompetent patients, and frequently manifests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with nonspecific clinical features that resemble other tropical illnesses.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Diagnostic difficulties are exacerbated when concomitant diseases, such as scrub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typhus, are present, potentially delaying suitable treatment.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2F432E">
        <w:rPr>
          <w:rFonts w:ascii="宋体" w:eastAsia="宋体" w:hAnsi="宋体" w:cs="宋体"/>
          <w:b/>
          <w:color w:val="000000" w:themeColor="text1"/>
          <w:szCs w:val="24"/>
        </w:rPr>
        <w:t>CASE PRESENTATION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: We report the case of a 21-year-old immunocompetent female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with a body mass index (BMI) of 22.8 kg/m², presenting with a three-week history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of intermittent fever and left upper-quadrant abdominal pain. Clinical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evaluation revealed splenomegaly, elevated inflammatory markers (C-reactive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protein (CRP) 24 mg/L and raised erythrocyte sedimentation rate (ESR) of 28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mm/hr), and a positive paired serum sample for scrub typhus IgM serology, while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the Mantoux test and chest imaging were unremarkable. Notwithstanding empirical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treatment for enteric fever and subsequent doxycycline administration for scrub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typhus, the fever persisted. Imaging revealed several hypodense splenic lesions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consistent with abscesses. Acid-fast bacilli were identified in the aspirated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material on staining, and the cartridge-based nucleic acid amplification test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(CBNAAT) confirmed Mycobacterium tuberculosis with rifampicin sensitivity,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establishing isolated splenic tuberculosis. The patient responded well to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standard antitubercular therapy, with marked radiological improvement on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follow-up.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2F432E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This case highlights the importance of considering tuberculosis as a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possible aetiology of splenic abscesses, even in apparently immunocompetent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individuals and in the presence of another possible tropical infection (scrub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typhus IgM seropositive). Persistent fever, atypical imaging findings, or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inadequate response to first therapy should necessitate assessment for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co-infections. Early microbiological confirmation and timely treatment are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essential to achieving optimal outcomes.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Copyright© Bentham Science Publishers; For any queries, please email at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epub@benthamscience.net.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10.2174/0118715265468836260721115408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42613705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2F432E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77</w:t>
      </w:r>
      <w:r w:rsidR="00EA19B3" w:rsidRPr="002F432E">
        <w:rPr>
          <w:rFonts w:ascii="宋体" w:eastAsia="宋体" w:hAnsi="宋体" w:cs="宋体"/>
          <w:b/>
          <w:color w:val="FF0000"/>
          <w:szCs w:val="24"/>
        </w:rPr>
        <w:t xml:space="preserve">. J Microbiol Immunol Infect. 2026 Aug 15:S1684-1182(26)00101-5. doi: </w:t>
      </w:r>
    </w:p>
    <w:p w:rsidR="00EA19B3" w:rsidRPr="002F432E" w:rsidRDefault="00EA19B3" w:rsidP="00EA19B3">
      <w:pPr>
        <w:rPr>
          <w:rFonts w:ascii="宋体" w:eastAsia="宋体" w:hAnsi="宋体" w:cs="宋体"/>
          <w:b/>
          <w:color w:val="FF0000"/>
          <w:szCs w:val="24"/>
        </w:rPr>
      </w:pPr>
      <w:r w:rsidRPr="002F432E">
        <w:rPr>
          <w:rFonts w:ascii="宋体" w:eastAsia="宋体" w:hAnsi="宋体" w:cs="宋体"/>
          <w:b/>
          <w:color w:val="FF0000"/>
          <w:szCs w:val="24"/>
        </w:rPr>
        <w:t>10.1016/j.jmii.2026.08.003. Online ahead of print.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The clinical significance of positive acid-fast bacilli smear in respiratory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specimens from patients completing anti-tuberculosis treatment.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Wang PH(1), Wu WL(2), Huang HN(3), Kuo YW(4), Huang YT(5), Shu CC(6).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(1)Division of Thoracic Medicine, Far Eastern Memorial Hospital, New Taipei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City, Taiwan; School of Medicine, National Yang Ming Chiao Tung University,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Taipei, Taiwan; Department of Nursing, Asia Eastern University of Science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Technology, New Taipei City, Taiwan.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(2)Department of Nursing, National Taiwan University Hospital, Taiwan;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Department of Internal Medicine, National Taiwan University Hospital, Taipei,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Taiwan.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(3)Department of Laboratory Medicine, National Taiwan University Hospital,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Taipei, Taiwan.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(4)Department of Internal Medicine, National Taiwan University Hospital, Taipei,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Taiwan; College of Medicine, National Taiwan University, Taipei, Taiwan.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(5)Department of Laboratory Medicine, National Taiwan University Hospital,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Taipei, Taiwan; College of Medicine, National Taiwan University, Taipei, Taiwan.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(6)Department of Internal Medicine, National Taiwan University Hospital, Taipei,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Taiwan; College of Medicine, National Taiwan University, Taipei, Taiwan;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Graduate Institute of Clinical Medicine, College of Medicine, National Taiwan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University, Taipei, Taiwan. Electronic address: ccshu@ntu.edu.tw.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2F432E">
        <w:rPr>
          <w:rFonts w:ascii="宋体" w:eastAsia="宋体" w:hAnsi="宋体" w:cs="宋体"/>
          <w:b/>
          <w:color w:val="000000" w:themeColor="text1"/>
          <w:szCs w:val="24"/>
        </w:rPr>
        <w:t>PURPOSE: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The clinical significance of positive acid-fast bacilli (AFB) by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microscopy smear in respiratory specimens remains poorly understood in patients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with a history of successfully treated pulmonary tuberculosis (PTB).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2F432E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A retrospective study was conducted to screen patients with PTB between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2009 and 2020. They were enrolled if microscopic smears of AFB were positive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after they completed successful treatments. The first date of a positive AFB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smear after treatment completion was denoted as the index date. According to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whether culture results indicated Mycobacterium tuberculosis (Mtb), subjects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were categorized into Mtb and non-Mtb groups.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2F432E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A total of 84 patients were included, with 27 (32.1%) patients in the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Mtb group. The Mtb group had a higher proportion of active smokers and strong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positive smears of AFB than the non-Mtb group. Radiologically, the rate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cavitation on the index date was significantly higher in the Mtb group than in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the non-Mtb group (77.8 vs. 22.8%, p</w:t>
      </w:r>
      <w:r w:rsidRPr="00EA19B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EA19B3">
        <w:rPr>
          <w:rFonts w:ascii="宋体" w:eastAsia="宋体" w:hAnsi="宋体" w:cs="宋体"/>
          <w:color w:val="000000" w:themeColor="text1"/>
          <w:szCs w:val="24"/>
        </w:rPr>
        <w:t>&lt;</w:t>
      </w:r>
      <w:r w:rsidRPr="00EA19B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0.001, respectively). By multivariable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logistic regression analysis, cavitation on the index date [adjusted odds ratio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(aOR): 6.80, p</w:t>
      </w:r>
      <w:r w:rsidRPr="00EA19B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EA19B3">
        <w:rPr>
          <w:rFonts w:ascii="宋体" w:eastAsia="宋体" w:hAnsi="宋体" w:cs="宋体"/>
          <w:color w:val="000000" w:themeColor="text1"/>
          <w:szCs w:val="24"/>
        </w:rPr>
        <w:t>=</w:t>
      </w:r>
      <w:r w:rsidRPr="00EA19B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EA19B3">
        <w:rPr>
          <w:rFonts w:ascii="宋体" w:eastAsia="宋体" w:hAnsi="宋体" w:cs="宋体"/>
          <w:color w:val="000000" w:themeColor="text1"/>
          <w:szCs w:val="24"/>
        </w:rPr>
        <w:t>0.003] and active smoker (aOR: 7.14, p</w:t>
      </w:r>
      <w:r w:rsidRPr="00EA19B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EA19B3">
        <w:rPr>
          <w:rFonts w:ascii="宋体" w:eastAsia="宋体" w:hAnsi="宋体" w:cs="宋体"/>
          <w:color w:val="000000" w:themeColor="text1"/>
          <w:szCs w:val="24"/>
        </w:rPr>
        <w:t>=</w:t>
      </w:r>
      <w:r w:rsidRPr="00EA19B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0.044, vs. non-smoker)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were independent risk factors of the Mtb group. There were 52 patients (61.9%)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having polymerase chain reaction (PCR) tests. While the sensitivity of PCR was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94.1%, the specificity was only 60.0%.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2F432E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The detection of AFB by microscopic smears and positive PCR might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not be sufficient for diagnosing recurrent PTB. Integrating the clinical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factors, including active smoking and cavitation, might enhance the diagnostic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power.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Copyright © 2026. Published by Elsevier B.V.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10.1016/j.jmii.2026.08.003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42613197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2F432E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78</w:t>
      </w:r>
      <w:r w:rsidR="00EA19B3" w:rsidRPr="002F432E">
        <w:rPr>
          <w:rFonts w:ascii="宋体" w:eastAsia="宋体" w:hAnsi="宋体" w:cs="宋体"/>
          <w:b/>
          <w:color w:val="FF0000"/>
          <w:szCs w:val="24"/>
        </w:rPr>
        <w:t>. J Vis Exp. 2026 Jul 31;(233). doi: 10.3791/69175.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Semi-Automated Quantification of 18F-FDG PET-CT in Pulmonary TB Contacts and Its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Association with Prospective Outcomes.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Kim JW(1), Kamil A(2), Lee J(3), Novsarka I(3), Haldar P(4).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(1)Department of Respiratory Sciences, University of Leicester; Department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Respiratory Medicine, University Hospitals of Leicester NHS Trust;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jwk12@leicester.ac.uk.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(2)Department of Nuclear Medicine, University Hospitals of Leicester NHS Trust.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(3)Department of Respiratory Medicine, University Hospitals of Leicester NHS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Trust.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(4)Department of Respiratory Sciences, University of Leicester; Department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Respiratory Medicine, University Hospitals of Leicester NHS Trust.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Positron emission tomography-computed tomography (PET-CT) has shown potential as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 research tool to characterize heterogeneity in tuberculosis (TB) infection.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Prospective utilisation of this technology will require standardization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imaging protocols, interpretation, and analysis of PET-CT images to improve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generalizability and data assimilation between discrete cohorts. We evaluated a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semi-automated approach using open-source software to minimize inter-operator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variability of imaging interpretation and use reference organ normalization to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lower variability in physiological uptake. We quantified 18F-Fluorodeoxyglucose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(FDG) uptake in intrathoracic lymph nodes (ITLNs) of eleven interferon-gamma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release assay (IGRA) positive TB contacts that enrolled on a prospective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observational study, including eight contacts with serial PET-CT scans. The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imaging was analyzed using 3D Slicer, an open-source medical imaging platform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designed for biomedical and clinical research, that provides semi-automated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segmentation and automated liver quantification. The extracted data included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ITLN maximum standardized uptake value (SUVmax), mean standardized uptake value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(SUVmean), metabolic volume (MV), and total lesion glycolysis (TLG), and liver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SUVmean. We compared its performance to that of clinical software, both with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without standardizing to liver uptake (as a physiological reference),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assessed operator variability. Then, we evaluated the association between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multiple quantitative PET metrics and prospective outcomes in pulmonary TB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contacts. We report strong agreement between open-source and clinical image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evaluation platforms. We find semi-automated PET quantification can lower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inter-operator variability, and standardizing to reference organs increases the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sensitivity of imaging analysis. Specifically, we report preliminary findings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that increasing metabolic activity on serial PET-CT in early infection is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associated with detectable Mycobacterium tuberculosis (Mtb) at the anatomical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site of FDG uptake, consistent with a progressive phenotype of infection.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10.3791/69175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42612113 [Indexed for MEDLINE]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2F432E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79</w:t>
      </w:r>
      <w:r w:rsidR="00EA19B3" w:rsidRPr="002F432E">
        <w:rPr>
          <w:rFonts w:ascii="宋体" w:eastAsia="宋体" w:hAnsi="宋体" w:cs="宋体"/>
          <w:b/>
          <w:color w:val="FF0000"/>
          <w:szCs w:val="24"/>
        </w:rPr>
        <w:t>. Microb Genom. 2026 Aug;12(8):001806. doi: 10.1099/mgen.0.001806.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Optimizing culture-free approaches to recover high-quality Mycobacterium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tuberculosis genomic variation.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Walter KS(1), Dos Santos PCP(2), Carey A(3), Shakir SM(3)(4), Colijn C(5), Cohen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T(6), Mathema B(7), Croda J(2)(6)(8), Andrews JR(9).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(1)Division of Epidemiology, University of Utah, Salt Lake City, UT, USA.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(2)College of Medicine, Federal University of Mato Grosso do Sul, Campo Grande,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Brazil.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(3)Department of Pathology, University of Utah, Salt Lake City, UT, USA.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(4)ARUP Institute for Research and Innovation, Salt Lake City, UT, USA.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(5)Department of Mathematics, Simon Fraser University, Burnaby, Canada.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(6)Department of Epidemiology of Microbial Diseases, Yale School of Public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Health, New Haven, CT, USA.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(7)Department of Epidemiology, Columbia University Mailman School of Public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Health, New York, NY, USA.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(8)Mato Grosso do Sul Office, Oswaldo Cruz Foundation, Campo Grande, Brazil.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(9)Division of Infectious Diseases and Geographic Medicine, Stanford University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School of Medicine, Stanford, CA, USA.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2F432E">
        <w:rPr>
          <w:rFonts w:ascii="宋体" w:eastAsia="宋体" w:hAnsi="宋体" w:cs="宋体"/>
          <w:b/>
          <w:color w:val="000000" w:themeColor="text1"/>
          <w:szCs w:val="24"/>
        </w:rPr>
        <w:t xml:space="preserve">Background. 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Mycobacterium tuberculosis (Mtb) genomic epidemiology often relies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on culturing patient sputum, a time- and labour-intensive process. Hybrid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capture approaches have been successfully used to enrich Mtb DNA from complex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clinical samples, yet the accuracy of variant identification from captured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samples has not been systematically evaluated.</w:t>
      </w:r>
      <w:r w:rsidRPr="002F432E">
        <w:rPr>
          <w:rFonts w:ascii="宋体" w:eastAsia="宋体" w:hAnsi="宋体" w:cs="宋体"/>
          <w:b/>
          <w:color w:val="000000" w:themeColor="text1"/>
          <w:szCs w:val="24"/>
        </w:rPr>
        <w:t>Methods.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We created artificial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strain mixtures of two well-characterized Mtb isolates such that the minor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strain comprised 0-50% of Mtb DNA and serially diluted the Mtb DNA into human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DNA to simulate diagnostic samples with different sputum smear burdens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(32</w:t>
      </w:r>
      <w:r w:rsidRPr="00EA19B3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samples). We also prospectively collected paired Mtb diagnostic cultures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sputum submitted to a national diagnostic laboratory (seven sample pairs). We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performed hybrid capture and Illumina whole-genome sequencing for all samples.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For the artificial strain mixtures, we measured hybrid capture efficiency, the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percentage of total reads mapping to Mtb and performance of fixed and minority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variant identification. For the diagnostic samples, we compared the number,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identity and minor allele frequencies of minority variants identified in the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cultured and hybrid-captured samples.</w:t>
      </w:r>
      <w:r w:rsidRPr="002F432E">
        <w:rPr>
          <w:rFonts w:ascii="宋体" w:eastAsia="宋体" w:hAnsi="宋体" w:cs="宋体"/>
          <w:b/>
          <w:color w:val="000000" w:themeColor="text1"/>
          <w:szCs w:val="24"/>
        </w:rPr>
        <w:t xml:space="preserve">Results. 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 the artificial strain mixture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experiment, hybrid capture efficiency was 97% when Mtb comprised 0.01% of the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input DNA. SNP identification via hybrid capture had a sensitivity </w:t>
      </w:r>
      <w:r w:rsidRPr="00EA19B3">
        <w:rPr>
          <w:rFonts w:ascii="宋体" w:eastAsia="宋体" w:hAnsi="宋体" w:cs="宋体" w:hint="eastAsia"/>
          <w:color w:val="000000" w:themeColor="text1"/>
          <w:szCs w:val="24"/>
        </w:rPr>
        <w:t>≥</w:t>
      </w:r>
      <w:r w:rsidRPr="00EA19B3">
        <w:rPr>
          <w:rFonts w:ascii="宋体" w:eastAsia="宋体" w:hAnsi="宋体" w:cs="宋体"/>
          <w:color w:val="000000" w:themeColor="text1"/>
          <w:szCs w:val="24"/>
        </w:rPr>
        <w:t>91%</w:t>
      </w:r>
      <w:r w:rsidRPr="00EA19B3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and </w:t>
      </w:r>
    </w:p>
    <w:p w:rsidR="00EA19B3" w:rsidRPr="00EA19B3" w:rsidRDefault="00EA19B3" w:rsidP="00EA19B3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EA19B3">
        <w:rPr>
          <w:rFonts w:ascii="宋体" w:eastAsia="宋体" w:hAnsi="宋体" w:cs="宋体" w:hint="eastAsia"/>
          <w:color w:val="000000" w:themeColor="text1"/>
          <w:szCs w:val="24"/>
        </w:rPr>
        <w:t xml:space="preserve">precision ≥97% for Mtb lineages 4.1.2.1 and 4.9, excluding PE/PPE genes, when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Mtb comprised 0.01% of input DNA. Observed minor allele frequencies were closely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correlated (r=0.62</w:t>
      </w:r>
      <w:r w:rsidRPr="00EA19B3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to r=0.79, P&lt;0.001) with input minor allele frequencies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across all dilutions. Among paired diagnostic samples, hybrid capture efficiency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was high, 95%. However, four of the seven captured sputum samples were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overwhelmed with Pseudomonas contamination, which comprised &gt;25% of sequence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reads. We did not detect a significant difference in the number of minority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variants identified in cultured (median, 14; range, 10-18) and hybrid-captured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samples (median: 17 variants, range 9-47, P=0.25) and minor allele frequencies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were correlated (r=0.87, P&lt;0.001) outside of PE/PPE genes.</w:t>
      </w:r>
      <w:r w:rsidRPr="002F432E">
        <w:rPr>
          <w:rFonts w:ascii="宋体" w:eastAsia="宋体" w:hAnsi="宋体" w:cs="宋体"/>
          <w:b/>
          <w:color w:val="000000" w:themeColor="text1"/>
          <w:szCs w:val="24"/>
        </w:rPr>
        <w:t xml:space="preserve">Conclusions. 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Hybrid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capture of diagnostic sputum samples efficiently recovers accurate Mtb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whole-genome sequences. Minority variant detection is robust in controlled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mixtures but shows reduced concordance in clinical samples, highlighting the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need for further validation in real-world settings.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10.1099/mgen.0.001806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PMCID: PMC13485273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42611044 [Indexed for MEDLINE]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2F432E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80</w:t>
      </w:r>
      <w:r w:rsidR="00EA19B3" w:rsidRPr="002F432E">
        <w:rPr>
          <w:rFonts w:ascii="宋体" w:eastAsia="宋体" w:hAnsi="宋体" w:cs="宋体"/>
          <w:b/>
          <w:color w:val="FF0000"/>
          <w:szCs w:val="24"/>
        </w:rPr>
        <w:t xml:space="preserve">. Front Digit Health. 2026 Aug 3;8:1828475. doi: 10.3389/fdgth.2026.1828475. </w:t>
      </w:r>
    </w:p>
    <w:p w:rsidR="00EA19B3" w:rsidRPr="002F432E" w:rsidRDefault="00EA19B3" w:rsidP="00EA19B3">
      <w:pPr>
        <w:rPr>
          <w:rFonts w:ascii="宋体" w:eastAsia="宋体" w:hAnsi="宋体" w:cs="宋体"/>
          <w:b/>
          <w:color w:val="FF0000"/>
          <w:szCs w:val="24"/>
        </w:rPr>
      </w:pPr>
      <w:r w:rsidRPr="002F432E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Harmonizing patient health data into the OMOP common data model: a case study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using tuberculosis data from Douala General Hospital, Cameroon.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Mbouamba Yankam B(1)(2), Luc Baudoin FT(1), Onana Akoa FA(1)(3), Andeso P(4),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Cygu SB(4), Iddi S(4)(5), Ochola M(4), Bhattacharjee T(6), Charles Lebon MO(7),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Barasa M(4), Kiragga A(4)(8), Mbatchou Ngahane BH(1)(9).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(1)Data Science Without Borders Project, Douala General Hospital, Douala,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Cameroon.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(2)Faculty of Mathematics, University of Bochum, Bochum, Germany.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(3)School of Health Sciences, Catholic University of Central Africa, Yaounde,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Cameroon.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(4)African Population and Health Research Center (APHRC), Nairobi, Kenya.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(5)Department of Statistics, University of Ghana, Accra, Ghana.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(6)Department of Population Health, Faculty of Epidemiology and Population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Health, London School of Hygiene and Tropical Medicine, University of London,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London, United Kingdom.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(7)Internal Medicine Department, Douala General Hospital, Douala, Cameroon.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(8)Infectious Diseases Institute, College of Health Sciences, Makerere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University, Kampala, Uganda.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(9)Faculty of Medicine and Pharmaceutical Sciences, University of Douala,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Douala, Cameroon.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2F432E">
        <w:rPr>
          <w:rFonts w:ascii="宋体" w:eastAsia="宋体" w:hAnsi="宋体" w:cs="宋体"/>
          <w:b/>
          <w:color w:val="000000" w:themeColor="text1"/>
          <w:szCs w:val="24"/>
        </w:rPr>
        <w:t>INTRODUCTION: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Douala General Hospital is a tertiary healthcare facility in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Cameroon that serves thousands of patients annually. Despite maintaining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extensive patient records with potential for public health research, most data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remain paper-based, limiting accessibility, reuse, and interoperability. In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departments such as pulmonology, patient information is stored in heterogeneous,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non-standardized formats, constraining its use for clinical research, care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management, and decision-making. To address these challenges, we implemented a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complete Extract, Transform, and Load (ETL) pipeline aligned with the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Observational Medical Outcomes Partnership (OMOP) Common Data Model (CDM)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Version 5.4.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2F432E">
        <w:rPr>
          <w:rFonts w:ascii="宋体" w:eastAsia="宋体" w:hAnsi="宋体" w:cs="宋体"/>
          <w:b/>
          <w:color w:val="000000" w:themeColor="text1"/>
          <w:szCs w:val="24"/>
        </w:rPr>
        <w:t>OBJECTIVE: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This study aimed to harmonise and integrate tuberculosis (TB) patient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data into the OMOP CDM to improve data quality, interoperability,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reusability for research and clinical monitoring.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2F432E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 retrospective TB dataset covering 2009-2022 was digitized from paper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records and included 2,426 patient records with 82 variables. Data profiling was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performed using WhiteRabbit, mapping with Rabbit-in-a-Hat, and vocabulary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alignment using Usagi and ATHENA. Transformed data were loaded into a PostgreSQL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OMOP CDM database. Data quality was evaluated using Achilles and the Data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Quality Dashboard (DQD), while ATLAS supported visualization and analytical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exploration.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2F432E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Of 2,374 DQD checks executed, 2,354 passed, and 42 failed, yielding a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99% overall pass rate. Many checks that passed were not applicable to this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TB-specific dataset, and all applicable checks demonstrated high data quality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after iterative ETL refinement. Most issues were minor and resolved during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refinement. Demographically, 55.6% of patients were male, with ages ranging from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15 to 95 years, predominantly between 30 and 40 years. Common conditions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included extrapulmonary TB, fever, cough, and chest pain. Most patients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contributed one condition and one observation record, reflecting the dataset's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cross-sectional nature.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2F432E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Harmonising TB data into the OMOP CDM was feasible and successful,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demonstrating that standardized research datasets can be generated in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resource-limited settings. This approach offers a scalable model for broader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health data standardisation efforts in Cameroon and similar contexts.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2026 Mbouamba Yankam, Luc Baudoin, Onana Akoa, Andeso, Cygu, Iddi, Ochola,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Bhattacharjee, Charles Lebon, Barasa, Kiragga and Mbatchou Ngahane.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10.3389/fdgth.2026.1828475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PMCID: PMC13479808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42609725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2F432E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81</w:t>
      </w:r>
      <w:r w:rsidR="00EA19B3" w:rsidRPr="002F432E">
        <w:rPr>
          <w:rFonts w:ascii="宋体" w:eastAsia="宋体" w:hAnsi="宋体" w:cs="宋体"/>
          <w:b/>
          <w:color w:val="FF0000"/>
          <w:szCs w:val="24"/>
        </w:rPr>
        <w:t xml:space="preserve">. BMJ Public Health. 2026 Aug 12;4(3):e003862. doi: 10.1136/bmjph-2025-003862. </w:t>
      </w:r>
    </w:p>
    <w:p w:rsidR="00EA19B3" w:rsidRPr="002F432E" w:rsidRDefault="00EA19B3" w:rsidP="00EA19B3">
      <w:pPr>
        <w:rPr>
          <w:rFonts w:ascii="宋体" w:eastAsia="宋体" w:hAnsi="宋体" w:cs="宋体"/>
          <w:b/>
          <w:color w:val="FF0000"/>
          <w:szCs w:val="24"/>
        </w:rPr>
      </w:pPr>
      <w:r w:rsidRPr="002F432E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Socioeconomic consequences of tuberculosis for households in Nigeria: a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longitudinal patient cost survey within an intervention engaging informal health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providers.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Kirubi B(1), Abdulkarim S(2), John S(3), Ubochioma E(4), Forse R(5)(6), Garg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lastRenderedPageBreak/>
        <w:t>T(1), Rahman MT(1), Stevens R(7), Creswell J(1).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(1)Innovations &amp; Grants, STOP TB Partnership, Geneva, Switzerland.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(2)Sufabel Community Development Initiative, Gombe, Nigeria.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(3)Janna Health Foundation, Yola, Nigeria.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(4)National TB and Leprosy Program, Nigeria Federal Ministry of Health, Abuja,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Nigeria.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(5)Department of Global Public Health, Karolinska Institute, Stockholm, Sweden.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(6)Friends for International TB Relief, Ho Chi Minh City, Viet Nam.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(7)Independent Consultant, Hebden Bridge, UK.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A00104">
        <w:rPr>
          <w:rFonts w:ascii="宋体" w:eastAsia="宋体" w:hAnsi="宋体" w:cs="宋体"/>
          <w:b/>
          <w:color w:val="000000" w:themeColor="text1"/>
          <w:szCs w:val="24"/>
        </w:rPr>
        <w:t xml:space="preserve">INTRODUCTION: 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Tuberculosis (TB) imposes a significant economic and social burden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on affected households, particularly in low- and middle-income country settings.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 Nigeria, many people with TB first seek care from informal healthcare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providers. This study assessed the economic and social consequences of TB among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patients referred by informal providers in Northeast Nigeria.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A00104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A longitudinal patient cost survey was conducted alongside a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case-finding intervention engaging informal providers in Adamawa and Yobe states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between July and December 2022 among adults with drug-susceptible pulmonary TB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referred by traditional healers or patent and proprietary medicine vendors.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Participants (n=195) were interviewed at three time points during treatment to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collect data on direct and indirect costs, household income and other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socioeconomic consequences.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A00104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The mean total cost of a TB episode was US$187 (95% CI 170 to 203),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with direct costs accounting for 68% of total expenditures. Despite lower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average costs compared with national estimates, 27% (n=52) of households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incurred catastrophic costs. Food insecurity was reported by 62% (n=122) of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households during treatment. Lower pre-TB household income was strongly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associated with incurrence of catastrophic costs and adverse social outcomes,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including job loss and stigma.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A00104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Engaging informal providers in TB referral may contribute to lower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patient costs compared with national estimates but substantial economic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social consequences remain. Strengthening social protection measures is needed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to mitigate the broader socioeconomic impact of TB, particularly among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vulnerable households.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Author(s) (or their employer(s)) 2026. Re-use permitted under CC BY-NC.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Published by BMJ Group.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10.1136/bmjph-2025-003862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PMCID: PMC13479507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42609702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A00104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lastRenderedPageBreak/>
        <w:t>82</w:t>
      </w:r>
      <w:r w:rsidR="00EA19B3" w:rsidRPr="00A00104">
        <w:rPr>
          <w:rFonts w:ascii="宋体" w:eastAsia="宋体" w:hAnsi="宋体" w:cs="宋体"/>
          <w:b/>
          <w:color w:val="FF0000"/>
          <w:szCs w:val="24"/>
        </w:rPr>
        <w:t>. Pulm Med. 2026;2026(1):e3346306. doi: 10.1155/pm/3346306.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Combating Drug-Resistant Tuberculosis: Advancements in Diagnostics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Therapeutics.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Gautam S(1), Saini J(1), Pasha SBJ(1), Sharma D(2), Venugopal D(1).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(1)Department of Microbiology, Graphic Era (Deemed to be) University, Dehradun,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India, geu.ac.in.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(2)Department of Biotechnology, Graphic Era (Deemed to be) University, Dehradun,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India, geu.ac.in.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The increasing prevalence of multidrug-resistant (MDR) and extensively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drug-resistant (XDR)Mycobacterium tuberculosis has emerged as a major global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health concern. Advanced molecular diagnostics, including rapid assays, have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improved resistance detection; however, resource-limited settings remain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underserved. Nanotechnology-based drug delivery systems, including polymeric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carriers, solid lipid nanoparticles, and silver nanoparticles, can provide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targeted delivery, prolonged release, and improved bioavailability. Drug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repurposing strategies using existing drugs like linezolid, celecoxib,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nitazoxanide also show a promising option in combating drug-resistant TB while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reducing treatment duration. Host-directed therapies (HDTs) and natural products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offer complementary strategies by enhancing host immune responses and providing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multitarget antimycobacterial effects. This review emphasizes the drug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resistance mechanisms and advancements in novel theranostics. Despite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significant progress, challenges related to cost-effective scalability,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accessibility of advanced diagnostics, and optimization of therapeutic systems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continue to limit clinical translation. Future research must prioritize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multidisciplinary collaborations to accelerate drug development, enhance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diagnostic capabilities, and expand nanotechnology-based solutions to address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the TB epidemic effectively.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Copyright © 2026 Silvi Gautam et al. Pulmonary Medicine published by John Wiley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&amp; Sons Ltd.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10.1155/pm/3346306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PMCID: PMC13482042</w:t>
      </w:r>
    </w:p>
    <w:p w:rsidR="00EA19B3" w:rsidRPr="00EA19B3" w:rsidRDefault="00EA19B3" w:rsidP="00EA19B3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</w:t>
      </w:r>
      <w:r w:rsidR="00A00104">
        <w:rPr>
          <w:rFonts w:ascii="宋体" w:eastAsia="宋体" w:hAnsi="宋体" w:cs="宋体"/>
          <w:color w:val="000000" w:themeColor="text1"/>
          <w:szCs w:val="24"/>
        </w:rPr>
        <w:t xml:space="preserve"> 42608874 [Indexed for MEDLINE]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A00104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83</w:t>
      </w:r>
      <w:r w:rsidR="00EA19B3" w:rsidRPr="00A00104">
        <w:rPr>
          <w:rFonts w:ascii="宋体" w:eastAsia="宋体" w:hAnsi="宋体" w:cs="宋体"/>
          <w:b/>
          <w:color w:val="FF0000"/>
          <w:szCs w:val="24"/>
        </w:rPr>
        <w:t xml:space="preserve">. Clin Imaging. 2026 Aug 12;139:110922. doi: 10.1016/j.clinimag.2026.110922. </w:t>
      </w:r>
    </w:p>
    <w:p w:rsidR="00EA19B3" w:rsidRPr="00A00104" w:rsidRDefault="00EA19B3" w:rsidP="00EA19B3">
      <w:pPr>
        <w:rPr>
          <w:rFonts w:ascii="宋体" w:eastAsia="宋体" w:hAnsi="宋体" w:cs="宋体"/>
          <w:b/>
          <w:color w:val="FF0000"/>
          <w:szCs w:val="24"/>
        </w:rPr>
      </w:pPr>
      <w:r w:rsidRPr="00A00104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Chest radiographic phenotypes in post-tuberculosis lung disease: morphometric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lastRenderedPageBreak/>
        <w:t>heterogeneity, functional outcomes, and implementation of scoring systems.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Jatoi A(1).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(1)Department of Radiology, Liaquat University of Medical &amp; Health Sciences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(LUMHS), Jamshoro, Pakistan. Electronic address: drjatoiasma@gmail.com.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A00104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Post-tuberculosis lung disease affects 30-50% of TB survivors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despite successful treatment, yet systematic post-TB screening and surveillance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remain absent from most national TB programs. Radiographic heterogeneity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predicts functional impairment, but relationships between radiographic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phenotypes and functional outcomes remain incompletely characterized in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high-burden TB settings.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A00104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This prospective cross-sectional study enrolled 500 TB survivors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(6-60 months post-treatment).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A00104">
        <w:rPr>
          <w:rFonts w:ascii="宋体" w:eastAsia="宋体" w:hAnsi="宋体" w:cs="宋体"/>
          <w:b/>
          <w:color w:val="000000" w:themeColor="text1"/>
          <w:szCs w:val="24"/>
        </w:rPr>
        <w:t xml:space="preserve">PRIMARY OUTCOME: 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radiographic phenotype classification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(minimal-change/moderate-complexity/complex) and associations with pulmonary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function impairment (FEV</w:t>
      </w:r>
      <w:r w:rsidRPr="00EA19B3">
        <w:rPr>
          <w:rFonts w:ascii="Times New Roman" w:eastAsia="宋体" w:hAnsi="Times New Roman" w:cs="Times New Roman"/>
          <w:color w:val="000000" w:themeColor="text1"/>
          <w:szCs w:val="24"/>
        </w:rPr>
        <w:t>₁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&lt;80% predicted). Chest radiography assessed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cavitation, bronchiectasis, parenchymal opacification, architectural distortion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via standardized morphometric scoring. Spirometry performed per ATS/ERS 2019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standards. Inflammatory biomarkers (hs-CRP, fibrinogen) measured. Radiographic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inter-rater reliability assessed via ICC. Logistic regression identified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independent predictors.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A00104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Of 625 enrolled, 500 (80%) completed assessment. Radiographic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phenotypes: minimal-change 31.2%, moderate-complexity 42.8%, complex 26.0%. FEV</w:t>
      </w:r>
      <w:r w:rsidRPr="00EA19B3">
        <w:rPr>
          <w:rFonts w:ascii="Times New Roman" w:eastAsia="宋体" w:hAnsi="Times New Roman" w:cs="Times New Roman"/>
          <w:color w:val="000000" w:themeColor="text1"/>
          <w:szCs w:val="24"/>
        </w:rPr>
        <w:t>₁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% predicted: minimal-change 89.2 ± 10.4%, moderate 75.8 ± 14.2%, complex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46.2 ± 16.8% (p &lt; 0.001). FEV</w:t>
      </w:r>
      <w:r w:rsidRPr="00EA19B3">
        <w:rPr>
          <w:rFonts w:ascii="Times New Roman" w:eastAsia="宋体" w:hAnsi="Times New Roman" w:cs="Times New Roman"/>
          <w:color w:val="000000" w:themeColor="text1"/>
          <w:szCs w:val="24"/>
        </w:rPr>
        <w:t>₁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&lt;80% predicted: minimal 11.5%, moderate 56.1%,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complex 98.5% (p &lt; 0.001). Radiographic inter-rater reliability excellent (ICC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0.84; 95% CI 0.81-0.87). Complex phenotype associated with FEV</w:t>
      </w:r>
      <w:r w:rsidRPr="00EA19B3">
        <w:rPr>
          <w:rFonts w:ascii="Times New Roman" w:eastAsia="宋体" w:hAnsi="Times New Roman" w:cs="Times New Roman"/>
          <w:color w:val="000000" w:themeColor="text1"/>
          <w:szCs w:val="24"/>
        </w:rPr>
        <w:t>₁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&lt;80% (aOR 28.48;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95% CI 10.12-80.04). Elevated hs-CRP present in 24.4% minimal-change versus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76.9% complex (p &lt; 0.001). Inflammatory biomarkers mediated 55% of phenotype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effect on function.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A00104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 Chest radiographic phenotypes robustly predict pulmonary function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impairment in post-TB disease. Complex phenotypes show severe obstruction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(98.5%) and elevated inflammation. Simple, protocol-based morphometric scoring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(3.8 min per image, ICC 0.84 between trained readers) is feasible for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resource-limited settings. Radiographic phenotyping enables risk stratification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in TB survivors.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Copyright © 2026 Elsevier Inc. All rights reserved.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10.1016/j.clinimag.2026.110922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42607356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A00104" w:rsidRDefault="00CE7B62" w:rsidP="00EA19B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84</w:t>
      </w:r>
      <w:r w:rsidR="00EA19B3" w:rsidRPr="00A00104">
        <w:rPr>
          <w:rFonts w:ascii="宋体" w:eastAsia="宋体" w:hAnsi="宋体" w:cs="宋体"/>
          <w:b/>
          <w:color w:val="FF0000"/>
          <w:szCs w:val="24"/>
        </w:rPr>
        <w:t>. Cureus. 2026 Jul 17;18(7):e112843. doi: 10.7759/c</w:t>
      </w:r>
      <w:r w:rsidR="00A00104" w:rsidRPr="00A00104">
        <w:rPr>
          <w:rFonts w:ascii="宋体" w:eastAsia="宋体" w:hAnsi="宋体" w:cs="宋体"/>
          <w:b/>
          <w:color w:val="FF0000"/>
          <w:szCs w:val="24"/>
        </w:rPr>
        <w:t xml:space="preserve">ureus.112843. eCollection 2026 </w:t>
      </w:r>
      <w:r w:rsidR="00EA19B3" w:rsidRPr="00A00104">
        <w:rPr>
          <w:rFonts w:ascii="宋体" w:eastAsia="宋体" w:hAnsi="宋体" w:cs="宋体"/>
          <w:b/>
          <w:color w:val="FF0000"/>
          <w:szCs w:val="24"/>
        </w:rPr>
        <w:t>Jul.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Coinfection With Nocardia exalbida and Mycobacterium tuberculosis Following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Steroid Pulse Therapy: A Case Report and Literature Review.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Inatomi S(1), Sakai Y(1), Yamaguchi N(1), Suzuki Y(2), Kasahara K(1).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(1)Department of Infectious Diseases, Nara Medical University, Nara, JPN.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(2)Department of Microbiology and Infectious Diseases, Nara Medical University,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Nara, JPN.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We report a case of pulmonary nocardiosis and pulmonary tuberculosis following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steroid pulse therapy for presumed myelitis. A 74-year-old man with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transthyretin amyloid cardiomyopathy, chronic heart failure, and type 2 diabetes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mellitus received two courses of steroid pulse therapy for suspected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inflammatory myelitis. One month later, he developed progressive dyspnea and was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admitted to our hospital. Chest computed tomography revealed multifocal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right-sided infiltrates and pleural effusion. Although empirical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piperacillin/tazobactam was initiated for presumed bacterial pneumonia, sputum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Gram and Kinyoun stains revealed thin, branching, partially acid-fast bacilli,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and sequencing of the secA1 gene identified Nocardia exalbida. Polymerase chain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reaction (PCR) analysis was positive for Mycobacterium tuberculosis. Pleural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fluid culture yielded Nocardia species. The patient's condition improved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following combined antituberculous and anti-nocardial therapy, along with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optimized heart failure management. Coinfection with nocardiosis and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 xml:space="preserve">tuberculosis should be considered in immunosuppressed patients following 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corticosteroid therapy.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Copyright © 2026, Inatomi et al.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DOI: 10.7759/cureus.112843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PMCID: PMC13477607</w:t>
      </w:r>
    </w:p>
    <w:p w:rsidR="00EA19B3" w:rsidRPr="00EA19B3" w:rsidRDefault="00EA19B3" w:rsidP="00EA19B3">
      <w:pPr>
        <w:rPr>
          <w:rFonts w:ascii="宋体" w:eastAsia="宋体" w:hAnsi="宋体" w:cs="宋体"/>
          <w:color w:val="000000" w:themeColor="text1"/>
          <w:szCs w:val="24"/>
        </w:rPr>
      </w:pPr>
      <w:r w:rsidRPr="00EA19B3">
        <w:rPr>
          <w:rFonts w:ascii="宋体" w:eastAsia="宋体" w:hAnsi="宋体" w:cs="宋体"/>
          <w:color w:val="000000" w:themeColor="text1"/>
          <w:szCs w:val="24"/>
        </w:rPr>
        <w:t>PMID: 42605332</w:t>
      </w:r>
    </w:p>
    <w:p w:rsidR="00E479DD" w:rsidRDefault="00E479DD" w:rsidP="00EA19B3">
      <w:pPr>
        <w:rPr>
          <w:rFonts w:ascii="宋体" w:eastAsia="宋体" w:hAnsi="宋体" w:cs="宋体"/>
          <w:color w:val="000000" w:themeColor="text1"/>
          <w:szCs w:val="24"/>
        </w:rPr>
      </w:pPr>
    </w:p>
    <w:p w:rsidR="00803C25" w:rsidRPr="0048107F" w:rsidRDefault="00CE7B62" w:rsidP="00803C2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85</w:t>
      </w:r>
      <w:r w:rsidR="00803C25" w:rsidRPr="0048107F">
        <w:rPr>
          <w:rFonts w:ascii="宋体" w:eastAsia="宋体" w:hAnsi="宋体" w:cs="宋体"/>
          <w:b/>
          <w:color w:val="FF0000"/>
          <w:szCs w:val="24"/>
        </w:rPr>
        <w:t xml:space="preserve">. Am J Respir Crit Care Med. 2026 Aug 22:aamag444. doi: 10.1093/ajrccm/aamag444. </w:t>
      </w:r>
    </w:p>
    <w:p w:rsidR="00803C25" w:rsidRPr="0048107F" w:rsidRDefault="00803C25" w:rsidP="00803C25">
      <w:pPr>
        <w:rPr>
          <w:rFonts w:ascii="宋体" w:eastAsia="宋体" w:hAnsi="宋体" w:cs="宋体"/>
          <w:b/>
          <w:color w:val="FF0000"/>
          <w:szCs w:val="24"/>
        </w:rPr>
      </w:pPr>
      <w:r w:rsidRPr="0048107F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803C25" w:rsidRPr="0048107F" w:rsidRDefault="00803C25" w:rsidP="00803C25">
      <w:pPr>
        <w:rPr>
          <w:rFonts w:ascii="宋体" w:eastAsia="宋体" w:hAnsi="宋体" w:cs="宋体"/>
          <w:b/>
          <w:color w:val="FF0000"/>
          <w:szCs w:val="24"/>
        </w:rPr>
      </w:pPr>
    </w:p>
    <w:p w:rsidR="00803C25" w:rsidRPr="007A20D0" w:rsidRDefault="00803C25" w:rsidP="00803C25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Asymptomatic tuberculosis: new insights and knowledge gaps.</w:t>
      </w:r>
    </w:p>
    <w:p w:rsidR="00803C25" w:rsidRPr="007A20D0" w:rsidRDefault="00803C25" w:rsidP="00803C25">
      <w:pPr>
        <w:rPr>
          <w:rFonts w:ascii="宋体" w:eastAsia="宋体" w:hAnsi="宋体" w:cs="宋体"/>
          <w:color w:val="000000" w:themeColor="text1"/>
          <w:szCs w:val="24"/>
        </w:rPr>
      </w:pPr>
    </w:p>
    <w:p w:rsidR="00803C25" w:rsidRPr="007A20D0" w:rsidRDefault="00803C25" w:rsidP="00803C25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Jing Teo AK(1)(2)(3), Nguyen TV(1)(2)(4), MacLean EL(1)(2), Nguyen TA(4), Fox </w:t>
      </w:r>
    </w:p>
    <w:p w:rsidR="00803C25" w:rsidRPr="007A20D0" w:rsidRDefault="00803C25" w:rsidP="00803C25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GJ(1)(2), Marais BJ(1)(2).</w:t>
      </w:r>
    </w:p>
    <w:p w:rsidR="00803C25" w:rsidRPr="007A20D0" w:rsidRDefault="00803C25" w:rsidP="00803C25">
      <w:pPr>
        <w:rPr>
          <w:rFonts w:ascii="宋体" w:eastAsia="宋体" w:hAnsi="宋体" w:cs="宋体"/>
          <w:color w:val="000000" w:themeColor="text1"/>
          <w:szCs w:val="24"/>
        </w:rPr>
      </w:pPr>
    </w:p>
    <w:p w:rsidR="00803C25" w:rsidRPr="007A20D0" w:rsidRDefault="00803C25" w:rsidP="00803C25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803C25" w:rsidRPr="007A20D0" w:rsidRDefault="00803C25" w:rsidP="00803C25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(1)Faculty of Medicine and Health, University of Sydney, NSW, Australia.</w:t>
      </w:r>
    </w:p>
    <w:p w:rsidR="00803C25" w:rsidRPr="007A20D0" w:rsidRDefault="00803C25" w:rsidP="00803C25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(2)The University of Sydney Infectious Diseases Institute (Sydney ID), NSW, </w:t>
      </w:r>
    </w:p>
    <w:p w:rsidR="00803C25" w:rsidRPr="007A20D0" w:rsidRDefault="00803C25" w:rsidP="00803C25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Australia.</w:t>
      </w:r>
    </w:p>
    <w:p w:rsidR="00803C25" w:rsidRPr="007A20D0" w:rsidRDefault="00803C25" w:rsidP="00803C25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 xml:space="preserve">(3)Saw Swee Hock School of Public Health, National University of Singapore and </w:t>
      </w:r>
    </w:p>
    <w:p w:rsidR="00803C25" w:rsidRPr="007A20D0" w:rsidRDefault="00803C25" w:rsidP="00803C25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National University Health System, Singapore.</w:t>
      </w:r>
    </w:p>
    <w:p w:rsidR="00803C25" w:rsidRPr="007A20D0" w:rsidRDefault="00803C25" w:rsidP="00803C25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(4)The University of Sydney Vietnam Institute, Ho Chi Minh City, Vietnam.</w:t>
      </w:r>
    </w:p>
    <w:p w:rsidR="00803C25" w:rsidRPr="007A20D0" w:rsidRDefault="00803C25" w:rsidP="00803C25">
      <w:pPr>
        <w:rPr>
          <w:rFonts w:ascii="宋体" w:eastAsia="宋体" w:hAnsi="宋体" w:cs="宋体"/>
          <w:color w:val="000000" w:themeColor="text1"/>
          <w:szCs w:val="24"/>
        </w:rPr>
      </w:pPr>
    </w:p>
    <w:p w:rsidR="00803C25" w:rsidRPr="007A20D0" w:rsidRDefault="00803C25" w:rsidP="00803C25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DOI: 10.1093/ajrccm/aamag444</w:t>
      </w:r>
    </w:p>
    <w:p w:rsidR="00803C25" w:rsidRPr="007A20D0" w:rsidRDefault="00803C25" w:rsidP="00803C25">
      <w:pPr>
        <w:rPr>
          <w:rFonts w:ascii="宋体" w:eastAsia="宋体" w:hAnsi="宋体" w:cs="宋体"/>
          <w:color w:val="000000" w:themeColor="text1"/>
          <w:szCs w:val="24"/>
        </w:rPr>
      </w:pPr>
      <w:r w:rsidRPr="007A20D0">
        <w:rPr>
          <w:rFonts w:ascii="宋体" w:eastAsia="宋体" w:hAnsi="宋体" w:cs="宋体"/>
          <w:color w:val="000000" w:themeColor="text1"/>
          <w:szCs w:val="24"/>
        </w:rPr>
        <w:t>PMID: 42633566</w:t>
      </w:r>
    </w:p>
    <w:p w:rsidR="00803C25" w:rsidRPr="007A20D0" w:rsidRDefault="00803C25" w:rsidP="00803C25">
      <w:pPr>
        <w:rPr>
          <w:rFonts w:ascii="宋体" w:eastAsia="宋体" w:hAnsi="宋体" w:cs="宋体"/>
          <w:color w:val="000000" w:themeColor="text1"/>
          <w:szCs w:val="24"/>
        </w:rPr>
      </w:pPr>
    </w:p>
    <w:p w:rsidR="00803C25" w:rsidRPr="00BB32E5" w:rsidRDefault="00803C25" w:rsidP="00EA19B3">
      <w:pPr>
        <w:rPr>
          <w:rFonts w:ascii="宋体" w:eastAsia="宋体" w:hAnsi="宋体" w:cs="宋体" w:hint="eastAsia"/>
          <w:color w:val="000000" w:themeColor="text1"/>
          <w:szCs w:val="24"/>
        </w:rPr>
      </w:pPr>
    </w:p>
    <w:sectPr w:rsidR="00803C25" w:rsidRPr="00BB32E5" w:rsidSect="00A47695">
      <w:pgSz w:w="11906" w:h="16838"/>
      <w:pgMar w:top="1440" w:right="1753" w:bottom="1440" w:left="175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459" w:rsidRDefault="00DA6459" w:rsidP="00913F6F">
      <w:r>
        <w:separator/>
      </w:r>
    </w:p>
  </w:endnote>
  <w:endnote w:type="continuationSeparator" w:id="0">
    <w:p w:rsidR="00DA6459" w:rsidRDefault="00DA6459" w:rsidP="0091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459" w:rsidRDefault="00DA6459" w:rsidP="00913F6F">
      <w:r>
        <w:separator/>
      </w:r>
    </w:p>
  </w:footnote>
  <w:footnote w:type="continuationSeparator" w:id="0">
    <w:p w:rsidR="00DA6459" w:rsidRDefault="00DA6459" w:rsidP="00913F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388"/>
    <w:rsid w:val="00000EB4"/>
    <w:rsid w:val="00001BCE"/>
    <w:rsid w:val="00004FA0"/>
    <w:rsid w:val="00005480"/>
    <w:rsid w:val="0000548B"/>
    <w:rsid w:val="00005BFA"/>
    <w:rsid w:val="00006312"/>
    <w:rsid w:val="00006445"/>
    <w:rsid w:val="00006AD1"/>
    <w:rsid w:val="00007FE2"/>
    <w:rsid w:val="00010E83"/>
    <w:rsid w:val="0001109E"/>
    <w:rsid w:val="00011EE4"/>
    <w:rsid w:val="00014ACD"/>
    <w:rsid w:val="00014B97"/>
    <w:rsid w:val="00014C5C"/>
    <w:rsid w:val="000151BC"/>
    <w:rsid w:val="000163F8"/>
    <w:rsid w:val="0001793D"/>
    <w:rsid w:val="00017A03"/>
    <w:rsid w:val="00017EFF"/>
    <w:rsid w:val="00020101"/>
    <w:rsid w:val="00020316"/>
    <w:rsid w:val="0002051D"/>
    <w:rsid w:val="00021027"/>
    <w:rsid w:val="00021F93"/>
    <w:rsid w:val="00025A11"/>
    <w:rsid w:val="00026111"/>
    <w:rsid w:val="00026718"/>
    <w:rsid w:val="00030012"/>
    <w:rsid w:val="000309FE"/>
    <w:rsid w:val="000313FC"/>
    <w:rsid w:val="00032714"/>
    <w:rsid w:val="00032CAA"/>
    <w:rsid w:val="00032F94"/>
    <w:rsid w:val="000340CF"/>
    <w:rsid w:val="0003428A"/>
    <w:rsid w:val="00035E04"/>
    <w:rsid w:val="00036F5C"/>
    <w:rsid w:val="000370E0"/>
    <w:rsid w:val="000379B3"/>
    <w:rsid w:val="00037A3B"/>
    <w:rsid w:val="00040872"/>
    <w:rsid w:val="00042020"/>
    <w:rsid w:val="00042414"/>
    <w:rsid w:val="00042556"/>
    <w:rsid w:val="00042899"/>
    <w:rsid w:val="00044A66"/>
    <w:rsid w:val="00044B78"/>
    <w:rsid w:val="00044C28"/>
    <w:rsid w:val="00045FBC"/>
    <w:rsid w:val="000461EE"/>
    <w:rsid w:val="0004682E"/>
    <w:rsid w:val="00047272"/>
    <w:rsid w:val="000474E6"/>
    <w:rsid w:val="00047D13"/>
    <w:rsid w:val="000505E8"/>
    <w:rsid w:val="00050E61"/>
    <w:rsid w:val="00051DD5"/>
    <w:rsid w:val="000527D8"/>
    <w:rsid w:val="00052E5C"/>
    <w:rsid w:val="000531C2"/>
    <w:rsid w:val="0005401D"/>
    <w:rsid w:val="0005489E"/>
    <w:rsid w:val="00054996"/>
    <w:rsid w:val="000549F5"/>
    <w:rsid w:val="000552EE"/>
    <w:rsid w:val="000567C6"/>
    <w:rsid w:val="00056ACF"/>
    <w:rsid w:val="0006072D"/>
    <w:rsid w:val="00060930"/>
    <w:rsid w:val="00061C4E"/>
    <w:rsid w:val="00061F05"/>
    <w:rsid w:val="00062062"/>
    <w:rsid w:val="0006216E"/>
    <w:rsid w:val="0006285F"/>
    <w:rsid w:val="00063F03"/>
    <w:rsid w:val="00064D3B"/>
    <w:rsid w:val="000661FE"/>
    <w:rsid w:val="00067B6F"/>
    <w:rsid w:val="00067C37"/>
    <w:rsid w:val="00070238"/>
    <w:rsid w:val="00070407"/>
    <w:rsid w:val="0007049C"/>
    <w:rsid w:val="00071826"/>
    <w:rsid w:val="00072366"/>
    <w:rsid w:val="000724C3"/>
    <w:rsid w:val="00074388"/>
    <w:rsid w:val="00076272"/>
    <w:rsid w:val="00077EC3"/>
    <w:rsid w:val="000802F3"/>
    <w:rsid w:val="0008127A"/>
    <w:rsid w:val="000814BF"/>
    <w:rsid w:val="00082113"/>
    <w:rsid w:val="000823C5"/>
    <w:rsid w:val="00083685"/>
    <w:rsid w:val="00084FA1"/>
    <w:rsid w:val="00085FFF"/>
    <w:rsid w:val="0008630A"/>
    <w:rsid w:val="00086502"/>
    <w:rsid w:val="00087251"/>
    <w:rsid w:val="00090B3F"/>
    <w:rsid w:val="00090B53"/>
    <w:rsid w:val="0009167A"/>
    <w:rsid w:val="00091781"/>
    <w:rsid w:val="00091D4F"/>
    <w:rsid w:val="0009258E"/>
    <w:rsid w:val="00092CA5"/>
    <w:rsid w:val="00092F7F"/>
    <w:rsid w:val="00093EB4"/>
    <w:rsid w:val="000943C3"/>
    <w:rsid w:val="0009444D"/>
    <w:rsid w:val="00094774"/>
    <w:rsid w:val="00094D1C"/>
    <w:rsid w:val="0009523F"/>
    <w:rsid w:val="00095BEC"/>
    <w:rsid w:val="000961CE"/>
    <w:rsid w:val="000966AA"/>
    <w:rsid w:val="000A087D"/>
    <w:rsid w:val="000A0ACA"/>
    <w:rsid w:val="000A0F96"/>
    <w:rsid w:val="000A124E"/>
    <w:rsid w:val="000A127A"/>
    <w:rsid w:val="000A1434"/>
    <w:rsid w:val="000A1D4B"/>
    <w:rsid w:val="000A2127"/>
    <w:rsid w:val="000A2D53"/>
    <w:rsid w:val="000A2F2E"/>
    <w:rsid w:val="000A37C7"/>
    <w:rsid w:val="000A3943"/>
    <w:rsid w:val="000A3E0E"/>
    <w:rsid w:val="000A47E7"/>
    <w:rsid w:val="000A496C"/>
    <w:rsid w:val="000A4A7D"/>
    <w:rsid w:val="000A51E6"/>
    <w:rsid w:val="000A5D84"/>
    <w:rsid w:val="000A6101"/>
    <w:rsid w:val="000A72A6"/>
    <w:rsid w:val="000B00E0"/>
    <w:rsid w:val="000B0CA1"/>
    <w:rsid w:val="000B0CAE"/>
    <w:rsid w:val="000B1016"/>
    <w:rsid w:val="000B115F"/>
    <w:rsid w:val="000B13CA"/>
    <w:rsid w:val="000B16AA"/>
    <w:rsid w:val="000B18A0"/>
    <w:rsid w:val="000B2704"/>
    <w:rsid w:val="000B2997"/>
    <w:rsid w:val="000B2D0A"/>
    <w:rsid w:val="000B39CD"/>
    <w:rsid w:val="000B579D"/>
    <w:rsid w:val="000B58BE"/>
    <w:rsid w:val="000B5A38"/>
    <w:rsid w:val="000B5C58"/>
    <w:rsid w:val="000B6618"/>
    <w:rsid w:val="000B6906"/>
    <w:rsid w:val="000B6914"/>
    <w:rsid w:val="000B6D3C"/>
    <w:rsid w:val="000B7B81"/>
    <w:rsid w:val="000B7B97"/>
    <w:rsid w:val="000C04D5"/>
    <w:rsid w:val="000C1093"/>
    <w:rsid w:val="000C3590"/>
    <w:rsid w:val="000C3A90"/>
    <w:rsid w:val="000C488A"/>
    <w:rsid w:val="000C5482"/>
    <w:rsid w:val="000C614D"/>
    <w:rsid w:val="000C683A"/>
    <w:rsid w:val="000C71E1"/>
    <w:rsid w:val="000D02D3"/>
    <w:rsid w:val="000D205B"/>
    <w:rsid w:val="000D2241"/>
    <w:rsid w:val="000D2A9B"/>
    <w:rsid w:val="000D2B94"/>
    <w:rsid w:val="000D2F64"/>
    <w:rsid w:val="000D3403"/>
    <w:rsid w:val="000D5656"/>
    <w:rsid w:val="000D6450"/>
    <w:rsid w:val="000D7BF2"/>
    <w:rsid w:val="000E052F"/>
    <w:rsid w:val="000E2388"/>
    <w:rsid w:val="000E2E0D"/>
    <w:rsid w:val="000E4DF7"/>
    <w:rsid w:val="000E615C"/>
    <w:rsid w:val="000E6A33"/>
    <w:rsid w:val="000E6C23"/>
    <w:rsid w:val="000E713B"/>
    <w:rsid w:val="000F0847"/>
    <w:rsid w:val="000F0A49"/>
    <w:rsid w:val="000F0D00"/>
    <w:rsid w:val="000F1E63"/>
    <w:rsid w:val="000F1FFB"/>
    <w:rsid w:val="000F21DA"/>
    <w:rsid w:val="000F24D7"/>
    <w:rsid w:val="000F3795"/>
    <w:rsid w:val="000F39E9"/>
    <w:rsid w:val="000F3B6A"/>
    <w:rsid w:val="000F41CE"/>
    <w:rsid w:val="000F5BE2"/>
    <w:rsid w:val="000F6938"/>
    <w:rsid w:val="000F6B20"/>
    <w:rsid w:val="000F7FE8"/>
    <w:rsid w:val="001009A0"/>
    <w:rsid w:val="00100A49"/>
    <w:rsid w:val="00101FDC"/>
    <w:rsid w:val="0010360B"/>
    <w:rsid w:val="00103B38"/>
    <w:rsid w:val="001045B5"/>
    <w:rsid w:val="001048DC"/>
    <w:rsid w:val="00104C1E"/>
    <w:rsid w:val="00104CC5"/>
    <w:rsid w:val="00106495"/>
    <w:rsid w:val="001100AE"/>
    <w:rsid w:val="001111F4"/>
    <w:rsid w:val="00112102"/>
    <w:rsid w:val="001128DA"/>
    <w:rsid w:val="00113B07"/>
    <w:rsid w:val="001146C5"/>
    <w:rsid w:val="00115AA0"/>
    <w:rsid w:val="001160B6"/>
    <w:rsid w:val="00117A55"/>
    <w:rsid w:val="00117E9C"/>
    <w:rsid w:val="00120200"/>
    <w:rsid w:val="00120C7E"/>
    <w:rsid w:val="00122BB5"/>
    <w:rsid w:val="00123084"/>
    <w:rsid w:val="0012313C"/>
    <w:rsid w:val="001232FE"/>
    <w:rsid w:val="001239BF"/>
    <w:rsid w:val="00123B2B"/>
    <w:rsid w:val="00123D14"/>
    <w:rsid w:val="00124054"/>
    <w:rsid w:val="00124203"/>
    <w:rsid w:val="00124FA0"/>
    <w:rsid w:val="001250F8"/>
    <w:rsid w:val="001258E8"/>
    <w:rsid w:val="00130332"/>
    <w:rsid w:val="00130522"/>
    <w:rsid w:val="00131064"/>
    <w:rsid w:val="00131D02"/>
    <w:rsid w:val="00131F89"/>
    <w:rsid w:val="00132F05"/>
    <w:rsid w:val="0013385F"/>
    <w:rsid w:val="00133BD7"/>
    <w:rsid w:val="00133F6C"/>
    <w:rsid w:val="0013533E"/>
    <w:rsid w:val="00135AEE"/>
    <w:rsid w:val="00135C60"/>
    <w:rsid w:val="00135D11"/>
    <w:rsid w:val="00137D90"/>
    <w:rsid w:val="001400DC"/>
    <w:rsid w:val="00141D76"/>
    <w:rsid w:val="00142DC2"/>
    <w:rsid w:val="00143C23"/>
    <w:rsid w:val="00143FFB"/>
    <w:rsid w:val="001442A6"/>
    <w:rsid w:val="0014482B"/>
    <w:rsid w:val="00144C21"/>
    <w:rsid w:val="00145536"/>
    <w:rsid w:val="00145858"/>
    <w:rsid w:val="001460E6"/>
    <w:rsid w:val="001462BE"/>
    <w:rsid w:val="0014644D"/>
    <w:rsid w:val="00147542"/>
    <w:rsid w:val="00147E95"/>
    <w:rsid w:val="0015022B"/>
    <w:rsid w:val="00151492"/>
    <w:rsid w:val="0015230D"/>
    <w:rsid w:val="00152842"/>
    <w:rsid w:val="00152DAF"/>
    <w:rsid w:val="00152FFB"/>
    <w:rsid w:val="0015436D"/>
    <w:rsid w:val="0015447B"/>
    <w:rsid w:val="00154EEE"/>
    <w:rsid w:val="001555BE"/>
    <w:rsid w:val="00155DAB"/>
    <w:rsid w:val="0016036F"/>
    <w:rsid w:val="00160D5D"/>
    <w:rsid w:val="00160EC6"/>
    <w:rsid w:val="00161C58"/>
    <w:rsid w:val="00162024"/>
    <w:rsid w:val="00162396"/>
    <w:rsid w:val="00162E0B"/>
    <w:rsid w:val="001631D1"/>
    <w:rsid w:val="00163933"/>
    <w:rsid w:val="001640F5"/>
    <w:rsid w:val="00166D15"/>
    <w:rsid w:val="00166F6B"/>
    <w:rsid w:val="0016722E"/>
    <w:rsid w:val="001678E4"/>
    <w:rsid w:val="00170981"/>
    <w:rsid w:val="00170E44"/>
    <w:rsid w:val="0017293C"/>
    <w:rsid w:val="001730B3"/>
    <w:rsid w:val="00174CD2"/>
    <w:rsid w:val="00176DAB"/>
    <w:rsid w:val="00176EA2"/>
    <w:rsid w:val="00176EA9"/>
    <w:rsid w:val="001770AB"/>
    <w:rsid w:val="00177782"/>
    <w:rsid w:val="00177890"/>
    <w:rsid w:val="00180BC2"/>
    <w:rsid w:val="00182C81"/>
    <w:rsid w:val="001835CE"/>
    <w:rsid w:val="001840C6"/>
    <w:rsid w:val="00184BE2"/>
    <w:rsid w:val="00185015"/>
    <w:rsid w:val="00185DA7"/>
    <w:rsid w:val="001861C1"/>
    <w:rsid w:val="0018793A"/>
    <w:rsid w:val="00187D7F"/>
    <w:rsid w:val="00187F13"/>
    <w:rsid w:val="00190F37"/>
    <w:rsid w:val="0019686E"/>
    <w:rsid w:val="001A062A"/>
    <w:rsid w:val="001A19AA"/>
    <w:rsid w:val="001A19C3"/>
    <w:rsid w:val="001A24D1"/>
    <w:rsid w:val="001A287C"/>
    <w:rsid w:val="001A2B93"/>
    <w:rsid w:val="001A4CD3"/>
    <w:rsid w:val="001A5A10"/>
    <w:rsid w:val="001A61FD"/>
    <w:rsid w:val="001A7D2B"/>
    <w:rsid w:val="001A7F64"/>
    <w:rsid w:val="001B0C50"/>
    <w:rsid w:val="001B1917"/>
    <w:rsid w:val="001B2378"/>
    <w:rsid w:val="001B2393"/>
    <w:rsid w:val="001B2CC5"/>
    <w:rsid w:val="001B2E1D"/>
    <w:rsid w:val="001B3B23"/>
    <w:rsid w:val="001B407D"/>
    <w:rsid w:val="001B48FB"/>
    <w:rsid w:val="001B6473"/>
    <w:rsid w:val="001B6AA0"/>
    <w:rsid w:val="001C143E"/>
    <w:rsid w:val="001C2157"/>
    <w:rsid w:val="001C2709"/>
    <w:rsid w:val="001C3A11"/>
    <w:rsid w:val="001C4AAF"/>
    <w:rsid w:val="001C5349"/>
    <w:rsid w:val="001C55D4"/>
    <w:rsid w:val="001C6150"/>
    <w:rsid w:val="001C71B1"/>
    <w:rsid w:val="001D094C"/>
    <w:rsid w:val="001D12AE"/>
    <w:rsid w:val="001D135A"/>
    <w:rsid w:val="001D193B"/>
    <w:rsid w:val="001D1977"/>
    <w:rsid w:val="001D1E65"/>
    <w:rsid w:val="001D20AE"/>
    <w:rsid w:val="001D243D"/>
    <w:rsid w:val="001D35E3"/>
    <w:rsid w:val="001D3C91"/>
    <w:rsid w:val="001D49D4"/>
    <w:rsid w:val="001D4AFF"/>
    <w:rsid w:val="001D5338"/>
    <w:rsid w:val="001D6792"/>
    <w:rsid w:val="001D680A"/>
    <w:rsid w:val="001D6B99"/>
    <w:rsid w:val="001D6E95"/>
    <w:rsid w:val="001D7211"/>
    <w:rsid w:val="001E002A"/>
    <w:rsid w:val="001E0F47"/>
    <w:rsid w:val="001E184B"/>
    <w:rsid w:val="001E2408"/>
    <w:rsid w:val="001E3564"/>
    <w:rsid w:val="001E4549"/>
    <w:rsid w:val="001E4901"/>
    <w:rsid w:val="001E4B76"/>
    <w:rsid w:val="001E6B7F"/>
    <w:rsid w:val="001E6C66"/>
    <w:rsid w:val="001E7DBB"/>
    <w:rsid w:val="001E7F12"/>
    <w:rsid w:val="001F0B99"/>
    <w:rsid w:val="001F0D20"/>
    <w:rsid w:val="001F13B5"/>
    <w:rsid w:val="001F1AB3"/>
    <w:rsid w:val="001F1DDA"/>
    <w:rsid w:val="001F223F"/>
    <w:rsid w:val="001F3009"/>
    <w:rsid w:val="001F468E"/>
    <w:rsid w:val="001F47BE"/>
    <w:rsid w:val="001F7758"/>
    <w:rsid w:val="001F7BC3"/>
    <w:rsid w:val="002014D3"/>
    <w:rsid w:val="002017C2"/>
    <w:rsid w:val="00201C77"/>
    <w:rsid w:val="00202B36"/>
    <w:rsid w:val="00203139"/>
    <w:rsid w:val="0020332A"/>
    <w:rsid w:val="00203479"/>
    <w:rsid w:val="002035B2"/>
    <w:rsid w:val="00203A11"/>
    <w:rsid w:val="00204451"/>
    <w:rsid w:val="0020501F"/>
    <w:rsid w:val="0020526D"/>
    <w:rsid w:val="00206168"/>
    <w:rsid w:val="00207270"/>
    <w:rsid w:val="00210B36"/>
    <w:rsid w:val="00211D14"/>
    <w:rsid w:val="00212490"/>
    <w:rsid w:val="0021250D"/>
    <w:rsid w:val="00212E84"/>
    <w:rsid w:val="002140A1"/>
    <w:rsid w:val="00214B74"/>
    <w:rsid w:val="00214C10"/>
    <w:rsid w:val="0021558B"/>
    <w:rsid w:val="00215646"/>
    <w:rsid w:val="00217583"/>
    <w:rsid w:val="00217D7F"/>
    <w:rsid w:val="00217EAC"/>
    <w:rsid w:val="00220375"/>
    <w:rsid w:val="00220876"/>
    <w:rsid w:val="002208AD"/>
    <w:rsid w:val="00222583"/>
    <w:rsid w:val="00222BD1"/>
    <w:rsid w:val="00223A24"/>
    <w:rsid w:val="002245BB"/>
    <w:rsid w:val="00224620"/>
    <w:rsid w:val="002246DD"/>
    <w:rsid w:val="002253AA"/>
    <w:rsid w:val="00225946"/>
    <w:rsid w:val="002259F8"/>
    <w:rsid w:val="00225AA2"/>
    <w:rsid w:val="00225FCA"/>
    <w:rsid w:val="00227A3A"/>
    <w:rsid w:val="00227B06"/>
    <w:rsid w:val="00230527"/>
    <w:rsid w:val="002307EA"/>
    <w:rsid w:val="002310DD"/>
    <w:rsid w:val="002327BB"/>
    <w:rsid w:val="00232D13"/>
    <w:rsid w:val="002341B8"/>
    <w:rsid w:val="00234622"/>
    <w:rsid w:val="002354A4"/>
    <w:rsid w:val="00235C0D"/>
    <w:rsid w:val="0023625F"/>
    <w:rsid w:val="002374E2"/>
    <w:rsid w:val="00237947"/>
    <w:rsid w:val="00237F69"/>
    <w:rsid w:val="0024041B"/>
    <w:rsid w:val="0024169A"/>
    <w:rsid w:val="00241991"/>
    <w:rsid w:val="00241AAF"/>
    <w:rsid w:val="00241CCB"/>
    <w:rsid w:val="00241EF5"/>
    <w:rsid w:val="00243AAC"/>
    <w:rsid w:val="00243CAB"/>
    <w:rsid w:val="00245848"/>
    <w:rsid w:val="00247A30"/>
    <w:rsid w:val="00247DD5"/>
    <w:rsid w:val="00251D15"/>
    <w:rsid w:val="00252055"/>
    <w:rsid w:val="0025206B"/>
    <w:rsid w:val="002521B7"/>
    <w:rsid w:val="002531F0"/>
    <w:rsid w:val="0025385D"/>
    <w:rsid w:val="00254746"/>
    <w:rsid w:val="002549C3"/>
    <w:rsid w:val="002553EB"/>
    <w:rsid w:val="002560F7"/>
    <w:rsid w:val="00261FA0"/>
    <w:rsid w:val="002625F3"/>
    <w:rsid w:val="002627B3"/>
    <w:rsid w:val="0026297A"/>
    <w:rsid w:val="002644D4"/>
    <w:rsid w:val="00264B9F"/>
    <w:rsid w:val="00264CEA"/>
    <w:rsid w:val="00264E19"/>
    <w:rsid w:val="00265139"/>
    <w:rsid w:val="00266E21"/>
    <w:rsid w:val="00267E57"/>
    <w:rsid w:val="00270108"/>
    <w:rsid w:val="00270744"/>
    <w:rsid w:val="00270A23"/>
    <w:rsid w:val="002722A7"/>
    <w:rsid w:val="002728C5"/>
    <w:rsid w:val="00273A9C"/>
    <w:rsid w:val="0027416D"/>
    <w:rsid w:val="00274293"/>
    <w:rsid w:val="00275956"/>
    <w:rsid w:val="00275EC1"/>
    <w:rsid w:val="00277AFE"/>
    <w:rsid w:val="00277F10"/>
    <w:rsid w:val="0028039E"/>
    <w:rsid w:val="0028042B"/>
    <w:rsid w:val="00280E39"/>
    <w:rsid w:val="00280F31"/>
    <w:rsid w:val="00281CB1"/>
    <w:rsid w:val="0028209D"/>
    <w:rsid w:val="0028230D"/>
    <w:rsid w:val="00282B0E"/>
    <w:rsid w:val="00282F1F"/>
    <w:rsid w:val="0028314F"/>
    <w:rsid w:val="0028424E"/>
    <w:rsid w:val="002848FA"/>
    <w:rsid w:val="00285197"/>
    <w:rsid w:val="00285319"/>
    <w:rsid w:val="00285E4E"/>
    <w:rsid w:val="0028600C"/>
    <w:rsid w:val="00286550"/>
    <w:rsid w:val="00286887"/>
    <w:rsid w:val="002868D6"/>
    <w:rsid w:val="00286A29"/>
    <w:rsid w:val="002874B2"/>
    <w:rsid w:val="002874EE"/>
    <w:rsid w:val="00287640"/>
    <w:rsid w:val="00290B6B"/>
    <w:rsid w:val="00290D01"/>
    <w:rsid w:val="00290E55"/>
    <w:rsid w:val="00290E94"/>
    <w:rsid w:val="00292A20"/>
    <w:rsid w:val="00292BA6"/>
    <w:rsid w:val="00294663"/>
    <w:rsid w:val="00295075"/>
    <w:rsid w:val="00295697"/>
    <w:rsid w:val="00295B81"/>
    <w:rsid w:val="00295B85"/>
    <w:rsid w:val="0029689E"/>
    <w:rsid w:val="00296D7C"/>
    <w:rsid w:val="00296E3B"/>
    <w:rsid w:val="00297519"/>
    <w:rsid w:val="00297B5A"/>
    <w:rsid w:val="00297DED"/>
    <w:rsid w:val="002A042C"/>
    <w:rsid w:val="002A07FE"/>
    <w:rsid w:val="002A0E2E"/>
    <w:rsid w:val="002A0F6A"/>
    <w:rsid w:val="002A1472"/>
    <w:rsid w:val="002A1A26"/>
    <w:rsid w:val="002A1AAB"/>
    <w:rsid w:val="002A1B06"/>
    <w:rsid w:val="002A3C42"/>
    <w:rsid w:val="002A41A5"/>
    <w:rsid w:val="002A547E"/>
    <w:rsid w:val="002A5D78"/>
    <w:rsid w:val="002A65AC"/>
    <w:rsid w:val="002A75CF"/>
    <w:rsid w:val="002A7D07"/>
    <w:rsid w:val="002B16D1"/>
    <w:rsid w:val="002B18EF"/>
    <w:rsid w:val="002B1A87"/>
    <w:rsid w:val="002B3BDD"/>
    <w:rsid w:val="002B3D2D"/>
    <w:rsid w:val="002B4B9B"/>
    <w:rsid w:val="002B5B8F"/>
    <w:rsid w:val="002B6556"/>
    <w:rsid w:val="002B7F0A"/>
    <w:rsid w:val="002C0EEC"/>
    <w:rsid w:val="002C2226"/>
    <w:rsid w:val="002C3527"/>
    <w:rsid w:val="002C589E"/>
    <w:rsid w:val="002C6147"/>
    <w:rsid w:val="002C656A"/>
    <w:rsid w:val="002C6883"/>
    <w:rsid w:val="002C6919"/>
    <w:rsid w:val="002C6A30"/>
    <w:rsid w:val="002C729F"/>
    <w:rsid w:val="002D063A"/>
    <w:rsid w:val="002D1294"/>
    <w:rsid w:val="002D1B15"/>
    <w:rsid w:val="002D259B"/>
    <w:rsid w:val="002D2D2F"/>
    <w:rsid w:val="002D31AF"/>
    <w:rsid w:val="002D38DC"/>
    <w:rsid w:val="002D3BE5"/>
    <w:rsid w:val="002D3C81"/>
    <w:rsid w:val="002D465E"/>
    <w:rsid w:val="002D4F47"/>
    <w:rsid w:val="002D538B"/>
    <w:rsid w:val="002D5586"/>
    <w:rsid w:val="002D5B3D"/>
    <w:rsid w:val="002D724F"/>
    <w:rsid w:val="002D7ADC"/>
    <w:rsid w:val="002E0C52"/>
    <w:rsid w:val="002E131C"/>
    <w:rsid w:val="002E1548"/>
    <w:rsid w:val="002E1CF6"/>
    <w:rsid w:val="002E1DE8"/>
    <w:rsid w:val="002E27A4"/>
    <w:rsid w:val="002E28FD"/>
    <w:rsid w:val="002E3CE7"/>
    <w:rsid w:val="002E40C2"/>
    <w:rsid w:val="002E6B46"/>
    <w:rsid w:val="002E75F4"/>
    <w:rsid w:val="002E7B15"/>
    <w:rsid w:val="002E7C80"/>
    <w:rsid w:val="002F014F"/>
    <w:rsid w:val="002F1E20"/>
    <w:rsid w:val="002F2207"/>
    <w:rsid w:val="002F3F3D"/>
    <w:rsid w:val="002F432E"/>
    <w:rsid w:val="002F476D"/>
    <w:rsid w:val="002F53B0"/>
    <w:rsid w:val="002F6002"/>
    <w:rsid w:val="002F7D45"/>
    <w:rsid w:val="00300B54"/>
    <w:rsid w:val="00300C4C"/>
    <w:rsid w:val="00300CA5"/>
    <w:rsid w:val="00300DAB"/>
    <w:rsid w:val="00301687"/>
    <w:rsid w:val="003029A2"/>
    <w:rsid w:val="00302A36"/>
    <w:rsid w:val="003030D7"/>
    <w:rsid w:val="00303164"/>
    <w:rsid w:val="003040D8"/>
    <w:rsid w:val="0030565A"/>
    <w:rsid w:val="0030587F"/>
    <w:rsid w:val="00305F0C"/>
    <w:rsid w:val="003064FE"/>
    <w:rsid w:val="003074D8"/>
    <w:rsid w:val="003077B3"/>
    <w:rsid w:val="00307B01"/>
    <w:rsid w:val="00307B4A"/>
    <w:rsid w:val="00311A67"/>
    <w:rsid w:val="00311FA9"/>
    <w:rsid w:val="003126AE"/>
    <w:rsid w:val="00312C1D"/>
    <w:rsid w:val="00312E3F"/>
    <w:rsid w:val="0031350B"/>
    <w:rsid w:val="00313587"/>
    <w:rsid w:val="003142FD"/>
    <w:rsid w:val="003146B0"/>
    <w:rsid w:val="003146D6"/>
    <w:rsid w:val="00314966"/>
    <w:rsid w:val="00314BE0"/>
    <w:rsid w:val="00314F1F"/>
    <w:rsid w:val="0031631B"/>
    <w:rsid w:val="00316533"/>
    <w:rsid w:val="00317ED1"/>
    <w:rsid w:val="003209BB"/>
    <w:rsid w:val="003215E0"/>
    <w:rsid w:val="003220BD"/>
    <w:rsid w:val="003226F0"/>
    <w:rsid w:val="0032285D"/>
    <w:rsid w:val="00322D2F"/>
    <w:rsid w:val="0032331B"/>
    <w:rsid w:val="00323932"/>
    <w:rsid w:val="00325675"/>
    <w:rsid w:val="00325F86"/>
    <w:rsid w:val="003269F0"/>
    <w:rsid w:val="003278EB"/>
    <w:rsid w:val="00327C93"/>
    <w:rsid w:val="00330401"/>
    <w:rsid w:val="00330A46"/>
    <w:rsid w:val="0033263C"/>
    <w:rsid w:val="00332F79"/>
    <w:rsid w:val="00333688"/>
    <w:rsid w:val="00333A35"/>
    <w:rsid w:val="00334B36"/>
    <w:rsid w:val="003356DC"/>
    <w:rsid w:val="00335CCC"/>
    <w:rsid w:val="00335F35"/>
    <w:rsid w:val="003363F3"/>
    <w:rsid w:val="00336598"/>
    <w:rsid w:val="00336859"/>
    <w:rsid w:val="00336944"/>
    <w:rsid w:val="003372AB"/>
    <w:rsid w:val="00337545"/>
    <w:rsid w:val="0033783D"/>
    <w:rsid w:val="003406AB"/>
    <w:rsid w:val="00341F54"/>
    <w:rsid w:val="00342039"/>
    <w:rsid w:val="00342091"/>
    <w:rsid w:val="00342913"/>
    <w:rsid w:val="0034466B"/>
    <w:rsid w:val="00344804"/>
    <w:rsid w:val="00346EFA"/>
    <w:rsid w:val="00350F89"/>
    <w:rsid w:val="003529D4"/>
    <w:rsid w:val="003535CE"/>
    <w:rsid w:val="003541CB"/>
    <w:rsid w:val="0036034D"/>
    <w:rsid w:val="00360C14"/>
    <w:rsid w:val="0036168A"/>
    <w:rsid w:val="00362B9A"/>
    <w:rsid w:val="00362EE3"/>
    <w:rsid w:val="003645BC"/>
    <w:rsid w:val="003648C3"/>
    <w:rsid w:val="00364A17"/>
    <w:rsid w:val="00364EE5"/>
    <w:rsid w:val="00365E7B"/>
    <w:rsid w:val="0036630B"/>
    <w:rsid w:val="0036772D"/>
    <w:rsid w:val="00370021"/>
    <w:rsid w:val="00370067"/>
    <w:rsid w:val="00370FE4"/>
    <w:rsid w:val="003712DE"/>
    <w:rsid w:val="003718DB"/>
    <w:rsid w:val="00372093"/>
    <w:rsid w:val="003736DE"/>
    <w:rsid w:val="003738F1"/>
    <w:rsid w:val="00375393"/>
    <w:rsid w:val="003759FA"/>
    <w:rsid w:val="00375EDD"/>
    <w:rsid w:val="00376BA0"/>
    <w:rsid w:val="00376FA2"/>
    <w:rsid w:val="00377122"/>
    <w:rsid w:val="003777B5"/>
    <w:rsid w:val="0038000A"/>
    <w:rsid w:val="0038007F"/>
    <w:rsid w:val="00380B8A"/>
    <w:rsid w:val="00380E38"/>
    <w:rsid w:val="00380E48"/>
    <w:rsid w:val="0038188B"/>
    <w:rsid w:val="00381BDE"/>
    <w:rsid w:val="00381CCA"/>
    <w:rsid w:val="00383DE7"/>
    <w:rsid w:val="00384F9F"/>
    <w:rsid w:val="0038579F"/>
    <w:rsid w:val="00385874"/>
    <w:rsid w:val="0038597F"/>
    <w:rsid w:val="003909A2"/>
    <w:rsid w:val="00391EB5"/>
    <w:rsid w:val="00392265"/>
    <w:rsid w:val="00392AC6"/>
    <w:rsid w:val="00393A15"/>
    <w:rsid w:val="00393DEA"/>
    <w:rsid w:val="003946E6"/>
    <w:rsid w:val="00394EE4"/>
    <w:rsid w:val="00396814"/>
    <w:rsid w:val="00396D0C"/>
    <w:rsid w:val="00397151"/>
    <w:rsid w:val="00397B01"/>
    <w:rsid w:val="00397FD1"/>
    <w:rsid w:val="003A0553"/>
    <w:rsid w:val="003A0926"/>
    <w:rsid w:val="003A1FAA"/>
    <w:rsid w:val="003A1FFA"/>
    <w:rsid w:val="003A444E"/>
    <w:rsid w:val="003A4EE5"/>
    <w:rsid w:val="003A58E9"/>
    <w:rsid w:val="003A78A7"/>
    <w:rsid w:val="003A79FB"/>
    <w:rsid w:val="003B0585"/>
    <w:rsid w:val="003B066E"/>
    <w:rsid w:val="003B0F3B"/>
    <w:rsid w:val="003B14F6"/>
    <w:rsid w:val="003B1A72"/>
    <w:rsid w:val="003B2353"/>
    <w:rsid w:val="003B2FBC"/>
    <w:rsid w:val="003B3FE2"/>
    <w:rsid w:val="003B42D8"/>
    <w:rsid w:val="003B4B60"/>
    <w:rsid w:val="003B5AED"/>
    <w:rsid w:val="003B7E64"/>
    <w:rsid w:val="003B7EE8"/>
    <w:rsid w:val="003C18CE"/>
    <w:rsid w:val="003C237E"/>
    <w:rsid w:val="003C323A"/>
    <w:rsid w:val="003C3D28"/>
    <w:rsid w:val="003C455F"/>
    <w:rsid w:val="003C4CED"/>
    <w:rsid w:val="003C5A64"/>
    <w:rsid w:val="003C750E"/>
    <w:rsid w:val="003C7907"/>
    <w:rsid w:val="003C7F17"/>
    <w:rsid w:val="003D03AE"/>
    <w:rsid w:val="003D0460"/>
    <w:rsid w:val="003D04A0"/>
    <w:rsid w:val="003D070F"/>
    <w:rsid w:val="003D09D8"/>
    <w:rsid w:val="003D1089"/>
    <w:rsid w:val="003D1633"/>
    <w:rsid w:val="003D1D73"/>
    <w:rsid w:val="003D357E"/>
    <w:rsid w:val="003D46F1"/>
    <w:rsid w:val="003D5569"/>
    <w:rsid w:val="003D6513"/>
    <w:rsid w:val="003E00FA"/>
    <w:rsid w:val="003E083A"/>
    <w:rsid w:val="003E1C2A"/>
    <w:rsid w:val="003E3CDD"/>
    <w:rsid w:val="003E4726"/>
    <w:rsid w:val="003E4DBD"/>
    <w:rsid w:val="003E6317"/>
    <w:rsid w:val="003E71B7"/>
    <w:rsid w:val="003E7B60"/>
    <w:rsid w:val="003E7ED3"/>
    <w:rsid w:val="003E7F6D"/>
    <w:rsid w:val="003F0272"/>
    <w:rsid w:val="003F031F"/>
    <w:rsid w:val="003F08C1"/>
    <w:rsid w:val="003F0AD7"/>
    <w:rsid w:val="003F2BA8"/>
    <w:rsid w:val="003F4118"/>
    <w:rsid w:val="003F4499"/>
    <w:rsid w:val="003F5554"/>
    <w:rsid w:val="003F57D2"/>
    <w:rsid w:val="00401169"/>
    <w:rsid w:val="00401365"/>
    <w:rsid w:val="00401A85"/>
    <w:rsid w:val="00403465"/>
    <w:rsid w:val="00406903"/>
    <w:rsid w:val="0040767C"/>
    <w:rsid w:val="00407CFA"/>
    <w:rsid w:val="004101F1"/>
    <w:rsid w:val="00410F68"/>
    <w:rsid w:val="0041101A"/>
    <w:rsid w:val="00411B7C"/>
    <w:rsid w:val="004151E5"/>
    <w:rsid w:val="00415641"/>
    <w:rsid w:val="00415C72"/>
    <w:rsid w:val="00417747"/>
    <w:rsid w:val="00417B69"/>
    <w:rsid w:val="00417BBC"/>
    <w:rsid w:val="004209F6"/>
    <w:rsid w:val="00420CA6"/>
    <w:rsid w:val="00421470"/>
    <w:rsid w:val="00421A67"/>
    <w:rsid w:val="004226A8"/>
    <w:rsid w:val="00422E27"/>
    <w:rsid w:val="00423A83"/>
    <w:rsid w:val="004241F2"/>
    <w:rsid w:val="00427072"/>
    <w:rsid w:val="00427D12"/>
    <w:rsid w:val="00430C9D"/>
    <w:rsid w:val="00431303"/>
    <w:rsid w:val="00431605"/>
    <w:rsid w:val="004317E7"/>
    <w:rsid w:val="00431BD7"/>
    <w:rsid w:val="0043259D"/>
    <w:rsid w:val="004326CB"/>
    <w:rsid w:val="004333D7"/>
    <w:rsid w:val="0043364E"/>
    <w:rsid w:val="004337CA"/>
    <w:rsid w:val="004339F5"/>
    <w:rsid w:val="00434DB0"/>
    <w:rsid w:val="0043521F"/>
    <w:rsid w:val="004369E9"/>
    <w:rsid w:val="00437FB0"/>
    <w:rsid w:val="00440A9B"/>
    <w:rsid w:val="00441CB7"/>
    <w:rsid w:val="00442959"/>
    <w:rsid w:val="00442B95"/>
    <w:rsid w:val="00443E05"/>
    <w:rsid w:val="004440BA"/>
    <w:rsid w:val="004450FB"/>
    <w:rsid w:val="00445797"/>
    <w:rsid w:val="00445F7F"/>
    <w:rsid w:val="0044721A"/>
    <w:rsid w:val="00447302"/>
    <w:rsid w:val="0044758E"/>
    <w:rsid w:val="004476CA"/>
    <w:rsid w:val="00447F3E"/>
    <w:rsid w:val="004504D9"/>
    <w:rsid w:val="00451AAB"/>
    <w:rsid w:val="0045391C"/>
    <w:rsid w:val="00453DFE"/>
    <w:rsid w:val="00454592"/>
    <w:rsid w:val="00455971"/>
    <w:rsid w:val="00456CD2"/>
    <w:rsid w:val="00457209"/>
    <w:rsid w:val="00457EE1"/>
    <w:rsid w:val="004600C7"/>
    <w:rsid w:val="0046037D"/>
    <w:rsid w:val="004607EA"/>
    <w:rsid w:val="004610B6"/>
    <w:rsid w:val="004638B4"/>
    <w:rsid w:val="00463D21"/>
    <w:rsid w:val="00463E85"/>
    <w:rsid w:val="00465181"/>
    <w:rsid w:val="004656EA"/>
    <w:rsid w:val="00465FAF"/>
    <w:rsid w:val="00466B16"/>
    <w:rsid w:val="00466CA2"/>
    <w:rsid w:val="00467E83"/>
    <w:rsid w:val="00470778"/>
    <w:rsid w:val="00470B22"/>
    <w:rsid w:val="004716E4"/>
    <w:rsid w:val="0047269D"/>
    <w:rsid w:val="00472728"/>
    <w:rsid w:val="00472B29"/>
    <w:rsid w:val="00472DC5"/>
    <w:rsid w:val="00473003"/>
    <w:rsid w:val="00473333"/>
    <w:rsid w:val="0047337D"/>
    <w:rsid w:val="00473D73"/>
    <w:rsid w:val="004743FF"/>
    <w:rsid w:val="00474913"/>
    <w:rsid w:val="00474C3C"/>
    <w:rsid w:val="00475D28"/>
    <w:rsid w:val="004762C9"/>
    <w:rsid w:val="00476368"/>
    <w:rsid w:val="004776FB"/>
    <w:rsid w:val="004779D6"/>
    <w:rsid w:val="00480FE5"/>
    <w:rsid w:val="0048107F"/>
    <w:rsid w:val="00481EE3"/>
    <w:rsid w:val="004822D6"/>
    <w:rsid w:val="0048348C"/>
    <w:rsid w:val="0048387A"/>
    <w:rsid w:val="00483D06"/>
    <w:rsid w:val="004841C3"/>
    <w:rsid w:val="004843C9"/>
    <w:rsid w:val="0048441B"/>
    <w:rsid w:val="00485877"/>
    <w:rsid w:val="00486346"/>
    <w:rsid w:val="004876BB"/>
    <w:rsid w:val="00487B5D"/>
    <w:rsid w:val="00487D04"/>
    <w:rsid w:val="004901C9"/>
    <w:rsid w:val="00490B2D"/>
    <w:rsid w:val="00491411"/>
    <w:rsid w:val="00491706"/>
    <w:rsid w:val="0049371B"/>
    <w:rsid w:val="00493AC3"/>
    <w:rsid w:val="00493E36"/>
    <w:rsid w:val="00495E53"/>
    <w:rsid w:val="00496279"/>
    <w:rsid w:val="004962D2"/>
    <w:rsid w:val="00496518"/>
    <w:rsid w:val="00496A6E"/>
    <w:rsid w:val="004977DA"/>
    <w:rsid w:val="004A016E"/>
    <w:rsid w:val="004A09AB"/>
    <w:rsid w:val="004A1372"/>
    <w:rsid w:val="004A170F"/>
    <w:rsid w:val="004A2A82"/>
    <w:rsid w:val="004A4DB0"/>
    <w:rsid w:val="004A519B"/>
    <w:rsid w:val="004A53E7"/>
    <w:rsid w:val="004A5A3E"/>
    <w:rsid w:val="004A7F7B"/>
    <w:rsid w:val="004A7FBC"/>
    <w:rsid w:val="004B18EA"/>
    <w:rsid w:val="004B1D4D"/>
    <w:rsid w:val="004B350E"/>
    <w:rsid w:val="004B37DE"/>
    <w:rsid w:val="004B4871"/>
    <w:rsid w:val="004B5059"/>
    <w:rsid w:val="004B5B91"/>
    <w:rsid w:val="004B5DF7"/>
    <w:rsid w:val="004B5EFA"/>
    <w:rsid w:val="004B6026"/>
    <w:rsid w:val="004B6861"/>
    <w:rsid w:val="004B7990"/>
    <w:rsid w:val="004B7CF2"/>
    <w:rsid w:val="004C0279"/>
    <w:rsid w:val="004C036D"/>
    <w:rsid w:val="004C0B6E"/>
    <w:rsid w:val="004C1340"/>
    <w:rsid w:val="004C1FE4"/>
    <w:rsid w:val="004C2F84"/>
    <w:rsid w:val="004C3887"/>
    <w:rsid w:val="004C38BD"/>
    <w:rsid w:val="004C3D5D"/>
    <w:rsid w:val="004C3EBD"/>
    <w:rsid w:val="004C44E8"/>
    <w:rsid w:val="004C498E"/>
    <w:rsid w:val="004C4F6F"/>
    <w:rsid w:val="004C5885"/>
    <w:rsid w:val="004C6DDA"/>
    <w:rsid w:val="004C6F15"/>
    <w:rsid w:val="004D13E4"/>
    <w:rsid w:val="004D1EFB"/>
    <w:rsid w:val="004D3490"/>
    <w:rsid w:val="004D499C"/>
    <w:rsid w:val="004D55EA"/>
    <w:rsid w:val="004D716B"/>
    <w:rsid w:val="004D759F"/>
    <w:rsid w:val="004D7C05"/>
    <w:rsid w:val="004E006F"/>
    <w:rsid w:val="004E06C3"/>
    <w:rsid w:val="004E0F3C"/>
    <w:rsid w:val="004E1549"/>
    <w:rsid w:val="004E16E6"/>
    <w:rsid w:val="004E38B3"/>
    <w:rsid w:val="004E39F3"/>
    <w:rsid w:val="004E3AA1"/>
    <w:rsid w:val="004E3BEC"/>
    <w:rsid w:val="004E58E5"/>
    <w:rsid w:val="004E6304"/>
    <w:rsid w:val="004E64F0"/>
    <w:rsid w:val="004E6833"/>
    <w:rsid w:val="004E6FA6"/>
    <w:rsid w:val="004E723F"/>
    <w:rsid w:val="004E7A20"/>
    <w:rsid w:val="004F0CA6"/>
    <w:rsid w:val="004F1C58"/>
    <w:rsid w:val="004F1E5E"/>
    <w:rsid w:val="004F2478"/>
    <w:rsid w:val="004F2E12"/>
    <w:rsid w:val="004F3262"/>
    <w:rsid w:val="004F332B"/>
    <w:rsid w:val="004F3330"/>
    <w:rsid w:val="004F36A2"/>
    <w:rsid w:val="004F3E69"/>
    <w:rsid w:val="004F40F4"/>
    <w:rsid w:val="004F41D3"/>
    <w:rsid w:val="004F4C4D"/>
    <w:rsid w:val="004F4EBC"/>
    <w:rsid w:val="004F57F1"/>
    <w:rsid w:val="004F5A8B"/>
    <w:rsid w:val="004F5D28"/>
    <w:rsid w:val="004F6376"/>
    <w:rsid w:val="004F7CB6"/>
    <w:rsid w:val="004F7F18"/>
    <w:rsid w:val="00500140"/>
    <w:rsid w:val="00500BE7"/>
    <w:rsid w:val="00500F3F"/>
    <w:rsid w:val="00501280"/>
    <w:rsid w:val="00501308"/>
    <w:rsid w:val="00502292"/>
    <w:rsid w:val="00502897"/>
    <w:rsid w:val="00503AE4"/>
    <w:rsid w:val="00503D99"/>
    <w:rsid w:val="005045BA"/>
    <w:rsid w:val="00505213"/>
    <w:rsid w:val="0050552F"/>
    <w:rsid w:val="00505661"/>
    <w:rsid w:val="00505AA2"/>
    <w:rsid w:val="005062F4"/>
    <w:rsid w:val="00510435"/>
    <w:rsid w:val="00510FA6"/>
    <w:rsid w:val="005119D2"/>
    <w:rsid w:val="00512AB0"/>
    <w:rsid w:val="005131D8"/>
    <w:rsid w:val="00514976"/>
    <w:rsid w:val="00516177"/>
    <w:rsid w:val="00520E52"/>
    <w:rsid w:val="00520FC7"/>
    <w:rsid w:val="005227BB"/>
    <w:rsid w:val="0052307E"/>
    <w:rsid w:val="00523642"/>
    <w:rsid w:val="00524110"/>
    <w:rsid w:val="005256F9"/>
    <w:rsid w:val="00526B7C"/>
    <w:rsid w:val="00527B5D"/>
    <w:rsid w:val="00527D60"/>
    <w:rsid w:val="00531720"/>
    <w:rsid w:val="0053254B"/>
    <w:rsid w:val="00532DDD"/>
    <w:rsid w:val="0053308B"/>
    <w:rsid w:val="005343D5"/>
    <w:rsid w:val="00534F88"/>
    <w:rsid w:val="00536087"/>
    <w:rsid w:val="00537779"/>
    <w:rsid w:val="00542E4A"/>
    <w:rsid w:val="00543083"/>
    <w:rsid w:val="005434E7"/>
    <w:rsid w:val="005440A1"/>
    <w:rsid w:val="00544FD6"/>
    <w:rsid w:val="0054651E"/>
    <w:rsid w:val="005500BE"/>
    <w:rsid w:val="005500FD"/>
    <w:rsid w:val="00550355"/>
    <w:rsid w:val="0055091D"/>
    <w:rsid w:val="0055158B"/>
    <w:rsid w:val="0055176C"/>
    <w:rsid w:val="00552259"/>
    <w:rsid w:val="00552BCF"/>
    <w:rsid w:val="005533A6"/>
    <w:rsid w:val="00553431"/>
    <w:rsid w:val="00555475"/>
    <w:rsid w:val="005559FD"/>
    <w:rsid w:val="00555CF2"/>
    <w:rsid w:val="00556014"/>
    <w:rsid w:val="005568CE"/>
    <w:rsid w:val="0055724C"/>
    <w:rsid w:val="00560012"/>
    <w:rsid w:val="005604C8"/>
    <w:rsid w:val="005605CF"/>
    <w:rsid w:val="00560A49"/>
    <w:rsid w:val="00560F93"/>
    <w:rsid w:val="00561556"/>
    <w:rsid w:val="00561FD6"/>
    <w:rsid w:val="00562A0C"/>
    <w:rsid w:val="0056623A"/>
    <w:rsid w:val="00566C79"/>
    <w:rsid w:val="0056769E"/>
    <w:rsid w:val="005719A9"/>
    <w:rsid w:val="00571A07"/>
    <w:rsid w:val="0057219F"/>
    <w:rsid w:val="00573AF6"/>
    <w:rsid w:val="00573EFB"/>
    <w:rsid w:val="00574E7D"/>
    <w:rsid w:val="00575028"/>
    <w:rsid w:val="005767DF"/>
    <w:rsid w:val="00577E7F"/>
    <w:rsid w:val="00580397"/>
    <w:rsid w:val="00580E33"/>
    <w:rsid w:val="00580FA1"/>
    <w:rsid w:val="00580FB2"/>
    <w:rsid w:val="00581EB5"/>
    <w:rsid w:val="00582355"/>
    <w:rsid w:val="00582D45"/>
    <w:rsid w:val="005836A3"/>
    <w:rsid w:val="00583FC8"/>
    <w:rsid w:val="00584AA2"/>
    <w:rsid w:val="00584BFE"/>
    <w:rsid w:val="00584C0C"/>
    <w:rsid w:val="005859CD"/>
    <w:rsid w:val="00585CCD"/>
    <w:rsid w:val="005862F9"/>
    <w:rsid w:val="005867AE"/>
    <w:rsid w:val="00586A6E"/>
    <w:rsid w:val="00587EE0"/>
    <w:rsid w:val="00590CBE"/>
    <w:rsid w:val="00591070"/>
    <w:rsid w:val="00591ADA"/>
    <w:rsid w:val="00594704"/>
    <w:rsid w:val="00594978"/>
    <w:rsid w:val="00594EFF"/>
    <w:rsid w:val="0059543C"/>
    <w:rsid w:val="00596664"/>
    <w:rsid w:val="00597FD4"/>
    <w:rsid w:val="005A1713"/>
    <w:rsid w:val="005A1A36"/>
    <w:rsid w:val="005A1B0A"/>
    <w:rsid w:val="005A1D3F"/>
    <w:rsid w:val="005A1FAA"/>
    <w:rsid w:val="005A30EB"/>
    <w:rsid w:val="005A365F"/>
    <w:rsid w:val="005A3ADD"/>
    <w:rsid w:val="005A5BB5"/>
    <w:rsid w:val="005A5DD5"/>
    <w:rsid w:val="005A6500"/>
    <w:rsid w:val="005A6820"/>
    <w:rsid w:val="005A7CE5"/>
    <w:rsid w:val="005B0A3B"/>
    <w:rsid w:val="005B14FD"/>
    <w:rsid w:val="005B1604"/>
    <w:rsid w:val="005B21CB"/>
    <w:rsid w:val="005B26BF"/>
    <w:rsid w:val="005B2B9A"/>
    <w:rsid w:val="005B336A"/>
    <w:rsid w:val="005B33E8"/>
    <w:rsid w:val="005B3BC9"/>
    <w:rsid w:val="005B3D4D"/>
    <w:rsid w:val="005B685E"/>
    <w:rsid w:val="005B6963"/>
    <w:rsid w:val="005B7F51"/>
    <w:rsid w:val="005C0117"/>
    <w:rsid w:val="005C04D7"/>
    <w:rsid w:val="005C6417"/>
    <w:rsid w:val="005C7568"/>
    <w:rsid w:val="005D2499"/>
    <w:rsid w:val="005D46EA"/>
    <w:rsid w:val="005D4FAA"/>
    <w:rsid w:val="005D566E"/>
    <w:rsid w:val="005E0302"/>
    <w:rsid w:val="005E0886"/>
    <w:rsid w:val="005E243B"/>
    <w:rsid w:val="005E3253"/>
    <w:rsid w:val="005E368E"/>
    <w:rsid w:val="005E3881"/>
    <w:rsid w:val="005E3A20"/>
    <w:rsid w:val="005E4EAB"/>
    <w:rsid w:val="005E5788"/>
    <w:rsid w:val="005E5E8B"/>
    <w:rsid w:val="005E73DF"/>
    <w:rsid w:val="005E7678"/>
    <w:rsid w:val="005E77ED"/>
    <w:rsid w:val="005F36F0"/>
    <w:rsid w:val="005F4DFE"/>
    <w:rsid w:val="005F665A"/>
    <w:rsid w:val="005F66C8"/>
    <w:rsid w:val="005F6B69"/>
    <w:rsid w:val="005F6E87"/>
    <w:rsid w:val="005F7CD3"/>
    <w:rsid w:val="005F7CDC"/>
    <w:rsid w:val="00601843"/>
    <w:rsid w:val="0060267D"/>
    <w:rsid w:val="00603941"/>
    <w:rsid w:val="00603A4A"/>
    <w:rsid w:val="00604600"/>
    <w:rsid w:val="00605731"/>
    <w:rsid w:val="00605D18"/>
    <w:rsid w:val="006065CD"/>
    <w:rsid w:val="0060733E"/>
    <w:rsid w:val="0060746E"/>
    <w:rsid w:val="00607800"/>
    <w:rsid w:val="00607A7E"/>
    <w:rsid w:val="0061122C"/>
    <w:rsid w:val="0061137F"/>
    <w:rsid w:val="0061279E"/>
    <w:rsid w:val="00612904"/>
    <w:rsid w:val="00612C03"/>
    <w:rsid w:val="00614034"/>
    <w:rsid w:val="00614057"/>
    <w:rsid w:val="006146AA"/>
    <w:rsid w:val="00614D50"/>
    <w:rsid w:val="00615240"/>
    <w:rsid w:val="00617459"/>
    <w:rsid w:val="00620628"/>
    <w:rsid w:val="00620942"/>
    <w:rsid w:val="006214DA"/>
    <w:rsid w:val="006221C0"/>
    <w:rsid w:val="00622294"/>
    <w:rsid w:val="0062411A"/>
    <w:rsid w:val="006246C9"/>
    <w:rsid w:val="0062475A"/>
    <w:rsid w:val="006259BB"/>
    <w:rsid w:val="00626322"/>
    <w:rsid w:val="006268F3"/>
    <w:rsid w:val="00626ABB"/>
    <w:rsid w:val="006276AC"/>
    <w:rsid w:val="006304DE"/>
    <w:rsid w:val="00630676"/>
    <w:rsid w:val="006308E8"/>
    <w:rsid w:val="00630A8A"/>
    <w:rsid w:val="00630FE5"/>
    <w:rsid w:val="0063276D"/>
    <w:rsid w:val="00632EAA"/>
    <w:rsid w:val="00634070"/>
    <w:rsid w:val="00634756"/>
    <w:rsid w:val="0063675E"/>
    <w:rsid w:val="00636DBE"/>
    <w:rsid w:val="00637ABC"/>
    <w:rsid w:val="00640BE3"/>
    <w:rsid w:val="006423D9"/>
    <w:rsid w:val="00642548"/>
    <w:rsid w:val="00642FD9"/>
    <w:rsid w:val="00643A42"/>
    <w:rsid w:val="00644819"/>
    <w:rsid w:val="00644A7E"/>
    <w:rsid w:val="006457E1"/>
    <w:rsid w:val="0064584B"/>
    <w:rsid w:val="00645C55"/>
    <w:rsid w:val="00645D15"/>
    <w:rsid w:val="00645DBD"/>
    <w:rsid w:val="006501EE"/>
    <w:rsid w:val="0065022E"/>
    <w:rsid w:val="00650944"/>
    <w:rsid w:val="0065216A"/>
    <w:rsid w:val="00652A4F"/>
    <w:rsid w:val="00653E9B"/>
    <w:rsid w:val="0065478C"/>
    <w:rsid w:val="00655260"/>
    <w:rsid w:val="006553A2"/>
    <w:rsid w:val="00656486"/>
    <w:rsid w:val="00660339"/>
    <w:rsid w:val="00660A4C"/>
    <w:rsid w:val="00662C6F"/>
    <w:rsid w:val="00663451"/>
    <w:rsid w:val="0066396D"/>
    <w:rsid w:val="00665757"/>
    <w:rsid w:val="00666F8E"/>
    <w:rsid w:val="00670279"/>
    <w:rsid w:val="006707A1"/>
    <w:rsid w:val="00671ADF"/>
    <w:rsid w:val="00671C09"/>
    <w:rsid w:val="006725C1"/>
    <w:rsid w:val="006728FE"/>
    <w:rsid w:val="00672F9F"/>
    <w:rsid w:val="00673D83"/>
    <w:rsid w:val="00674865"/>
    <w:rsid w:val="006751A5"/>
    <w:rsid w:val="00675412"/>
    <w:rsid w:val="006765E9"/>
    <w:rsid w:val="00676B7D"/>
    <w:rsid w:val="00676C52"/>
    <w:rsid w:val="00676CDC"/>
    <w:rsid w:val="0067732F"/>
    <w:rsid w:val="00677367"/>
    <w:rsid w:val="00680351"/>
    <w:rsid w:val="006805D5"/>
    <w:rsid w:val="00681486"/>
    <w:rsid w:val="00681783"/>
    <w:rsid w:val="00682B47"/>
    <w:rsid w:val="00682B87"/>
    <w:rsid w:val="00682DA4"/>
    <w:rsid w:val="00683E1A"/>
    <w:rsid w:val="006853BD"/>
    <w:rsid w:val="00685B2F"/>
    <w:rsid w:val="0068688D"/>
    <w:rsid w:val="00686E49"/>
    <w:rsid w:val="00687C5A"/>
    <w:rsid w:val="00690174"/>
    <w:rsid w:val="00690588"/>
    <w:rsid w:val="0069110E"/>
    <w:rsid w:val="00692029"/>
    <w:rsid w:val="00693354"/>
    <w:rsid w:val="0069353B"/>
    <w:rsid w:val="006936D5"/>
    <w:rsid w:val="00693AAB"/>
    <w:rsid w:val="00693B45"/>
    <w:rsid w:val="00694CCE"/>
    <w:rsid w:val="0069536D"/>
    <w:rsid w:val="00695883"/>
    <w:rsid w:val="00695C08"/>
    <w:rsid w:val="0069605C"/>
    <w:rsid w:val="00696B95"/>
    <w:rsid w:val="00697748"/>
    <w:rsid w:val="00697925"/>
    <w:rsid w:val="00697F17"/>
    <w:rsid w:val="006A26ED"/>
    <w:rsid w:val="006A288A"/>
    <w:rsid w:val="006A2991"/>
    <w:rsid w:val="006A389B"/>
    <w:rsid w:val="006A39F1"/>
    <w:rsid w:val="006A45A7"/>
    <w:rsid w:val="006A476A"/>
    <w:rsid w:val="006A49D8"/>
    <w:rsid w:val="006A5421"/>
    <w:rsid w:val="006A559E"/>
    <w:rsid w:val="006A64A1"/>
    <w:rsid w:val="006A6BA0"/>
    <w:rsid w:val="006B0B94"/>
    <w:rsid w:val="006B0BB7"/>
    <w:rsid w:val="006B19D3"/>
    <w:rsid w:val="006B1A82"/>
    <w:rsid w:val="006B1BD4"/>
    <w:rsid w:val="006B203F"/>
    <w:rsid w:val="006B257F"/>
    <w:rsid w:val="006B313B"/>
    <w:rsid w:val="006B49EC"/>
    <w:rsid w:val="006B4E7B"/>
    <w:rsid w:val="006B5D1B"/>
    <w:rsid w:val="006B5FD8"/>
    <w:rsid w:val="006B61E7"/>
    <w:rsid w:val="006B76F2"/>
    <w:rsid w:val="006B77EE"/>
    <w:rsid w:val="006B7918"/>
    <w:rsid w:val="006C09CB"/>
    <w:rsid w:val="006C139C"/>
    <w:rsid w:val="006C1614"/>
    <w:rsid w:val="006C3F55"/>
    <w:rsid w:val="006C4E9E"/>
    <w:rsid w:val="006C598B"/>
    <w:rsid w:val="006C613E"/>
    <w:rsid w:val="006C64AA"/>
    <w:rsid w:val="006C6659"/>
    <w:rsid w:val="006C751A"/>
    <w:rsid w:val="006C7BDE"/>
    <w:rsid w:val="006D0305"/>
    <w:rsid w:val="006D0AEC"/>
    <w:rsid w:val="006D188E"/>
    <w:rsid w:val="006D2ACD"/>
    <w:rsid w:val="006D2B74"/>
    <w:rsid w:val="006D5356"/>
    <w:rsid w:val="006D58CE"/>
    <w:rsid w:val="006D68F1"/>
    <w:rsid w:val="006D7065"/>
    <w:rsid w:val="006E2E53"/>
    <w:rsid w:val="006E31D9"/>
    <w:rsid w:val="006E57D3"/>
    <w:rsid w:val="006E5B89"/>
    <w:rsid w:val="006E5CEC"/>
    <w:rsid w:val="006E64E2"/>
    <w:rsid w:val="006E7A68"/>
    <w:rsid w:val="006E7D6C"/>
    <w:rsid w:val="006F086B"/>
    <w:rsid w:val="006F103D"/>
    <w:rsid w:val="006F161D"/>
    <w:rsid w:val="006F1B13"/>
    <w:rsid w:val="006F31B9"/>
    <w:rsid w:val="006F4F52"/>
    <w:rsid w:val="006F5310"/>
    <w:rsid w:val="006F5843"/>
    <w:rsid w:val="006F6C83"/>
    <w:rsid w:val="006F783B"/>
    <w:rsid w:val="006F7BE3"/>
    <w:rsid w:val="0070113E"/>
    <w:rsid w:val="0070150F"/>
    <w:rsid w:val="00701DDD"/>
    <w:rsid w:val="007026D3"/>
    <w:rsid w:val="0070283B"/>
    <w:rsid w:val="00702DF3"/>
    <w:rsid w:val="00703052"/>
    <w:rsid w:val="00703ABB"/>
    <w:rsid w:val="00704642"/>
    <w:rsid w:val="007049B7"/>
    <w:rsid w:val="0070562F"/>
    <w:rsid w:val="007060AB"/>
    <w:rsid w:val="007066F4"/>
    <w:rsid w:val="00706749"/>
    <w:rsid w:val="007068C8"/>
    <w:rsid w:val="0070719A"/>
    <w:rsid w:val="007076B3"/>
    <w:rsid w:val="00707F3F"/>
    <w:rsid w:val="00710372"/>
    <w:rsid w:val="00710B2F"/>
    <w:rsid w:val="00710F02"/>
    <w:rsid w:val="007116B2"/>
    <w:rsid w:val="00711992"/>
    <w:rsid w:val="0071273C"/>
    <w:rsid w:val="00715717"/>
    <w:rsid w:val="00716A2C"/>
    <w:rsid w:val="00717026"/>
    <w:rsid w:val="00717C7B"/>
    <w:rsid w:val="00717DAD"/>
    <w:rsid w:val="007205E8"/>
    <w:rsid w:val="00720E51"/>
    <w:rsid w:val="007214B7"/>
    <w:rsid w:val="00723162"/>
    <w:rsid w:val="007233A8"/>
    <w:rsid w:val="00724FE4"/>
    <w:rsid w:val="00725D1A"/>
    <w:rsid w:val="00730E88"/>
    <w:rsid w:val="007323CD"/>
    <w:rsid w:val="00733B24"/>
    <w:rsid w:val="007340EE"/>
    <w:rsid w:val="00734C38"/>
    <w:rsid w:val="00734C7D"/>
    <w:rsid w:val="007365F0"/>
    <w:rsid w:val="00736A6E"/>
    <w:rsid w:val="00737D18"/>
    <w:rsid w:val="007424C3"/>
    <w:rsid w:val="00742CA2"/>
    <w:rsid w:val="00742DE8"/>
    <w:rsid w:val="00742E73"/>
    <w:rsid w:val="00743D96"/>
    <w:rsid w:val="007444E6"/>
    <w:rsid w:val="007457CC"/>
    <w:rsid w:val="007469DD"/>
    <w:rsid w:val="00746F03"/>
    <w:rsid w:val="00751FB3"/>
    <w:rsid w:val="0075261C"/>
    <w:rsid w:val="007528F3"/>
    <w:rsid w:val="00753018"/>
    <w:rsid w:val="00753E76"/>
    <w:rsid w:val="007544EA"/>
    <w:rsid w:val="007548A8"/>
    <w:rsid w:val="00754B0A"/>
    <w:rsid w:val="00754BE8"/>
    <w:rsid w:val="00754D34"/>
    <w:rsid w:val="00755002"/>
    <w:rsid w:val="0075573A"/>
    <w:rsid w:val="007574C4"/>
    <w:rsid w:val="0075755C"/>
    <w:rsid w:val="00757660"/>
    <w:rsid w:val="00757754"/>
    <w:rsid w:val="007607D7"/>
    <w:rsid w:val="007608DE"/>
    <w:rsid w:val="0076121E"/>
    <w:rsid w:val="00761F10"/>
    <w:rsid w:val="00762457"/>
    <w:rsid w:val="00763AE2"/>
    <w:rsid w:val="007643D9"/>
    <w:rsid w:val="00765C23"/>
    <w:rsid w:val="007662FC"/>
    <w:rsid w:val="00766326"/>
    <w:rsid w:val="00766511"/>
    <w:rsid w:val="00766CC0"/>
    <w:rsid w:val="00770327"/>
    <w:rsid w:val="0077161C"/>
    <w:rsid w:val="007720E1"/>
    <w:rsid w:val="00772677"/>
    <w:rsid w:val="00772D3E"/>
    <w:rsid w:val="007733D0"/>
    <w:rsid w:val="0077356F"/>
    <w:rsid w:val="007744E8"/>
    <w:rsid w:val="00775069"/>
    <w:rsid w:val="007754DF"/>
    <w:rsid w:val="00775979"/>
    <w:rsid w:val="007764BA"/>
    <w:rsid w:val="00776E2F"/>
    <w:rsid w:val="00780696"/>
    <w:rsid w:val="007807A9"/>
    <w:rsid w:val="007809AF"/>
    <w:rsid w:val="00780D4D"/>
    <w:rsid w:val="00781158"/>
    <w:rsid w:val="00781446"/>
    <w:rsid w:val="007828F3"/>
    <w:rsid w:val="00783809"/>
    <w:rsid w:val="00783DE6"/>
    <w:rsid w:val="0079006D"/>
    <w:rsid w:val="0079022D"/>
    <w:rsid w:val="00790CEB"/>
    <w:rsid w:val="0079106D"/>
    <w:rsid w:val="00791612"/>
    <w:rsid w:val="00791C24"/>
    <w:rsid w:val="0079256D"/>
    <w:rsid w:val="00793177"/>
    <w:rsid w:val="0079326E"/>
    <w:rsid w:val="007935A5"/>
    <w:rsid w:val="00794408"/>
    <w:rsid w:val="00794CBE"/>
    <w:rsid w:val="00795A0C"/>
    <w:rsid w:val="00797428"/>
    <w:rsid w:val="00797622"/>
    <w:rsid w:val="007977FD"/>
    <w:rsid w:val="007979C7"/>
    <w:rsid w:val="00797D46"/>
    <w:rsid w:val="00797ECF"/>
    <w:rsid w:val="007A20D0"/>
    <w:rsid w:val="007A2179"/>
    <w:rsid w:val="007A25FA"/>
    <w:rsid w:val="007A2B0B"/>
    <w:rsid w:val="007A2B84"/>
    <w:rsid w:val="007A37F7"/>
    <w:rsid w:val="007A550B"/>
    <w:rsid w:val="007A55CC"/>
    <w:rsid w:val="007A5E95"/>
    <w:rsid w:val="007A60F5"/>
    <w:rsid w:val="007A793E"/>
    <w:rsid w:val="007A7EE8"/>
    <w:rsid w:val="007A7EF6"/>
    <w:rsid w:val="007B04D6"/>
    <w:rsid w:val="007B15E1"/>
    <w:rsid w:val="007B1E0D"/>
    <w:rsid w:val="007B3263"/>
    <w:rsid w:val="007B4141"/>
    <w:rsid w:val="007B41B2"/>
    <w:rsid w:val="007B56EE"/>
    <w:rsid w:val="007B5C3C"/>
    <w:rsid w:val="007B727B"/>
    <w:rsid w:val="007B744D"/>
    <w:rsid w:val="007B7954"/>
    <w:rsid w:val="007B7B8F"/>
    <w:rsid w:val="007B7D3C"/>
    <w:rsid w:val="007C0473"/>
    <w:rsid w:val="007C0D92"/>
    <w:rsid w:val="007C1BAB"/>
    <w:rsid w:val="007C25F3"/>
    <w:rsid w:val="007C37C5"/>
    <w:rsid w:val="007C3C25"/>
    <w:rsid w:val="007C43F6"/>
    <w:rsid w:val="007C5E71"/>
    <w:rsid w:val="007C620E"/>
    <w:rsid w:val="007C6E4E"/>
    <w:rsid w:val="007D02E4"/>
    <w:rsid w:val="007D0FDE"/>
    <w:rsid w:val="007D157B"/>
    <w:rsid w:val="007D1E0C"/>
    <w:rsid w:val="007D1FD9"/>
    <w:rsid w:val="007D24D1"/>
    <w:rsid w:val="007D27C1"/>
    <w:rsid w:val="007D294D"/>
    <w:rsid w:val="007D4746"/>
    <w:rsid w:val="007D52D0"/>
    <w:rsid w:val="007D5F61"/>
    <w:rsid w:val="007D6625"/>
    <w:rsid w:val="007D7D7A"/>
    <w:rsid w:val="007E008D"/>
    <w:rsid w:val="007E0128"/>
    <w:rsid w:val="007E07AB"/>
    <w:rsid w:val="007E1406"/>
    <w:rsid w:val="007E19E6"/>
    <w:rsid w:val="007E24B1"/>
    <w:rsid w:val="007E2CD0"/>
    <w:rsid w:val="007E4034"/>
    <w:rsid w:val="007E414C"/>
    <w:rsid w:val="007E523C"/>
    <w:rsid w:val="007E5D77"/>
    <w:rsid w:val="007E5E42"/>
    <w:rsid w:val="007E6CF6"/>
    <w:rsid w:val="007E7882"/>
    <w:rsid w:val="007E7943"/>
    <w:rsid w:val="007F078C"/>
    <w:rsid w:val="007F0FD1"/>
    <w:rsid w:val="007F23FE"/>
    <w:rsid w:val="007F30CD"/>
    <w:rsid w:val="007F31B8"/>
    <w:rsid w:val="007F3608"/>
    <w:rsid w:val="007F4289"/>
    <w:rsid w:val="007F4FB1"/>
    <w:rsid w:val="007F5105"/>
    <w:rsid w:val="007F5115"/>
    <w:rsid w:val="007F5EAD"/>
    <w:rsid w:val="007F6CCD"/>
    <w:rsid w:val="007F6DE0"/>
    <w:rsid w:val="007F7674"/>
    <w:rsid w:val="007F7D36"/>
    <w:rsid w:val="00800693"/>
    <w:rsid w:val="008007BB"/>
    <w:rsid w:val="00800B51"/>
    <w:rsid w:val="00802366"/>
    <w:rsid w:val="00803359"/>
    <w:rsid w:val="00803587"/>
    <w:rsid w:val="00803A8E"/>
    <w:rsid w:val="00803C25"/>
    <w:rsid w:val="008043AF"/>
    <w:rsid w:val="0080521F"/>
    <w:rsid w:val="00805810"/>
    <w:rsid w:val="00805C01"/>
    <w:rsid w:val="00806006"/>
    <w:rsid w:val="00806070"/>
    <w:rsid w:val="0080662B"/>
    <w:rsid w:val="00806C33"/>
    <w:rsid w:val="00807368"/>
    <w:rsid w:val="008118FC"/>
    <w:rsid w:val="00811998"/>
    <w:rsid w:val="00811BD3"/>
    <w:rsid w:val="00814B48"/>
    <w:rsid w:val="00815001"/>
    <w:rsid w:val="00815481"/>
    <w:rsid w:val="00815B6D"/>
    <w:rsid w:val="008160EB"/>
    <w:rsid w:val="00820C60"/>
    <w:rsid w:val="00820EBC"/>
    <w:rsid w:val="0082117A"/>
    <w:rsid w:val="00821B48"/>
    <w:rsid w:val="00822D80"/>
    <w:rsid w:val="00822F6F"/>
    <w:rsid w:val="00823448"/>
    <w:rsid w:val="008236E7"/>
    <w:rsid w:val="0082609A"/>
    <w:rsid w:val="0082744B"/>
    <w:rsid w:val="00827D32"/>
    <w:rsid w:val="00830734"/>
    <w:rsid w:val="00831B03"/>
    <w:rsid w:val="00831E6A"/>
    <w:rsid w:val="00831F4D"/>
    <w:rsid w:val="00833000"/>
    <w:rsid w:val="008338CD"/>
    <w:rsid w:val="0083487D"/>
    <w:rsid w:val="00834B4C"/>
    <w:rsid w:val="00834E29"/>
    <w:rsid w:val="008350DF"/>
    <w:rsid w:val="00835B02"/>
    <w:rsid w:val="00835C2A"/>
    <w:rsid w:val="00835EC1"/>
    <w:rsid w:val="00836122"/>
    <w:rsid w:val="00837BA5"/>
    <w:rsid w:val="00841641"/>
    <w:rsid w:val="008422BB"/>
    <w:rsid w:val="008422E8"/>
    <w:rsid w:val="008433D2"/>
    <w:rsid w:val="00845A6F"/>
    <w:rsid w:val="008476FE"/>
    <w:rsid w:val="008500E9"/>
    <w:rsid w:val="00850279"/>
    <w:rsid w:val="00850D35"/>
    <w:rsid w:val="0085244A"/>
    <w:rsid w:val="00852797"/>
    <w:rsid w:val="00852D8F"/>
    <w:rsid w:val="00853C57"/>
    <w:rsid w:val="00853DA9"/>
    <w:rsid w:val="00854EE3"/>
    <w:rsid w:val="00855D78"/>
    <w:rsid w:val="0085793B"/>
    <w:rsid w:val="00857E4A"/>
    <w:rsid w:val="008603D1"/>
    <w:rsid w:val="008606BD"/>
    <w:rsid w:val="008625D6"/>
    <w:rsid w:val="00862F82"/>
    <w:rsid w:val="008635F0"/>
    <w:rsid w:val="00863EA7"/>
    <w:rsid w:val="00864409"/>
    <w:rsid w:val="0086443E"/>
    <w:rsid w:val="00864A9D"/>
    <w:rsid w:val="008650C0"/>
    <w:rsid w:val="0086514D"/>
    <w:rsid w:val="008656DC"/>
    <w:rsid w:val="008661C0"/>
    <w:rsid w:val="00866DF1"/>
    <w:rsid w:val="00867075"/>
    <w:rsid w:val="008677D7"/>
    <w:rsid w:val="0087027E"/>
    <w:rsid w:val="00871515"/>
    <w:rsid w:val="008731AA"/>
    <w:rsid w:val="00874AD5"/>
    <w:rsid w:val="00874EAB"/>
    <w:rsid w:val="008753FE"/>
    <w:rsid w:val="0087647C"/>
    <w:rsid w:val="008765A4"/>
    <w:rsid w:val="0088077B"/>
    <w:rsid w:val="008819FF"/>
    <w:rsid w:val="00881A4C"/>
    <w:rsid w:val="00881F4A"/>
    <w:rsid w:val="008820C4"/>
    <w:rsid w:val="008824AD"/>
    <w:rsid w:val="0088339E"/>
    <w:rsid w:val="0088377D"/>
    <w:rsid w:val="00883B72"/>
    <w:rsid w:val="0088426D"/>
    <w:rsid w:val="008854E9"/>
    <w:rsid w:val="00886133"/>
    <w:rsid w:val="0088715C"/>
    <w:rsid w:val="00887E62"/>
    <w:rsid w:val="00891168"/>
    <w:rsid w:val="0089250D"/>
    <w:rsid w:val="008939D0"/>
    <w:rsid w:val="008945C5"/>
    <w:rsid w:val="008949EB"/>
    <w:rsid w:val="00894CEE"/>
    <w:rsid w:val="00894E16"/>
    <w:rsid w:val="00897163"/>
    <w:rsid w:val="0089724A"/>
    <w:rsid w:val="008972A9"/>
    <w:rsid w:val="008974EA"/>
    <w:rsid w:val="008A0307"/>
    <w:rsid w:val="008A0374"/>
    <w:rsid w:val="008A0A6F"/>
    <w:rsid w:val="008A0E2E"/>
    <w:rsid w:val="008A0EF3"/>
    <w:rsid w:val="008A2EEA"/>
    <w:rsid w:val="008A3CBA"/>
    <w:rsid w:val="008A4603"/>
    <w:rsid w:val="008A4BC3"/>
    <w:rsid w:val="008A6C40"/>
    <w:rsid w:val="008A6D5C"/>
    <w:rsid w:val="008A6EFF"/>
    <w:rsid w:val="008A7DF8"/>
    <w:rsid w:val="008B0559"/>
    <w:rsid w:val="008B0825"/>
    <w:rsid w:val="008B0A3D"/>
    <w:rsid w:val="008B10DC"/>
    <w:rsid w:val="008B111B"/>
    <w:rsid w:val="008B145D"/>
    <w:rsid w:val="008B21F5"/>
    <w:rsid w:val="008B245B"/>
    <w:rsid w:val="008B27DF"/>
    <w:rsid w:val="008B404A"/>
    <w:rsid w:val="008B4C58"/>
    <w:rsid w:val="008B5313"/>
    <w:rsid w:val="008B591F"/>
    <w:rsid w:val="008B6FD0"/>
    <w:rsid w:val="008B710E"/>
    <w:rsid w:val="008B7446"/>
    <w:rsid w:val="008C1109"/>
    <w:rsid w:val="008C33D9"/>
    <w:rsid w:val="008C3604"/>
    <w:rsid w:val="008C3946"/>
    <w:rsid w:val="008C43C2"/>
    <w:rsid w:val="008C45C4"/>
    <w:rsid w:val="008C69A4"/>
    <w:rsid w:val="008D0F6F"/>
    <w:rsid w:val="008D1209"/>
    <w:rsid w:val="008D304D"/>
    <w:rsid w:val="008D4799"/>
    <w:rsid w:val="008D4B0B"/>
    <w:rsid w:val="008D4E19"/>
    <w:rsid w:val="008D588A"/>
    <w:rsid w:val="008D5990"/>
    <w:rsid w:val="008D692A"/>
    <w:rsid w:val="008D6A61"/>
    <w:rsid w:val="008D6C3E"/>
    <w:rsid w:val="008D711D"/>
    <w:rsid w:val="008D7717"/>
    <w:rsid w:val="008E02F1"/>
    <w:rsid w:val="008E0923"/>
    <w:rsid w:val="008E0AEA"/>
    <w:rsid w:val="008E1EAD"/>
    <w:rsid w:val="008E2933"/>
    <w:rsid w:val="008E2D35"/>
    <w:rsid w:val="008E30B5"/>
    <w:rsid w:val="008E3FF3"/>
    <w:rsid w:val="008E4993"/>
    <w:rsid w:val="008E4E32"/>
    <w:rsid w:val="008E4F59"/>
    <w:rsid w:val="008E59A2"/>
    <w:rsid w:val="008E59EC"/>
    <w:rsid w:val="008E5AC3"/>
    <w:rsid w:val="008E6960"/>
    <w:rsid w:val="008E6AA2"/>
    <w:rsid w:val="008E7A60"/>
    <w:rsid w:val="008F1013"/>
    <w:rsid w:val="008F1EDA"/>
    <w:rsid w:val="008F34AB"/>
    <w:rsid w:val="008F3E68"/>
    <w:rsid w:val="008F4C3B"/>
    <w:rsid w:val="008F5F69"/>
    <w:rsid w:val="008F61CD"/>
    <w:rsid w:val="008F6825"/>
    <w:rsid w:val="00900A58"/>
    <w:rsid w:val="00901601"/>
    <w:rsid w:val="0090275B"/>
    <w:rsid w:val="00903B1F"/>
    <w:rsid w:val="00903B87"/>
    <w:rsid w:val="009045A9"/>
    <w:rsid w:val="0090475A"/>
    <w:rsid w:val="00904B14"/>
    <w:rsid w:val="00904BF3"/>
    <w:rsid w:val="00904C74"/>
    <w:rsid w:val="00906BDA"/>
    <w:rsid w:val="009074D0"/>
    <w:rsid w:val="009102FA"/>
    <w:rsid w:val="00910D2C"/>
    <w:rsid w:val="0091119B"/>
    <w:rsid w:val="00911397"/>
    <w:rsid w:val="00911DD0"/>
    <w:rsid w:val="00912783"/>
    <w:rsid w:val="00913DA3"/>
    <w:rsid w:val="00913F6F"/>
    <w:rsid w:val="00914820"/>
    <w:rsid w:val="00914873"/>
    <w:rsid w:val="00914988"/>
    <w:rsid w:val="00914EB6"/>
    <w:rsid w:val="00915498"/>
    <w:rsid w:val="00916AB9"/>
    <w:rsid w:val="00920C78"/>
    <w:rsid w:val="00920EA3"/>
    <w:rsid w:val="00921249"/>
    <w:rsid w:val="009217A7"/>
    <w:rsid w:val="00921E73"/>
    <w:rsid w:val="00922D30"/>
    <w:rsid w:val="0092570D"/>
    <w:rsid w:val="00926193"/>
    <w:rsid w:val="009269E0"/>
    <w:rsid w:val="00927B9B"/>
    <w:rsid w:val="009306A2"/>
    <w:rsid w:val="00931A4B"/>
    <w:rsid w:val="00931D67"/>
    <w:rsid w:val="00932038"/>
    <w:rsid w:val="00932533"/>
    <w:rsid w:val="00933066"/>
    <w:rsid w:val="00933449"/>
    <w:rsid w:val="009340BE"/>
    <w:rsid w:val="00934D31"/>
    <w:rsid w:val="009367B5"/>
    <w:rsid w:val="00936BF7"/>
    <w:rsid w:val="00937309"/>
    <w:rsid w:val="0093745D"/>
    <w:rsid w:val="00941C5A"/>
    <w:rsid w:val="009420EF"/>
    <w:rsid w:val="00943896"/>
    <w:rsid w:val="009448A7"/>
    <w:rsid w:val="00944CAB"/>
    <w:rsid w:val="009454A0"/>
    <w:rsid w:val="00945C34"/>
    <w:rsid w:val="00945C75"/>
    <w:rsid w:val="00945DE2"/>
    <w:rsid w:val="009466A0"/>
    <w:rsid w:val="00946A9A"/>
    <w:rsid w:val="00950965"/>
    <w:rsid w:val="00951433"/>
    <w:rsid w:val="00952765"/>
    <w:rsid w:val="009529F5"/>
    <w:rsid w:val="009550FD"/>
    <w:rsid w:val="009554C0"/>
    <w:rsid w:val="009567A0"/>
    <w:rsid w:val="00956934"/>
    <w:rsid w:val="00960241"/>
    <w:rsid w:val="009608AF"/>
    <w:rsid w:val="0096380E"/>
    <w:rsid w:val="00964EEA"/>
    <w:rsid w:val="009651B1"/>
    <w:rsid w:val="00965924"/>
    <w:rsid w:val="009661C7"/>
    <w:rsid w:val="00966305"/>
    <w:rsid w:val="0096658C"/>
    <w:rsid w:val="00967268"/>
    <w:rsid w:val="0096743A"/>
    <w:rsid w:val="0097205F"/>
    <w:rsid w:val="0097259C"/>
    <w:rsid w:val="00972808"/>
    <w:rsid w:val="009731CC"/>
    <w:rsid w:val="009747B8"/>
    <w:rsid w:val="00975CDF"/>
    <w:rsid w:val="009767A2"/>
    <w:rsid w:val="00980293"/>
    <w:rsid w:val="00980E7B"/>
    <w:rsid w:val="00981742"/>
    <w:rsid w:val="0098177B"/>
    <w:rsid w:val="00981F2B"/>
    <w:rsid w:val="009826A9"/>
    <w:rsid w:val="00982ADE"/>
    <w:rsid w:val="00982EA9"/>
    <w:rsid w:val="009830F6"/>
    <w:rsid w:val="00983CC1"/>
    <w:rsid w:val="00984DA0"/>
    <w:rsid w:val="00985066"/>
    <w:rsid w:val="00985140"/>
    <w:rsid w:val="00986E28"/>
    <w:rsid w:val="00990011"/>
    <w:rsid w:val="009904EA"/>
    <w:rsid w:val="00990986"/>
    <w:rsid w:val="00990ED2"/>
    <w:rsid w:val="0099150C"/>
    <w:rsid w:val="00991BBB"/>
    <w:rsid w:val="00992762"/>
    <w:rsid w:val="00992A12"/>
    <w:rsid w:val="009931FA"/>
    <w:rsid w:val="00993245"/>
    <w:rsid w:val="00994B69"/>
    <w:rsid w:val="009951ED"/>
    <w:rsid w:val="0099622A"/>
    <w:rsid w:val="00997AA0"/>
    <w:rsid w:val="00997B73"/>
    <w:rsid w:val="00997F98"/>
    <w:rsid w:val="009A0355"/>
    <w:rsid w:val="009A03B9"/>
    <w:rsid w:val="009A074D"/>
    <w:rsid w:val="009A0F2F"/>
    <w:rsid w:val="009A1543"/>
    <w:rsid w:val="009A1C12"/>
    <w:rsid w:val="009A1D02"/>
    <w:rsid w:val="009A2706"/>
    <w:rsid w:val="009A294C"/>
    <w:rsid w:val="009A2F21"/>
    <w:rsid w:val="009A3C16"/>
    <w:rsid w:val="009A4281"/>
    <w:rsid w:val="009A5290"/>
    <w:rsid w:val="009A5307"/>
    <w:rsid w:val="009A67B7"/>
    <w:rsid w:val="009A6C73"/>
    <w:rsid w:val="009A6CC5"/>
    <w:rsid w:val="009B12AF"/>
    <w:rsid w:val="009B1CFE"/>
    <w:rsid w:val="009B3564"/>
    <w:rsid w:val="009B44AA"/>
    <w:rsid w:val="009B5C64"/>
    <w:rsid w:val="009B5EC4"/>
    <w:rsid w:val="009B607D"/>
    <w:rsid w:val="009B668C"/>
    <w:rsid w:val="009B704E"/>
    <w:rsid w:val="009B78C8"/>
    <w:rsid w:val="009B799A"/>
    <w:rsid w:val="009C1ED8"/>
    <w:rsid w:val="009C233A"/>
    <w:rsid w:val="009C332B"/>
    <w:rsid w:val="009C3EA5"/>
    <w:rsid w:val="009C4139"/>
    <w:rsid w:val="009C5848"/>
    <w:rsid w:val="009C60A0"/>
    <w:rsid w:val="009C6464"/>
    <w:rsid w:val="009C64AA"/>
    <w:rsid w:val="009D0D40"/>
    <w:rsid w:val="009D1CC7"/>
    <w:rsid w:val="009D2000"/>
    <w:rsid w:val="009D2706"/>
    <w:rsid w:val="009D2BE4"/>
    <w:rsid w:val="009D4882"/>
    <w:rsid w:val="009D4FFE"/>
    <w:rsid w:val="009D5328"/>
    <w:rsid w:val="009D621D"/>
    <w:rsid w:val="009D6BAE"/>
    <w:rsid w:val="009D7709"/>
    <w:rsid w:val="009D7B49"/>
    <w:rsid w:val="009E0115"/>
    <w:rsid w:val="009E0C72"/>
    <w:rsid w:val="009E158B"/>
    <w:rsid w:val="009E256A"/>
    <w:rsid w:val="009E2BD7"/>
    <w:rsid w:val="009E3D7C"/>
    <w:rsid w:val="009E49CA"/>
    <w:rsid w:val="009E5751"/>
    <w:rsid w:val="009E5C3D"/>
    <w:rsid w:val="009E7243"/>
    <w:rsid w:val="009F06F0"/>
    <w:rsid w:val="009F308D"/>
    <w:rsid w:val="009F3199"/>
    <w:rsid w:val="009F321D"/>
    <w:rsid w:val="009F3EEB"/>
    <w:rsid w:val="009F4509"/>
    <w:rsid w:val="009F5E81"/>
    <w:rsid w:val="009F7D83"/>
    <w:rsid w:val="009F7DB3"/>
    <w:rsid w:val="009F7F73"/>
    <w:rsid w:val="00A00104"/>
    <w:rsid w:val="00A016E0"/>
    <w:rsid w:val="00A023CB"/>
    <w:rsid w:val="00A024F6"/>
    <w:rsid w:val="00A02747"/>
    <w:rsid w:val="00A02D55"/>
    <w:rsid w:val="00A04BCE"/>
    <w:rsid w:val="00A04E7B"/>
    <w:rsid w:val="00A05BF7"/>
    <w:rsid w:val="00A0652E"/>
    <w:rsid w:val="00A06926"/>
    <w:rsid w:val="00A06EC0"/>
    <w:rsid w:val="00A07E09"/>
    <w:rsid w:val="00A1062C"/>
    <w:rsid w:val="00A108FB"/>
    <w:rsid w:val="00A10B60"/>
    <w:rsid w:val="00A10EBB"/>
    <w:rsid w:val="00A11BC0"/>
    <w:rsid w:val="00A121D5"/>
    <w:rsid w:val="00A12F8E"/>
    <w:rsid w:val="00A13CBA"/>
    <w:rsid w:val="00A1464A"/>
    <w:rsid w:val="00A14EE7"/>
    <w:rsid w:val="00A178E6"/>
    <w:rsid w:val="00A17A02"/>
    <w:rsid w:val="00A17E48"/>
    <w:rsid w:val="00A21225"/>
    <w:rsid w:val="00A215B4"/>
    <w:rsid w:val="00A22A37"/>
    <w:rsid w:val="00A24749"/>
    <w:rsid w:val="00A252D0"/>
    <w:rsid w:val="00A26E24"/>
    <w:rsid w:val="00A27029"/>
    <w:rsid w:val="00A27BE2"/>
    <w:rsid w:val="00A3030F"/>
    <w:rsid w:val="00A3059C"/>
    <w:rsid w:val="00A3074A"/>
    <w:rsid w:val="00A33990"/>
    <w:rsid w:val="00A340E2"/>
    <w:rsid w:val="00A34699"/>
    <w:rsid w:val="00A355CE"/>
    <w:rsid w:val="00A35C8F"/>
    <w:rsid w:val="00A36D16"/>
    <w:rsid w:val="00A36E5D"/>
    <w:rsid w:val="00A3727B"/>
    <w:rsid w:val="00A40AFC"/>
    <w:rsid w:val="00A40E02"/>
    <w:rsid w:val="00A411CA"/>
    <w:rsid w:val="00A42319"/>
    <w:rsid w:val="00A44438"/>
    <w:rsid w:val="00A458CE"/>
    <w:rsid w:val="00A46682"/>
    <w:rsid w:val="00A46C82"/>
    <w:rsid w:val="00A473F3"/>
    <w:rsid w:val="00A47695"/>
    <w:rsid w:val="00A516F2"/>
    <w:rsid w:val="00A52EAC"/>
    <w:rsid w:val="00A52F65"/>
    <w:rsid w:val="00A53814"/>
    <w:rsid w:val="00A540FF"/>
    <w:rsid w:val="00A54743"/>
    <w:rsid w:val="00A5499F"/>
    <w:rsid w:val="00A55058"/>
    <w:rsid w:val="00A56393"/>
    <w:rsid w:val="00A56DF5"/>
    <w:rsid w:val="00A56E1B"/>
    <w:rsid w:val="00A57738"/>
    <w:rsid w:val="00A600A6"/>
    <w:rsid w:val="00A60545"/>
    <w:rsid w:val="00A6154E"/>
    <w:rsid w:val="00A61596"/>
    <w:rsid w:val="00A61BD3"/>
    <w:rsid w:val="00A63AEE"/>
    <w:rsid w:val="00A64040"/>
    <w:rsid w:val="00A651C1"/>
    <w:rsid w:val="00A6572A"/>
    <w:rsid w:val="00A66605"/>
    <w:rsid w:val="00A711CC"/>
    <w:rsid w:val="00A71D73"/>
    <w:rsid w:val="00A724EF"/>
    <w:rsid w:val="00A72CB4"/>
    <w:rsid w:val="00A73F02"/>
    <w:rsid w:val="00A76435"/>
    <w:rsid w:val="00A76B91"/>
    <w:rsid w:val="00A7720F"/>
    <w:rsid w:val="00A77C33"/>
    <w:rsid w:val="00A77F87"/>
    <w:rsid w:val="00A81E65"/>
    <w:rsid w:val="00A824E2"/>
    <w:rsid w:val="00A82F7F"/>
    <w:rsid w:val="00A838E4"/>
    <w:rsid w:val="00A84237"/>
    <w:rsid w:val="00A842DE"/>
    <w:rsid w:val="00A84645"/>
    <w:rsid w:val="00A846F2"/>
    <w:rsid w:val="00A85C51"/>
    <w:rsid w:val="00A86086"/>
    <w:rsid w:val="00A864AD"/>
    <w:rsid w:val="00A86B5A"/>
    <w:rsid w:val="00A87A00"/>
    <w:rsid w:val="00A87DF3"/>
    <w:rsid w:val="00A87DF6"/>
    <w:rsid w:val="00A9076F"/>
    <w:rsid w:val="00A90D32"/>
    <w:rsid w:val="00A9173C"/>
    <w:rsid w:val="00A95A09"/>
    <w:rsid w:val="00A95C73"/>
    <w:rsid w:val="00A971FF"/>
    <w:rsid w:val="00A976E5"/>
    <w:rsid w:val="00AA16B7"/>
    <w:rsid w:val="00AA19F5"/>
    <w:rsid w:val="00AA1EBA"/>
    <w:rsid w:val="00AA26BA"/>
    <w:rsid w:val="00AA295B"/>
    <w:rsid w:val="00AA2D25"/>
    <w:rsid w:val="00AA3683"/>
    <w:rsid w:val="00AA387D"/>
    <w:rsid w:val="00AA3B21"/>
    <w:rsid w:val="00AA4DC6"/>
    <w:rsid w:val="00AA504B"/>
    <w:rsid w:val="00AA74A1"/>
    <w:rsid w:val="00AA784A"/>
    <w:rsid w:val="00AB0413"/>
    <w:rsid w:val="00AB066E"/>
    <w:rsid w:val="00AB31FF"/>
    <w:rsid w:val="00AB3CE7"/>
    <w:rsid w:val="00AB476A"/>
    <w:rsid w:val="00AB49CD"/>
    <w:rsid w:val="00AB5115"/>
    <w:rsid w:val="00AB543F"/>
    <w:rsid w:val="00AB5DAD"/>
    <w:rsid w:val="00AB6187"/>
    <w:rsid w:val="00AC0BFD"/>
    <w:rsid w:val="00AC2DB5"/>
    <w:rsid w:val="00AC3036"/>
    <w:rsid w:val="00AC31CE"/>
    <w:rsid w:val="00AC54F3"/>
    <w:rsid w:val="00AC6E0E"/>
    <w:rsid w:val="00AC7253"/>
    <w:rsid w:val="00AC7426"/>
    <w:rsid w:val="00AD009B"/>
    <w:rsid w:val="00AD08CD"/>
    <w:rsid w:val="00AD17E4"/>
    <w:rsid w:val="00AD265B"/>
    <w:rsid w:val="00AD3032"/>
    <w:rsid w:val="00AD34A3"/>
    <w:rsid w:val="00AD3556"/>
    <w:rsid w:val="00AD56C9"/>
    <w:rsid w:val="00AD618D"/>
    <w:rsid w:val="00AD7402"/>
    <w:rsid w:val="00AD76A3"/>
    <w:rsid w:val="00AE1551"/>
    <w:rsid w:val="00AE210A"/>
    <w:rsid w:val="00AE24F1"/>
    <w:rsid w:val="00AE3580"/>
    <w:rsid w:val="00AE4FBF"/>
    <w:rsid w:val="00AE513C"/>
    <w:rsid w:val="00AE5CFA"/>
    <w:rsid w:val="00AE684E"/>
    <w:rsid w:val="00AE6879"/>
    <w:rsid w:val="00AE739F"/>
    <w:rsid w:val="00AE788C"/>
    <w:rsid w:val="00AE78A3"/>
    <w:rsid w:val="00AF00FB"/>
    <w:rsid w:val="00AF43FE"/>
    <w:rsid w:val="00AF4D0C"/>
    <w:rsid w:val="00AF4DCB"/>
    <w:rsid w:val="00AF4FA4"/>
    <w:rsid w:val="00AF5026"/>
    <w:rsid w:val="00AF51BD"/>
    <w:rsid w:val="00AF5E3D"/>
    <w:rsid w:val="00AF6ADE"/>
    <w:rsid w:val="00B0374D"/>
    <w:rsid w:val="00B04D09"/>
    <w:rsid w:val="00B064D0"/>
    <w:rsid w:val="00B10F46"/>
    <w:rsid w:val="00B117B8"/>
    <w:rsid w:val="00B12C7C"/>
    <w:rsid w:val="00B1486D"/>
    <w:rsid w:val="00B1564E"/>
    <w:rsid w:val="00B16446"/>
    <w:rsid w:val="00B1676B"/>
    <w:rsid w:val="00B171CD"/>
    <w:rsid w:val="00B17853"/>
    <w:rsid w:val="00B17957"/>
    <w:rsid w:val="00B17EA6"/>
    <w:rsid w:val="00B20A41"/>
    <w:rsid w:val="00B20BB7"/>
    <w:rsid w:val="00B210D3"/>
    <w:rsid w:val="00B210F3"/>
    <w:rsid w:val="00B2174E"/>
    <w:rsid w:val="00B21E9C"/>
    <w:rsid w:val="00B2401D"/>
    <w:rsid w:val="00B2558C"/>
    <w:rsid w:val="00B2722E"/>
    <w:rsid w:val="00B27664"/>
    <w:rsid w:val="00B27CEE"/>
    <w:rsid w:val="00B30066"/>
    <w:rsid w:val="00B31D1C"/>
    <w:rsid w:val="00B326A6"/>
    <w:rsid w:val="00B32BF8"/>
    <w:rsid w:val="00B33E0E"/>
    <w:rsid w:val="00B347D3"/>
    <w:rsid w:val="00B368F3"/>
    <w:rsid w:val="00B36BEA"/>
    <w:rsid w:val="00B371BB"/>
    <w:rsid w:val="00B3723A"/>
    <w:rsid w:val="00B37258"/>
    <w:rsid w:val="00B379EF"/>
    <w:rsid w:val="00B41ACB"/>
    <w:rsid w:val="00B41E37"/>
    <w:rsid w:val="00B43AB8"/>
    <w:rsid w:val="00B44D78"/>
    <w:rsid w:val="00B46C10"/>
    <w:rsid w:val="00B470E5"/>
    <w:rsid w:val="00B47420"/>
    <w:rsid w:val="00B50570"/>
    <w:rsid w:val="00B50E30"/>
    <w:rsid w:val="00B520AB"/>
    <w:rsid w:val="00B52A70"/>
    <w:rsid w:val="00B53093"/>
    <w:rsid w:val="00B54013"/>
    <w:rsid w:val="00B546AD"/>
    <w:rsid w:val="00B54865"/>
    <w:rsid w:val="00B549B8"/>
    <w:rsid w:val="00B562D8"/>
    <w:rsid w:val="00B56780"/>
    <w:rsid w:val="00B572EB"/>
    <w:rsid w:val="00B578F2"/>
    <w:rsid w:val="00B60346"/>
    <w:rsid w:val="00B60561"/>
    <w:rsid w:val="00B6060A"/>
    <w:rsid w:val="00B607A6"/>
    <w:rsid w:val="00B61BB1"/>
    <w:rsid w:val="00B61DE9"/>
    <w:rsid w:val="00B62160"/>
    <w:rsid w:val="00B62266"/>
    <w:rsid w:val="00B63ED9"/>
    <w:rsid w:val="00B642DA"/>
    <w:rsid w:val="00B65502"/>
    <w:rsid w:val="00B65509"/>
    <w:rsid w:val="00B655A1"/>
    <w:rsid w:val="00B66873"/>
    <w:rsid w:val="00B66A05"/>
    <w:rsid w:val="00B66E42"/>
    <w:rsid w:val="00B67A5D"/>
    <w:rsid w:val="00B7072B"/>
    <w:rsid w:val="00B70FFF"/>
    <w:rsid w:val="00B716B9"/>
    <w:rsid w:val="00B71B14"/>
    <w:rsid w:val="00B731B1"/>
    <w:rsid w:val="00B73D47"/>
    <w:rsid w:val="00B7421F"/>
    <w:rsid w:val="00B74715"/>
    <w:rsid w:val="00B7487F"/>
    <w:rsid w:val="00B75397"/>
    <w:rsid w:val="00B75F08"/>
    <w:rsid w:val="00B760F0"/>
    <w:rsid w:val="00B761C0"/>
    <w:rsid w:val="00B76244"/>
    <w:rsid w:val="00B76675"/>
    <w:rsid w:val="00B770A8"/>
    <w:rsid w:val="00B77D93"/>
    <w:rsid w:val="00B80B5F"/>
    <w:rsid w:val="00B80F2C"/>
    <w:rsid w:val="00B82040"/>
    <w:rsid w:val="00B8238C"/>
    <w:rsid w:val="00B8284A"/>
    <w:rsid w:val="00B831D2"/>
    <w:rsid w:val="00B83E60"/>
    <w:rsid w:val="00B85018"/>
    <w:rsid w:val="00B856F0"/>
    <w:rsid w:val="00B87E00"/>
    <w:rsid w:val="00B90297"/>
    <w:rsid w:val="00B915C4"/>
    <w:rsid w:val="00B92A6A"/>
    <w:rsid w:val="00B94396"/>
    <w:rsid w:val="00B9448E"/>
    <w:rsid w:val="00B949BD"/>
    <w:rsid w:val="00B953E6"/>
    <w:rsid w:val="00B957AE"/>
    <w:rsid w:val="00B95C13"/>
    <w:rsid w:val="00B95C1C"/>
    <w:rsid w:val="00B96125"/>
    <w:rsid w:val="00B961D0"/>
    <w:rsid w:val="00B9644F"/>
    <w:rsid w:val="00B96910"/>
    <w:rsid w:val="00B97019"/>
    <w:rsid w:val="00B977CE"/>
    <w:rsid w:val="00B97A31"/>
    <w:rsid w:val="00B97E6C"/>
    <w:rsid w:val="00BA019C"/>
    <w:rsid w:val="00BA080B"/>
    <w:rsid w:val="00BA1394"/>
    <w:rsid w:val="00BA20C9"/>
    <w:rsid w:val="00BA3E77"/>
    <w:rsid w:val="00BA46A7"/>
    <w:rsid w:val="00BA522B"/>
    <w:rsid w:val="00BB08CC"/>
    <w:rsid w:val="00BB0A16"/>
    <w:rsid w:val="00BB0C41"/>
    <w:rsid w:val="00BB0C66"/>
    <w:rsid w:val="00BB1591"/>
    <w:rsid w:val="00BB2A95"/>
    <w:rsid w:val="00BB2CA6"/>
    <w:rsid w:val="00BB30A9"/>
    <w:rsid w:val="00BB32E5"/>
    <w:rsid w:val="00BB4A0F"/>
    <w:rsid w:val="00BB5026"/>
    <w:rsid w:val="00BB50A0"/>
    <w:rsid w:val="00BB516D"/>
    <w:rsid w:val="00BB5D9B"/>
    <w:rsid w:val="00BB60E8"/>
    <w:rsid w:val="00BB6E0A"/>
    <w:rsid w:val="00BB7978"/>
    <w:rsid w:val="00BB7EDB"/>
    <w:rsid w:val="00BC0DC1"/>
    <w:rsid w:val="00BC134F"/>
    <w:rsid w:val="00BC31FB"/>
    <w:rsid w:val="00BC34EE"/>
    <w:rsid w:val="00BC36F0"/>
    <w:rsid w:val="00BC3A62"/>
    <w:rsid w:val="00BC3A85"/>
    <w:rsid w:val="00BC45FB"/>
    <w:rsid w:val="00BC4F58"/>
    <w:rsid w:val="00BC7ACC"/>
    <w:rsid w:val="00BD3463"/>
    <w:rsid w:val="00BD3F01"/>
    <w:rsid w:val="00BD429D"/>
    <w:rsid w:val="00BD45DD"/>
    <w:rsid w:val="00BD5622"/>
    <w:rsid w:val="00BD642B"/>
    <w:rsid w:val="00BD6AEC"/>
    <w:rsid w:val="00BD7126"/>
    <w:rsid w:val="00BD7150"/>
    <w:rsid w:val="00BD7D72"/>
    <w:rsid w:val="00BE0AC1"/>
    <w:rsid w:val="00BE1634"/>
    <w:rsid w:val="00BE1C83"/>
    <w:rsid w:val="00BE3ABC"/>
    <w:rsid w:val="00BE49FE"/>
    <w:rsid w:val="00BE5F97"/>
    <w:rsid w:val="00BE65AE"/>
    <w:rsid w:val="00BF0436"/>
    <w:rsid w:val="00BF0F65"/>
    <w:rsid w:val="00BF24AD"/>
    <w:rsid w:val="00BF3B06"/>
    <w:rsid w:val="00BF473D"/>
    <w:rsid w:val="00BF5666"/>
    <w:rsid w:val="00C000A6"/>
    <w:rsid w:val="00C00B03"/>
    <w:rsid w:val="00C00C66"/>
    <w:rsid w:val="00C01C74"/>
    <w:rsid w:val="00C01EB0"/>
    <w:rsid w:val="00C030F8"/>
    <w:rsid w:val="00C042F7"/>
    <w:rsid w:val="00C0433E"/>
    <w:rsid w:val="00C0483B"/>
    <w:rsid w:val="00C04E82"/>
    <w:rsid w:val="00C05726"/>
    <w:rsid w:val="00C05A2E"/>
    <w:rsid w:val="00C06054"/>
    <w:rsid w:val="00C060B8"/>
    <w:rsid w:val="00C06379"/>
    <w:rsid w:val="00C06E6E"/>
    <w:rsid w:val="00C07447"/>
    <w:rsid w:val="00C075CC"/>
    <w:rsid w:val="00C101A8"/>
    <w:rsid w:val="00C1052E"/>
    <w:rsid w:val="00C13BD0"/>
    <w:rsid w:val="00C146FC"/>
    <w:rsid w:val="00C154D2"/>
    <w:rsid w:val="00C156CC"/>
    <w:rsid w:val="00C15794"/>
    <w:rsid w:val="00C15D66"/>
    <w:rsid w:val="00C16190"/>
    <w:rsid w:val="00C17090"/>
    <w:rsid w:val="00C177EA"/>
    <w:rsid w:val="00C17EE2"/>
    <w:rsid w:val="00C20C27"/>
    <w:rsid w:val="00C21452"/>
    <w:rsid w:val="00C23903"/>
    <w:rsid w:val="00C23B36"/>
    <w:rsid w:val="00C24343"/>
    <w:rsid w:val="00C26A49"/>
    <w:rsid w:val="00C26C4E"/>
    <w:rsid w:val="00C27401"/>
    <w:rsid w:val="00C27B81"/>
    <w:rsid w:val="00C306BB"/>
    <w:rsid w:val="00C327E9"/>
    <w:rsid w:val="00C3335C"/>
    <w:rsid w:val="00C36027"/>
    <w:rsid w:val="00C361D3"/>
    <w:rsid w:val="00C36469"/>
    <w:rsid w:val="00C37D02"/>
    <w:rsid w:val="00C4035B"/>
    <w:rsid w:val="00C440ED"/>
    <w:rsid w:val="00C45A59"/>
    <w:rsid w:val="00C45B4D"/>
    <w:rsid w:val="00C46105"/>
    <w:rsid w:val="00C46D19"/>
    <w:rsid w:val="00C4705D"/>
    <w:rsid w:val="00C4776D"/>
    <w:rsid w:val="00C51939"/>
    <w:rsid w:val="00C51E21"/>
    <w:rsid w:val="00C52DE6"/>
    <w:rsid w:val="00C537F3"/>
    <w:rsid w:val="00C54589"/>
    <w:rsid w:val="00C56A6E"/>
    <w:rsid w:val="00C5718C"/>
    <w:rsid w:val="00C57679"/>
    <w:rsid w:val="00C578BB"/>
    <w:rsid w:val="00C57D46"/>
    <w:rsid w:val="00C611FC"/>
    <w:rsid w:val="00C61469"/>
    <w:rsid w:val="00C625B1"/>
    <w:rsid w:val="00C63B14"/>
    <w:rsid w:val="00C64542"/>
    <w:rsid w:val="00C64D26"/>
    <w:rsid w:val="00C6545E"/>
    <w:rsid w:val="00C65A42"/>
    <w:rsid w:val="00C669EA"/>
    <w:rsid w:val="00C66D77"/>
    <w:rsid w:val="00C67DB5"/>
    <w:rsid w:val="00C67F85"/>
    <w:rsid w:val="00C70BCA"/>
    <w:rsid w:val="00C71EF8"/>
    <w:rsid w:val="00C72882"/>
    <w:rsid w:val="00C72F34"/>
    <w:rsid w:val="00C7364A"/>
    <w:rsid w:val="00C73A67"/>
    <w:rsid w:val="00C750B9"/>
    <w:rsid w:val="00C75A54"/>
    <w:rsid w:val="00C7608B"/>
    <w:rsid w:val="00C770F3"/>
    <w:rsid w:val="00C8294F"/>
    <w:rsid w:val="00C82CC5"/>
    <w:rsid w:val="00C832A5"/>
    <w:rsid w:val="00C8336F"/>
    <w:rsid w:val="00C84705"/>
    <w:rsid w:val="00C8622B"/>
    <w:rsid w:val="00C864D0"/>
    <w:rsid w:val="00C8783C"/>
    <w:rsid w:val="00C90171"/>
    <w:rsid w:val="00C90604"/>
    <w:rsid w:val="00C9067A"/>
    <w:rsid w:val="00C90D7E"/>
    <w:rsid w:val="00C90EDF"/>
    <w:rsid w:val="00C90F2D"/>
    <w:rsid w:val="00C911AC"/>
    <w:rsid w:val="00C91714"/>
    <w:rsid w:val="00C91ED3"/>
    <w:rsid w:val="00C92E8A"/>
    <w:rsid w:val="00C93C81"/>
    <w:rsid w:val="00C96E61"/>
    <w:rsid w:val="00CA0032"/>
    <w:rsid w:val="00CA0AAA"/>
    <w:rsid w:val="00CA1261"/>
    <w:rsid w:val="00CA1455"/>
    <w:rsid w:val="00CA1E8E"/>
    <w:rsid w:val="00CA304A"/>
    <w:rsid w:val="00CA3472"/>
    <w:rsid w:val="00CA5DEA"/>
    <w:rsid w:val="00CA609F"/>
    <w:rsid w:val="00CA6E68"/>
    <w:rsid w:val="00CA74DB"/>
    <w:rsid w:val="00CA7646"/>
    <w:rsid w:val="00CB1055"/>
    <w:rsid w:val="00CB10E9"/>
    <w:rsid w:val="00CB1950"/>
    <w:rsid w:val="00CB2145"/>
    <w:rsid w:val="00CB2254"/>
    <w:rsid w:val="00CB27C8"/>
    <w:rsid w:val="00CB2BD7"/>
    <w:rsid w:val="00CB3CC8"/>
    <w:rsid w:val="00CB412E"/>
    <w:rsid w:val="00CB4C03"/>
    <w:rsid w:val="00CB5011"/>
    <w:rsid w:val="00CB5083"/>
    <w:rsid w:val="00CB5ABA"/>
    <w:rsid w:val="00CB6104"/>
    <w:rsid w:val="00CB7DC2"/>
    <w:rsid w:val="00CB7EE9"/>
    <w:rsid w:val="00CC0071"/>
    <w:rsid w:val="00CC06D0"/>
    <w:rsid w:val="00CC0BFC"/>
    <w:rsid w:val="00CC0DD3"/>
    <w:rsid w:val="00CC1188"/>
    <w:rsid w:val="00CC16D5"/>
    <w:rsid w:val="00CC1786"/>
    <w:rsid w:val="00CC180C"/>
    <w:rsid w:val="00CC2970"/>
    <w:rsid w:val="00CC3512"/>
    <w:rsid w:val="00CC427C"/>
    <w:rsid w:val="00CC7151"/>
    <w:rsid w:val="00CC767C"/>
    <w:rsid w:val="00CC784C"/>
    <w:rsid w:val="00CD01D0"/>
    <w:rsid w:val="00CD050B"/>
    <w:rsid w:val="00CD1231"/>
    <w:rsid w:val="00CD1822"/>
    <w:rsid w:val="00CD2634"/>
    <w:rsid w:val="00CD2A1B"/>
    <w:rsid w:val="00CD3B19"/>
    <w:rsid w:val="00CD3EDA"/>
    <w:rsid w:val="00CD777D"/>
    <w:rsid w:val="00CE30FC"/>
    <w:rsid w:val="00CE48EB"/>
    <w:rsid w:val="00CE51A6"/>
    <w:rsid w:val="00CE5548"/>
    <w:rsid w:val="00CE573C"/>
    <w:rsid w:val="00CE5EA4"/>
    <w:rsid w:val="00CE669C"/>
    <w:rsid w:val="00CE68F8"/>
    <w:rsid w:val="00CE7A69"/>
    <w:rsid w:val="00CE7B62"/>
    <w:rsid w:val="00CF2131"/>
    <w:rsid w:val="00CF2A23"/>
    <w:rsid w:val="00CF3562"/>
    <w:rsid w:val="00CF3974"/>
    <w:rsid w:val="00CF45FC"/>
    <w:rsid w:val="00CF51FC"/>
    <w:rsid w:val="00CF5656"/>
    <w:rsid w:val="00CF6123"/>
    <w:rsid w:val="00CF6536"/>
    <w:rsid w:val="00CF70B6"/>
    <w:rsid w:val="00D00003"/>
    <w:rsid w:val="00D001B5"/>
    <w:rsid w:val="00D003F0"/>
    <w:rsid w:val="00D018DF"/>
    <w:rsid w:val="00D01D45"/>
    <w:rsid w:val="00D01EBC"/>
    <w:rsid w:val="00D0304C"/>
    <w:rsid w:val="00D04F67"/>
    <w:rsid w:val="00D0541D"/>
    <w:rsid w:val="00D06202"/>
    <w:rsid w:val="00D077AA"/>
    <w:rsid w:val="00D07888"/>
    <w:rsid w:val="00D10809"/>
    <w:rsid w:val="00D1081F"/>
    <w:rsid w:val="00D10BDC"/>
    <w:rsid w:val="00D1172F"/>
    <w:rsid w:val="00D11B40"/>
    <w:rsid w:val="00D16180"/>
    <w:rsid w:val="00D1675A"/>
    <w:rsid w:val="00D203EB"/>
    <w:rsid w:val="00D20C37"/>
    <w:rsid w:val="00D211D3"/>
    <w:rsid w:val="00D21D5A"/>
    <w:rsid w:val="00D21E63"/>
    <w:rsid w:val="00D2277D"/>
    <w:rsid w:val="00D227F2"/>
    <w:rsid w:val="00D2687D"/>
    <w:rsid w:val="00D27441"/>
    <w:rsid w:val="00D3057D"/>
    <w:rsid w:val="00D30834"/>
    <w:rsid w:val="00D308A5"/>
    <w:rsid w:val="00D30B51"/>
    <w:rsid w:val="00D312C4"/>
    <w:rsid w:val="00D31924"/>
    <w:rsid w:val="00D3229F"/>
    <w:rsid w:val="00D33D7E"/>
    <w:rsid w:val="00D347A8"/>
    <w:rsid w:val="00D347F4"/>
    <w:rsid w:val="00D34ABC"/>
    <w:rsid w:val="00D35D30"/>
    <w:rsid w:val="00D36307"/>
    <w:rsid w:val="00D37040"/>
    <w:rsid w:val="00D37309"/>
    <w:rsid w:val="00D37811"/>
    <w:rsid w:val="00D4038F"/>
    <w:rsid w:val="00D415D5"/>
    <w:rsid w:val="00D424E4"/>
    <w:rsid w:val="00D42F1C"/>
    <w:rsid w:val="00D431D3"/>
    <w:rsid w:val="00D433FF"/>
    <w:rsid w:val="00D44332"/>
    <w:rsid w:val="00D45A06"/>
    <w:rsid w:val="00D462EB"/>
    <w:rsid w:val="00D4723A"/>
    <w:rsid w:val="00D50666"/>
    <w:rsid w:val="00D5089E"/>
    <w:rsid w:val="00D511BD"/>
    <w:rsid w:val="00D5399F"/>
    <w:rsid w:val="00D53BF4"/>
    <w:rsid w:val="00D53C49"/>
    <w:rsid w:val="00D54031"/>
    <w:rsid w:val="00D54F40"/>
    <w:rsid w:val="00D55908"/>
    <w:rsid w:val="00D566AF"/>
    <w:rsid w:val="00D57012"/>
    <w:rsid w:val="00D60776"/>
    <w:rsid w:val="00D61030"/>
    <w:rsid w:val="00D614E7"/>
    <w:rsid w:val="00D61CBD"/>
    <w:rsid w:val="00D61D0E"/>
    <w:rsid w:val="00D62B10"/>
    <w:rsid w:val="00D64AB6"/>
    <w:rsid w:val="00D64D7F"/>
    <w:rsid w:val="00D65C03"/>
    <w:rsid w:val="00D65E7A"/>
    <w:rsid w:val="00D66259"/>
    <w:rsid w:val="00D70C7C"/>
    <w:rsid w:val="00D716E1"/>
    <w:rsid w:val="00D71BD1"/>
    <w:rsid w:val="00D7400D"/>
    <w:rsid w:val="00D752DA"/>
    <w:rsid w:val="00D76E8E"/>
    <w:rsid w:val="00D77B47"/>
    <w:rsid w:val="00D80A86"/>
    <w:rsid w:val="00D80FAF"/>
    <w:rsid w:val="00D81560"/>
    <w:rsid w:val="00D83EA7"/>
    <w:rsid w:val="00D8471C"/>
    <w:rsid w:val="00D85522"/>
    <w:rsid w:val="00D855CF"/>
    <w:rsid w:val="00D90697"/>
    <w:rsid w:val="00D90EA3"/>
    <w:rsid w:val="00D91282"/>
    <w:rsid w:val="00D92A24"/>
    <w:rsid w:val="00D9347C"/>
    <w:rsid w:val="00D93667"/>
    <w:rsid w:val="00D94B69"/>
    <w:rsid w:val="00D95379"/>
    <w:rsid w:val="00D95494"/>
    <w:rsid w:val="00D95923"/>
    <w:rsid w:val="00D96047"/>
    <w:rsid w:val="00DA030C"/>
    <w:rsid w:val="00DA12C8"/>
    <w:rsid w:val="00DA1EFA"/>
    <w:rsid w:val="00DA1F04"/>
    <w:rsid w:val="00DA2565"/>
    <w:rsid w:val="00DA3207"/>
    <w:rsid w:val="00DA3753"/>
    <w:rsid w:val="00DA5AC6"/>
    <w:rsid w:val="00DA6459"/>
    <w:rsid w:val="00DA65F0"/>
    <w:rsid w:val="00DA74FF"/>
    <w:rsid w:val="00DA7D20"/>
    <w:rsid w:val="00DB0043"/>
    <w:rsid w:val="00DB0EF2"/>
    <w:rsid w:val="00DB1B5B"/>
    <w:rsid w:val="00DB1F80"/>
    <w:rsid w:val="00DB2DB9"/>
    <w:rsid w:val="00DB2F7B"/>
    <w:rsid w:val="00DB3FB3"/>
    <w:rsid w:val="00DB436D"/>
    <w:rsid w:val="00DB4CF5"/>
    <w:rsid w:val="00DB531B"/>
    <w:rsid w:val="00DB54C5"/>
    <w:rsid w:val="00DB5886"/>
    <w:rsid w:val="00DB6187"/>
    <w:rsid w:val="00DB62DE"/>
    <w:rsid w:val="00DB645F"/>
    <w:rsid w:val="00DB7C20"/>
    <w:rsid w:val="00DC076F"/>
    <w:rsid w:val="00DC15C6"/>
    <w:rsid w:val="00DC2289"/>
    <w:rsid w:val="00DC22E6"/>
    <w:rsid w:val="00DC3464"/>
    <w:rsid w:val="00DC37FB"/>
    <w:rsid w:val="00DC569C"/>
    <w:rsid w:val="00DC5A40"/>
    <w:rsid w:val="00DC70CC"/>
    <w:rsid w:val="00DC7404"/>
    <w:rsid w:val="00DC7690"/>
    <w:rsid w:val="00DC78B9"/>
    <w:rsid w:val="00DD02A2"/>
    <w:rsid w:val="00DD07F4"/>
    <w:rsid w:val="00DD08B3"/>
    <w:rsid w:val="00DD0D6B"/>
    <w:rsid w:val="00DD0E5B"/>
    <w:rsid w:val="00DD1088"/>
    <w:rsid w:val="00DD2431"/>
    <w:rsid w:val="00DD2503"/>
    <w:rsid w:val="00DD418D"/>
    <w:rsid w:val="00DD4343"/>
    <w:rsid w:val="00DD4A6A"/>
    <w:rsid w:val="00DD4B6C"/>
    <w:rsid w:val="00DD5C50"/>
    <w:rsid w:val="00DD5DFF"/>
    <w:rsid w:val="00DD6A3C"/>
    <w:rsid w:val="00DD6A93"/>
    <w:rsid w:val="00DD72CF"/>
    <w:rsid w:val="00DD7625"/>
    <w:rsid w:val="00DE0FA5"/>
    <w:rsid w:val="00DE106B"/>
    <w:rsid w:val="00DE2DEF"/>
    <w:rsid w:val="00DE3045"/>
    <w:rsid w:val="00DE327E"/>
    <w:rsid w:val="00DE4BA5"/>
    <w:rsid w:val="00DE70D5"/>
    <w:rsid w:val="00DE728A"/>
    <w:rsid w:val="00DE73FD"/>
    <w:rsid w:val="00DE7437"/>
    <w:rsid w:val="00DF2D6C"/>
    <w:rsid w:val="00DF31BA"/>
    <w:rsid w:val="00DF3469"/>
    <w:rsid w:val="00DF34EC"/>
    <w:rsid w:val="00DF3F0C"/>
    <w:rsid w:val="00DF4F8C"/>
    <w:rsid w:val="00DF5283"/>
    <w:rsid w:val="00DF5D64"/>
    <w:rsid w:val="00DF7238"/>
    <w:rsid w:val="00DF7C56"/>
    <w:rsid w:val="00E00039"/>
    <w:rsid w:val="00E001A6"/>
    <w:rsid w:val="00E0117D"/>
    <w:rsid w:val="00E01215"/>
    <w:rsid w:val="00E016C4"/>
    <w:rsid w:val="00E02EE5"/>
    <w:rsid w:val="00E038C4"/>
    <w:rsid w:val="00E03B84"/>
    <w:rsid w:val="00E04516"/>
    <w:rsid w:val="00E06013"/>
    <w:rsid w:val="00E067FC"/>
    <w:rsid w:val="00E06ECD"/>
    <w:rsid w:val="00E0752F"/>
    <w:rsid w:val="00E07960"/>
    <w:rsid w:val="00E07C37"/>
    <w:rsid w:val="00E10C55"/>
    <w:rsid w:val="00E10E87"/>
    <w:rsid w:val="00E110BC"/>
    <w:rsid w:val="00E11172"/>
    <w:rsid w:val="00E1140D"/>
    <w:rsid w:val="00E11C82"/>
    <w:rsid w:val="00E141AC"/>
    <w:rsid w:val="00E142E7"/>
    <w:rsid w:val="00E14ECC"/>
    <w:rsid w:val="00E1534B"/>
    <w:rsid w:val="00E158E2"/>
    <w:rsid w:val="00E15A33"/>
    <w:rsid w:val="00E1632D"/>
    <w:rsid w:val="00E16407"/>
    <w:rsid w:val="00E20104"/>
    <w:rsid w:val="00E24416"/>
    <w:rsid w:val="00E25684"/>
    <w:rsid w:val="00E2709D"/>
    <w:rsid w:val="00E27736"/>
    <w:rsid w:val="00E27E7C"/>
    <w:rsid w:val="00E300F2"/>
    <w:rsid w:val="00E301F3"/>
    <w:rsid w:val="00E303CC"/>
    <w:rsid w:val="00E3048A"/>
    <w:rsid w:val="00E3167B"/>
    <w:rsid w:val="00E323EE"/>
    <w:rsid w:val="00E32B7A"/>
    <w:rsid w:val="00E32DAB"/>
    <w:rsid w:val="00E33EC6"/>
    <w:rsid w:val="00E35A02"/>
    <w:rsid w:val="00E36282"/>
    <w:rsid w:val="00E3696E"/>
    <w:rsid w:val="00E36C85"/>
    <w:rsid w:val="00E37B7B"/>
    <w:rsid w:val="00E40848"/>
    <w:rsid w:val="00E40C54"/>
    <w:rsid w:val="00E4232F"/>
    <w:rsid w:val="00E428BE"/>
    <w:rsid w:val="00E44627"/>
    <w:rsid w:val="00E44900"/>
    <w:rsid w:val="00E4506F"/>
    <w:rsid w:val="00E4519C"/>
    <w:rsid w:val="00E455DD"/>
    <w:rsid w:val="00E45DBA"/>
    <w:rsid w:val="00E46C51"/>
    <w:rsid w:val="00E473FD"/>
    <w:rsid w:val="00E479DD"/>
    <w:rsid w:val="00E47DF0"/>
    <w:rsid w:val="00E50028"/>
    <w:rsid w:val="00E51D95"/>
    <w:rsid w:val="00E51EAD"/>
    <w:rsid w:val="00E52127"/>
    <w:rsid w:val="00E53E66"/>
    <w:rsid w:val="00E56117"/>
    <w:rsid w:val="00E573F0"/>
    <w:rsid w:val="00E6031F"/>
    <w:rsid w:val="00E60DE1"/>
    <w:rsid w:val="00E61F74"/>
    <w:rsid w:val="00E622A9"/>
    <w:rsid w:val="00E62AFF"/>
    <w:rsid w:val="00E62B6A"/>
    <w:rsid w:val="00E62E6A"/>
    <w:rsid w:val="00E630A8"/>
    <w:rsid w:val="00E631A4"/>
    <w:rsid w:val="00E635F4"/>
    <w:rsid w:val="00E63CD6"/>
    <w:rsid w:val="00E63E9C"/>
    <w:rsid w:val="00E6449D"/>
    <w:rsid w:val="00E64CB2"/>
    <w:rsid w:val="00E656FF"/>
    <w:rsid w:val="00E66156"/>
    <w:rsid w:val="00E66D21"/>
    <w:rsid w:val="00E6747A"/>
    <w:rsid w:val="00E67986"/>
    <w:rsid w:val="00E67C4E"/>
    <w:rsid w:val="00E7027B"/>
    <w:rsid w:val="00E707CD"/>
    <w:rsid w:val="00E71BA9"/>
    <w:rsid w:val="00E71F99"/>
    <w:rsid w:val="00E72A7E"/>
    <w:rsid w:val="00E741A9"/>
    <w:rsid w:val="00E75D23"/>
    <w:rsid w:val="00E76BD1"/>
    <w:rsid w:val="00E77118"/>
    <w:rsid w:val="00E803C6"/>
    <w:rsid w:val="00E807A6"/>
    <w:rsid w:val="00E82C05"/>
    <w:rsid w:val="00E832B2"/>
    <w:rsid w:val="00E83F64"/>
    <w:rsid w:val="00E848DB"/>
    <w:rsid w:val="00E84D43"/>
    <w:rsid w:val="00E858B6"/>
    <w:rsid w:val="00E85BC2"/>
    <w:rsid w:val="00E860D6"/>
    <w:rsid w:val="00E86C0C"/>
    <w:rsid w:val="00E86F19"/>
    <w:rsid w:val="00E86FEC"/>
    <w:rsid w:val="00E90799"/>
    <w:rsid w:val="00E94025"/>
    <w:rsid w:val="00E943F3"/>
    <w:rsid w:val="00E95888"/>
    <w:rsid w:val="00E95A29"/>
    <w:rsid w:val="00E963CE"/>
    <w:rsid w:val="00E96988"/>
    <w:rsid w:val="00E974F6"/>
    <w:rsid w:val="00EA0374"/>
    <w:rsid w:val="00EA128F"/>
    <w:rsid w:val="00EA19B3"/>
    <w:rsid w:val="00EA1EBA"/>
    <w:rsid w:val="00EA26FE"/>
    <w:rsid w:val="00EA2C67"/>
    <w:rsid w:val="00EA3680"/>
    <w:rsid w:val="00EA39C7"/>
    <w:rsid w:val="00EA3FB0"/>
    <w:rsid w:val="00EA4232"/>
    <w:rsid w:val="00EA56CE"/>
    <w:rsid w:val="00EA60D0"/>
    <w:rsid w:val="00EA679A"/>
    <w:rsid w:val="00EA77C3"/>
    <w:rsid w:val="00EA7B5C"/>
    <w:rsid w:val="00EB003D"/>
    <w:rsid w:val="00EB151B"/>
    <w:rsid w:val="00EB1B90"/>
    <w:rsid w:val="00EB35C1"/>
    <w:rsid w:val="00EB3A97"/>
    <w:rsid w:val="00EB3E3E"/>
    <w:rsid w:val="00EB404F"/>
    <w:rsid w:val="00EB4194"/>
    <w:rsid w:val="00EB41A8"/>
    <w:rsid w:val="00EB4B38"/>
    <w:rsid w:val="00EB66B8"/>
    <w:rsid w:val="00EB6C91"/>
    <w:rsid w:val="00EB769F"/>
    <w:rsid w:val="00EB7868"/>
    <w:rsid w:val="00EB790D"/>
    <w:rsid w:val="00EC0778"/>
    <w:rsid w:val="00EC1B74"/>
    <w:rsid w:val="00EC1FE1"/>
    <w:rsid w:val="00EC2353"/>
    <w:rsid w:val="00EC345A"/>
    <w:rsid w:val="00EC3AE0"/>
    <w:rsid w:val="00EC40CD"/>
    <w:rsid w:val="00EC456A"/>
    <w:rsid w:val="00EC46E9"/>
    <w:rsid w:val="00EC5136"/>
    <w:rsid w:val="00EC65BB"/>
    <w:rsid w:val="00EC6FF6"/>
    <w:rsid w:val="00EC7289"/>
    <w:rsid w:val="00EC753C"/>
    <w:rsid w:val="00EC78A0"/>
    <w:rsid w:val="00EC7AE7"/>
    <w:rsid w:val="00ED03E1"/>
    <w:rsid w:val="00ED24AC"/>
    <w:rsid w:val="00ED2CE0"/>
    <w:rsid w:val="00ED355F"/>
    <w:rsid w:val="00ED4BAE"/>
    <w:rsid w:val="00ED62E3"/>
    <w:rsid w:val="00ED645C"/>
    <w:rsid w:val="00ED6E2D"/>
    <w:rsid w:val="00ED7094"/>
    <w:rsid w:val="00ED74C8"/>
    <w:rsid w:val="00ED78BA"/>
    <w:rsid w:val="00ED78EC"/>
    <w:rsid w:val="00ED7FE9"/>
    <w:rsid w:val="00EE13BD"/>
    <w:rsid w:val="00EE1EE6"/>
    <w:rsid w:val="00EE1EEA"/>
    <w:rsid w:val="00EE1EF7"/>
    <w:rsid w:val="00EE23DF"/>
    <w:rsid w:val="00EE4CDF"/>
    <w:rsid w:val="00EE51C1"/>
    <w:rsid w:val="00EE6934"/>
    <w:rsid w:val="00EE79C2"/>
    <w:rsid w:val="00EF009C"/>
    <w:rsid w:val="00EF0151"/>
    <w:rsid w:val="00EF03D6"/>
    <w:rsid w:val="00EF0463"/>
    <w:rsid w:val="00EF0693"/>
    <w:rsid w:val="00EF0AF3"/>
    <w:rsid w:val="00EF0D50"/>
    <w:rsid w:val="00EF257A"/>
    <w:rsid w:val="00EF38AE"/>
    <w:rsid w:val="00EF52F8"/>
    <w:rsid w:val="00EF55F3"/>
    <w:rsid w:val="00EF5DEA"/>
    <w:rsid w:val="00EF677A"/>
    <w:rsid w:val="00EF6DA1"/>
    <w:rsid w:val="00EF759A"/>
    <w:rsid w:val="00F00D72"/>
    <w:rsid w:val="00F00F7A"/>
    <w:rsid w:val="00F0209D"/>
    <w:rsid w:val="00F023E0"/>
    <w:rsid w:val="00F02558"/>
    <w:rsid w:val="00F03B5C"/>
    <w:rsid w:val="00F03CD4"/>
    <w:rsid w:val="00F04075"/>
    <w:rsid w:val="00F05606"/>
    <w:rsid w:val="00F0750F"/>
    <w:rsid w:val="00F075B7"/>
    <w:rsid w:val="00F07901"/>
    <w:rsid w:val="00F07999"/>
    <w:rsid w:val="00F1007A"/>
    <w:rsid w:val="00F109F5"/>
    <w:rsid w:val="00F113C9"/>
    <w:rsid w:val="00F11858"/>
    <w:rsid w:val="00F132FA"/>
    <w:rsid w:val="00F143B3"/>
    <w:rsid w:val="00F14E25"/>
    <w:rsid w:val="00F15F5B"/>
    <w:rsid w:val="00F1642A"/>
    <w:rsid w:val="00F2064F"/>
    <w:rsid w:val="00F21A01"/>
    <w:rsid w:val="00F22A44"/>
    <w:rsid w:val="00F2396A"/>
    <w:rsid w:val="00F240E9"/>
    <w:rsid w:val="00F250D7"/>
    <w:rsid w:val="00F25545"/>
    <w:rsid w:val="00F2568F"/>
    <w:rsid w:val="00F263B2"/>
    <w:rsid w:val="00F26968"/>
    <w:rsid w:val="00F269BC"/>
    <w:rsid w:val="00F27D8C"/>
    <w:rsid w:val="00F30743"/>
    <w:rsid w:val="00F30938"/>
    <w:rsid w:val="00F31D36"/>
    <w:rsid w:val="00F326EF"/>
    <w:rsid w:val="00F330F9"/>
    <w:rsid w:val="00F33676"/>
    <w:rsid w:val="00F33F67"/>
    <w:rsid w:val="00F3457C"/>
    <w:rsid w:val="00F367D7"/>
    <w:rsid w:val="00F40B08"/>
    <w:rsid w:val="00F40E2B"/>
    <w:rsid w:val="00F411B9"/>
    <w:rsid w:val="00F41C8E"/>
    <w:rsid w:val="00F425A7"/>
    <w:rsid w:val="00F42C18"/>
    <w:rsid w:val="00F431C8"/>
    <w:rsid w:val="00F434B8"/>
    <w:rsid w:val="00F4440E"/>
    <w:rsid w:val="00F44C73"/>
    <w:rsid w:val="00F44F6E"/>
    <w:rsid w:val="00F45171"/>
    <w:rsid w:val="00F45FA4"/>
    <w:rsid w:val="00F460BB"/>
    <w:rsid w:val="00F4612A"/>
    <w:rsid w:val="00F471EA"/>
    <w:rsid w:val="00F5013F"/>
    <w:rsid w:val="00F50419"/>
    <w:rsid w:val="00F5071C"/>
    <w:rsid w:val="00F50FEB"/>
    <w:rsid w:val="00F518EF"/>
    <w:rsid w:val="00F540D5"/>
    <w:rsid w:val="00F54611"/>
    <w:rsid w:val="00F548DF"/>
    <w:rsid w:val="00F55010"/>
    <w:rsid w:val="00F55135"/>
    <w:rsid w:val="00F5633C"/>
    <w:rsid w:val="00F5732E"/>
    <w:rsid w:val="00F57A07"/>
    <w:rsid w:val="00F623F0"/>
    <w:rsid w:val="00F627B5"/>
    <w:rsid w:val="00F629DF"/>
    <w:rsid w:val="00F63069"/>
    <w:rsid w:val="00F65BC8"/>
    <w:rsid w:val="00F65F24"/>
    <w:rsid w:val="00F66DE5"/>
    <w:rsid w:val="00F67315"/>
    <w:rsid w:val="00F67C54"/>
    <w:rsid w:val="00F71007"/>
    <w:rsid w:val="00F7114A"/>
    <w:rsid w:val="00F727EA"/>
    <w:rsid w:val="00F74382"/>
    <w:rsid w:val="00F762EA"/>
    <w:rsid w:val="00F76FF6"/>
    <w:rsid w:val="00F7742A"/>
    <w:rsid w:val="00F77447"/>
    <w:rsid w:val="00F813B2"/>
    <w:rsid w:val="00F81B8A"/>
    <w:rsid w:val="00F826A1"/>
    <w:rsid w:val="00F82764"/>
    <w:rsid w:val="00F83C33"/>
    <w:rsid w:val="00F8429B"/>
    <w:rsid w:val="00F84BF2"/>
    <w:rsid w:val="00F86255"/>
    <w:rsid w:val="00F87B55"/>
    <w:rsid w:val="00F87EB9"/>
    <w:rsid w:val="00F87FA5"/>
    <w:rsid w:val="00F90687"/>
    <w:rsid w:val="00F91584"/>
    <w:rsid w:val="00F92BE3"/>
    <w:rsid w:val="00F92ED6"/>
    <w:rsid w:val="00F9345E"/>
    <w:rsid w:val="00F93D29"/>
    <w:rsid w:val="00F93ED3"/>
    <w:rsid w:val="00F94583"/>
    <w:rsid w:val="00F959E9"/>
    <w:rsid w:val="00F9657C"/>
    <w:rsid w:val="00F96649"/>
    <w:rsid w:val="00F9700A"/>
    <w:rsid w:val="00F979E0"/>
    <w:rsid w:val="00FA0033"/>
    <w:rsid w:val="00FA0D6F"/>
    <w:rsid w:val="00FA1B26"/>
    <w:rsid w:val="00FA1FF3"/>
    <w:rsid w:val="00FA2A53"/>
    <w:rsid w:val="00FA2E7B"/>
    <w:rsid w:val="00FA385E"/>
    <w:rsid w:val="00FA3FF2"/>
    <w:rsid w:val="00FA4280"/>
    <w:rsid w:val="00FA4500"/>
    <w:rsid w:val="00FA56D1"/>
    <w:rsid w:val="00FA56FC"/>
    <w:rsid w:val="00FA6926"/>
    <w:rsid w:val="00FA726F"/>
    <w:rsid w:val="00FA79BC"/>
    <w:rsid w:val="00FA7B50"/>
    <w:rsid w:val="00FA7ECA"/>
    <w:rsid w:val="00FB0292"/>
    <w:rsid w:val="00FB03A4"/>
    <w:rsid w:val="00FB1266"/>
    <w:rsid w:val="00FB144C"/>
    <w:rsid w:val="00FB1815"/>
    <w:rsid w:val="00FB274A"/>
    <w:rsid w:val="00FB2F37"/>
    <w:rsid w:val="00FB31AF"/>
    <w:rsid w:val="00FB342A"/>
    <w:rsid w:val="00FB3787"/>
    <w:rsid w:val="00FB399A"/>
    <w:rsid w:val="00FB52F7"/>
    <w:rsid w:val="00FB56B8"/>
    <w:rsid w:val="00FB5D98"/>
    <w:rsid w:val="00FB5F9C"/>
    <w:rsid w:val="00FB68EC"/>
    <w:rsid w:val="00FC2950"/>
    <w:rsid w:val="00FC3ABE"/>
    <w:rsid w:val="00FC3DAC"/>
    <w:rsid w:val="00FC49C3"/>
    <w:rsid w:val="00FC5B9F"/>
    <w:rsid w:val="00FC5C23"/>
    <w:rsid w:val="00FC6765"/>
    <w:rsid w:val="00FC6ABB"/>
    <w:rsid w:val="00FC7B29"/>
    <w:rsid w:val="00FD1F22"/>
    <w:rsid w:val="00FD26F4"/>
    <w:rsid w:val="00FD2832"/>
    <w:rsid w:val="00FD4AFE"/>
    <w:rsid w:val="00FD5AB1"/>
    <w:rsid w:val="00FD67F1"/>
    <w:rsid w:val="00FD6A9C"/>
    <w:rsid w:val="00FD6AFE"/>
    <w:rsid w:val="00FD6F5B"/>
    <w:rsid w:val="00FD6FBD"/>
    <w:rsid w:val="00FD76DC"/>
    <w:rsid w:val="00FE0E79"/>
    <w:rsid w:val="00FE10C5"/>
    <w:rsid w:val="00FE2140"/>
    <w:rsid w:val="00FE26FF"/>
    <w:rsid w:val="00FE279D"/>
    <w:rsid w:val="00FE3479"/>
    <w:rsid w:val="00FE348B"/>
    <w:rsid w:val="00FE34C8"/>
    <w:rsid w:val="00FE4023"/>
    <w:rsid w:val="00FE42AA"/>
    <w:rsid w:val="00FE4F89"/>
    <w:rsid w:val="00FE50F2"/>
    <w:rsid w:val="00FE67E1"/>
    <w:rsid w:val="00FE79D5"/>
    <w:rsid w:val="00FF023F"/>
    <w:rsid w:val="00FF0330"/>
    <w:rsid w:val="00FF132B"/>
    <w:rsid w:val="00FF1B7D"/>
    <w:rsid w:val="00FF26D4"/>
    <w:rsid w:val="00FF56F5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DBC2FF-1400-4E34-B49B-D48613DA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1D3D58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rsid w:val="001D3D58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0"/>
    <w:uiPriority w:val="99"/>
    <w:unhideWhenUsed/>
    <w:rsid w:val="00913F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13F6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13F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13F6F"/>
    <w:rPr>
      <w:sz w:val="18"/>
      <w:szCs w:val="18"/>
    </w:rPr>
  </w:style>
  <w:style w:type="character" w:styleId="a6">
    <w:name w:val="Hyperlink"/>
    <w:basedOn w:val="a0"/>
    <w:uiPriority w:val="99"/>
    <w:unhideWhenUsed/>
    <w:rsid w:val="00EC7AE7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2305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4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636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3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6C513-A563-4A28-A8C0-F9800936F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2131</TotalTime>
  <Pages>93</Pages>
  <Words>33627</Words>
  <Characters>191679</Characters>
  <Application>Microsoft Office Word</Application>
  <DocSecurity>0</DocSecurity>
  <Lines>1597</Lines>
  <Paragraphs>449</Paragraphs>
  <ScaleCrop>false</ScaleCrop>
  <Company/>
  <LinksUpToDate>false</LinksUpToDate>
  <CharactersWithSpaces>224857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bnds</dc:creator>
  <cp:keywords/>
  <dc:description/>
  <cp:lastModifiedBy>bnds</cp:lastModifiedBy>
  <cp:revision>444</cp:revision>
  <dcterms:created xsi:type="dcterms:W3CDTF">2025-10-11T03:52:00Z</dcterms:created>
  <dcterms:modified xsi:type="dcterms:W3CDTF">2026-08-24T06:59:00Z</dcterms:modified>
</cp:coreProperties>
</file>