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E5D" w:rsidRPr="00842D92" w:rsidRDefault="002D1E5D" w:rsidP="002D1E5D">
      <w:pPr>
        <w:spacing w:line="360" w:lineRule="auto"/>
        <w:jc w:val="center"/>
        <w:rPr>
          <w:rFonts w:ascii="宋体" w:eastAsia="宋体" w:hAnsi="宋体" w:cs="宋体"/>
          <w:b/>
          <w:sz w:val="28"/>
          <w:szCs w:val="28"/>
        </w:rPr>
      </w:pPr>
      <w:r w:rsidRPr="00842D92">
        <w:rPr>
          <w:rFonts w:ascii="宋体" w:eastAsia="宋体" w:hAnsi="宋体" w:cs="宋体" w:hint="eastAsia"/>
          <w:b/>
          <w:sz w:val="28"/>
          <w:szCs w:val="28"/>
        </w:rPr>
        <w:t>202</w:t>
      </w:r>
      <w:r w:rsidR="001148A1">
        <w:rPr>
          <w:rFonts w:ascii="宋体" w:eastAsia="宋体" w:hAnsi="宋体" w:cs="宋体"/>
          <w:b/>
          <w:sz w:val="28"/>
          <w:szCs w:val="28"/>
        </w:rPr>
        <w:t>6</w:t>
      </w:r>
      <w:r w:rsidRPr="00842D92">
        <w:rPr>
          <w:rFonts w:ascii="宋体" w:eastAsia="宋体" w:hAnsi="宋体" w:cs="宋体" w:hint="eastAsia"/>
          <w:b/>
          <w:sz w:val="28"/>
          <w:szCs w:val="28"/>
        </w:rPr>
        <w:t>年第</w:t>
      </w:r>
      <w:r w:rsidR="009C7953">
        <w:rPr>
          <w:rFonts w:ascii="宋体" w:eastAsia="宋体" w:hAnsi="宋体" w:cs="宋体"/>
          <w:b/>
          <w:sz w:val="28"/>
          <w:szCs w:val="28"/>
        </w:rPr>
        <w:t>3</w:t>
      </w:r>
      <w:r w:rsidR="00AE1F7A">
        <w:rPr>
          <w:rFonts w:ascii="宋体" w:eastAsia="宋体" w:hAnsi="宋体" w:cs="宋体"/>
          <w:b/>
          <w:sz w:val="28"/>
          <w:szCs w:val="28"/>
        </w:rPr>
        <w:t>3</w:t>
      </w:r>
      <w:r w:rsidRPr="00842D92">
        <w:rPr>
          <w:rFonts w:ascii="宋体" w:eastAsia="宋体" w:hAnsi="宋体" w:cs="宋体" w:hint="eastAsia"/>
          <w:b/>
          <w:sz w:val="28"/>
          <w:szCs w:val="28"/>
        </w:rPr>
        <w:t>周</w:t>
      </w:r>
    </w:p>
    <w:p w:rsidR="002D1E5D" w:rsidRPr="00842D92" w:rsidRDefault="00B45EF4" w:rsidP="002D1E5D">
      <w:pPr>
        <w:spacing w:line="360" w:lineRule="auto"/>
        <w:jc w:val="center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中国</w:t>
      </w:r>
      <w:r w:rsidR="002D1E5D" w:rsidRPr="00842D92">
        <w:rPr>
          <w:rFonts w:ascii="宋体" w:eastAsia="宋体" w:hAnsi="宋体" w:cs="宋体" w:hint="eastAsia"/>
          <w:b/>
          <w:sz w:val="28"/>
          <w:szCs w:val="28"/>
        </w:rPr>
        <w:t>大陆学者发表的结核病英文文章摘要</w:t>
      </w:r>
    </w:p>
    <w:p w:rsidR="002D1E5D" w:rsidRPr="00842D92" w:rsidRDefault="002D1E5D" w:rsidP="002D1E5D">
      <w:pPr>
        <w:spacing w:line="360" w:lineRule="auto"/>
        <w:jc w:val="center"/>
        <w:rPr>
          <w:rFonts w:ascii="宋体" w:eastAsia="宋体" w:hAnsi="宋体" w:cs="宋体"/>
          <w:b/>
          <w:sz w:val="28"/>
          <w:szCs w:val="28"/>
        </w:rPr>
      </w:pPr>
      <w:r w:rsidRPr="00842D92">
        <w:rPr>
          <w:rFonts w:ascii="宋体" w:eastAsia="宋体" w:hAnsi="宋体" w:cs="宋体" w:hint="eastAsia"/>
          <w:b/>
          <w:sz w:val="28"/>
          <w:szCs w:val="28"/>
        </w:rPr>
        <w:t>（</w:t>
      </w:r>
      <w:r w:rsidR="00F30181">
        <w:rPr>
          <w:rFonts w:ascii="宋体" w:eastAsia="宋体" w:hAnsi="宋体" w:cs="宋体" w:hint="eastAsia"/>
          <w:b/>
          <w:sz w:val="28"/>
          <w:szCs w:val="28"/>
        </w:rPr>
        <w:t>3</w:t>
      </w:r>
      <w:r w:rsidR="00F30181">
        <w:rPr>
          <w:rFonts w:ascii="宋体" w:eastAsia="宋体" w:hAnsi="宋体" w:cs="宋体"/>
          <w:b/>
          <w:sz w:val="28"/>
          <w:szCs w:val="28"/>
        </w:rPr>
        <w:t>8</w:t>
      </w:r>
      <w:r w:rsidRPr="00842D92">
        <w:rPr>
          <w:rFonts w:ascii="宋体" w:eastAsia="宋体" w:hAnsi="宋体" w:cs="宋体" w:hint="eastAsia"/>
          <w:b/>
          <w:sz w:val="28"/>
          <w:szCs w:val="28"/>
        </w:rPr>
        <w:t>篇）</w:t>
      </w:r>
    </w:p>
    <w:p w:rsidR="002D1E5D" w:rsidRPr="003F76D8" w:rsidRDefault="002D1E5D" w:rsidP="002D1E5D">
      <w:pPr>
        <w:jc w:val="left"/>
        <w:rPr>
          <w:rFonts w:ascii="宋体" w:eastAsia="宋体" w:hAnsi="宋体" w:cs="宋体"/>
          <w:szCs w:val="24"/>
        </w:rPr>
      </w:pPr>
    </w:p>
    <w:p w:rsidR="002D1E5D" w:rsidRPr="00842D92" w:rsidRDefault="002D1E5D" w:rsidP="002D1E5D">
      <w:pPr>
        <w:jc w:val="left"/>
        <w:rPr>
          <w:rFonts w:ascii="宋体" w:eastAsia="宋体" w:hAnsi="宋体" w:cs="宋体"/>
          <w:b/>
          <w:color w:val="FF0000"/>
          <w:szCs w:val="24"/>
        </w:rPr>
      </w:pPr>
      <w:r w:rsidRPr="00842D92">
        <w:rPr>
          <w:rFonts w:ascii="宋体" w:eastAsia="宋体" w:hAnsi="宋体" w:cs="宋体" w:hint="eastAsia"/>
          <w:b/>
          <w:color w:val="FF0000"/>
          <w:szCs w:val="24"/>
        </w:rPr>
        <w:t>PubMed  Publication date: 202</w:t>
      </w:r>
      <w:r w:rsidR="00A73204">
        <w:rPr>
          <w:rFonts w:ascii="宋体" w:eastAsia="宋体" w:hAnsi="宋体" w:cs="宋体"/>
          <w:b/>
          <w:color w:val="FF0000"/>
          <w:szCs w:val="24"/>
        </w:rPr>
        <w:t>6</w:t>
      </w:r>
      <w:r w:rsidR="000E3E6F" w:rsidRPr="00842D92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F4058A">
        <w:rPr>
          <w:rFonts w:ascii="宋体" w:eastAsia="宋体" w:hAnsi="宋体" w:cs="宋体"/>
          <w:b/>
          <w:color w:val="FF0000"/>
          <w:szCs w:val="24"/>
        </w:rPr>
        <w:t>8</w:t>
      </w:r>
      <w:r w:rsidRPr="00842D92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AE1F7A">
        <w:rPr>
          <w:rFonts w:ascii="宋体" w:eastAsia="宋体" w:hAnsi="宋体" w:cs="宋体"/>
          <w:b/>
          <w:color w:val="FF0000"/>
          <w:szCs w:val="24"/>
        </w:rPr>
        <w:t>10</w:t>
      </w:r>
      <w:r w:rsidRPr="00842D92">
        <w:rPr>
          <w:rFonts w:ascii="宋体" w:eastAsia="宋体" w:hAnsi="宋体" w:cs="宋体" w:hint="eastAsia"/>
          <w:b/>
          <w:color w:val="FF0000"/>
          <w:szCs w:val="24"/>
        </w:rPr>
        <w:t>---202</w:t>
      </w:r>
      <w:r w:rsidR="001148A1">
        <w:rPr>
          <w:rFonts w:ascii="宋体" w:eastAsia="宋体" w:hAnsi="宋体" w:cs="宋体"/>
          <w:b/>
          <w:color w:val="FF0000"/>
          <w:szCs w:val="24"/>
        </w:rPr>
        <w:t>6</w:t>
      </w:r>
      <w:r w:rsidRPr="00842D92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0B73F6">
        <w:rPr>
          <w:rFonts w:ascii="宋体" w:eastAsia="宋体" w:hAnsi="宋体" w:cs="宋体"/>
          <w:b/>
          <w:color w:val="FF0000"/>
          <w:szCs w:val="24"/>
        </w:rPr>
        <w:t>8</w:t>
      </w:r>
      <w:r w:rsidRPr="00842D92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AE1F7A">
        <w:rPr>
          <w:rFonts w:ascii="宋体" w:eastAsia="宋体" w:hAnsi="宋体" w:cs="宋体"/>
          <w:b/>
          <w:color w:val="FF0000"/>
          <w:szCs w:val="24"/>
        </w:rPr>
        <w:t>16</w:t>
      </w:r>
    </w:p>
    <w:p w:rsidR="002D1E5D" w:rsidRDefault="002D1E5D" w:rsidP="002D1E5D">
      <w:pPr>
        <w:jc w:val="left"/>
        <w:rPr>
          <w:rFonts w:ascii="宋体" w:eastAsia="宋体" w:hAnsi="宋体" w:cs="宋体"/>
          <w:b/>
          <w:color w:val="FF0000"/>
          <w:szCs w:val="21"/>
        </w:rPr>
      </w:pPr>
      <w:r w:rsidRPr="00842D92">
        <w:rPr>
          <w:rFonts w:ascii="宋体" w:eastAsia="宋体" w:hAnsi="宋体" w:cs="宋体" w:hint="eastAsia"/>
          <w:b/>
          <w:color w:val="FF0000"/>
          <w:szCs w:val="21"/>
        </w:rPr>
        <w:t>(tuberculosis[Title/Abstract]) AND (English[Language]) AND</w:t>
      </w:r>
      <w:r w:rsidRPr="00842D92">
        <w:rPr>
          <w:rFonts w:ascii="宋体" w:eastAsia="宋体" w:hAnsi="宋体" w:cs="宋体"/>
          <w:b/>
          <w:color w:val="FF0000"/>
          <w:szCs w:val="21"/>
        </w:rPr>
        <w:t xml:space="preserve"> </w:t>
      </w:r>
      <w:r w:rsidRPr="00842D92">
        <w:rPr>
          <w:rFonts w:ascii="宋体" w:eastAsia="宋体" w:hAnsi="宋体" w:cs="宋体" w:hint="eastAsia"/>
          <w:b/>
          <w:color w:val="FF0000"/>
          <w:szCs w:val="21"/>
        </w:rPr>
        <w:t>(China[Affiliation])</w:t>
      </w:r>
    </w:p>
    <w:p w:rsidR="00E42EE8" w:rsidRDefault="00E42EE8" w:rsidP="002D1E5D">
      <w:pPr>
        <w:jc w:val="left"/>
        <w:rPr>
          <w:rFonts w:ascii="宋体" w:eastAsia="宋体" w:hAnsi="宋体" w:cs="宋体"/>
          <w:b/>
          <w:color w:val="FF0000"/>
          <w:szCs w:val="21"/>
        </w:rPr>
      </w:pPr>
    </w:p>
    <w:p w:rsidR="00C11296" w:rsidRPr="00C11296" w:rsidRDefault="00C11296" w:rsidP="00C11296">
      <w:pPr>
        <w:rPr>
          <w:rFonts w:ascii="宋体" w:eastAsia="宋体" w:hAnsi="宋体" w:cs="宋体"/>
          <w:b/>
          <w:color w:val="FF0000"/>
          <w:szCs w:val="24"/>
        </w:rPr>
      </w:pPr>
      <w:r w:rsidRPr="00C11296">
        <w:rPr>
          <w:rFonts w:ascii="宋体" w:eastAsia="宋体" w:hAnsi="宋体" w:cs="宋体"/>
          <w:b/>
          <w:color w:val="FF0000"/>
          <w:szCs w:val="24"/>
        </w:rPr>
        <w:t xml:space="preserve">1. Case Rep Surg. 2026 Aug 8;2026:3676762. doi: 10.1155/cris/3676762. eCollection </w:t>
      </w:r>
    </w:p>
    <w:p w:rsidR="00C11296" w:rsidRPr="00C11296" w:rsidRDefault="00C11296" w:rsidP="00C11296">
      <w:pPr>
        <w:rPr>
          <w:rFonts w:ascii="宋体" w:eastAsia="宋体" w:hAnsi="宋体" w:cs="宋体"/>
          <w:b/>
          <w:color w:val="FF0000"/>
          <w:szCs w:val="24"/>
        </w:rPr>
      </w:pPr>
      <w:r w:rsidRPr="00C11296">
        <w:rPr>
          <w:rFonts w:ascii="宋体" w:eastAsia="宋体" w:hAnsi="宋体" w:cs="宋体"/>
          <w:b/>
          <w:color w:val="FF0000"/>
          <w:szCs w:val="24"/>
        </w:rPr>
        <w:t>2026.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Isolated Testicular Tuberculosis Mimicking a Testicular Tumor: A Case Report and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Review of the Literature.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Zhan TP(1), Li XS(1), Shang PF(1).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</w:p>
    <w:p w:rsidR="00C11296" w:rsidRPr="00C11296" w:rsidRDefault="00C11296" w:rsidP="00C11296">
      <w:pPr>
        <w:rPr>
          <w:rFonts w:ascii="宋体" w:eastAsia="宋体" w:hAnsi="宋体" w:cs="宋体"/>
          <w:b/>
          <w:color w:val="0070C0"/>
          <w:szCs w:val="24"/>
        </w:rPr>
      </w:pPr>
      <w:r w:rsidRPr="00C11296">
        <w:rPr>
          <w:rFonts w:ascii="宋体" w:eastAsia="宋体" w:hAnsi="宋体" w:cs="宋体"/>
          <w:b/>
          <w:color w:val="0070C0"/>
          <w:szCs w:val="24"/>
        </w:rPr>
        <w:t>Tian-Peng Zhan, Xiao-Shan Li, Pan-Feng Shang</w:t>
      </w:r>
      <w:r w:rsidR="00B3759C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C11296" w:rsidRPr="00B3759C" w:rsidRDefault="00B3759C" w:rsidP="00C11296">
      <w:pPr>
        <w:rPr>
          <w:rFonts w:ascii="宋体" w:eastAsia="宋体" w:hAnsi="宋体" w:cs="宋体"/>
          <w:b/>
          <w:color w:val="0070C0"/>
          <w:szCs w:val="24"/>
        </w:rPr>
      </w:pPr>
      <w:r w:rsidRPr="00B3759C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B3759C">
        <w:rPr>
          <w:rFonts w:ascii="宋体" w:eastAsia="宋体" w:hAnsi="宋体" w:cs="宋体"/>
          <w:b/>
          <w:color w:val="0070C0"/>
          <w:szCs w:val="24"/>
        </w:rPr>
        <w:t>Correspondence: Pan-feng Shang</w:t>
      </w:r>
      <w:r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B3759C">
        <w:rPr>
          <w:rFonts w:ascii="宋体" w:eastAsia="宋体" w:hAnsi="宋体" w:cs="宋体"/>
          <w:b/>
          <w:color w:val="0070C0"/>
          <w:szCs w:val="24"/>
        </w:rPr>
        <w:t>(shangpf@lzu.edu.cn)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(1)Department of Urology, The Second Hospital and Clinical Medical School,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Lanzhou University, Lanzhou 730030, Gansu, China, lzu.edu.cn.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Testicular tuberculosis is a rare form of extrapulmonary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tuberculosis (EPTB). Due to the nonspecific nature of its clinical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manifestations and imaging features, it is often misdiagnosed as a malignant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testicular tumor, leading to unnecessary radical orchiectomy. Accurate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preoperative diagnosis is essential for organ preservation and appropriate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antituberculous therapy.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b/>
          <w:color w:val="000000" w:themeColor="text1"/>
          <w:szCs w:val="24"/>
        </w:rPr>
        <w:t>CASE:</w:t>
      </w: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 A 59</w:t>
      </w:r>
      <w:r w:rsidRPr="00C11296">
        <w:rPr>
          <w:rFonts w:ascii="MS Gothic" w:eastAsia="MS Gothic" w:hAnsi="MS Gothic" w:cs="MS Gothic"/>
          <w:color w:val="000000" w:themeColor="text1"/>
          <w:szCs w:val="24"/>
        </w:rPr>
        <w:t>‑</w:t>
      </w:r>
      <w:r w:rsidRPr="00C11296">
        <w:rPr>
          <w:rFonts w:ascii="宋体" w:eastAsia="宋体" w:hAnsi="宋体" w:cs="宋体"/>
          <w:color w:val="000000" w:themeColor="text1"/>
          <w:szCs w:val="24"/>
        </w:rPr>
        <w:t>year</w:t>
      </w:r>
      <w:r w:rsidRPr="00C11296">
        <w:rPr>
          <w:rFonts w:ascii="MS Gothic" w:eastAsia="MS Gothic" w:hAnsi="MS Gothic" w:cs="MS Gothic"/>
          <w:color w:val="000000" w:themeColor="text1"/>
          <w:szCs w:val="24"/>
        </w:rPr>
        <w:t>‑</w:t>
      </w:r>
      <w:r w:rsidRPr="00C11296">
        <w:rPr>
          <w:rFonts w:ascii="宋体" w:eastAsia="宋体" w:hAnsi="宋体" w:cs="宋体"/>
          <w:color w:val="000000" w:themeColor="text1"/>
          <w:szCs w:val="24"/>
        </w:rPr>
        <w:t>old male patient was admitted with a 4</w:t>
      </w:r>
      <w:r w:rsidRPr="00C11296">
        <w:rPr>
          <w:rFonts w:ascii="MS Gothic" w:eastAsia="MS Gothic" w:hAnsi="MS Gothic" w:cs="MS Gothic"/>
          <w:color w:val="000000" w:themeColor="text1"/>
          <w:szCs w:val="24"/>
        </w:rPr>
        <w:t>‑</w:t>
      </w: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day history of left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testicular enlargement. Pre</w:t>
      </w:r>
      <w:r w:rsidRPr="00C11296">
        <w:rPr>
          <w:rFonts w:ascii="MS Gothic" w:eastAsia="MS Gothic" w:hAnsi="MS Gothic" w:cs="MS Gothic"/>
          <w:color w:val="000000" w:themeColor="text1"/>
          <w:szCs w:val="24"/>
        </w:rPr>
        <w:t>‑</w:t>
      </w: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admission ultrasonography suggested "a solid mass in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the left testicle, suspected seminoma." Physical examination revealed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enlargement of the left testicle with moderate consistency. Scrotal ultrasound,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contrast</w:t>
      </w:r>
      <w:r w:rsidRPr="00C11296">
        <w:rPr>
          <w:rFonts w:ascii="MS Gothic" w:eastAsia="MS Gothic" w:hAnsi="MS Gothic" w:cs="MS Gothic"/>
          <w:color w:val="000000" w:themeColor="text1"/>
          <w:szCs w:val="24"/>
        </w:rPr>
        <w:t>‑</w:t>
      </w: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enhanced ultrasound, and enhanced CT all supported the diagnosis of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testicular malignancy. The patient underwent left radical orchiectomy. However,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postoperative pathology revealed extensive acute and chronic inflammatory cell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infiltration, caseous necrosis, and granulomatous inflammation within the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testicular tissue, consistent with tuberculous pathology. The final pathological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diagnosis was "left testicular tuberculosis."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 Testicular tuberculosis is an important differential diagnosis for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testicular tumors. Despite advances in modern imaging techniques, atypical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presentation remains highly prone to misdiagnosis. Clinicians should maintain a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high index of suspicion for testicular tuberculosis in patients with atypical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clinical and imaging findings of testicular masses. When feasible, obtaining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tissue samples for histopathological and molecular examination preoperatively or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intraoperatively may be crucial in avoiding unnecessary orchiectomy and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achieving organ preservation.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Copyright © 2026 Tian-peng Zhan et al. Case Reports in Surgery published by John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Wiley &amp; Sons Ltd.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DOI: 10.1155/cris/3676762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PMCID: PMC13451962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PMID: 42571306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</w:p>
    <w:p w:rsidR="00C11296" w:rsidRPr="00C11296" w:rsidRDefault="00C11296" w:rsidP="00C11296">
      <w:pPr>
        <w:rPr>
          <w:rFonts w:ascii="宋体" w:eastAsia="宋体" w:hAnsi="宋体" w:cs="宋体"/>
          <w:b/>
          <w:color w:val="FF0000"/>
          <w:szCs w:val="24"/>
        </w:rPr>
      </w:pPr>
      <w:r w:rsidRPr="00C11296">
        <w:rPr>
          <w:rFonts w:ascii="宋体" w:eastAsia="宋体" w:hAnsi="宋体" w:cs="宋体"/>
          <w:b/>
          <w:color w:val="FF0000"/>
          <w:szCs w:val="24"/>
        </w:rPr>
        <w:t xml:space="preserve">2. Digit Health. 2026 Aug 7;12:20552076261472569. doi: 10.1177/20552076261472569. </w:t>
      </w:r>
    </w:p>
    <w:p w:rsidR="00C11296" w:rsidRPr="00C11296" w:rsidRDefault="00C11296" w:rsidP="00C11296">
      <w:pPr>
        <w:rPr>
          <w:rFonts w:ascii="宋体" w:eastAsia="宋体" w:hAnsi="宋体" w:cs="宋体"/>
          <w:b/>
          <w:color w:val="FF0000"/>
          <w:szCs w:val="24"/>
        </w:rPr>
      </w:pPr>
      <w:r w:rsidRPr="00C11296">
        <w:rPr>
          <w:rFonts w:ascii="宋体" w:eastAsia="宋体" w:hAnsi="宋体" w:cs="宋体"/>
          <w:b/>
          <w:color w:val="FF0000"/>
          <w:szCs w:val="24"/>
        </w:rPr>
        <w:t>eCollection 2026 Jan-Dec.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Feasibility of LLM-assisted post-discharge tuberculosis care: A comparative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study of medication counseling, patient education, and follow-up planning.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He W(1), Liao J(2), Pan H(2), Zhang L(3), Li X(4), Huang J(5), Liu Z(5), Ke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X(5), Li J(5), Li X(5), Zheng J(6), Cai H(2), Chang J(2), Li G(5).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</w:p>
    <w:p w:rsidR="00C11296" w:rsidRPr="00C11296" w:rsidRDefault="00C11296" w:rsidP="00C11296">
      <w:pPr>
        <w:rPr>
          <w:rFonts w:ascii="宋体" w:eastAsia="宋体" w:hAnsi="宋体" w:cs="宋体"/>
          <w:b/>
          <w:color w:val="0070C0"/>
          <w:szCs w:val="24"/>
        </w:rPr>
      </w:pPr>
      <w:r w:rsidRPr="00C11296">
        <w:rPr>
          <w:rFonts w:ascii="宋体" w:eastAsia="宋体" w:hAnsi="宋体" w:cs="宋体"/>
          <w:b/>
          <w:color w:val="0070C0"/>
          <w:szCs w:val="24"/>
        </w:rPr>
        <w:t>Wenjun He, Jin Liao, Huiyi Pan, Lanping Zhang, Xingyan Li, Jiamin Huang, Zhichao Liu, Xue Ke, Jian Li, Xue Li, Jianling Zheng, Haiting Cai, Jinghui Chang</w:t>
      </w:r>
      <w:r w:rsidR="00425CA9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C11296">
        <w:rPr>
          <w:rFonts w:ascii="宋体" w:eastAsia="宋体" w:hAnsi="宋体" w:cs="宋体"/>
          <w:b/>
          <w:color w:val="0070C0"/>
          <w:szCs w:val="24"/>
        </w:rPr>
        <w:t>, Guobao Li</w:t>
      </w:r>
      <w:r w:rsidR="00425CA9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C11296" w:rsidRPr="00425CA9" w:rsidRDefault="00425CA9" w:rsidP="00C11296">
      <w:pPr>
        <w:rPr>
          <w:rFonts w:ascii="宋体" w:eastAsia="宋体" w:hAnsi="宋体" w:cs="宋体"/>
          <w:b/>
          <w:color w:val="0070C0"/>
          <w:szCs w:val="24"/>
        </w:rPr>
      </w:pPr>
      <w:r w:rsidRPr="00425CA9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425CA9">
        <w:rPr>
          <w:rFonts w:ascii="宋体" w:eastAsia="宋体" w:hAnsi="宋体" w:cs="宋体"/>
          <w:b/>
          <w:color w:val="0070C0"/>
          <w:szCs w:val="24"/>
        </w:rPr>
        <w:t xml:space="preserve">Corresponding authors: Jinghui Chang, Email: erin2007@foxmail.com </w:t>
      </w:r>
      <w:r w:rsidRPr="00425CA9">
        <w:rPr>
          <w:rFonts w:ascii="宋体" w:eastAsia="宋体" w:hAnsi="宋体" w:cs="宋体" w:hint="eastAsia"/>
          <w:b/>
          <w:color w:val="0070C0"/>
          <w:szCs w:val="24"/>
        </w:rPr>
        <w:t>；</w:t>
      </w:r>
      <w:r w:rsidRPr="00425CA9">
        <w:rPr>
          <w:rFonts w:ascii="宋体" w:eastAsia="宋体" w:hAnsi="宋体" w:cs="宋体"/>
          <w:b/>
          <w:color w:val="0070C0"/>
          <w:szCs w:val="24"/>
        </w:rPr>
        <w:t>Guobao Li, Email: ligb2020@mail.sustech.edu.cn</w:t>
      </w:r>
    </w:p>
    <w:p w:rsidR="00B3759C" w:rsidRDefault="00B3759C" w:rsidP="00C11296">
      <w:pPr>
        <w:rPr>
          <w:rFonts w:ascii="宋体" w:eastAsia="宋体" w:hAnsi="宋体" w:cs="宋体"/>
          <w:color w:val="000000" w:themeColor="text1"/>
          <w:szCs w:val="24"/>
        </w:rPr>
      </w:pP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(1)Dermatology Hospital, Southern Medical University, Guangzhou, China.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(2)School of Health Management, Southern Medical University, Guangzhou, China.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(3)Department of Research, Shanghai Pudong Hospital, Fudan University Pudong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Medical Center, Shanghai, China.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(4)School of Health Policy and Management, Nanjing Medical University, Nanjing,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China.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(5)Department of the Third Pulmonary Disease, Shenzhen Third People's Hospital,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Shenzhen, Guangdong, China.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(6)Tongji Hospital Affiliated to Tongji Medical College of Huazhong University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of Science &amp; Technology, Wuhan, China.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Tuberculosis (TB) remains a major global health concern, with poor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post-discharge adherence driving relapse and drug resistance. While China's 2024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guidelines advocate for "intelligent post-discharge management," the role of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Large Language Models (LLMs) in this specialized care remains unexplored.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OBJECTIVE: To explore the feasibility of LLMs as auxiliary tools to complement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TB specialists in post-discharge medication counseling, patient education, and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follow-up planning.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b/>
          <w:color w:val="000000" w:themeColor="text1"/>
          <w:szCs w:val="24"/>
        </w:rPr>
        <w:t>METHOD:</w:t>
      </w: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 This exploratory study compared two LLMs (ChatGPT-4o, DeepSeek-R1) with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TB physicians using 17 standardized clinical cases. Responses were assessed by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three blinded specialists using objective metrics (precision, recall, F1) and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subjective ratings across seven domains. Linear mixed models (LMMs) were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employed to analyze the fixed effects of participant type while controlling for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the random effects of clinical cases.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b/>
          <w:color w:val="000000" w:themeColor="text1"/>
          <w:szCs w:val="24"/>
        </w:rPr>
        <w:t>RESULT:</w:t>
      </w: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 In patient education, LLM-generated responses exhibited higher objective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completeness and accuracy than those of physicians (precision: 0.86 vs 0.50, P &lt;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.001; recall: 0.53 vs 0.14, P= .026; F1: 0.65 vs 0.22, P= .018). Conversely, no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statistically significant differences were observed in objective metrics for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medication counseling and follow-up planning (all P &gt; .050), although LLMs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demonstrated a tendency toward broader but more discordant coverage.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Subjectively, LLMs were rated significantly higher in suitability,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understandability, and empathy across all tasks (all P &lt; .050). No significant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differences were found regarding perceived safety or text readability (P &gt;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.050).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 This study suggests the potential of LLMs as auxiliary tools in TB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post-discharge management. While quantitative performance in high-stakes tasks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was comparable to physicians, the complementary qualitative patterns support a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hybrid human-AI approach. These preliminary findings provide a basis for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integrating LLMs into clinical workflows under professional supervision to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enhance efficiency in resource-limited settings.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 The Author(s) 2026.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DOI: 10.1177/20552076261472569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PMCID: PMC13451691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PMID: 42571185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</w:p>
    <w:p w:rsidR="00C11296" w:rsidRPr="00C11296" w:rsidRDefault="00C11296" w:rsidP="00C11296">
      <w:pPr>
        <w:rPr>
          <w:rFonts w:ascii="宋体" w:eastAsia="宋体" w:hAnsi="宋体" w:cs="宋体"/>
          <w:b/>
          <w:color w:val="FF0000"/>
          <w:szCs w:val="24"/>
        </w:rPr>
      </w:pPr>
      <w:r w:rsidRPr="00C11296">
        <w:rPr>
          <w:rFonts w:ascii="宋体" w:eastAsia="宋体" w:hAnsi="宋体" w:cs="宋体"/>
          <w:b/>
          <w:color w:val="FF0000"/>
          <w:szCs w:val="24"/>
        </w:rPr>
        <w:t xml:space="preserve">3. Tuberculosis (Edinb). 2026 Aug 6;160:102798. doi: 10.1016/j.tube.2026.102798. </w:t>
      </w:r>
    </w:p>
    <w:p w:rsidR="00C11296" w:rsidRPr="00C11296" w:rsidRDefault="00C11296" w:rsidP="00C11296">
      <w:pPr>
        <w:rPr>
          <w:rFonts w:ascii="宋体" w:eastAsia="宋体" w:hAnsi="宋体" w:cs="宋体"/>
          <w:b/>
          <w:color w:val="FF0000"/>
          <w:szCs w:val="24"/>
        </w:rPr>
      </w:pPr>
      <w:r w:rsidRPr="00C11296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Dynamic kinetics and clinical utility of a ddPCR-based 3-gene host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transcriptional signature for monitoring tuberculosis treatment response: a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prospective multicenter study.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Qiu Q(1), Liu B(2), Zhang W(3), Huang P(2), Liu H(3), Wang S(4), Zhao B(1), Xia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H(1), Zheng Y(1), Song Y(1), Zhou Y(1), Xing R(1), Ou X(5), Zhao Y(6).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</w:p>
    <w:p w:rsidR="00C11296" w:rsidRPr="00C11296" w:rsidRDefault="00C11296" w:rsidP="00C11296">
      <w:pPr>
        <w:rPr>
          <w:rFonts w:ascii="宋体" w:eastAsia="宋体" w:hAnsi="宋体" w:cs="宋体"/>
          <w:b/>
          <w:color w:val="0070C0"/>
          <w:szCs w:val="24"/>
        </w:rPr>
      </w:pPr>
      <w:r w:rsidRPr="00C11296">
        <w:rPr>
          <w:rFonts w:ascii="宋体" w:eastAsia="宋体" w:hAnsi="宋体" w:cs="宋体"/>
          <w:b/>
          <w:color w:val="0070C0"/>
          <w:szCs w:val="24"/>
        </w:rPr>
        <w:t>Qian Qiu, Bo Liu, Wei Zhang, Ping Huang, Haiqing Liu, Senlu Wang, Bing Zhao, Hui Xia, Yang Zheng, Yuanyuan Song, Yang Zhou, Ruida Xing, Xichao Ou</w:t>
      </w:r>
      <w:r w:rsidR="002D06AB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C11296">
        <w:rPr>
          <w:rFonts w:ascii="宋体" w:eastAsia="宋体" w:hAnsi="宋体" w:cs="宋体"/>
          <w:b/>
          <w:color w:val="0070C0"/>
          <w:szCs w:val="24"/>
        </w:rPr>
        <w:t>, Yanlin Zhao</w:t>
      </w:r>
      <w:r w:rsidR="002D06AB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C11296" w:rsidRPr="002D06AB" w:rsidRDefault="002D06AB" w:rsidP="00C11296">
      <w:pPr>
        <w:rPr>
          <w:rFonts w:ascii="宋体" w:eastAsia="宋体" w:hAnsi="宋体" w:cs="宋体"/>
          <w:b/>
          <w:color w:val="0070C0"/>
          <w:szCs w:val="24"/>
        </w:rPr>
      </w:pPr>
      <w:r w:rsidRPr="002D06AB">
        <w:rPr>
          <w:rFonts w:ascii="宋体" w:eastAsia="宋体" w:hAnsi="宋体" w:cs="宋体" w:hint="eastAsia"/>
          <w:b/>
          <w:color w:val="0070C0"/>
          <w:szCs w:val="24"/>
        </w:rPr>
        <w:lastRenderedPageBreak/>
        <w:t>*</w:t>
      </w:r>
      <w:r w:rsidRPr="002D06AB">
        <w:rPr>
          <w:rFonts w:ascii="宋体" w:eastAsia="宋体" w:hAnsi="宋体" w:cs="宋体"/>
          <w:b/>
          <w:color w:val="0070C0"/>
          <w:szCs w:val="24"/>
        </w:rPr>
        <w:t>E-mail addresses: ouxc@chinacdc.cn (Xichao Ou), zhaoyl@chinacdc.cn (Yanlin Zhao).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(1)National Key Laboratory of Intelligent Tracking and Forecasting for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Infectious Diseases, National Center for Tuberculosis Control and Prevention,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Chinese Center for Disease Control and Prevention (Chinese Academy of Preventive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Medicine), Beijing, China.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(2)Department of Infectious Diseases, People's Hospital of Liuyang City,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Liuyang, China.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(3)Department of Clinical Laboratory, Fuyang Second People's Hospital (Fuyang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Infectious Disease Clinical College of Anhui Medical University), Fuyang, China.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(4)Center for Tuberculosis and Leprosy Prevention and Control, The Center for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Disease Control and Prevention of Xinjing Uygur Autonomous Region, Urumchi,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China.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(5)National Key Laboratory of Intelligent Tracking and Forecasting for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Infectious Diseases, National Center for Tuberculosis Control and Prevention,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Chinese Center for Disease Control and Prevention (Chinese Academy of Preventive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Medicine), Beijing, China. Electronic address: ouxc@chinacdc.cn.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(6)National Key Laboratory of Intelligent Tracking and Forecasting for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Infectious Diseases, National Center for Tuberculosis Control and Prevention,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Chinese Center for Disease Control and Prevention (Chinese Academy of Preventive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Medicine), Beijing, China. Electronic address: zhaoyl@chinacdc.cn.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DOI: 10.1016/j.tube.2026.102798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PMID: 42570351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</w:p>
    <w:p w:rsidR="00C11296" w:rsidRPr="00C11296" w:rsidRDefault="00E7018D" w:rsidP="00C11296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</w:t>
      </w:r>
      <w:r w:rsidR="00C11296" w:rsidRPr="00C11296">
        <w:rPr>
          <w:rFonts w:ascii="宋体" w:eastAsia="宋体" w:hAnsi="宋体" w:cs="宋体"/>
          <w:b/>
          <w:color w:val="FF0000"/>
          <w:szCs w:val="24"/>
        </w:rPr>
        <w:t xml:space="preserve">. Medicine (Baltimore). 2026 Aug 7;105(32):e50140. doi: </w:t>
      </w:r>
    </w:p>
    <w:p w:rsidR="00C11296" w:rsidRPr="00C11296" w:rsidRDefault="00C11296" w:rsidP="00C11296">
      <w:pPr>
        <w:rPr>
          <w:rFonts w:ascii="宋体" w:eastAsia="宋体" w:hAnsi="宋体" w:cs="宋体"/>
          <w:b/>
          <w:color w:val="FF0000"/>
          <w:szCs w:val="24"/>
        </w:rPr>
      </w:pPr>
      <w:r w:rsidRPr="00C11296">
        <w:rPr>
          <w:rFonts w:ascii="宋体" w:eastAsia="宋体" w:hAnsi="宋体" w:cs="宋体"/>
          <w:b/>
          <w:color w:val="FF0000"/>
          <w:szCs w:val="24"/>
        </w:rPr>
        <w:t>10.1097/MD.0000000000050140.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Rare primary bone tuberculosis associated with ruxolitinib therapy: A case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report and literature review.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Jin LY(1), Yu P(1), Huo F(1), Cui YH(2), Wu BL(3), Li T(1).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</w:p>
    <w:p w:rsidR="00C11296" w:rsidRPr="00C11296" w:rsidRDefault="00C11296" w:rsidP="00C11296">
      <w:pPr>
        <w:rPr>
          <w:rFonts w:ascii="宋体" w:eastAsia="宋体" w:hAnsi="宋体" w:cs="宋体"/>
          <w:b/>
          <w:color w:val="0070C0"/>
          <w:szCs w:val="24"/>
        </w:rPr>
      </w:pPr>
      <w:r w:rsidRPr="00C11296">
        <w:rPr>
          <w:rFonts w:ascii="宋体" w:eastAsia="宋体" w:hAnsi="宋体" w:cs="宋体"/>
          <w:b/>
          <w:color w:val="0070C0"/>
          <w:szCs w:val="24"/>
        </w:rPr>
        <w:t>Liang-Yan Jin, Ping Yu, Fan Huo, Ya-Hui Cui, Bao-Liang Wu, Ting Li</w:t>
      </w:r>
      <w:r w:rsidR="002D06AB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C11296" w:rsidRPr="002D06AB" w:rsidRDefault="002D06AB" w:rsidP="00C11296">
      <w:pPr>
        <w:rPr>
          <w:rFonts w:ascii="宋体" w:eastAsia="宋体" w:hAnsi="宋体" w:cs="宋体"/>
          <w:b/>
          <w:color w:val="0070C0"/>
          <w:szCs w:val="24"/>
        </w:rPr>
      </w:pPr>
      <w:r w:rsidRPr="002D06AB">
        <w:rPr>
          <w:rFonts w:ascii="宋体" w:eastAsia="宋体" w:hAnsi="宋体" w:cs="宋体"/>
          <w:b/>
          <w:color w:val="0070C0"/>
          <w:szCs w:val="24"/>
        </w:rPr>
        <w:t>*Correspondence: Ting Li, (e-mail: liting3736@126.com).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(1)Department of Pharmacy, Hangzhou Xixi Hospital, Hangzhou Sixth People's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Hospital, Hangzhou Xixi Hospital Affiliated to Zhejiang Chinese Medical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University, Hangzhou, 310023, Zhejiang, China.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(2)Department of Neurosurgery, Hangzhou Xixi Hospital, Hangzhou Sixth People's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Hospital, Hangzhou Xixi Hospital Affiliated to Zhejiang Chinese Medical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University, Hangzhou, 310023, Zhejiang, China.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(3)Department of Radiology, Hangzhou Xixi Hospital, Hangzhou Sixth People's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Hospital, Hangzhou Xixi Hospital Affiliated to Zhejiang Chinese Medical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University, Hangzhou, 310023, Zhejiang, China.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b/>
          <w:color w:val="000000" w:themeColor="text1"/>
          <w:szCs w:val="24"/>
        </w:rPr>
        <w:t xml:space="preserve">RATIONALE: </w:t>
      </w: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Ruxolitinib, a Janus kinase (JAK) inhibitor, may increase the risk of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tuberculosis infection by suppressing cellular immunity. Tuberculosis associated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with ruxolitinib has generally been reported as disseminated or multisystem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disease. However, no previous cases of primary bone tuberculosis secondary to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ruxolitinib have been reported.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b/>
          <w:color w:val="000000" w:themeColor="text1"/>
          <w:szCs w:val="24"/>
        </w:rPr>
        <w:t>PATIENT CONCERNS:</w:t>
      </w: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 A 68-year-old female patient had been taking ruxolitinib for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over 2 years for primary thrombocythaemia and developed recurrent high fever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without other localizing symptoms.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b/>
          <w:color w:val="000000" w:themeColor="text1"/>
          <w:szCs w:val="24"/>
        </w:rPr>
        <w:t>DIAGNOSES:</w:t>
      </w: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 Imaging studies revealed multiple areas of bone destruction with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increased metabolic activity throughout the skeleton (sacroiliac joints, humeral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heads), necessitating differential diagnosis from malignant tumors. Following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exclusion of hematological malignancies via bone marrow aspiration, Xpert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MTB/RIF (X-pert) testing of the bone lesion tissue confirmed Mycobacterium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tuberculosis infection. Concurrently, bronchial alveolar lavage fluid analysis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ruled out active pulmonary tuberculosis, leading to a definitive diagnosis of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isolated primary bone tuberculosis confined to the skeletal system.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b/>
          <w:color w:val="000000" w:themeColor="text1"/>
          <w:szCs w:val="24"/>
        </w:rPr>
        <w:t xml:space="preserve">INTERVENTIONS: </w:t>
      </w: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Standard four-drug antituberculosis therapy was administered once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daily: isoniazid 200</w:t>
      </w:r>
      <w:r w:rsidRPr="00C11296">
        <w:rPr>
          <w:rFonts w:ascii="MS Gothic" w:eastAsia="宋体" w:hAnsi="MS Gothic" w:cs="MS Gothic"/>
          <w:color w:val="000000" w:themeColor="text1"/>
          <w:szCs w:val="24"/>
        </w:rPr>
        <w:t> </w:t>
      </w:r>
      <w:r w:rsidRPr="00C11296">
        <w:rPr>
          <w:rFonts w:ascii="宋体" w:eastAsia="宋体" w:hAnsi="宋体" w:cs="宋体"/>
          <w:color w:val="000000" w:themeColor="text1"/>
          <w:szCs w:val="24"/>
        </w:rPr>
        <w:t>mg, rifampicin 450</w:t>
      </w:r>
      <w:r w:rsidRPr="00C11296">
        <w:rPr>
          <w:rFonts w:ascii="MS Gothic" w:eastAsia="宋体" w:hAnsi="MS Gothic" w:cs="MS Gothic"/>
          <w:color w:val="000000" w:themeColor="text1"/>
          <w:szCs w:val="24"/>
        </w:rPr>
        <w:t> </w:t>
      </w:r>
      <w:r w:rsidRPr="00C11296">
        <w:rPr>
          <w:rFonts w:ascii="宋体" w:eastAsia="宋体" w:hAnsi="宋体" w:cs="宋体"/>
          <w:color w:val="000000" w:themeColor="text1"/>
          <w:szCs w:val="24"/>
        </w:rPr>
        <w:t>mg, pyrazinamide 1125</w:t>
      </w:r>
      <w:r w:rsidRPr="00C11296">
        <w:rPr>
          <w:rFonts w:ascii="MS Gothic" w:eastAsia="宋体" w:hAnsi="MS Gothic" w:cs="MS Gothic"/>
          <w:color w:val="000000" w:themeColor="text1"/>
          <w:szCs w:val="24"/>
        </w:rPr>
        <w:t> </w:t>
      </w: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mg, and ethambutol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625</w:t>
      </w:r>
      <w:r w:rsidRPr="00C11296">
        <w:rPr>
          <w:rFonts w:ascii="MS Gothic" w:eastAsia="宋体" w:hAnsi="MS Gothic" w:cs="MS Gothic"/>
          <w:color w:val="000000" w:themeColor="text1"/>
          <w:szCs w:val="24"/>
        </w:rPr>
        <w:t> </w:t>
      </w: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mg, while ruxolitinib was continued for the underlying myeloproliferative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disorder.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b/>
          <w:color w:val="000000" w:themeColor="text1"/>
          <w:szCs w:val="24"/>
        </w:rPr>
        <w:t xml:space="preserve">OUTCOMES: </w:t>
      </w: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Follow-up MRI examinations of the right humeral head and sacroiliac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joints at 4 and 5 months post-tuberculosis treatment revealed a marked reduction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in lesion size and decreased edema at both sites, consistent with an effective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therapeutic response..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b/>
          <w:color w:val="000000" w:themeColor="text1"/>
          <w:szCs w:val="24"/>
        </w:rPr>
        <w:t xml:space="preserve">LESSONS: </w:t>
      </w: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This case shows that ruxolitinib-associated tuberculosis can present as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an isolated skeletal infection. It may occur without any pulmonary or systemic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involvement. Latent tuberculosis screening should be performed before initiating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ruxolitinib. Vigilance for extrapulmonary tuberculosis should be maintained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throughout therapy. Unexplained bone lesions in JAK-inhibitor users warrant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multidisciplinary evaluation. Empirical fluoroquinolone use before diagnosis may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transiently mask the disease and delay recognition. Finally, CYP3A4-mediated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 xml:space="preserve">interactions should be anticipated when rifampicin-based therapy is combined 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with ruxolitinib.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Copyright © 2026 the Author(s). Published by Wolters Kluwer Health, LLC.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DOI: 10.1097/MD.0000000000050140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  <w:r w:rsidRPr="00C11296">
        <w:rPr>
          <w:rFonts w:ascii="宋体" w:eastAsia="宋体" w:hAnsi="宋体" w:cs="宋体"/>
          <w:color w:val="000000" w:themeColor="text1"/>
          <w:szCs w:val="24"/>
        </w:rPr>
        <w:t>PMID: 42566613 [Indexed for MEDLINE]</w:t>
      </w:r>
    </w:p>
    <w:p w:rsidR="00C11296" w:rsidRPr="00C11296" w:rsidRDefault="00C11296" w:rsidP="00C11296">
      <w:pPr>
        <w:rPr>
          <w:rFonts w:ascii="宋体" w:eastAsia="宋体" w:hAnsi="宋体" w:cs="宋体"/>
          <w:color w:val="000000" w:themeColor="text1"/>
          <w:szCs w:val="24"/>
        </w:rPr>
      </w:pPr>
    </w:p>
    <w:p w:rsidR="008D6EED" w:rsidRPr="008D6EED" w:rsidRDefault="00E7018D" w:rsidP="008D6EE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</w:t>
      </w:r>
      <w:r w:rsidR="008D6EED" w:rsidRPr="008D6EED">
        <w:rPr>
          <w:rFonts w:ascii="宋体" w:eastAsia="宋体" w:hAnsi="宋体" w:cs="宋体"/>
          <w:b/>
          <w:color w:val="FF0000"/>
          <w:szCs w:val="24"/>
        </w:rPr>
        <w:t>. Arch Microbiol. 2026 Aug 7;208(11):546. doi: 10.1007/s00203-026-05076-1.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Construction of a subunit vaccine based on Mycobacterium tuberculosis EsxE and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evaluation of its immunogenicity and ex vivo mycobacterial growth inhibitory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>activity.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Wang R(1), Wang X(2)(3), Wang B(1), Xu Y(1), Zhong Q(1), Zhou M(4), Wang S(1),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>Xiao R(4), Yang G(4).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</w:p>
    <w:p w:rsidR="008D6EED" w:rsidRPr="008D6EED" w:rsidRDefault="008D6EED" w:rsidP="008D6EED">
      <w:pPr>
        <w:rPr>
          <w:rFonts w:ascii="宋体" w:eastAsia="宋体" w:hAnsi="宋体" w:cs="宋体"/>
          <w:b/>
          <w:color w:val="0070C0"/>
          <w:szCs w:val="24"/>
        </w:rPr>
      </w:pPr>
      <w:r w:rsidRPr="008D6EED">
        <w:rPr>
          <w:rFonts w:ascii="宋体" w:eastAsia="宋体" w:hAnsi="宋体" w:cs="宋体"/>
          <w:b/>
          <w:color w:val="0070C0"/>
          <w:szCs w:val="24"/>
        </w:rPr>
        <w:t>Runlin Wang, Xiaochun Wang</w:t>
      </w:r>
      <w:r w:rsidR="00E60FAA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8D6EED">
        <w:rPr>
          <w:rFonts w:ascii="宋体" w:eastAsia="宋体" w:hAnsi="宋体" w:cs="宋体"/>
          <w:b/>
          <w:color w:val="0070C0"/>
          <w:szCs w:val="24"/>
        </w:rPr>
        <w:t>, Bingxin Wang, Yun Xu, Qiangsen Zhong, Mingming Zhou, Shuying Wang, Ran Xiao, Guo Yang</w:t>
      </w:r>
    </w:p>
    <w:p w:rsidR="008D6EED" w:rsidRPr="00E60FAA" w:rsidRDefault="00E60FAA" w:rsidP="008D6EED">
      <w:pPr>
        <w:rPr>
          <w:rFonts w:ascii="宋体" w:eastAsia="宋体" w:hAnsi="宋体" w:cs="宋体"/>
          <w:b/>
          <w:color w:val="0070C0"/>
          <w:szCs w:val="24"/>
        </w:rPr>
      </w:pPr>
      <w:r w:rsidRPr="00E60FAA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E60FAA">
        <w:rPr>
          <w:rFonts w:ascii="宋体" w:eastAsia="宋体" w:hAnsi="宋体" w:cs="宋体"/>
          <w:b/>
          <w:color w:val="0070C0"/>
          <w:szCs w:val="24"/>
        </w:rPr>
        <w:t>Xiaochun Wang</w:t>
      </w:r>
      <w:r w:rsidRPr="00E60FAA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E60FAA">
        <w:rPr>
          <w:rFonts w:ascii="宋体" w:eastAsia="宋体" w:hAnsi="宋体" w:cs="宋体"/>
          <w:b/>
          <w:color w:val="0070C0"/>
          <w:szCs w:val="24"/>
        </w:rPr>
        <w:t>wxcvieri@126.com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(1)Department of Pathogen Biology, School of Medicine, Anhui University of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>Science and Technology, Huainan, 232001, China.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(2)Department of Pathogen Biology, School of Medicine, Anhui University of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>Science and Technology, Huainan, 232001, China. wxcvieri@126.com.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(3)First Affiliated Hospital, Anhui University of Science and Technology,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>Huainan, 232001, China. wxcvieri@126.com.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(4)Department of Immunology, School of Medicine, Anhui University of Science and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>Technology, Huainan, 232001, China.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Tuberculosis (TB) remains one of the world's deadliest infectious diseases and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is the leading infectious disease killer globally. Bacillus Calmette-Guérin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(BCG) is currently the only licensed vaccine for TB prevention, but it has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limitations in preventing latent infection and TB reactivation. To overcome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these limitations, this study selected the secreted antigen Rv3904c (EsxE) to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construct the recombinant prokaryotic expression plasmid pET21b-Rv3904c, and the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recombinant protein rEsxE was expressed and purified. The antigen specificity of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rEsxE was further confirmed by measuring cytokine levels released from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peripheral blood cells of Mycobacterium tuberculosis-infected individuals upon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rEsxE stimulation using a chemiluminescence assay. The results showed that rEsxE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stimulated M. tuberculosis-infected individuals to produce high levels of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Th1-type cytokines. Mice were immunized with rEsxE formulated in MnJ adjuvant,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and serum specific antibodies, cytokine levels secreted by splenocytes, and the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numbers of polyfunctional T cells in the spleen were assessed. The results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demonstrated that the BCG prime-rEsxE/MnJ boost strategy induced the highest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levels of specific IgG antibodies, with an IgG2c/IgG1 ratio greater than 1,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indicating a Th1-skewed immune bias. Upon stimulation with rEsxE or BCG-PPD,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splenocytes from this group secreted significantly higher levels of Th1-type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cytokines (IFN-γ, TNF-α, and IL-2) than those from the BCG alone and rEsxE/MnJ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groups. Flow cytometry analysis revealed that the BCG+rEsxE/MnJ group had the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>highest numbers of IFN-γ</w:t>
      </w:r>
      <w:r w:rsidRPr="008D6EED">
        <w:rPr>
          <w:rFonts w:ascii="MS Gothic" w:eastAsia="宋体" w:hAnsi="MS Gothic" w:cs="MS Gothic"/>
          <w:color w:val="000000" w:themeColor="text1"/>
          <w:szCs w:val="24"/>
        </w:rPr>
        <w:t>⁺</w:t>
      </w:r>
      <w:r w:rsidRPr="008D6EED">
        <w:rPr>
          <w:rFonts w:ascii="宋体" w:eastAsia="宋体" w:hAnsi="宋体" w:cs="宋体"/>
          <w:color w:val="000000" w:themeColor="text1"/>
          <w:szCs w:val="24"/>
        </w:rPr>
        <w:t>/IL-2</w:t>
      </w:r>
      <w:r w:rsidRPr="008D6EED">
        <w:rPr>
          <w:rFonts w:ascii="MS Gothic" w:eastAsia="宋体" w:hAnsi="MS Gothic" w:cs="MS Gothic"/>
          <w:color w:val="000000" w:themeColor="text1"/>
          <w:szCs w:val="24"/>
        </w:rPr>
        <w:t>⁺</w:t>
      </w: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 double-positive CD4</w:t>
      </w:r>
      <w:r w:rsidRPr="008D6EED">
        <w:rPr>
          <w:rFonts w:ascii="MS Gothic" w:eastAsia="宋体" w:hAnsi="MS Gothic" w:cs="MS Gothic"/>
          <w:color w:val="000000" w:themeColor="text1"/>
          <w:szCs w:val="24"/>
        </w:rPr>
        <w:t>⁺</w:t>
      </w: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 and CD8</w:t>
      </w:r>
      <w:r w:rsidRPr="008D6EED">
        <w:rPr>
          <w:rFonts w:ascii="MS Gothic" w:eastAsia="宋体" w:hAnsi="MS Gothic" w:cs="MS Gothic"/>
          <w:color w:val="000000" w:themeColor="text1"/>
          <w:szCs w:val="24"/>
        </w:rPr>
        <w:t>⁺</w:t>
      </w: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 T cells in the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spleen. The in vitro mycobacterial growth inhibition assay provided additional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lastRenderedPageBreak/>
        <w:t>evidence that the prime</w:t>
      </w:r>
      <w:r w:rsidRPr="008D6EED">
        <w:rPr>
          <w:rFonts w:ascii="MS Gothic" w:eastAsia="宋体" w:hAnsi="MS Gothic" w:cs="MS Gothic"/>
          <w:color w:val="000000" w:themeColor="text1"/>
          <w:szCs w:val="24"/>
        </w:rPr>
        <w:t>‑</w:t>
      </w: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boost regimen augments the capacity of splenocytes to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restrict mycobacterial growth. Taken together, these findings demonstrate that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>rEsxE is immunogenic and that the BCG prime</w:t>
      </w:r>
      <w:r w:rsidRPr="008D6EED">
        <w:rPr>
          <w:rFonts w:ascii="MS Gothic" w:eastAsia="宋体" w:hAnsi="MS Gothic" w:cs="MS Gothic"/>
          <w:color w:val="000000" w:themeColor="text1"/>
          <w:szCs w:val="24"/>
        </w:rPr>
        <w:t>‑</w:t>
      </w: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rEsxE/MnJ boost strategy elicits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>robust Th1</w:t>
      </w:r>
      <w:r w:rsidRPr="008D6EED">
        <w:rPr>
          <w:rFonts w:ascii="MS Gothic" w:eastAsia="宋体" w:hAnsi="MS Gothic" w:cs="MS Gothic"/>
          <w:color w:val="000000" w:themeColor="text1"/>
          <w:szCs w:val="24"/>
        </w:rPr>
        <w:t>‑</w:t>
      </w: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biased immune responses as well as ex vivo mycobacterial growth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inhibitory function, thereby supporting the further development of this approach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>as a candidate tuberculosis subunit vaccine.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8D6EED">
        <w:rPr>
          <w:rFonts w:ascii="宋体" w:eastAsia="宋体" w:hAnsi="宋体" w:cs="宋体"/>
          <w:color w:val="000000" w:themeColor="text1"/>
          <w:szCs w:val="24"/>
        </w:rPr>
        <w:t xml:space="preserve"> 2026. The Author(s), under exclusive licence to Springer-Verlag GmbH Germany, 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>part of Springer Nature.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>DOI: 10.1007/s00203-026-05076-1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  <w:r w:rsidRPr="008D6EED">
        <w:rPr>
          <w:rFonts w:ascii="宋体" w:eastAsia="宋体" w:hAnsi="宋体" w:cs="宋体"/>
          <w:color w:val="000000" w:themeColor="text1"/>
          <w:szCs w:val="24"/>
        </w:rPr>
        <w:t>PMID: 42566003 [Indexed for MEDLINE]</w:t>
      </w:r>
    </w:p>
    <w:p w:rsidR="008D6EED" w:rsidRPr="008D6EED" w:rsidRDefault="008D6EED" w:rsidP="008D6EED">
      <w:pPr>
        <w:rPr>
          <w:rFonts w:ascii="宋体" w:eastAsia="宋体" w:hAnsi="宋体" w:cs="宋体"/>
          <w:color w:val="000000" w:themeColor="text1"/>
          <w:szCs w:val="24"/>
        </w:rPr>
      </w:pPr>
    </w:p>
    <w:p w:rsidR="009A771A" w:rsidRPr="009A771A" w:rsidRDefault="00E7018D" w:rsidP="009A771A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</w:t>
      </w:r>
      <w:r w:rsidR="009A771A" w:rsidRPr="009A771A">
        <w:rPr>
          <w:rFonts w:ascii="宋体" w:eastAsia="宋体" w:hAnsi="宋体" w:cs="宋体"/>
          <w:b/>
          <w:color w:val="FF0000"/>
          <w:szCs w:val="24"/>
        </w:rPr>
        <w:t>. J Infect Dev Ctries. 2026 Jul 31;20(7):1049-1060. doi: 10.3855/jidc.22313.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Exploration of the diagnostic value and expression levels of IFN-γ and IL-2 in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>patients with lymph node tuberculosis.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Zhang C(1), Chen Y(2), Huang J(3), Liu Y(1), Zhang H(1), Hang T(1), Huang L(1),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>Gao J(4), Hu C(1).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</w:p>
    <w:p w:rsidR="009A771A" w:rsidRPr="009A771A" w:rsidRDefault="009A771A" w:rsidP="009A771A">
      <w:pPr>
        <w:rPr>
          <w:rFonts w:ascii="宋体" w:eastAsia="宋体" w:hAnsi="宋体" w:cs="宋体"/>
          <w:b/>
          <w:color w:val="0070C0"/>
          <w:szCs w:val="24"/>
        </w:rPr>
      </w:pPr>
      <w:r w:rsidRPr="009A771A">
        <w:rPr>
          <w:rFonts w:ascii="宋体" w:eastAsia="宋体" w:hAnsi="宋体" w:cs="宋体"/>
          <w:b/>
          <w:color w:val="0070C0"/>
          <w:szCs w:val="24"/>
        </w:rPr>
        <w:t>Chun Zhang, Yu Chen, Jun Huang, Ying Liu, Hao Zhang, Tianxing Hang, Lili Huang, Jianqi Gao, Chunmei Hu</w:t>
      </w:r>
      <w:r w:rsidR="00A87C53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9A771A" w:rsidRPr="00A87C53" w:rsidRDefault="00A87C53" w:rsidP="009A771A">
      <w:pPr>
        <w:rPr>
          <w:rFonts w:ascii="宋体" w:eastAsia="宋体" w:hAnsi="宋体" w:cs="宋体"/>
          <w:b/>
          <w:color w:val="0070C0"/>
          <w:szCs w:val="24"/>
        </w:rPr>
      </w:pPr>
      <w:r w:rsidRPr="00A87C53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A87C53">
        <w:rPr>
          <w:rFonts w:ascii="宋体" w:eastAsia="宋体" w:hAnsi="宋体" w:cs="宋体"/>
          <w:b/>
          <w:color w:val="0070C0"/>
          <w:szCs w:val="24"/>
        </w:rPr>
        <w:t>Corresponding author Chunmei Hu, Email: njyy003@njucm.edu.cn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(1)Department of Tuberculosis, The Second Hospital of Nanjing, Nanjing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>University of Chinese Medicine, Nanjing 210009, China.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(2)Shanghai Pudong New Area Center for Disease Control and Prevention (Shanghai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>Pudong New Area Health Supervision Institute), Shanghai, 200136, China.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(3)School of Medicine, Nanjing University of Chinese Medicine, Nanjing, 210023,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>China.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(4)First Department of Thoracic Surgery, Guangzhou Chest Hospital, Guangzhou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>510095, China.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b/>
          <w:color w:val="000000" w:themeColor="text1"/>
          <w:szCs w:val="24"/>
        </w:rPr>
        <w:t xml:space="preserve">INTRODUCTION: </w:t>
      </w: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Lymph node tuberculosis (LNTB) is the most common form of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extrapulmonary tuberculosis (TB). The symptoms of LNTB lack specificity, making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diagnosis difficult and increasing the likelihood of missed or incorrect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diagnoses. Along with IFN-γ Release Assay (IGRA), the detection method using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enzyme-linked immunosorbent assay (ELISA) can simultaneously detect IFN-γ and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interleukin-2 (IL-2). However, the diagnostic value and expression levels of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>IFN-γ and IL-2 in patients with LNTB remain unclear.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b/>
          <w:color w:val="000000" w:themeColor="text1"/>
          <w:szCs w:val="24"/>
        </w:rPr>
        <w:t>METHODOLOGY:</w:t>
      </w: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 A total of 95 patients with enlarged lymph nodes were enrolled.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Baseline data were collected, including age, gender, history of TB,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histopathology, microbiology test results, and blood levels of IFN-γ and IL-2.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Receiver operating characteristic (ROC) curve was used to investigate the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diagnostic effect of the IFN-γ and IL-2. A double antibody sandwich ELISA was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>used to detect the concentrations of IFN-γ and IL-2 in culture supernatants.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 Based on ROC curves, the cut-off values for IFN-γ/IL-2 for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differentiating LNTB from non-TB-lymphadenopathy (LAP) were determined to be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58.267 and 12.207 pg/mL, respectively. In patients with LNTB and non-TB-LAP, the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sensitivity of IFN-γ/IL-2 in parallel was 83.33% (95% CI: 71.71-90.99),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significantly higher (p &lt; 0.05) than that for IFN-γ alone. The highest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specificity (93.10%) (95% CI: 75.78-98.8) was observed when IFN-γ and IL-2 were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>applied in tandem.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 The combined detection of IFN-γ and IL-2 showed good diagnostic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efficacy in LNTB. In addition, in patients diagnosed with LNTB, the expression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level of IL-2 may be related to the burden of MTB and the severity of TB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>infection.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Copyright (c) 2026 Chun Zhang, Yu Chen, Jun Huang, Ying Liu, Hao Zhang, Tianxing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>Hang, Lili Huang, Jianqi Gao, Chunmei Hu.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>DOI: 10.3855/jidc.22313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>PMID: 42566354 [Indexed for MEDLINE]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</w:p>
    <w:p w:rsidR="009A771A" w:rsidRPr="009A771A" w:rsidRDefault="00E7018D" w:rsidP="009A771A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</w:t>
      </w:r>
      <w:r w:rsidR="009A771A" w:rsidRPr="009A771A">
        <w:rPr>
          <w:rFonts w:ascii="宋体" w:eastAsia="宋体" w:hAnsi="宋体" w:cs="宋体"/>
          <w:b/>
          <w:color w:val="FF0000"/>
          <w:szCs w:val="24"/>
        </w:rPr>
        <w:t>. J Infect Dev Ctries. 2026 Jul 31;20(7):974-989. doi: 10.3855/jidc.21667.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Global burden of respiratory infections and tuberculosis attributable to risk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>factors, 1990-2021: demographic and SDI analysis.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>Caikai S(1), Jiang J(1), Shi Y(1), Zhang H(1), Xu S(1).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</w:p>
    <w:p w:rsidR="009A771A" w:rsidRPr="009A771A" w:rsidRDefault="009A771A" w:rsidP="009A771A">
      <w:pPr>
        <w:rPr>
          <w:rFonts w:ascii="宋体" w:eastAsia="宋体" w:hAnsi="宋体" w:cs="宋体"/>
          <w:b/>
          <w:color w:val="0070C0"/>
          <w:szCs w:val="24"/>
        </w:rPr>
      </w:pPr>
      <w:r w:rsidRPr="009A771A">
        <w:rPr>
          <w:rFonts w:ascii="宋体" w:eastAsia="宋体" w:hAnsi="宋体" w:cs="宋体"/>
          <w:b/>
          <w:color w:val="0070C0"/>
          <w:szCs w:val="24"/>
        </w:rPr>
        <w:t>Shareli Caikai, Jing Jiang, Yi Shi, Hongli Zhang, Sicheng Xu</w:t>
      </w:r>
      <w:r w:rsidR="00CA38FC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9A771A" w:rsidRPr="00CA38FC" w:rsidRDefault="00CA38FC" w:rsidP="009A771A">
      <w:pPr>
        <w:rPr>
          <w:rFonts w:ascii="宋体" w:eastAsia="宋体" w:hAnsi="宋体" w:cs="宋体"/>
          <w:b/>
          <w:color w:val="0070C0"/>
          <w:szCs w:val="24"/>
        </w:rPr>
      </w:pPr>
      <w:r w:rsidRPr="00CA38FC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CA38FC">
        <w:rPr>
          <w:rFonts w:ascii="宋体" w:eastAsia="宋体" w:hAnsi="宋体" w:cs="宋体"/>
          <w:b/>
          <w:color w:val="0070C0"/>
          <w:szCs w:val="24"/>
        </w:rPr>
        <w:t>Corresponding author Sicheng Xu, Email: xu_sicheng@126.com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(1)Department of Respiratory Intensive Care Unit, First Affiliated Hospital of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>Xinjiang Medical University, Urumqi, Xinjiang, 830011, China.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b/>
          <w:color w:val="000000" w:themeColor="text1"/>
          <w:szCs w:val="24"/>
        </w:rPr>
        <w:t xml:space="preserve">INTRODUCTION: </w:t>
      </w: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Respiratory infections and tuberculosis are leading causes of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global morbidity and mortality; yet comprehensive research on their associated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risk factors remains limited, hindering the development of effective preventive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>strategies.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b/>
          <w:color w:val="000000" w:themeColor="text1"/>
          <w:szCs w:val="24"/>
        </w:rPr>
        <w:t>METHODOLOGY:</w:t>
      </w: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 The 2021 Global Burden of Disease data from 204 countries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(1990-2021) was used to measure deaths, disability-adjusted life years (DALYs),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and their age-standardized rates (ASMR and ASDR) tied to 9 risk factors. The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trends were analyzed by age, gender, and socio-demographic index (SDI) regions,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with annual and average annual percentage changes (APC, AAPC) used to track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>changes over time.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Globally, mortality rates (ASMR) for respiratory infections and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tuberculosis linked to traditional risks-malnutrition, air pollution, and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alcohol use-declined significantly; annual decreases of 4.46%, 3.18%, and 3.35%,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respectively. Deaths attributed to metabolic risks like high BMI and blood sugar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increased, despite falling ASMR. Geographic disparities were notable: Lesotho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saw the sharpest rise in BMI-related mortality (3.92%), while Hungary had the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steepest decline (-7.4%). Men faced a higher burden from behavioral risks, with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tobacco-related mortality 3.6 times higher than in women. Children under 5 years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were especially vulnerable to environmental risks, with unsafe water and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>sanitation contributing to a 4.55% annual decline in mortality rates.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b/>
          <w:color w:val="000000" w:themeColor="text1"/>
          <w:szCs w:val="24"/>
        </w:rPr>
        <w:t xml:space="preserve">CONCLUSIONS: </w:t>
      </w: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This study highlights the need for targeted actions, such as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tobacco control in high-middle SDI regions, air quality improvements in South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Asia, and nutrition programs in Sub-Saharan Africa. It offers a precise public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 xml:space="preserve">health framework to reduce respiratory infections and tuberculosis, and promote 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>global health equity by analyzing sociodemographic and time trends.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>Copyright (c) 2026 Shareli Caikai, Jing Jiang, Yi Shi, Hongli Zhang, Sicheng Xu.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>DOI: 10.3855/jidc.21667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  <w:r w:rsidRPr="009A771A">
        <w:rPr>
          <w:rFonts w:ascii="宋体" w:eastAsia="宋体" w:hAnsi="宋体" w:cs="宋体"/>
          <w:color w:val="000000" w:themeColor="text1"/>
          <w:szCs w:val="24"/>
        </w:rPr>
        <w:t>PMID: 42566342 [Indexed for MEDLINE]</w:t>
      </w:r>
    </w:p>
    <w:p w:rsidR="009A771A" w:rsidRPr="009A771A" w:rsidRDefault="009A771A" w:rsidP="009A771A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810207" w:rsidRDefault="00F30181" w:rsidP="0005182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</w:t>
      </w:r>
      <w:r w:rsidR="00051820" w:rsidRPr="00810207">
        <w:rPr>
          <w:rFonts w:ascii="宋体" w:eastAsia="宋体" w:hAnsi="宋体" w:cs="宋体"/>
          <w:b/>
          <w:color w:val="FF0000"/>
          <w:szCs w:val="24"/>
        </w:rPr>
        <w:t>. Infect Drug Resist. 2026 Aug 11;19:623608. doi: 10.2147/IDR.S623608. eCo</w:t>
      </w:r>
      <w:r w:rsidR="00810207" w:rsidRPr="00810207">
        <w:rPr>
          <w:rFonts w:ascii="宋体" w:eastAsia="宋体" w:hAnsi="宋体" w:cs="宋体"/>
          <w:b/>
          <w:color w:val="FF0000"/>
          <w:szCs w:val="24"/>
        </w:rPr>
        <w:t xml:space="preserve">llection </w:t>
      </w:r>
      <w:r w:rsidR="00051820" w:rsidRPr="00810207">
        <w:rPr>
          <w:rFonts w:ascii="宋体" w:eastAsia="宋体" w:hAnsi="宋体" w:cs="宋体"/>
          <w:b/>
          <w:color w:val="FF0000"/>
          <w:szCs w:val="24"/>
        </w:rPr>
        <w:t>2026.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Rapid Triage of Smear-Positive Tuberculosis Suspects with a Commercial DNA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Microarray: A Real-World Experience from 1100 Sputum Specimens.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Luo C(1), Zou G(1), Dai S(1), Su B(1), Zhu J(1), Li K(1).</w:t>
      </w:r>
    </w:p>
    <w:p w:rsid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5C519F" w:rsidRPr="005C519F" w:rsidRDefault="005C519F" w:rsidP="00051820">
      <w:pPr>
        <w:rPr>
          <w:rFonts w:ascii="宋体" w:eastAsia="宋体" w:hAnsi="宋体" w:cs="宋体"/>
          <w:b/>
          <w:color w:val="0070C0"/>
          <w:szCs w:val="24"/>
        </w:rPr>
      </w:pPr>
      <w:r w:rsidRPr="005C519F">
        <w:rPr>
          <w:rFonts w:ascii="宋体" w:eastAsia="宋体" w:hAnsi="宋体" w:cs="宋体"/>
          <w:b/>
          <w:color w:val="0070C0"/>
          <w:szCs w:val="24"/>
        </w:rPr>
        <w:t>Chunming Luo, Guimin Zou, Shuting Dai, Biyi Su, Jialou Zhu, Kun Li</w:t>
      </w:r>
      <w:r w:rsidR="00C83941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5C519F" w:rsidRPr="00C83941" w:rsidRDefault="00C83941" w:rsidP="00051820">
      <w:pPr>
        <w:rPr>
          <w:rFonts w:ascii="宋体" w:eastAsia="宋体" w:hAnsi="宋体" w:cs="宋体"/>
          <w:b/>
          <w:color w:val="0070C0"/>
          <w:szCs w:val="24"/>
        </w:rPr>
      </w:pPr>
      <w:r w:rsidRPr="00C83941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C83941">
        <w:rPr>
          <w:rFonts w:ascii="宋体" w:eastAsia="宋体" w:hAnsi="宋体" w:cs="宋体"/>
          <w:b/>
          <w:color w:val="0070C0"/>
          <w:szCs w:val="24"/>
        </w:rPr>
        <w:t>Correspondence: Kun Li, Email 489601028@qq.com</w:t>
      </w:r>
    </w:p>
    <w:p w:rsidR="00C83941" w:rsidRDefault="00C83941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(1)State Key Laboratory of Respiratory Disease, Guangzhou Medical University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Institute of Tuberculosis, Guangzhou Key Laboratory of Tuberculosis Research,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Department of Clinical Laboratory, Guangzhou Chest Hospital Affiliated to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Guangdong Pharmaceutical University, Guangzhou, 510095, People's Republic of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810207">
        <w:rPr>
          <w:rFonts w:ascii="宋体" w:eastAsia="宋体" w:hAnsi="宋体" w:cs="宋体"/>
          <w:b/>
          <w:color w:val="000000" w:themeColor="text1"/>
          <w:szCs w:val="24"/>
        </w:rPr>
        <w:t>OBJECTIVE: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 To evaluate the real-world utility of a commercial DNA microarray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assay for early triage of Mycobacterium tuberculosis complex (MTBC) in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smear-positive sputum specimens.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810207">
        <w:rPr>
          <w:rFonts w:ascii="宋体" w:eastAsia="宋体" w:hAnsi="宋体" w:cs="宋体"/>
          <w:b/>
          <w:color w:val="000000" w:themeColor="text1"/>
          <w:szCs w:val="24"/>
        </w:rPr>
        <w:lastRenderedPageBreak/>
        <w:t>METHODS: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 This retrospective single-center study analyzed 1100 smear-positive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sputum specimens submitted to Guangzhou Chest Hospital between January 2019 and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December 2023. All specimens were processed in parallel using MGIT960 liquid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culture and DNA microarray testing. For a subset of MGIT960 culture-positive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specimens, MPT64 antigen testing was performed as per routine clinical practice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for species identification. The study initially described the distribution of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species identification results by microarray. Subsequently, in a subset of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specimens with both microarray and MPT64 results (n=68), the agreement between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the two assays in MTBC identification was evaluated using MPT64 as the reference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standard.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810207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The DNA microarray provided species-level identification of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mycobacteria in the smear-positive specimens, with MTBC detected in 41.4%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(455/1100) of cases. In the comparative analysis with MPT64 results, the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microarray demonstrated 100% sensitivity (95% CI: 83.2-100.0), 97.9% specificity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(95% CI: 88.7-99.9), and a Cohen's kappa coefficient of 0.97 for MTBC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identification.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810207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In a real-world setting, the DNA microarray assay demonstrates high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reliability for MTBC identification while simultaneously providing species-level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information for non-tuberculous mycobacteria (NTM). This capability allows the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microarray assay to serve as an effective triage tool for smear-positive sputum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specimens, offering species-level differentiation between tuberculosis and NTM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infections, with the potential to reduce reliance on additional phenotypic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confirmation pending further validation.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 2026 Luo et al.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DOI: 10.2147/IDR.S623608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PMCID: PMC13477174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PMID: 42604358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810207" w:rsidRDefault="00F30181" w:rsidP="0005182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9</w:t>
      </w:r>
      <w:r w:rsidR="00051820" w:rsidRPr="00810207">
        <w:rPr>
          <w:rFonts w:ascii="宋体" w:eastAsia="宋体" w:hAnsi="宋体" w:cs="宋体"/>
          <w:b/>
          <w:color w:val="FF0000"/>
          <w:szCs w:val="24"/>
        </w:rPr>
        <w:t>. Infect Drug Resist. 2026 Aug 10;19:623120. doi: 10</w:t>
      </w:r>
      <w:r w:rsidR="00810207" w:rsidRPr="00810207">
        <w:rPr>
          <w:rFonts w:ascii="宋体" w:eastAsia="宋体" w:hAnsi="宋体" w:cs="宋体"/>
          <w:b/>
          <w:color w:val="FF0000"/>
          <w:szCs w:val="24"/>
        </w:rPr>
        <w:t xml:space="preserve">.2147/IDR.S623120. eCollection </w:t>
      </w:r>
      <w:r w:rsidR="00051820" w:rsidRPr="00810207">
        <w:rPr>
          <w:rFonts w:ascii="宋体" w:eastAsia="宋体" w:hAnsi="宋体" w:cs="宋体"/>
          <w:b/>
          <w:color w:val="FF0000"/>
          <w:szCs w:val="24"/>
        </w:rPr>
        <w:t>2026.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Prevalence, Clonal Context, and Clinical Correlates of Arr in Klebsiella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Pneumoniae from a Specialized Infectious Disease Hospital.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He L(1), Liu T(1), Xiang J(1), Yan M(1), Wan J(2), Peng X(3), Han Y(2), Xu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C(2)(4).</w:t>
      </w:r>
    </w:p>
    <w:p w:rsid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DD031F" w:rsidRPr="00DD031F" w:rsidRDefault="00DD031F" w:rsidP="00051820">
      <w:pPr>
        <w:rPr>
          <w:rFonts w:ascii="宋体" w:eastAsia="宋体" w:hAnsi="宋体" w:cs="宋体"/>
          <w:b/>
          <w:color w:val="0070C0"/>
          <w:szCs w:val="24"/>
        </w:rPr>
      </w:pPr>
      <w:r w:rsidRPr="00DD031F">
        <w:rPr>
          <w:rFonts w:ascii="宋体" w:eastAsia="宋体" w:hAnsi="宋体" w:cs="宋体"/>
          <w:b/>
          <w:color w:val="0070C0"/>
          <w:szCs w:val="24"/>
        </w:rPr>
        <w:t>Liu He, Ting Liu, Jie Xiang, Mingzhe Yan, Jun Wan, Xiaowei Peng, Yang Han</w:t>
      </w:r>
      <w:r w:rsidR="00920012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DD031F">
        <w:rPr>
          <w:rFonts w:ascii="宋体" w:eastAsia="宋体" w:hAnsi="宋体" w:cs="宋体"/>
          <w:b/>
          <w:color w:val="0070C0"/>
          <w:szCs w:val="24"/>
        </w:rPr>
        <w:t>, Congrui Xu</w:t>
      </w:r>
      <w:r w:rsidR="00920012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DD031F" w:rsidRPr="00920012" w:rsidRDefault="00920012" w:rsidP="00920012">
      <w:pPr>
        <w:jc w:val="left"/>
        <w:rPr>
          <w:rFonts w:ascii="宋体" w:eastAsia="宋体" w:hAnsi="宋体" w:cs="宋体"/>
          <w:b/>
          <w:color w:val="0070C0"/>
          <w:szCs w:val="24"/>
        </w:rPr>
      </w:pPr>
      <w:r w:rsidRPr="00920012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920012">
        <w:rPr>
          <w:rFonts w:ascii="宋体" w:eastAsia="宋体" w:hAnsi="宋体" w:cs="宋体"/>
          <w:b/>
          <w:color w:val="0070C0"/>
          <w:szCs w:val="24"/>
        </w:rPr>
        <w:t>Correspondence: Congrui Xu</w:t>
      </w:r>
      <w:r w:rsidRPr="00920012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920012">
        <w:rPr>
          <w:rFonts w:ascii="宋体" w:eastAsia="宋体" w:hAnsi="宋体" w:cs="宋体"/>
          <w:b/>
          <w:color w:val="0070C0"/>
          <w:szCs w:val="24"/>
        </w:rPr>
        <w:t>Email xucongrui@gmail.com; Yang Han, hanyangctm@gmail.com</w:t>
      </w:r>
    </w:p>
    <w:p w:rsidR="00DD031F" w:rsidRDefault="00DD031F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lastRenderedPageBreak/>
        <w:t>Author information: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(1)Department of Laboratory Medicine, Wuhan Jinyintan Hospital, Tongji Medical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College of Huazhong University of Science and Technology, Wuhan, 430023,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People's Republic of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(2)Center for Translational Medicine, Wuhan Jinyintan Hospital, Tongji Medical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College of Huazhong University of Science and Technology, Wuhan, 430023,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People's Republic of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(3)Wuhan Institute of Virology, Chinese Academy of Sciences, Wuhan, 430071,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People's Republic of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(4)State Key Laboratory for Diagnosis and Treatment of Severe Zoonotic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Infectious Diseases, Tongji Hospital, Tongji Medical College, Huazhong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University of Science and Technology, Wuhan, 430023, People's Republic of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810207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 Rifampicin (RFP) is central to the management of tuberculosis (TB)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and nontuberculous mycobacterial (NTM) infections, and specialized infectious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disease hospitals therefore use it routinely. Whether rifamycin resistance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determinants are enriched among co-resident opportunistic pathogens in this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setting has rarely been examined. We focused on the arr determinant in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Klebsiella pneumoniae, for which prevalence, clonal context, and patient-level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association with documented RFP exposure remain poorly defined.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810207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 We retrospectively analyzed 165 patient-deduplicated clinical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Klebsiella pneumoniae isolates collected during 2024 from a provincial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specialized infectious disease hospital. All isolates underwent whole-genome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sequencing; arr was identified using Kleborate v2 and cross-validated against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RGI/CARD. Phenotypic RFP MIC data were not available for these Klebsiella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pneumoniae isolates. Individual-level RFP exposure was retrieved from the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hospital information system. The RFP-arr association was tested across nested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logistic regression models with bootstrap-based confidence intervals,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multiple-comparison correction, and exposure-misclassification sensitivity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analyses.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810207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arr was carried by 41 of 165 isolates (24.8%), with arr-3 accounting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for 40 of 41 positive cases (97.6%). Among 164 isolates with definable exposure,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arr positivity was higher in RFP-exposed than in unexposed patients (40.0% vs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20.2%; OR 2.64, 95% CI 1.18-5.89, P = 0.025). After covariate adjustment, all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bootstrap 95% CIs included the null. Carriage was strongly concentrated in ST37,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ST60, ST147, and ST656 (combined OR 22.67, 95% CI 7.66-67.03, P &lt; 0.001).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arr-positive isolates showed a broader genotypic resistance burden and lower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predicted virulence scores than arr-negative isolates.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810207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 arr was prevalent in this cohort and was concentrated in several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ST-defined genomic backgrounds. Documented RFP exposure was associated with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carriage in unadjusted analysis but was not confirmed as an independent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correlate after adjustment. Prospective studies with complete treatment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histories and phenotypic susceptibility data are needed to define the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contribution of rifamycin exposure.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 2026 He et al.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DOI: 10.2147/IDR.S623120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PMCID: PMC13476678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PMID: 42604148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810207" w:rsidRDefault="00F30181" w:rsidP="0005182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10</w:t>
      </w:r>
      <w:r w:rsidR="00051820" w:rsidRPr="00810207">
        <w:rPr>
          <w:rFonts w:ascii="宋体" w:eastAsia="宋体" w:hAnsi="宋体" w:cs="宋体"/>
          <w:b/>
          <w:color w:val="FF0000"/>
          <w:szCs w:val="24"/>
        </w:rPr>
        <w:t xml:space="preserve">. Int J Biol Macromol. 2026 Aug 15:154065. doi: 10.1016/j.ijbiomac.2026.154065. </w:t>
      </w:r>
    </w:p>
    <w:p w:rsidR="00051820" w:rsidRPr="00810207" w:rsidRDefault="00051820" w:rsidP="00051820">
      <w:pPr>
        <w:rPr>
          <w:rFonts w:ascii="宋体" w:eastAsia="宋体" w:hAnsi="宋体" w:cs="宋体"/>
          <w:b/>
          <w:color w:val="FF0000"/>
          <w:szCs w:val="24"/>
        </w:rPr>
      </w:pPr>
      <w:r w:rsidRPr="00810207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The pair of fatty acid degradation regulator (FadR)-characterized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pseudo-palindromic motifs spacing with 11</w:t>
      </w:r>
      <w:r w:rsidRPr="00051820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bp contribute unequally to the DNA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binding ability of the HTH-type transcriptional regulator Rv0494 from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Mycobacterium tuberculosis H37Rv.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Lv J(1), Wu H(1), Xin M(1), Zhai X(1), Zhang L(1), Lu L(2).</w:t>
      </w:r>
    </w:p>
    <w:p w:rsid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DD031F" w:rsidRPr="00DD031F" w:rsidRDefault="00DD031F" w:rsidP="00051820">
      <w:pPr>
        <w:rPr>
          <w:rFonts w:ascii="宋体" w:eastAsia="宋体" w:hAnsi="宋体" w:cs="宋体"/>
          <w:b/>
          <w:color w:val="0070C0"/>
          <w:szCs w:val="24"/>
        </w:rPr>
      </w:pPr>
      <w:r w:rsidRPr="00DD031F">
        <w:rPr>
          <w:rFonts w:ascii="宋体" w:eastAsia="宋体" w:hAnsi="宋体" w:cs="宋体"/>
          <w:b/>
          <w:color w:val="0070C0"/>
          <w:szCs w:val="24"/>
        </w:rPr>
        <w:t>Jinliang Lv, Huiyu Wu, Meixuan Xin, Xiaoguo Zhai, Lijun Zhang, Lining Lu</w:t>
      </w:r>
      <w:r w:rsidR="00C16754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DD031F" w:rsidRPr="00C16754" w:rsidRDefault="00C16754" w:rsidP="00051820">
      <w:pPr>
        <w:rPr>
          <w:rFonts w:ascii="宋体" w:eastAsia="宋体" w:hAnsi="宋体" w:cs="宋体"/>
          <w:b/>
          <w:color w:val="0070C0"/>
          <w:szCs w:val="24"/>
        </w:rPr>
      </w:pPr>
      <w:r w:rsidRPr="00C16754">
        <w:rPr>
          <w:rFonts w:ascii="宋体" w:eastAsia="宋体" w:hAnsi="宋体" w:cs="宋体"/>
          <w:b/>
          <w:color w:val="0070C0"/>
          <w:szCs w:val="24"/>
        </w:rPr>
        <w:t xml:space="preserve">#To whom correspondence may be addressed: </w:t>
      </w:r>
      <w:r>
        <w:rPr>
          <w:rFonts w:ascii="宋体" w:eastAsia="宋体" w:hAnsi="宋体" w:cs="宋体"/>
          <w:b/>
          <w:color w:val="0070C0"/>
          <w:szCs w:val="24"/>
        </w:rPr>
        <w:t>E-mail: thu20151@sina.com</w:t>
      </w:r>
    </w:p>
    <w:p w:rsidR="00DD031F" w:rsidRDefault="00DD031F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(1)Guangxi Technology Innovation Center for Microbial Resources Development and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Utilization, College of Life Science and Technology, Guangxi University,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Nanning, Guangxi, 530004,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(2)Guangxi Technology Innovation Center for Microbial Resources Development and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Utilization, College of Life Science and Technology, Guangxi University,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Nanning, Guangxi, 530004, China. Electronic address: thu20151@sina.com.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Transcriptional regulation is an effective way for bacteria to respond to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various environmental challenges, such as carbon source scarcity. Acting as a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transcription factor belonging to the fatty acid degradation regulator (FadR)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subfamily, the HTH-type transcriptional regulator Rv0494 is reported to function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in persistence, starvation response and regulation of very-long-chain fatty acid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synthesis in Mycobacterium tuberculosis (Mtu), a notorious pathogen that causes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tuberculosis. However, DNA sequence dependence of Rv0494, especially the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contributions of the pair of FadR-characterized palindromic motifs spaced with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11</w:t>
      </w:r>
      <w:r w:rsidRPr="00051820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bp in the upstream sequence of rv0494 to the DNA binding ability of Rv0494,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remains unclear. Through structural biology and biochemical approaches, this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study demonstrated that although Rv0494 binds to DNA in a FadR-conserved way,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such as the conserved key residues responsible for DNA binding and the prevalent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functional homodimer, the pair of FadR-characterized pseudo-palindromic motifs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spaced by 11</w:t>
      </w:r>
      <w:r w:rsidRPr="00051820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bp contribute unequally to the DNA binding activity of Rv0494,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probably due to an additional DNA binding activity contributed by a previously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unidentified palindromic sequence with a spacer of 5</w:t>
      </w:r>
      <w:r w:rsidRPr="00051820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bp, which is composed of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the major-contributing pseudo-palindromic motif and a complementary sequence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separated from it by 5</w:t>
      </w:r>
      <w:r w:rsidRPr="00051820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bp. This asymmetric motif dependence is further validated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in the upstream sequences of more carbon metabolism-related genes, such as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rv0467 (icl1) that encodes isocitrate lyase. However, binding does not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necessarily lead to transcriptional repression. This work systematically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characterizes the sequence dependence behavior of Rv0494, laying the foundation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for further elucidating the underlying molecular mechanisms.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Copyright © 2026. Published by Elsevier B.V.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DOI: 10.1016/j.ijbiomac.2026.154065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PMID: 42603683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810207" w:rsidRDefault="00F30181" w:rsidP="0005182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11</w:t>
      </w:r>
      <w:r w:rsidR="00051820" w:rsidRPr="00810207">
        <w:rPr>
          <w:rFonts w:ascii="宋体" w:eastAsia="宋体" w:hAnsi="宋体" w:cs="宋体"/>
          <w:b/>
          <w:color w:val="FF0000"/>
          <w:szCs w:val="24"/>
        </w:rPr>
        <w:t>. Infect Drug Resist. 2026 Aug 10;19:626990. doi: 10</w:t>
      </w:r>
      <w:r w:rsidR="00810207" w:rsidRPr="00810207">
        <w:rPr>
          <w:rFonts w:ascii="宋体" w:eastAsia="宋体" w:hAnsi="宋体" w:cs="宋体"/>
          <w:b/>
          <w:color w:val="FF0000"/>
          <w:szCs w:val="24"/>
        </w:rPr>
        <w:t xml:space="preserve">.2147/IDR.S626990. eCollection </w:t>
      </w:r>
      <w:r w:rsidR="00051820" w:rsidRPr="00810207">
        <w:rPr>
          <w:rFonts w:ascii="宋体" w:eastAsia="宋体" w:hAnsi="宋体" w:cs="宋体"/>
          <w:b/>
          <w:color w:val="FF0000"/>
          <w:szCs w:val="24"/>
        </w:rPr>
        <w:t>2026.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Risk Factors for False-Negative T-SPOT.TB Results in Bacteriologically Confirmed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Pulmonary Tuberculosis: A Retrospective Cohort Study of 4,931 Patients.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Chen M(1), Wang Y(2), Chen X(1), Liao X(1), Li X(1), Wu D(1), Chen X(1), Lin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J(1).</w:t>
      </w:r>
    </w:p>
    <w:p w:rsid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C66FB4" w:rsidRPr="00DD031F" w:rsidRDefault="00C66FB4" w:rsidP="00051820">
      <w:pPr>
        <w:rPr>
          <w:rFonts w:ascii="宋体" w:eastAsia="宋体" w:hAnsi="宋体" w:cs="宋体"/>
          <w:b/>
          <w:color w:val="0070C0"/>
          <w:szCs w:val="24"/>
        </w:rPr>
      </w:pPr>
      <w:r w:rsidRPr="00DD031F">
        <w:rPr>
          <w:rFonts w:ascii="宋体" w:eastAsia="宋体" w:hAnsi="宋体" w:cs="宋体"/>
          <w:b/>
          <w:color w:val="0070C0"/>
          <w:szCs w:val="24"/>
        </w:rPr>
        <w:t>Muxing Chen, Yao Wang, Xiuping Chen, Xiaoqin Liao, Xueling Li, Di Wu, Xiaohong Chen, Jiandong Lin</w:t>
      </w:r>
      <w:r w:rsidR="00946442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C66FB4" w:rsidRPr="00946442" w:rsidRDefault="00946442" w:rsidP="00051820">
      <w:pPr>
        <w:rPr>
          <w:rFonts w:ascii="宋体" w:eastAsia="宋体" w:hAnsi="宋体" w:cs="宋体"/>
          <w:b/>
          <w:color w:val="0070C0"/>
          <w:szCs w:val="24"/>
        </w:rPr>
      </w:pPr>
      <w:r w:rsidRPr="00946442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946442">
        <w:rPr>
          <w:rFonts w:ascii="宋体" w:eastAsia="宋体" w:hAnsi="宋体" w:cs="宋体"/>
          <w:b/>
          <w:color w:val="0070C0"/>
          <w:szCs w:val="24"/>
        </w:rPr>
        <w:t>Correspondence: Jiandong Lin, Email jiandong0928@sina.com</w:t>
      </w:r>
    </w:p>
    <w:p w:rsidR="00C66FB4" w:rsidRDefault="00C66FB4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(1)Department of Tuberculosis, Fuzhou Pulmonary Hospital of Fujian Province,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Fuzhou, Fujian, People's Republic of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(2)Department of Laboratory Medicine, Fuzhou Pulmonary Hospital of Fujian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Province, Fuzhou, Fujian, People's Republic of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810207">
        <w:rPr>
          <w:rFonts w:ascii="宋体" w:eastAsia="宋体" w:hAnsi="宋体" w:cs="宋体"/>
          <w:b/>
          <w:color w:val="000000" w:themeColor="text1"/>
          <w:szCs w:val="24"/>
        </w:rPr>
        <w:t>PURPOSE: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 T-SPOT.TB is an interferon-γ release assay that aids in detecting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Mycobacterium tuberculosis infection but cannot distinguish latent infection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from active tuberculosis. False-negative results may delay diagnosis and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treatment in patients with active pulmonary tuberculosis (PTB). This study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investigated factors associated with false-negative T-SPOT.TB results in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bacteriologically confirmed PTB.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810207">
        <w:rPr>
          <w:rFonts w:ascii="宋体" w:eastAsia="宋体" w:hAnsi="宋体" w:cs="宋体"/>
          <w:b/>
          <w:color w:val="000000" w:themeColor="text1"/>
          <w:szCs w:val="24"/>
        </w:rPr>
        <w:t xml:space="preserve">PATIENTS AND METHODS: 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This retrospective cohort study included 4,931 adults with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bacteriologically confirmed PTB hospitalized at Fuzhou Pulmonary Hospital,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Fujian Province, China, between January 2018 and September 2025. The primary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outcome was a false-negative T-SPOT.TB result. Demographic characteristics,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comorbidities, radiological findings, inflammatory markers, and T-lymphocyte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subset counts were collected. Multivariable logistic regression was used to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identify independent predictors, while restricted cubic spline (RCS) analyses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explored potential nonlinear dose-response relationships.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810207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False-negative T-SPOT.TB results occurred in 437 patients (8.86%).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Compared with patients with positive results, those with false-negative results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were older (median, 61 vs 57 years), had higher neutrophil-to-lymphocyte ratios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(NLR; 3.85 vs 3.25), and had lower CD4</w:t>
      </w:r>
      <w:r w:rsidRPr="00051820">
        <w:rPr>
          <w:rFonts w:ascii="MS Gothic" w:eastAsia="MS Gothic" w:hAnsi="MS Gothic" w:cs="MS Gothic" w:hint="eastAsia"/>
          <w:color w:val="000000" w:themeColor="text1"/>
          <w:szCs w:val="24"/>
        </w:rPr>
        <w:t>⁺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 T-cell counts (540 vs 594 cells/</w:t>
      </w:r>
      <w:r w:rsidRPr="00051820">
        <w:rPr>
          <w:rFonts w:ascii="宋体" w:eastAsia="宋体" w:hAnsi="宋体" w:cs="宋体" w:hint="eastAsia"/>
          <w:color w:val="000000" w:themeColor="text1"/>
          <w:szCs w:val="24"/>
        </w:rPr>
        <w:t>μ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L) (all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P&lt;0.001). Older age (OR=1.007, 95% CI: 1.001-1.014; P=0.024), chronic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obstructive pulmonary disease (OR=1.848, 95% CI: 1.273-2.682; P=0.001), and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elevated NLR (OR=1.018, 95% CI: 1.002-1.035; P=0.026) were independent risk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factors. Diabetes mellitus, cavitary lesions, airway lesions, and higher CD4</w:t>
      </w:r>
      <w:r w:rsidRPr="00051820">
        <w:rPr>
          <w:rFonts w:ascii="MS Gothic" w:eastAsia="MS Gothic" w:hAnsi="MS Gothic" w:cs="MS Gothic" w:hint="eastAsia"/>
          <w:color w:val="000000" w:themeColor="text1"/>
          <w:szCs w:val="24"/>
        </w:rPr>
        <w:t>⁺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T-cell counts were independently associated with a reduced risk of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false-negative results. RCS analyses demonstrated nonlinear associations for NLR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(P for nonlinearity &lt;0.001) and CD4</w:t>
      </w:r>
      <w:r w:rsidRPr="00051820">
        <w:rPr>
          <w:rFonts w:ascii="MS Gothic" w:eastAsia="MS Gothic" w:hAnsi="MS Gothic" w:cs="MS Gothic" w:hint="eastAsia"/>
          <w:color w:val="000000" w:themeColor="text1"/>
          <w:szCs w:val="24"/>
        </w:rPr>
        <w:t>⁺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 T-cell count (P for nonlinearity=0.002),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with a marked increase in false-negative risk above an NLR of 2.96 and below a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CD4</w:t>
      </w:r>
      <w:r w:rsidRPr="00051820">
        <w:rPr>
          <w:rFonts w:ascii="MS Gothic" w:eastAsia="MS Gothic" w:hAnsi="MS Gothic" w:cs="MS Gothic" w:hint="eastAsia"/>
          <w:color w:val="000000" w:themeColor="text1"/>
          <w:szCs w:val="24"/>
        </w:rPr>
        <w:t>⁺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 T-cell count of 490.7 cells/</w:t>
      </w:r>
      <w:r w:rsidRPr="00051820">
        <w:rPr>
          <w:rFonts w:ascii="宋体" w:eastAsia="宋体" w:hAnsi="宋体" w:cs="宋体" w:hint="eastAsia"/>
          <w:color w:val="000000" w:themeColor="text1"/>
          <w:szCs w:val="24"/>
        </w:rPr>
        <w:t>μ</w:t>
      </w:r>
      <w:r w:rsidRPr="00051820">
        <w:rPr>
          <w:rFonts w:ascii="宋体" w:eastAsia="宋体" w:hAnsi="宋体" w:cs="宋体"/>
          <w:color w:val="000000" w:themeColor="text1"/>
          <w:szCs w:val="24"/>
        </w:rPr>
        <w:t>L.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810207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Advanced age, chronic obstructive pulmonary disease, elevated NLR,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and reduced CD4</w:t>
      </w:r>
      <w:r w:rsidRPr="00051820">
        <w:rPr>
          <w:rFonts w:ascii="MS Gothic" w:eastAsia="MS Gothic" w:hAnsi="MS Gothic" w:cs="MS Gothic" w:hint="eastAsia"/>
          <w:color w:val="000000" w:themeColor="text1"/>
          <w:szCs w:val="24"/>
        </w:rPr>
        <w:t>⁺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 T-cell counts increase the likelihood of false-negative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T-SPOT.TB results. In high-risk patients with TB-compatible imaging, a negative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T-SPOT.TB result should not preclude further microbiological evaluation or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diagnostic investigation.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 2026 Chen et al.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DOI: 10.2147/IDR.S626990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PMCID: PMC13475428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PMID: 42602628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810207" w:rsidRDefault="00F30181" w:rsidP="0005182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12</w:t>
      </w:r>
      <w:r w:rsidR="00051820" w:rsidRPr="00810207">
        <w:rPr>
          <w:rFonts w:ascii="宋体" w:eastAsia="宋体" w:hAnsi="宋体" w:cs="宋体"/>
          <w:b/>
          <w:color w:val="FF0000"/>
          <w:szCs w:val="24"/>
        </w:rPr>
        <w:t>. BMJ Open. 2026 Aug 14;16(8):e116725. doi: 10.1136/bmjopen-2026-116725.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Factors influencing quality of life in patients with pulmonary tuberculosis: a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protocol for a systematic review and meta-analysis.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Yuan J(1), Wu Y(1), Lin Y(2), Deng G(3), Chen J(4).</w:t>
      </w:r>
    </w:p>
    <w:p w:rsid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654D9D" w:rsidRPr="00654D9D" w:rsidRDefault="00654D9D" w:rsidP="00051820">
      <w:pPr>
        <w:rPr>
          <w:rFonts w:ascii="宋体" w:eastAsia="宋体" w:hAnsi="宋体" w:cs="宋体"/>
          <w:b/>
          <w:color w:val="0070C0"/>
          <w:szCs w:val="24"/>
        </w:rPr>
      </w:pPr>
      <w:r w:rsidRPr="00654D9D">
        <w:rPr>
          <w:rFonts w:ascii="宋体" w:eastAsia="宋体" w:hAnsi="宋体" w:cs="宋体"/>
          <w:b/>
          <w:color w:val="0070C0"/>
          <w:szCs w:val="24"/>
        </w:rPr>
        <w:t>Jingsong Yuan, Yuanling Wu, Yi Lin, Guofang Deng</w:t>
      </w:r>
      <w:r w:rsidR="001914BA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654D9D">
        <w:rPr>
          <w:rFonts w:ascii="宋体" w:eastAsia="宋体" w:hAnsi="宋体" w:cs="宋体"/>
          <w:b/>
          <w:color w:val="0070C0"/>
          <w:szCs w:val="24"/>
        </w:rPr>
        <w:t>, Jingfang Chen</w:t>
      </w:r>
      <w:r w:rsidR="001914BA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654D9D" w:rsidRPr="001914BA" w:rsidRDefault="001914BA" w:rsidP="00051820">
      <w:pPr>
        <w:rPr>
          <w:rFonts w:ascii="宋体" w:eastAsia="宋体" w:hAnsi="宋体" w:cs="宋体"/>
          <w:b/>
          <w:color w:val="0070C0"/>
          <w:szCs w:val="24"/>
        </w:rPr>
      </w:pPr>
      <w:r w:rsidRPr="001914BA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1914BA">
        <w:rPr>
          <w:rFonts w:ascii="宋体" w:eastAsia="宋体" w:hAnsi="宋体" w:cs="宋体"/>
          <w:b/>
          <w:color w:val="0070C0"/>
          <w:szCs w:val="24"/>
        </w:rPr>
        <w:t>Correspondence to Dr Jingfang Chen; 13823139640@163.com and Professor Guofang Deng; jxxk1035@yeah.net</w:t>
      </w:r>
    </w:p>
    <w:p w:rsidR="00654D9D" w:rsidRDefault="00654D9D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(1)School of Nursing, University of South China, Hengyang,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(2)The Second Department of Pulmonary Diseases, The Third People's Hospital of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Shenzhen, Shenzhen,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(3)The Second Department of Pulmonary Diseases, The Third People's Hospital of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Shenzhen, Shenzhen, China 13823139640@163.com jxxk1035@yeah.net.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(4)Department of Research and Teaching, The Third People's Hospital of Shenzhen,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Shenzhen, China 13823139640@163.com jxxk1035@yeah.net.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810207">
        <w:rPr>
          <w:rFonts w:ascii="宋体" w:eastAsia="宋体" w:hAnsi="宋体" w:cs="宋体"/>
          <w:b/>
          <w:color w:val="000000" w:themeColor="text1"/>
          <w:szCs w:val="24"/>
        </w:rPr>
        <w:t xml:space="preserve">INTRODUCTION: 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Pulmonary tuberculosis (PTB) continues to pose a significant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global public health challenge and is associated with substantial physical,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psychological and social burdens. Beyond traditional clinical outcomes, quality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of life (QoL) has received increasing attention in PTB research and care because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it reflects patients' physical, psychological and social well-being. Although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several primary studies have explored factors associated with QoL among patients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with PTB, the existing evidence is fragmented, with considerable variation in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study populations, disease characteristics and assessment instruments. To date,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no comprehensive systematic review and meta-analysis has synthesised the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determinants of QoL among patients with PTB. This study aims to systematically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identify, integrate and quantitatively summarise factors associated with QoL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among patients with PTB, thereby providing an evidence base to inform targeted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nursing interventions and patient management strategies.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810207">
        <w:rPr>
          <w:rFonts w:ascii="宋体" w:eastAsia="宋体" w:hAnsi="宋体" w:cs="宋体"/>
          <w:b/>
          <w:color w:val="000000" w:themeColor="text1"/>
          <w:szCs w:val="24"/>
        </w:rPr>
        <w:t xml:space="preserve">METHODS AND ANALYSIS: 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This protocol was guided by the Preferred Reporting Items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for Systematic Reviews and Meta-Analyses Protocols statement to ensure rigorous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reporting. A systematic and comprehensive literature search will be conducted in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eight electronic databases, comprising five English databases (PubMed, Web of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Science, The Cochrane Library, Embase and Scopus) and three Chinese databases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(China National Knowledge Infrastructure, Chinese Scientific Journals Database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and Wanfang Database), from inception to 30 November 2025. Observational studies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examining associations between potential influencing factors and QoL or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health-related quality of life (HRQoL) among adult patients with PTB will be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eligible for inclusion. Two reviewers will independently screen studies, extract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data and assess methodological quality, with disagreements resolved through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discussion or consultation with a third reviewer. Meta-analysis will be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performed only when studies are sufficiently comparable in terms of population,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influencing factors, QoL or HRQoL measurement and effect estimates; otherwise,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findings will be summarised narratively. Where meta-analysis is appropriate,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quantitative synthesis will be performed using Review Manager software and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subgroup and sensitivity analyses will be conducted where data permit.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810207">
        <w:rPr>
          <w:rFonts w:ascii="宋体" w:eastAsia="宋体" w:hAnsi="宋体" w:cs="宋体"/>
          <w:b/>
          <w:color w:val="000000" w:themeColor="text1"/>
          <w:szCs w:val="24"/>
        </w:rPr>
        <w:t>ETHICS AND DISSEMINATION: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 Since this study involves the synthesis and secondary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analysis of previously published data, formal ethical approval is not required.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The results of this study will be disseminated through publication in a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peer-reviewed journal and presentation at relevant academic conferences. They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will provide a robust evidence base for clinical nursing practice and guide the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development of future research directions.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PROSPERO REGISTRATION NUMBER: CRD420251196862.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 Author(s) (or their employer(s)) 2026. Re-use permitted under CC BY-NC. No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commercial re-use. See rights and permissions. Published by BMJ Group.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lastRenderedPageBreak/>
        <w:t>DOI: 10.1136/bmjopen-2026-116725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PMID:</w:t>
      </w:r>
      <w:r w:rsidR="00810207">
        <w:rPr>
          <w:rFonts w:ascii="宋体" w:eastAsia="宋体" w:hAnsi="宋体" w:cs="宋体"/>
          <w:color w:val="000000" w:themeColor="text1"/>
          <w:szCs w:val="24"/>
        </w:rPr>
        <w:t xml:space="preserve"> 42601101 [Indexed for MEDLINE]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810207" w:rsidRDefault="00F30181" w:rsidP="0005182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13</w:t>
      </w:r>
      <w:r w:rsidR="00051820" w:rsidRPr="00810207">
        <w:rPr>
          <w:rFonts w:ascii="宋体" w:eastAsia="宋体" w:hAnsi="宋体" w:cs="宋体"/>
          <w:b/>
          <w:color w:val="FF0000"/>
          <w:szCs w:val="24"/>
        </w:rPr>
        <w:t>. Org Lett. 2026 Aug 14;28(32):10296-10301. doi: 10.1021/acs.orglett.6c02749.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Discovery of Polycyclic Polyprenylated Acylphloroglucinols from Hypericum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androsaemum as Dual-Mechanism Inhibitors of Mycobacterium tuberculosis GlmU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Acetyltransferase.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Wei J(1)(2)(3), Jin X(2), Zhao X(4), Fan P(5), Wang N(1), Chen S(5), Li Y(3),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Wang J(1), Zhang Y(5), Hu Z(5)(6)(7).</w:t>
      </w:r>
    </w:p>
    <w:p w:rsid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E32C53" w:rsidRPr="00E32C53" w:rsidRDefault="00E32C53" w:rsidP="00051820">
      <w:pPr>
        <w:rPr>
          <w:rFonts w:ascii="宋体" w:eastAsia="宋体" w:hAnsi="宋体" w:cs="宋体"/>
          <w:b/>
          <w:color w:val="0070C0"/>
          <w:szCs w:val="24"/>
        </w:rPr>
      </w:pPr>
      <w:r w:rsidRPr="00E32C53">
        <w:rPr>
          <w:rFonts w:ascii="宋体" w:eastAsia="宋体" w:hAnsi="宋体" w:cs="宋体"/>
          <w:b/>
          <w:color w:val="0070C0"/>
          <w:szCs w:val="24"/>
        </w:rPr>
        <w:t>Jiangchun Wei, Xingpiao Jin, Xiangwang Zhao, Pingping Fan, Ning Wang, Siyu Chen, Yan Li, Jinsheng Wang</w:t>
      </w:r>
      <w:r w:rsidR="00944C10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E32C53">
        <w:rPr>
          <w:rFonts w:ascii="宋体" w:eastAsia="宋体" w:hAnsi="宋体" w:cs="宋体"/>
          <w:b/>
          <w:color w:val="0070C0"/>
          <w:szCs w:val="24"/>
        </w:rPr>
        <w:t>, Yonghui Zhang</w:t>
      </w:r>
      <w:r w:rsidR="00944C10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E32C53">
        <w:rPr>
          <w:rFonts w:ascii="宋体" w:eastAsia="宋体" w:hAnsi="宋体" w:cs="宋体"/>
          <w:b/>
          <w:color w:val="0070C0"/>
          <w:szCs w:val="24"/>
        </w:rPr>
        <w:t>, Zhengxi Hu</w:t>
      </w:r>
      <w:r w:rsidR="00944C10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E32C53" w:rsidRPr="00944C10" w:rsidRDefault="00944C10" w:rsidP="00051820">
      <w:pPr>
        <w:rPr>
          <w:rFonts w:ascii="宋体" w:eastAsia="宋体" w:hAnsi="宋体" w:cs="宋体"/>
          <w:b/>
          <w:color w:val="0070C0"/>
          <w:szCs w:val="24"/>
        </w:rPr>
      </w:pPr>
      <w:r w:rsidRPr="00944C10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944C10">
        <w:rPr>
          <w:rFonts w:ascii="宋体" w:eastAsia="宋体" w:hAnsi="宋体" w:cs="宋体"/>
          <w:b/>
          <w:color w:val="0070C0"/>
          <w:szCs w:val="24"/>
        </w:rPr>
        <w:t xml:space="preserve">Corresponding Authors Zhengxi Hu </w:t>
      </w:r>
      <w:r w:rsidRPr="00944C10">
        <w:rPr>
          <w:rFonts w:ascii="MS Gothic" w:eastAsia="宋体" w:hAnsi="MS Gothic" w:cs="MS Gothic"/>
          <w:b/>
          <w:color w:val="0070C0"/>
          <w:szCs w:val="24"/>
        </w:rPr>
        <w:t>−</w:t>
      </w:r>
      <w:r w:rsidRPr="00944C10">
        <w:rPr>
          <w:rFonts w:ascii="宋体" w:eastAsia="宋体" w:hAnsi="宋体" w:cs="宋体"/>
          <w:b/>
          <w:color w:val="0070C0"/>
          <w:szCs w:val="24"/>
        </w:rPr>
        <w:t xml:space="preserve"> Email: hzx616@126.com </w:t>
      </w:r>
      <w:r w:rsidRPr="00944C10">
        <w:rPr>
          <w:rFonts w:ascii="宋体" w:eastAsia="宋体" w:hAnsi="宋体" w:cs="宋体" w:hint="eastAsia"/>
          <w:b/>
          <w:color w:val="0070C0"/>
          <w:szCs w:val="24"/>
        </w:rPr>
        <w:t>；</w:t>
      </w:r>
      <w:r w:rsidRPr="00944C10">
        <w:rPr>
          <w:rFonts w:ascii="宋体" w:eastAsia="宋体" w:hAnsi="宋体" w:cs="宋体"/>
          <w:b/>
          <w:color w:val="0070C0"/>
          <w:szCs w:val="24"/>
        </w:rPr>
        <w:t xml:space="preserve">Yonghui Zhang </w:t>
      </w:r>
      <w:r w:rsidRPr="00944C10">
        <w:rPr>
          <w:rFonts w:ascii="MS Gothic" w:eastAsia="MS Gothic" w:hAnsi="MS Gothic" w:cs="MS Gothic" w:hint="eastAsia"/>
          <w:b/>
          <w:color w:val="0070C0"/>
          <w:szCs w:val="24"/>
        </w:rPr>
        <w:t>−</w:t>
      </w:r>
      <w:r w:rsidRPr="00944C10">
        <w:rPr>
          <w:rFonts w:ascii="宋体" w:eastAsia="宋体" w:hAnsi="宋体" w:cs="宋体"/>
          <w:b/>
          <w:color w:val="0070C0"/>
          <w:szCs w:val="24"/>
        </w:rPr>
        <w:t xml:space="preserve"> Email: zhangyh@mails.tjmu.edu.cn </w:t>
      </w:r>
      <w:r w:rsidRPr="00944C10">
        <w:rPr>
          <w:rFonts w:ascii="宋体" w:eastAsia="宋体" w:hAnsi="宋体" w:cs="宋体" w:hint="eastAsia"/>
          <w:b/>
          <w:color w:val="0070C0"/>
          <w:szCs w:val="24"/>
        </w:rPr>
        <w:t>；</w:t>
      </w:r>
      <w:r w:rsidRPr="00944C10">
        <w:rPr>
          <w:rFonts w:ascii="宋体" w:eastAsia="宋体" w:hAnsi="宋体" w:cs="宋体"/>
          <w:b/>
          <w:color w:val="0070C0"/>
          <w:szCs w:val="24"/>
        </w:rPr>
        <w:t xml:space="preserve">Jinsheng Wang </w:t>
      </w:r>
      <w:r w:rsidRPr="00944C10">
        <w:rPr>
          <w:rFonts w:ascii="MS Gothic" w:eastAsia="MS Gothic" w:hAnsi="MS Gothic" w:cs="MS Gothic" w:hint="eastAsia"/>
          <w:b/>
          <w:color w:val="0070C0"/>
          <w:szCs w:val="24"/>
        </w:rPr>
        <w:t>−</w:t>
      </w:r>
      <w:r w:rsidRPr="00944C10">
        <w:rPr>
          <w:rFonts w:ascii="宋体" w:eastAsia="宋体" w:hAnsi="宋体" w:cs="宋体"/>
          <w:b/>
          <w:color w:val="0070C0"/>
          <w:szCs w:val="24"/>
        </w:rPr>
        <w:t xml:space="preserve"> Email: wjsczmc@163.com</w:t>
      </w:r>
    </w:p>
    <w:p w:rsidR="00E32C53" w:rsidRDefault="00E32C53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(1)Shanxi Provincial Innovation Center for Upper Gastrointestinal Cancer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Research and Clinical Translation, Laboratory of Clinical Research Center,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Heping Hospital Affiliated to Changzhi Medical College, Changzhi046000,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(2)Shanxi Provincial Department-Municipal Key Laboratory Cultivation Base for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Quality Enhancement and Utilization of Shang dang Chinese Medicinal Materials,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School of Pharmacy, Changzhi Medical College, Changzhi046000,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(3)Changzhi Key Laboratory of Precision Medicine for Obesity and Metabolic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Diseases, Heping Hospital Affiliated to Changzhi Medical College,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Changzhi046000,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(4)Department of Breast and Thyroid Surgery, Union Hospital, Tongji Medical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College, Huazhong University of Science and Technology, Wuhan430022,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(5)Hubei Key Laboratory of Natural Medicinal Chemistry and Resource Evaluation,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and Wuhan (China-Romania) Belt and Road Joint Laboratory on Traditional Chinese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Medicine, School of Pharmacy, Tongji Medical College, Huazhong University of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Science and Technology, Wuhan430030,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(6)Hubei Shizhen Laboratory, Wuhan430061,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(7)College of Pharmacy, Hubei University of Medicine, Shiyan442000,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(±)-Hypericandrone A (HCA, 1), an unprecedented pair of enantiomeric polycyclic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polyprenylated acylphloroglucinols (PPAPs), and its biosynthetic congener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hypericandrone B (HCB, 2) were isolated from the fruits of Hypericum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androsaemum. Compound 1 features a unique 2-cyclopentane-bicyclo[3.3.0]octane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scaffold, while 2 possesses a rare 2-cyclopentyltetrahydrofuran framework. Their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absolute configurations were unequivocally determined by spectroscopic analysis,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single-crystal X-ray diffraction, and ECD calculations. Remarkably, (+)-1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displayed potent antitubercular activity by selectively inhibiting the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acetyltransferase domain of Mycobacterium tuberculosis GlmU through a dual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mechanism, acting competitively against acetyl-CoA (Ki = 0.07 μM) and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noncompetitively against glucosamine-1-phosphate (GlcN-1-P, Ki = 0.20 μM).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 2026 American Chemical Society.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DOI: 10.1021/acs.orglett.6c02749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PMID: 42599433 [Indexed for MEDLINE]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810207" w:rsidRDefault="00F30181" w:rsidP="0005182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14</w:t>
      </w:r>
      <w:r w:rsidR="00051820" w:rsidRPr="00810207">
        <w:rPr>
          <w:rFonts w:ascii="宋体" w:eastAsia="宋体" w:hAnsi="宋体" w:cs="宋体"/>
          <w:b/>
          <w:color w:val="FF0000"/>
          <w:szCs w:val="24"/>
        </w:rPr>
        <w:t xml:space="preserve">. Int J Infect Dis. 2026 Aug 13:109043. doi: 10.1016/j.ijid.2026.109043. Online </w:t>
      </w:r>
    </w:p>
    <w:p w:rsidR="00051820" w:rsidRPr="00810207" w:rsidRDefault="00051820" w:rsidP="00051820">
      <w:pPr>
        <w:rPr>
          <w:rFonts w:ascii="宋体" w:eastAsia="宋体" w:hAnsi="宋体" w:cs="宋体"/>
          <w:b/>
          <w:color w:val="FF0000"/>
          <w:szCs w:val="24"/>
        </w:rPr>
      </w:pPr>
      <w:r w:rsidRPr="00810207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Disease burden and attributable risk factors of Tuberculosis among adults aged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60 years and older in China from 1990 to 2021 and its prediction to 2041.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Wang X(1), Mijiti P(2), Long Y(1), Fan J(1), Liu X(3), Zhao Y(4), Lu S(5).</w:t>
      </w:r>
    </w:p>
    <w:p w:rsid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D60531" w:rsidRPr="00D60531" w:rsidRDefault="00D60531" w:rsidP="00051820">
      <w:pPr>
        <w:rPr>
          <w:rFonts w:ascii="宋体" w:eastAsia="宋体" w:hAnsi="宋体" w:cs="宋体"/>
          <w:b/>
          <w:color w:val="0070C0"/>
          <w:szCs w:val="24"/>
        </w:rPr>
      </w:pPr>
      <w:r w:rsidRPr="00D60531">
        <w:rPr>
          <w:rFonts w:ascii="宋体" w:eastAsia="宋体" w:hAnsi="宋体" w:cs="宋体"/>
          <w:b/>
          <w:color w:val="0070C0"/>
          <w:szCs w:val="24"/>
        </w:rPr>
        <w:t>Xiaomin Wang, Peierdun Mijiti, Yujiao Long, Junsheng Fan, Xuhui Liu, Yanlin Zhao, Shuihua Lu</w:t>
      </w:r>
      <w:r w:rsidR="000E2A73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D60531" w:rsidRPr="000E2A73" w:rsidRDefault="000E2A73" w:rsidP="00051820">
      <w:pPr>
        <w:rPr>
          <w:rFonts w:ascii="宋体" w:eastAsia="宋体" w:hAnsi="宋体" w:cs="宋体"/>
          <w:b/>
          <w:color w:val="0070C0"/>
          <w:szCs w:val="24"/>
        </w:rPr>
      </w:pPr>
      <w:r w:rsidRPr="000E2A73">
        <w:rPr>
          <w:rFonts w:ascii="宋体" w:eastAsia="宋体" w:hAnsi="宋体" w:cs="宋体"/>
          <w:b/>
          <w:color w:val="0070C0"/>
          <w:szCs w:val="24"/>
        </w:rPr>
        <w:t>*Correspondence: Shuihua Lu, E-mail: lushuihua66@126.com.</w:t>
      </w:r>
    </w:p>
    <w:p w:rsidR="00D60531" w:rsidRDefault="00D60531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(1)National Clinical Research Center for Infectious Diseases, Shenzhen Third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People's Hospital, Shenzhen 518112,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(2)Department of epidemiology and medical statistics, School of public health,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Xinjiang Medical University, Urumqi 830017, Xinjiang,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(3)Department of Tuberculosis, Shanghai Public Health Clinical Center, Fudan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University, Shanghai 201508,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(4)National Key Laboratory of Intelligent Tracking and Forecasting for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Infectious Diseases, National Center for Tuberculosis Control and Prevention,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Chinese Center for Disease Control and Prevention, Beijing 102211,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(5)National Clinical Research Center for Infectious Diseases, Shenzhen Third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People's Hospital, Shenzhen 518112, China. Electronic address: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lushuihua66@126.com.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810207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TB continues to pose considerable threats to elderly populations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worldwide. Drawing on the Global Burden of Disease 2021 dataset spanning three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decades, this investigation explores how TB burden has shifted among Chinese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seniors aged 60 and above.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810207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 Standardized epidemiological metrics for incidence, prevalence,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mortality, disability-adjusted life years, age-standardised rate and average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annual percent change were calculated. Joinpoint regression analysis was applied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to identify periods manifesting notable changes and an age-period-cohort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framework was employed to estimate the age, period, and cohort effects.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Modifiable contributors were measured through attributable fraction analysis,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and Bayesian modeling were used to predict long-term trends to 2041.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810207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 Drug-susceptible TB declined steadily (-8.07%), whereas drug-resistant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TB escalated dramatically, with XDR-TB rising 2133.81% and MDR-TB increasing by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and 20.29% relative to 1990, respectively. Men carried roughly twice the disease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burden of women, driven largely by smoking and alcohol. Conversely, obesity and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diabetes became the prominent drivers among older women after 2006.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HIV-associated TB in the elderly patients showed no signs of abating.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Projections suggest drug-susceptible TB will keep declining, whereas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drug-resistant TB will keep growing.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810207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 Older Chinese adults confront a multifaceted TB epidemic marked by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declining drug-susceptible TB cases, rising drug</w:t>
      </w:r>
      <w:r w:rsidRPr="00051820">
        <w:rPr>
          <w:rFonts w:ascii="MS Gothic" w:eastAsia="MS Gothic" w:hAnsi="MS Gothic" w:cs="MS Gothic" w:hint="eastAsia"/>
          <w:color w:val="000000" w:themeColor="text1"/>
          <w:szCs w:val="24"/>
        </w:rPr>
        <w:t>‑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resistant cases,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gender-specific risk profiles, and an emerging HIV-TB syndemic. Addressing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sex-differentiated risk profiles and strengthening resistance surveillance are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essential steps toward national elimination goals.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Copyright © 2026. Published by Elsevier Ltd.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DOI: 10.1016/j.ijid.2026.109043</w:t>
      </w:r>
    </w:p>
    <w:p w:rsidR="00051820" w:rsidRPr="00051820" w:rsidRDefault="006D30B7" w:rsidP="00051820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42595001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6D30B7" w:rsidRDefault="00051820" w:rsidP="00051820">
      <w:pPr>
        <w:rPr>
          <w:rFonts w:ascii="宋体" w:eastAsia="宋体" w:hAnsi="宋体" w:cs="宋体"/>
          <w:b/>
          <w:color w:val="FF0000"/>
          <w:szCs w:val="24"/>
        </w:rPr>
      </w:pPr>
      <w:r w:rsidRPr="006D30B7">
        <w:rPr>
          <w:rFonts w:ascii="宋体" w:eastAsia="宋体" w:hAnsi="宋体" w:cs="宋体"/>
          <w:b/>
          <w:color w:val="FF0000"/>
          <w:szCs w:val="24"/>
        </w:rPr>
        <w:t>1</w:t>
      </w:r>
      <w:r w:rsidR="00F30181">
        <w:rPr>
          <w:rFonts w:ascii="宋体" w:eastAsia="宋体" w:hAnsi="宋体" w:cs="宋体"/>
          <w:b/>
          <w:color w:val="FF0000"/>
          <w:szCs w:val="24"/>
        </w:rPr>
        <w:t>5</w:t>
      </w:r>
      <w:r w:rsidRPr="006D30B7">
        <w:rPr>
          <w:rFonts w:ascii="宋体" w:eastAsia="宋体" w:hAnsi="宋体" w:cs="宋体"/>
          <w:b/>
          <w:color w:val="FF0000"/>
          <w:szCs w:val="24"/>
        </w:rPr>
        <w:t xml:space="preserve">. Am J Respir Crit Care Med. 2026 Aug 12:aamag424. doi: 10.1093/ajrccm/aamag424. </w:t>
      </w:r>
    </w:p>
    <w:p w:rsidR="00051820" w:rsidRPr="006D30B7" w:rsidRDefault="00051820" w:rsidP="00051820">
      <w:pPr>
        <w:rPr>
          <w:rFonts w:ascii="宋体" w:eastAsia="宋体" w:hAnsi="宋体" w:cs="宋体"/>
          <w:b/>
          <w:color w:val="FF0000"/>
          <w:szCs w:val="24"/>
        </w:rPr>
      </w:pPr>
      <w:r w:rsidRPr="006D30B7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Interpreting Post-Tuberculosis Lung Disease after Extrapulmonary Tuberculosis.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Liang M(1), He J(2), Qu J(3).</w:t>
      </w:r>
    </w:p>
    <w:p w:rsid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930F77" w:rsidRPr="00930F77" w:rsidRDefault="00930F77" w:rsidP="00051820">
      <w:pPr>
        <w:rPr>
          <w:rFonts w:ascii="宋体" w:eastAsia="宋体" w:hAnsi="宋体" w:cs="宋体"/>
          <w:b/>
          <w:color w:val="0070C0"/>
          <w:szCs w:val="24"/>
        </w:rPr>
      </w:pPr>
      <w:r w:rsidRPr="00930F77">
        <w:rPr>
          <w:rFonts w:ascii="宋体" w:eastAsia="宋体" w:hAnsi="宋体" w:cs="宋体"/>
          <w:b/>
          <w:color w:val="0070C0"/>
          <w:szCs w:val="24"/>
        </w:rPr>
        <w:t>Mei Liang, Jianqing He</w:t>
      </w:r>
      <w:r w:rsidR="00813394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930F77">
        <w:rPr>
          <w:rFonts w:ascii="宋体" w:eastAsia="宋体" w:hAnsi="宋体" w:cs="宋体"/>
          <w:b/>
          <w:color w:val="0070C0"/>
          <w:szCs w:val="24"/>
        </w:rPr>
        <w:t>, Junyan Qu</w:t>
      </w:r>
      <w:r w:rsidR="00813394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930F77" w:rsidRPr="00813394" w:rsidRDefault="00813394" w:rsidP="00813394">
      <w:pPr>
        <w:jc w:val="left"/>
        <w:rPr>
          <w:rFonts w:ascii="宋体" w:eastAsia="宋体" w:hAnsi="宋体" w:cs="宋体"/>
          <w:b/>
          <w:color w:val="0070C0"/>
          <w:szCs w:val="24"/>
        </w:rPr>
      </w:pPr>
      <w:r w:rsidRPr="00813394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813394">
        <w:rPr>
          <w:rFonts w:ascii="宋体" w:eastAsia="宋体" w:hAnsi="宋体" w:cs="宋体"/>
          <w:b/>
          <w:color w:val="0070C0"/>
          <w:szCs w:val="24"/>
        </w:rPr>
        <w:t>Corresponding author: Jianqing He</w:t>
      </w:r>
      <w:r w:rsidRPr="00813394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813394">
        <w:rPr>
          <w:rFonts w:ascii="宋体" w:eastAsia="宋体" w:hAnsi="宋体" w:cs="宋体"/>
          <w:b/>
          <w:color w:val="0070C0"/>
          <w:szCs w:val="24"/>
        </w:rPr>
        <w:t xml:space="preserve">jianqing_he@scu.edu.cn </w:t>
      </w:r>
      <w:r w:rsidRPr="00813394">
        <w:rPr>
          <w:rFonts w:ascii="宋体" w:eastAsia="宋体" w:hAnsi="宋体" w:cs="宋体" w:hint="eastAsia"/>
          <w:b/>
          <w:color w:val="0070C0"/>
          <w:szCs w:val="24"/>
        </w:rPr>
        <w:t>；</w:t>
      </w:r>
      <w:r w:rsidRPr="00813394">
        <w:rPr>
          <w:rFonts w:ascii="宋体" w:eastAsia="宋体" w:hAnsi="宋体" w:cs="宋体"/>
          <w:b/>
          <w:color w:val="0070C0"/>
          <w:szCs w:val="24"/>
        </w:rPr>
        <w:t>Junyan Qu</w:t>
      </w:r>
      <w:r w:rsidRPr="00813394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813394">
        <w:rPr>
          <w:rFonts w:ascii="宋体" w:eastAsia="宋体" w:hAnsi="宋体" w:cs="宋体"/>
          <w:b/>
          <w:color w:val="0070C0"/>
          <w:szCs w:val="24"/>
        </w:rPr>
        <w:t>qujunyan15647@wchscu.cn</w:t>
      </w:r>
    </w:p>
    <w:p w:rsidR="00930F77" w:rsidRPr="00051820" w:rsidRDefault="00930F77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(1)Department of Respiratory and Critical Care Medicine, West China Hospital,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Sichuan University.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(2)Department of Respiratory and Critical Care Medicine, West China Hospital,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Sichuan University, No.1166 Jinjiang Avenue, Jinjiang District, Chengdu 610023,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Sichuan,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(3)Center for Infectious Diseases, West China Hospital, Sichuan University,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No.1166 Jinjiang Avenue, Jinjiang District, Chengdu 610023, Sichuan,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DOI: 10.1093/ajrccm/aamag424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PMID: 42584100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6D30B7" w:rsidRDefault="00051820" w:rsidP="00051820">
      <w:pPr>
        <w:rPr>
          <w:rFonts w:ascii="宋体" w:eastAsia="宋体" w:hAnsi="宋体" w:cs="宋体"/>
          <w:b/>
          <w:color w:val="FF0000"/>
          <w:szCs w:val="24"/>
        </w:rPr>
      </w:pPr>
      <w:r w:rsidRPr="006D30B7">
        <w:rPr>
          <w:rFonts w:ascii="宋体" w:eastAsia="宋体" w:hAnsi="宋体" w:cs="宋体"/>
          <w:b/>
          <w:color w:val="FF0000"/>
          <w:szCs w:val="24"/>
        </w:rPr>
        <w:lastRenderedPageBreak/>
        <w:t>1</w:t>
      </w:r>
      <w:r w:rsidR="00F30181">
        <w:rPr>
          <w:rFonts w:ascii="宋体" w:eastAsia="宋体" w:hAnsi="宋体" w:cs="宋体"/>
          <w:b/>
          <w:color w:val="FF0000"/>
          <w:szCs w:val="24"/>
        </w:rPr>
        <w:t>6</w:t>
      </w:r>
      <w:r w:rsidRPr="006D30B7">
        <w:rPr>
          <w:rFonts w:ascii="宋体" w:eastAsia="宋体" w:hAnsi="宋体" w:cs="宋体"/>
          <w:b/>
          <w:color w:val="FF0000"/>
          <w:szCs w:val="24"/>
        </w:rPr>
        <w:t xml:space="preserve">. IJTLD Open. 2026 Aug 11;3(8):488-493. doi: 10.5588/ijtldopen.26.0017. </w:t>
      </w:r>
    </w:p>
    <w:p w:rsidR="00051820" w:rsidRPr="006D30B7" w:rsidRDefault="00051820" w:rsidP="00051820">
      <w:pPr>
        <w:rPr>
          <w:rFonts w:ascii="宋体" w:eastAsia="宋体" w:hAnsi="宋体" w:cs="宋体"/>
          <w:b/>
          <w:color w:val="FF0000"/>
          <w:szCs w:val="24"/>
        </w:rPr>
      </w:pPr>
      <w:r w:rsidRPr="006D30B7">
        <w:rPr>
          <w:rFonts w:ascii="宋体" w:eastAsia="宋体" w:hAnsi="宋体" w:cs="宋体"/>
          <w:b/>
          <w:color w:val="FF0000"/>
          <w:szCs w:val="24"/>
        </w:rPr>
        <w:t>eCollection 2026 Aug.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A comparative study of uniportal video-assisted thoracic surgery versus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thoracotomy in the treatment of TB empyema.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Liu H(1), Xu P(1), Zheng S(1), Wang X(1), Long Y(1), Lin S(1), Wang Y(1), Zeng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J(1), Fang M(1), Qiao K(1), Lu S(1), Wang H(1).</w:t>
      </w:r>
    </w:p>
    <w:p w:rsid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930F77" w:rsidRPr="00930F77" w:rsidRDefault="00930F77" w:rsidP="00051820">
      <w:pPr>
        <w:rPr>
          <w:rFonts w:ascii="宋体" w:eastAsia="宋体" w:hAnsi="宋体" w:cs="宋体"/>
          <w:b/>
          <w:color w:val="0070C0"/>
          <w:szCs w:val="24"/>
        </w:rPr>
      </w:pPr>
      <w:r w:rsidRPr="00930F77">
        <w:rPr>
          <w:rFonts w:ascii="宋体" w:eastAsia="宋体" w:hAnsi="宋体" w:cs="宋体"/>
          <w:b/>
          <w:color w:val="0070C0"/>
          <w:szCs w:val="24"/>
        </w:rPr>
        <w:t>H Liu,</w:t>
      </w:r>
      <w:r w:rsidR="00813394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930F77">
        <w:rPr>
          <w:rFonts w:ascii="宋体" w:eastAsia="宋体" w:hAnsi="宋体" w:cs="宋体"/>
          <w:b/>
          <w:color w:val="0070C0"/>
          <w:szCs w:val="24"/>
        </w:rPr>
        <w:t>P Xu,</w:t>
      </w:r>
      <w:r w:rsidR="00813394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930F77">
        <w:rPr>
          <w:rFonts w:ascii="宋体" w:eastAsia="宋体" w:hAnsi="宋体" w:cs="宋体"/>
          <w:b/>
          <w:color w:val="0070C0"/>
          <w:szCs w:val="24"/>
        </w:rPr>
        <w:t>S Zheng,</w:t>
      </w:r>
      <w:r w:rsidR="00813394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930F77">
        <w:rPr>
          <w:rFonts w:ascii="宋体" w:eastAsia="宋体" w:hAnsi="宋体" w:cs="宋体"/>
          <w:b/>
          <w:color w:val="0070C0"/>
          <w:szCs w:val="24"/>
        </w:rPr>
        <w:t>X Wang,</w:t>
      </w:r>
      <w:r w:rsidR="00813394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930F77">
        <w:rPr>
          <w:rFonts w:ascii="宋体" w:eastAsia="宋体" w:hAnsi="宋体" w:cs="宋体"/>
          <w:b/>
          <w:color w:val="0070C0"/>
          <w:szCs w:val="24"/>
        </w:rPr>
        <w:t>Y Long,</w:t>
      </w:r>
      <w:r w:rsidR="00813394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930F77">
        <w:rPr>
          <w:rFonts w:ascii="宋体" w:eastAsia="宋体" w:hAnsi="宋体" w:cs="宋体"/>
          <w:b/>
          <w:color w:val="0070C0"/>
          <w:szCs w:val="24"/>
        </w:rPr>
        <w:t>S Lin,</w:t>
      </w:r>
      <w:r w:rsidR="00813394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930F77">
        <w:rPr>
          <w:rFonts w:ascii="宋体" w:eastAsia="宋体" w:hAnsi="宋体" w:cs="宋体"/>
          <w:b/>
          <w:color w:val="0070C0"/>
          <w:szCs w:val="24"/>
        </w:rPr>
        <w:t>Y Wang,</w:t>
      </w:r>
      <w:r w:rsidR="00813394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930F77">
        <w:rPr>
          <w:rFonts w:ascii="宋体" w:eastAsia="宋体" w:hAnsi="宋体" w:cs="宋体"/>
          <w:b/>
          <w:color w:val="0070C0"/>
          <w:szCs w:val="24"/>
        </w:rPr>
        <w:t>J Zeng,</w:t>
      </w:r>
      <w:r w:rsidR="00813394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930F77">
        <w:rPr>
          <w:rFonts w:ascii="宋体" w:eastAsia="宋体" w:hAnsi="宋体" w:cs="宋体"/>
          <w:b/>
          <w:color w:val="0070C0"/>
          <w:szCs w:val="24"/>
        </w:rPr>
        <w:t>M Fang,</w:t>
      </w:r>
      <w:r w:rsidR="00813394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930F77">
        <w:rPr>
          <w:rFonts w:ascii="宋体" w:eastAsia="宋体" w:hAnsi="宋体" w:cs="宋体"/>
          <w:b/>
          <w:color w:val="0070C0"/>
          <w:szCs w:val="24"/>
        </w:rPr>
        <w:t>K Qiao,</w:t>
      </w:r>
      <w:r w:rsidR="00813394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930F77">
        <w:rPr>
          <w:rFonts w:ascii="宋体" w:eastAsia="宋体" w:hAnsi="宋体" w:cs="宋体"/>
          <w:b/>
          <w:color w:val="0070C0"/>
          <w:szCs w:val="24"/>
        </w:rPr>
        <w:t>S Lu,</w:t>
      </w:r>
      <w:r w:rsidR="00813394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930F77">
        <w:rPr>
          <w:rFonts w:ascii="宋体" w:eastAsia="宋体" w:hAnsi="宋体" w:cs="宋体"/>
          <w:b/>
          <w:color w:val="0070C0"/>
          <w:szCs w:val="24"/>
        </w:rPr>
        <w:t>H Wang</w:t>
      </w:r>
      <w:r w:rsidR="00813394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930F77" w:rsidRPr="00813394" w:rsidRDefault="00813394" w:rsidP="00051820">
      <w:pPr>
        <w:rPr>
          <w:rFonts w:ascii="宋体" w:eastAsia="宋体" w:hAnsi="宋体" w:cs="宋体"/>
          <w:b/>
          <w:color w:val="0070C0"/>
          <w:szCs w:val="24"/>
        </w:rPr>
      </w:pPr>
      <w:r w:rsidRPr="00813394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813394">
        <w:rPr>
          <w:rFonts w:ascii="宋体" w:eastAsia="宋体" w:hAnsi="宋体" w:cs="宋体"/>
          <w:b/>
          <w:color w:val="0070C0"/>
          <w:szCs w:val="24"/>
        </w:rPr>
        <w:t>Correspondence to: Haijiang Wang, E-mail: whaj2008@163.com</w:t>
      </w:r>
    </w:p>
    <w:p w:rsidR="00930F77" w:rsidRPr="00051820" w:rsidRDefault="00930F77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(1)The Third People's Hospital of Shenzhen, Department of Thoracic Surgery,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National Clinical Research Center for Infectious Disease, The Second Affiliated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Hospital of Southern University of Science and Technology, Shenzhen, Guangdong,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6D30B7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 Chronic TB empyema is a serious complication of TB that often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requires surgery because drug penetration into fibrotic pleural tissue is poor.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We compared uniportal video-assisted thoracic surgery (VATS) and thoracotomy for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pleural decortication.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6D30B7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 We retrospectively analysed 112 patients with chronic TB empyema who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underwent surgical treatment between 2020 and 2024. Thoracic morphometric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changes were assessed using pre- and postoperative computed tomography, and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factors associated with postoperative thoracic expansion were explored.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6D30B7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 Of the 112 patients, 65 underwent thoracotomy and 47 uniportal VATS.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The overall excellent/good outcome rate was 91.9%, based on postoperative lung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re-expansion, residual empyema cavity and residual fibrous pleural plaque.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Compared with thoracotomy, uniportal VATS was associated with less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intraoperative blood loss (151.8 ± 127 vs. 278 ± 231 mL, P &lt; 0.001) and a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shorter postoperative hospital stay (8.2 ± 3.7 vs. 9.9 ± 3.1 days, P = 0.002).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Both groups showed significant postoperative improvement in thoracic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morphometric measurements. Older age was associated with poorer postoperative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thoracic expansion.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6D30B7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In this retrospective single-centre cohort, uniportal VATS was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associated with more favourable perioperative outcomes than thoracotomy, with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comparable short-term radiographic recovery.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 2026 The Authors.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DOI: 10.5588/ijtldopen.26.0017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PMCID: PMC13460435</w:t>
      </w:r>
    </w:p>
    <w:p w:rsidR="00051820" w:rsidRPr="00051820" w:rsidRDefault="006D30B7" w:rsidP="00051820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lastRenderedPageBreak/>
        <w:t>PMID: 42583659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6D30B7" w:rsidRDefault="00051820" w:rsidP="00051820">
      <w:pPr>
        <w:rPr>
          <w:rFonts w:ascii="宋体" w:eastAsia="宋体" w:hAnsi="宋体" w:cs="宋体"/>
          <w:b/>
          <w:color w:val="FF0000"/>
          <w:szCs w:val="24"/>
        </w:rPr>
      </w:pPr>
      <w:r w:rsidRPr="006D30B7">
        <w:rPr>
          <w:rFonts w:ascii="宋体" w:eastAsia="宋体" w:hAnsi="宋体" w:cs="宋体"/>
          <w:b/>
          <w:color w:val="FF0000"/>
          <w:szCs w:val="24"/>
        </w:rPr>
        <w:t>1</w:t>
      </w:r>
      <w:r w:rsidR="00F30181">
        <w:rPr>
          <w:rFonts w:ascii="宋体" w:eastAsia="宋体" w:hAnsi="宋体" w:cs="宋体"/>
          <w:b/>
          <w:color w:val="FF0000"/>
          <w:szCs w:val="24"/>
        </w:rPr>
        <w:t>7</w:t>
      </w:r>
      <w:r w:rsidRPr="006D30B7">
        <w:rPr>
          <w:rFonts w:ascii="宋体" w:eastAsia="宋体" w:hAnsi="宋体" w:cs="宋体"/>
          <w:b/>
          <w:color w:val="FF0000"/>
          <w:szCs w:val="24"/>
        </w:rPr>
        <w:t xml:space="preserve">. IJTLD Open. 2026 Aug 11;3(8):502-510. doi: 10.5588/ijtldopen.26.0073. </w:t>
      </w:r>
    </w:p>
    <w:p w:rsidR="00051820" w:rsidRPr="006D30B7" w:rsidRDefault="00051820" w:rsidP="00051820">
      <w:pPr>
        <w:rPr>
          <w:rFonts w:ascii="宋体" w:eastAsia="宋体" w:hAnsi="宋体" w:cs="宋体"/>
          <w:b/>
          <w:color w:val="FF0000"/>
          <w:szCs w:val="24"/>
        </w:rPr>
      </w:pPr>
      <w:r w:rsidRPr="006D30B7">
        <w:rPr>
          <w:rFonts w:ascii="宋体" w:eastAsia="宋体" w:hAnsi="宋体" w:cs="宋体"/>
          <w:b/>
          <w:color w:val="FF0000"/>
          <w:szCs w:val="24"/>
        </w:rPr>
        <w:t>eCollection 2026 Aug.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Patient-centred communication in primary TB care delivery in Western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Zhou J(1), Huang Q(1), Luo L(2), Zhang T(3), Wang G(1), Zhao X(4), Liu S(1),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Yuan Q(1), Chen Y(1), Li Y(1).</w:t>
      </w:r>
    </w:p>
    <w:p w:rsid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D05F0B" w:rsidRPr="00D05F0B" w:rsidRDefault="00D05F0B" w:rsidP="00051820">
      <w:pPr>
        <w:rPr>
          <w:rFonts w:ascii="宋体" w:eastAsia="宋体" w:hAnsi="宋体" w:cs="宋体"/>
          <w:b/>
          <w:color w:val="0070C0"/>
          <w:szCs w:val="24"/>
        </w:rPr>
      </w:pPr>
      <w:r w:rsidRPr="00D05F0B">
        <w:rPr>
          <w:rFonts w:ascii="宋体" w:eastAsia="宋体" w:hAnsi="宋体" w:cs="宋体"/>
          <w:b/>
          <w:color w:val="0070C0"/>
          <w:szCs w:val="24"/>
        </w:rPr>
        <w:t>J Zhou,</w:t>
      </w:r>
      <w:r w:rsidR="001F22BE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D05F0B">
        <w:rPr>
          <w:rFonts w:ascii="宋体" w:eastAsia="宋体" w:hAnsi="宋体" w:cs="宋体"/>
          <w:b/>
          <w:color w:val="0070C0"/>
          <w:szCs w:val="24"/>
        </w:rPr>
        <w:t>Q Huang,</w:t>
      </w:r>
      <w:r w:rsidR="001F22BE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D05F0B">
        <w:rPr>
          <w:rFonts w:ascii="宋体" w:eastAsia="宋体" w:hAnsi="宋体" w:cs="宋体"/>
          <w:b/>
          <w:color w:val="0070C0"/>
          <w:szCs w:val="24"/>
        </w:rPr>
        <w:t>L Luo,</w:t>
      </w:r>
      <w:r w:rsidR="001F22BE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D05F0B">
        <w:rPr>
          <w:rFonts w:ascii="宋体" w:eastAsia="宋体" w:hAnsi="宋体" w:cs="宋体"/>
          <w:b/>
          <w:color w:val="0070C0"/>
          <w:szCs w:val="24"/>
        </w:rPr>
        <w:t>T Zhang,</w:t>
      </w:r>
      <w:r w:rsidR="001F22BE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D05F0B">
        <w:rPr>
          <w:rFonts w:ascii="宋体" w:eastAsia="宋体" w:hAnsi="宋体" w:cs="宋体"/>
          <w:b/>
          <w:color w:val="0070C0"/>
          <w:szCs w:val="24"/>
        </w:rPr>
        <w:t>G Wang,</w:t>
      </w:r>
      <w:r w:rsidR="001F22BE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D05F0B">
        <w:rPr>
          <w:rFonts w:ascii="宋体" w:eastAsia="宋体" w:hAnsi="宋体" w:cs="宋体"/>
          <w:b/>
          <w:color w:val="0070C0"/>
          <w:szCs w:val="24"/>
        </w:rPr>
        <w:t>X Zhao,</w:t>
      </w:r>
      <w:r w:rsidR="001F22BE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D05F0B">
        <w:rPr>
          <w:rFonts w:ascii="宋体" w:eastAsia="宋体" w:hAnsi="宋体" w:cs="宋体"/>
          <w:b/>
          <w:color w:val="0070C0"/>
          <w:szCs w:val="24"/>
        </w:rPr>
        <w:t>S Liu,</w:t>
      </w:r>
      <w:r w:rsidR="001F22BE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D05F0B">
        <w:rPr>
          <w:rFonts w:ascii="宋体" w:eastAsia="宋体" w:hAnsi="宋体" w:cs="宋体"/>
          <w:b/>
          <w:color w:val="0070C0"/>
          <w:szCs w:val="24"/>
        </w:rPr>
        <w:t>Q Yuan,</w:t>
      </w:r>
      <w:r w:rsidR="001F22BE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D05F0B">
        <w:rPr>
          <w:rFonts w:ascii="宋体" w:eastAsia="宋体" w:hAnsi="宋体" w:cs="宋体"/>
          <w:b/>
          <w:color w:val="0070C0"/>
          <w:szCs w:val="24"/>
        </w:rPr>
        <w:t>Y Chen,</w:t>
      </w:r>
      <w:r w:rsidR="001F22BE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D05F0B">
        <w:rPr>
          <w:rFonts w:ascii="宋体" w:eastAsia="宋体" w:hAnsi="宋体" w:cs="宋体"/>
          <w:b/>
          <w:color w:val="0070C0"/>
          <w:szCs w:val="24"/>
        </w:rPr>
        <w:t>Y Li</w:t>
      </w:r>
      <w:r w:rsidR="001F22BE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D05F0B" w:rsidRPr="001F22BE" w:rsidRDefault="001F22BE" w:rsidP="00051820">
      <w:pPr>
        <w:rPr>
          <w:rFonts w:ascii="宋体" w:eastAsia="宋体" w:hAnsi="宋体" w:cs="宋体"/>
          <w:b/>
          <w:color w:val="0070C0"/>
          <w:szCs w:val="24"/>
        </w:rPr>
      </w:pPr>
      <w:r w:rsidRPr="001F22BE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1F22BE">
        <w:rPr>
          <w:rFonts w:ascii="宋体" w:eastAsia="宋体" w:hAnsi="宋体" w:cs="宋体"/>
          <w:b/>
          <w:color w:val="0070C0"/>
          <w:szCs w:val="24"/>
        </w:rPr>
        <w:t>Correspondence to: Ying Li, E-mail: lilyliying2012@163.com</w:t>
      </w:r>
    </w:p>
    <w:p w:rsidR="00D05F0B" w:rsidRDefault="00D05F0B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(1)Department of Social Medicine and Health Service Management, Army Medical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University (Third Military Medical University), Shapingba, Chongqing,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(2)Department of TB Control, Center of Disease Control and Prevention, Guiyang,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Guizhou,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(3)Department of Districts and Counties, Chongqing Institute of TB Prevention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and Treatment, Jiulongpo, Chongqing,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(4)Guiyang Center for Disease Control and Prevention, Guiyang, Guizhou,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6D30B7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 Patient-centred communication (PCC) is critical for delivering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high-quality TB care. The 4-Habits Coding Scheme (4-HCS) is a tool designed to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assess 23 communication behaviours from a patient-centred perspective.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6D30B7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 We aimed to cross-culturally adapt and validate the 4-HCS into Chinese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and evaluate PCC skills among TB health care workers (HCWs) in primary health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care (PHC) settings in Western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6D30B7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 The Chinese version of the 4-HCS demonstrated robust reliability, face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validity, and construct validity, and construct validity, and a total of 2,807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HCWs were included in the study. Community-level TB HCWs (3.872 ± 0.842) had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better PCC skills than village-level HCWs (3.748 ± 0.860). The Habit 4 (Invest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in the End) dimension which required more TB treatment knowledge had the lowest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scores across four dimensions at both levels. Factors associated with higher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4-HCS scores included positive working attitudes, high working satisfaction,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more years of TB working experience, and being from the community level (all P &lt;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0.05).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6D30B7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 The Chinese version of the 4-HCS is a reliable and valid tool for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assessing PCC skills among TB HCWs in PHC settings. Future research should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expand to diverse regions and incorporate objective assessments to further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validate the tool and explore its broader applicability.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 2026 The Authors.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lastRenderedPageBreak/>
        <w:t>DOI: 10.5588/ijtldopen.26.0073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PMCID: PMC13460436</w:t>
      </w:r>
    </w:p>
    <w:p w:rsidR="00051820" w:rsidRPr="00051820" w:rsidRDefault="006D30B7" w:rsidP="00051820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42583502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6D30B7" w:rsidRDefault="00051820" w:rsidP="00051820">
      <w:pPr>
        <w:rPr>
          <w:rFonts w:ascii="宋体" w:eastAsia="宋体" w:hAnsi="宋体" w:cs="宋体"/>
          <w:b/>
          <w:color w:val="FF0000"/>
          <w:szCs w:val="24"/>
        </w:rPr>
      </w:pPr>
      <w:r w:rsidRPr="006D30B7">
        <w:rPr>
          <w:rFonts w:ascii="宋体" w:eastAsia="宋体" w:hAnsi="宋体" w:cs="宋体"/>
          <w:b/>
          <w:color w:val="FF0000"/>
          <w:szCs w:val="24"/>
        </w:rPr>
        <w:t>1</w:t>
      </w:r>
      <w:r w:rsidR="00F30181">
        <w:rPr>
          <w:rFonts w:ascii="宋体" w:eastAsia="宋体" w:hAnsi="宋体" w:cs="宋体"/>
          <w:b/>
          <w:color w:val="FF0000"/>
          <w:szCs w:val="24"/>
        </w:rPr>
        <w:t>8</w:t>
      </w:r>
      <w:r w:rsidRPr="006D30B7">
        <w:rPr>
          <w:rFonts w:ascii="宋体" w:eastAsia="宋体" w:hAnsi="宋体" w:cs="宋体"/>
          <w:b/>
          <w:color w:val="FF0000"/>
          <w:szCs w:val="24"/>
        </w:rPr>
        <w:t xml:space="preserve">. Respirol Case Rep. 2026 Aug 11;14(8):e70724. doi: 10.1002/rcr2.70724. </w:t>
      </w:r>
    </w:p>
    <w:p w:rsidR="00051820" w:rsidRPr="006D30B7" w:rsidRDefault="00051820" w:rsidP="00051820">
      <w:pPr>
        <w:rPr>
          <w:rFonts w:ascii="宋体" w:eastAsia="宋体" w:hAnsi="宋体" w:cs="宋体"/>
          <w:b/>
          <w:color w:val="FF0000"/>
          <w:szCs w:val="24"/>
        </w:rPr>
      </w:pPr>
      <w:r w:rsidRPr="006D30B7">
        <w:rPr>
          <w:rFonts w:ascii="宋体" w:eastAsia="宋体" w:hAnsi="宋体" w:cs="宋体"/>
          <w:b/>
          <w:color w:val="FF0000"/>
          <w:szCs w:val="24"/>
        </w:rPr>
        <w:t>eCollection 2026 Aug.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Primary Tracheal Rosai-Dorfman Disease Coexisting With Active Pulmonary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Tuberculosis.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Yang S(1), Li S(2), Sun W(3), Gu Y(4), Yang L(4)(5).</w:t>
      </w:r>
    </w:p>
    <w:p w:rsid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A222B3" w:rsidRPr="00D05F0B" w:rsidRDefault="00A222B3" w:rsidP="00051820">
      <w:pPr>
        <w:rPr>
          <w:rFonts w:ascii="宋体" w:eastAsia="宋体" w:hAnsi="宋体" w:cs="宋体"/>
          <w:b/>
          <w:color w:val="0070C0"/>
          <w:szCs w:val="24"/>
        </w:rPr>
      </w:pPr>
      <w:r w:rsidRPr="00D05F0B">
        <w:rPr>
          <w:rFonts w:ascii="宋体" w:eastAsia="宋体" w:hAnsi="宋体" w:cs="宋体"/>
          <w:b/>
          <w:color w:val="0070C0"/>
          <w:szCs w:val="24"/>
        </w:rPr>
        <w:t>Shijie Yang, Shaoling Li, Wenwen Sun, Ye Gu, Li Yang</w:t>
      </w:r>
      <w:r w:rsidR="0038089A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A222B3" w:rsidRPr="0038089A" w:rsidRDefault="0038089A" w:rsidP="00051820">
      <w:pPr>
        <w:rPr>
          <w:rFonts w:ascii="宋体" w:eastAsia="宋体" w:hAnsi="宋体" w:cs="宋体"/>
          <w:b/>
          <w:color w:val="0070C0"/>
          <w:szCs w:val="24"/>
        </w:rPr>
      </w:pPr>
      <w:r w:rsidRPr="0038089A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38089A">
        <w:rPr>
          <w:rFonts w:ascii="宋体" w:eastAsia="宋体" w:hAnsi="宋体" w:cs="宋体"/>
          <w:b/>
          <w:color w:val="0070C0"/>
          <w:szCs w:val="24"/>
        </w:rPr>
        <w:t>Correspondence: Li Yang (dr_yangli@126.com)</w:t>
      </w:r>
    </w:p>
    <w:p w:rsidR="00A222B3" w:rsidRDefault="00A222B3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(1)Department of Pulmonary and Critical Care Medicine Ordos Central Hospital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Ordos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(2)Department of Pathology, Shanghai Pulmonary Hospital Tongji University School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of Medicine Shanghai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(3)Department of Tuberculosis, Shanghai Pulmonary Hospital Tongji University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School of Medicine Shanghai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(4)Endoscopy Center, Shanghai Pulmonary Hospital Tongji University School of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Medicine Shanghai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(5)Department of Respiratory and Critical Care Medicine, Tongji Hospital, School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of Medicine Tongji University Shanghai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Rosai-Dorfman disease (RDD) rarely involves the trachea, and active pulmonary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tuberculosis (TB) has not been reported with tracheal RDD. A 35-year-old woman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presented with progressive cough, wheezing, and shortness of breath for 1</w:t>
      </w:r>
      <w:r w:rsidRPr="00051820">
        <w:rPr>
          <w:rFonts w:ascii="MS Gothic" w:eastAsia="宋体" w:hAnsi="MS Gothic" w:cs="MS Gothic"/>
          <w:color w:val="000000" w:themeColor="text1"/>
          <w:szCs w:val="24"/>
        </w:rPr>
        <w:t> 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month.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Chest CT revealed a tracheal mass causing &gt;</w:t>
      </w:r>
      <w:r w:rsidRPr="00051820">
        <w:rPr>
          <w:rFonts w:ascii="MS Gothic" w:eastAsia="宋体" w:hAnsi="MS Gothic" w:cs="MS Gothic"/>
          <w:color w:val="000000" w:themeColor="text1"/>
          <w:szCs w:val="24"/>
        </w:rPr>
        <w:t> 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90% airway narrowing and left lung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nodules suggestive of TB. Emergency bronchoscopic resection using high-frequency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electrocautery relieved the obstruction. Histopathology showed emperipolesis and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immunohistochemistry was consistent with RDD. Bronchial aspirate was positive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for Mycobacterium tuberculosis complex by culture and GeneXpert, without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rifampicin resistance. Standard anti-TB therapy was given. Two-month CT and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one-year follow-up bronchoscopy and CT showed a patent airway without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recurrence. The patient remained symptom-free with no other organ involvement.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This is the first report of primary tracheal RDD coexisting with active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pulmonary TB. Bronchoscopic resection combined with anti-TB therapy achieved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durable disease control at 1</w:t>
      </w:r>
      <w:r w:rsidRPr="00051820">
        <w:rPr>
          <w:rFonts w:ascii="MS Gothic" w:eastAsia="宋体" w:hAnsi="MS Gothic" w:cs="MS Gothic"/>
          <w:color w:val="000000" w:themeColor="text1"/>
          <w:szCs w:val="24"/>
        </w:rPr>
        <w:t> </w:t>
      </w:r>
      <w:r w:rsidRPr="00051820">
        <w:rPr>
          <w:rFonts w:ascii="宋体" w:eastAsia="宋体" w:hAnsi="宋体" w:cs="宋体"/>
          <w:color w:val="000000" w:themeColor="text1"/>
          <w:szCs w:val="24"/>
        </w:rPr>
        <w:t>year.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 2026 The Author(s). Respirology Case Reports published by John Wiley &amp; Sons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Australia, Ltd on behalf of The Asian Pacific Society of Respirology.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DOI: 10.1002/rcr2.70724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PMCID: PMC13458980</w:t>
      </w:r>
    </w:p>
    <w:p w:rsidR="00051820" w:rsidRPr="00051820" w:rsidRDefault="006D30B7" w:rsidP="00051820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42582839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6D30B7" w:rsidRDefault="00051820" w:rsidP="00051820">
      <w:pPr>
        <w:rPr>
          <w:rFonts w:ascii="宋体" w:eastAsia="宋体" w:hAnsi="宋体" w:cs="宋体"/>
          <w:b/>
          <w:color w:val="FF0000"/>
          <w:szCs w:val="24"/>
        </w:rPr>
      </w:pPr>
      <w:r w:rsidRPr="006D30B7">
        <w:rPr>
          <w:rFonts w:ascii="宋体" w:eastAsia="宋体" w:hAnsi="宋体" w:cs="宋体"/>
          <w:b/>
          <w:color w:val="FF0000"/>
          <w:szCs w:val="24"/>
        </w:rPr>
        <w:t>1</w:t>
      </w:r>
      <w:r w:rsidR="00F30181">
        <w:rPr>
          <w:rFonts w:ascii="宋体" w:eastAsia="宋体" w:hAnsi="宋体" w:cs="宋体"/>
          <w:b/>
          <w:color w:val="FF0000"/>
          <w:szCs w:val="24"/>
        </w:rPr>
        <w:t>9</w:t>
      </w:r>
      <w:r w:rsidRPr="006D30B7">
        <w:rPr>
          <w:rFonts w:ascii="宋体" w:eastAsia="宋体" w:hAnsi="宋体" w:cs="宋体"/>
          <w:b/>
          <w:color w:val="FF0000"/>
          <w:szCs w:val="24"/>
        </w:rPr>
        <w:t xml:space="preserve">. Am J Trop Med Hyg. 2026 Aug 11:tpmd260309. doi: 10.4269/ajtmh.26-0309. Online </w:t>
      </w:r>
    </w:p>
    <w:p w:rsidR="00051820" w:rsidRPr="006D30B7" w:rsidRDefault="00051820" w:rsidP="00051820">
      <w:pPr>
        <w:rPr>
          <w:rFonts w:ascii="宋体" w:eastAsia="宋体" w:hAnsi="宋体" w:cs="宋体"/>
          <w:b/>
          <w:color w:val="FF0000"/>
          <w:szCs w:val="24"/>
        </w:rPr>
      </w:pPr>
      <w:r w:rsidRPr="006D30B7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Tuberculous Arthritis Diagnosed by Metagenomic Sequencing after Negative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Microbiology Studies and a 4-Year Delay.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Yang L(1), Xiang L(1), Rilong J(1), Yihe H(1).</w:t>
      </w:r>
    </w:p>
    <w:p w:rsid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436C44" w:rsidRPr="00CD41DA" w:rsidRDefault="00436C44" w:rsidP="00051820">
      <w:pPr>
        <w:rPr>
          <w:rFonts w:ascii="宋体" w:eastAsia="宋体" w:hAnsi="宋体" w:cs="宋体"/>
          <w:b/>
          <w:color w:val="0070C0"/>
          <w:szCs w:val="24"/>
        </w:rPr>
      </w:pPr>
      <w:r w:rsidRPr="00CD41DA">
        <w:rPr>
          <w:rFonts w:ascii="宋体" w:eastAsia="宋体" w:hAnsi="宋体" w:cs="宋体"/>
          <w:b/>
          <w:color w:val="0070C0"/>
          <w:szCs w:val="24"/>
        </w:rPr>
        <w:t>Lu Yang,</w:t>
      </w:r>
      <w:r w:rsidR="00CD41DA" w:rsidRPr="00CD41DA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CD41DA">
        <w:rPr>
          <w:rFonts w:ascii="宋体" w:eastAsia="宋体" w:hAnsi="宋体" w:cs="宋体"/>
          <w:b/>
          <w:color w:val="0070C0"/>
          <w:szCs w:val="24"/>
        </w:rPr>
        <w:t>Li Xiang,</w:t>
      </w:r>
      <w:r w:rsidR="00CD41DA" w:rsidRPr="00CD41DA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CD41DA">
        <w:rPr>
          <w:rFonts w:ascii="宋体" w:eastAsia="宋体" w:hAnsi="宋体" w:cs="宋体"/>
          <w:b/>
          <w:color w:val="0070C0"/>
          <w:szCs w:val="24"/>
        </w:rPr>
        <w:t>Jin Rilong</w:t>
      </w:r>
      <w:r w:rsidR="00CD41DA" w:rsidRPr="00CD41DA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CD41DA">
        <w:rPr>
          <w:rFonts w:ascii="宋体" w:eastAsia="宋体" w:hAnsi="宋体" w:cs="宋体"/>
          <w:b/>
          <w:color w:val="0070C0"/>
          <w:szCs w:val="24"/>
        </w:rPr>
        <w:t>,</w:t>
      </w:r>
      <w:r w:rsidR="00CD41DA" w:rsidRPr="00CD41DA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CD41DA">
        <w:rPr>
          <w:rFonts w:ascii="宋体" w:eastAsia="宋体" w:hAnsi="宋体" w:cs="宋体"/>
          <w:b/>
          <w:color w:val="0070C0"/>
          <w:szCs w:val="24"/>
        </w:rPr>
        <w:t>Hu Yihe</w:t>
      </w:r>
      <w:r w:rsidR="00CD41DA" w:rsidRPr="00CD41DA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436C44" w:rsidRPr="00CD41DA" w:rsidRDefault="00CD41DA" w:rsidP="00CD41DA">
      <w:pPr>
        <w:jc w:val="left"/>
        <w:rPr>
          <w:rFonts w:ascii="宋体" w:eastAsia="宋体" w:hAnsi="宋体" w:cs="宋体"/>
          <w:b/>
          <w:color w:val="0070C0"/>
          <w:szCs w:val="24"/>
        </w:rPr>
      </w:pPr>
      <w:r w:rsidRPr="00CD41DA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CD41DA">
        <w:rPr>
          <w:rFonts w:ascii="宋体" w:eastAsia="宋体" w:hAnsi="宋体" w:cs="宋体"/>
          <w:b/>
          <w:color w:val="0070C0"/>
          <w:szCs w:val="24"/>
        </w:rPr>
        <w:t xml:space="preserve">Address correspondence to Jin Rilong or Hu Yihe, E-mails: </w:t>
      </w:r>
      <w:hyperlink r:id="rId8" w:history="1">
        <w:r w:rsidRPr="00CD41DA">
          <w:rPr>
            <w:rStyle w:val="a6"/>
            <w:rFonts w:ascii="宋体" w:eastAsia="宋体" w:hAnsi="宋体" w:cs="宋体"/>
            <w:b/>
            <w:color w:val="0070C0"/>
            <w:szCs w:val="24"/>
            <w:u w:val="none"/>
          </w:rPr>
          <w:t>jinrilong@zju.edu.cn</w:t>
        </w:r>
      </w:hyperlink>
      <w:r w:rsidRPr="00CD41DA">
        <w:rPr>
          <w:rFonts w:ascii="宋体" w:eastAsia="宋体" w:hAnsi="宋体" w:cs="宋体"/>
          <w:b/>
          <w:color w:val="0070C0"/>
          <w:szCs w:val="24"/>
        </w:rPr>
        <w:t> or </w:t>
      </w:r>
      <w:hyperlink r:id="rId9" w:history="1">
        <w:r w:rsidRPr="00CD41DA">
          <w:rPr>
            <w:rStyle w:val="a6"/>
            <w:rFonts w:ascii="宋体" w:eastAsia="宋体" w:hAnsi="宋体" w:cs="宋体"/>
            <w:b/>
            <w:color w:val="0070C0"/>
            <w:szCs w:val="24"/>
            <w:u w:val="none"/>
          </w:rPr>
          <w:t>1517029@zju.edu.cn</w:t>
        </w:r>
      </w:hyperlink>
    </w:p>
    <w:p w:rsidR="00436C44" w:rsidRDefault="00436C44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(1)Department of Orthopedics, First Affiliated Hospital, Zhejiang University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School of Medicine, Hangzhou,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Tuberculous arthritis of the knee is a rare form of extrapulmonary tuberculosis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that often presents with nonspecific symptoms, leading to delayed or missed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diagnosis, particularly in elderly patients with comorbidities. We report the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case of a 70-year-old man with a 2-year history of left knee pain and recurrent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swelling. The patient was under therapy for lung cancer. He underwent two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arthroscopic procedures for both diagnostic and therapeutic purposes. Repeated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standard tests for tuberculosis were negative before metagenomic next-generation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sequencing (mNGS) identified Mycobacterium tuberculosis nearly 2 years later.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After 1-year triple-antituberculous therapy, he remained asymptomatic at the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2-year follow-up. This case highlights a high index of suspicion for indolent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infection in culture-negative chronic arthropathy. The use of mNGS-increasingly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accessible and cost effective-enables rapid and sensitive diagnosis of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paucibacillary extrapulmonary tuberculosis.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DOI: 10.4269/ajtmh.26-0309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PMID: 42580322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6D30B7" w:rsidRDefault="00F30181" w:rsidP="00051820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20</w:t>
      </w:r>
      <w:r w:rsidR="00051820" w:rsidRPr="006D30B7">
        <w:rPr>
          <w:rFonts w:ascii="宋体" w:eastAsia="宋体" w:hAnsi="宋体" w:cs="宋体"/>
          <w:b/>
          <w:color w:val="FF0000"/>
          <w:szCs w:val="24"/>
        </w:rPr>
        <w:t>. J Math Biol. 2026 Aug 11;93(3):35. doi: 10.1007/s00285-026-02449-4.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The effect of treatment-induced resistance in a two-strain tuberculosis model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with age structure and spatial diffusion.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Huang S(1)(2), Zhao H(3)(4).</w:t>
      </w:r>
    </w:p>
    <w:p w:rsid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436C44" w:rsidRPr="00436C44" w:rsidRDefault="00436C44" w:rsidP="00051820">
      <w:pPr>
        <w:rPr>
          <w:rFonts w:ascii="宋体" w:eastAsia="宋体" w:hAnsi="宋体" w:cs="宋体"/>
          <w:b/>
          <w:color w:val="0070C0"/>
          <w:szCs w:val="24"/>
        </w:rPr>
      </w:pPr>
      <w:r w:rsidRPr="00436C44">
        <w:rPr>
          <w:rFonts w:ascii="宋体" w:eastAsia="宋体" w:hAnsi="宋体" w:cs="宋体"/>
          <w:b/>
          <w:color w:val="0070C0"/>
          <w:szCs w:val="24"/>
        </w:rPr>
        <w:t>Shengyu Huang, Hongyong Zhao</w:t>
      </w:r>
      <w:r w:rsidR="000D10A5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436C44" w:rsidRPr="000D10A5" w:rsidRDefault="000D10A5" w:rsidP="00051820">
      <w:pPr>
        <w:rPr>
          <w:rFonts w:ascii="宋体" w:eastAsia="宋体" w:hAnsi="宋体" w:cs="宋体"/>
          <w:b/>
          <w:color w:val="0070C0"/>
          <w:szCs w:val="24"/>
        </w:rPr>
      </w:pPr>
      <w:r w:rsidRPr="000D10A5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0D10A5">
        <w:rPr>
          <w:rFonts w:ascii="宋体" w:eastAsia="宋体" w:hAnsi="宋体" w:cs="宋体"/>
          <w:b/>
          <w:color w:val="0070C0"/>
          <w:szCs w:val="24"/>
        </w:rPr>
        <w:t>Hongyong Zhao</w:t>
      </w:r>
      <w:r w:rsidRPr="000D10A5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0D10A5">
        <w:rPr>
          <w:rFonts w:ascii="宋体" w:eastAsia="宋体" w:hAnsi="宋体" w:cs="宋体"/>
          <w:b/>
          <w:color w:val="0070C0"/>
          <w:szCs w:val="24"/>
        </w:rPr>
        <w:t>hyzho1967@126.com</w:t>
      </w:r>
    </w:p>
    <w:p w:rsidR="00436C44" w:rsidRPr="00051820" w:rsidRDefault="00436C44" w:rsidP="00051820">
      <w:pPr>
        <w:rPr>
          <w:rFonts w:ascii="宋体" w:eastAsia="宋体" w:hAnsi="宋体" w:cs="宋体" w:hint="eastAsia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(1)School of Mathematics, Nanjing University of Aeronautics and Astronautics,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Nanjing, 211106, People's Republic of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(2)Key Laboratory of Mathematical Modelling and High Performance Computing of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Air Vehicles (NUAA), MIIT, Nanjing, 211106, People's Republic of China.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(3)School of Mathematics, Nanjing University of Aeronautics and Astronautics,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Nanjing, 211106, People's Republic of China. hyzho1967@126.com.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(4)Key Laboratory of Mathematical Modelling and High Performance Computing of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Air Vehicles (NUAA), MIIT, Nanjing, 211106, People's Republic of China.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hyzho1967@126.com.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Tuberculosis (TB) is a highly contagious chronic infectious disease that,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without timely intervention, can lead to severe health consequences or even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death. Improper or incomplete treatment often induces the emergence of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drug-resistant TB (DR-TB), which greatly complicates disease management and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intensifies its public health burden. This paper develops and analyzes a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two-strain TB transmission model incorporating age structure during latency,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spatial diffusion, and a treatment-induced resistance pathway. Methodologically,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we establish the global existence and non-negativity of model solutions and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derive explicit expressions for the basic reproduction numbers of the sensitive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and resistant strains, as well as for the reproduction number associated with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treatment-induced resistance. This study then extends the persistence proof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method for single-strain space-age structured models to examine the dynamics of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competitive exclusion and persistence between the two strains. Subsequently, we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characterize the local and global stability of equilibria using spectral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analysis and Lyapunov function methods. Calibrating the model with WHO data for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China, we estimate that the basic reproduction number for the sensitive strain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exceeds one, and owing to the presence of a treatment-induced resistance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pathway, the basic reproduction number for the resistant strain displays two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distinct distributions, both of which remain below one. Despite this,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theoretical and numerical results demonstrate that DR-TB can persist even when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its basic reproduction number is less than one or even zero. Furthermore, our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projections indicate that, given the current level of TB control, China is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unlikely to achieve the WHO's 2035 incidence reduction target. Despite this,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significant improvement in treatment efficacy and reduction of resistance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induction risk could make the goal attainable. Moreover, under comparable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conditions, the elimination target appears relatively easier to achieve for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DR-TB. Our findings suggest that in the absence of treatment-induced resistance,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the WHO's DR-TB elimination goal could be reached approximately 2 years earlier.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Notably, early increases in DR-TB cases due to improved treatment should be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anticipated, underscoring that TB control efforts must not only target existing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DR-TB cases but also ensure standardized treatment for drug-sensitive TB (DS-TB)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infections; otherwise, treatment-induced resistance in patients will further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increase the TB burden.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051820">
        <w:rPr>
          <w:rFonts w:ascii="宋体" w:eastAsia="宋体" w:hAnsi="宋体" w:cs="宋体"/>
          <w:color w:val="000000" w:themeColor="text1"/>
          <w:szCs w:val="24"/>
        </w:rPr>
        <w:t xml:space="preserve"> 2026. The Author(s), under exclusive licence to Springer-Verlag GmbH Germany, 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part of Springer Nature.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DOI: 10.1007/s00285-026-02449-4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  <w:r w:rsidRPr="00051820">
        <w:rPr>
          <w:rFonts w:ascii="宋体" w:eastAsia="宋体" w:hAnsi="宋体" w:cs="宋体"/>
          <w:color w:val="000000" w:themeColor="text1"/>
          <w:szCs w:val="24"/>
        </w:rPr>
        <w:t>PMID:</w:t>
      </w:r>
      <w:r w:rsidR="006D30B7">
        <w:rPr>
          <w:rFonts w:ascii="宋体" w:eastAsia="宋体" w:hAnsi="宋体" w:cs="宋体"/>
          <w:color w:val="000000" w:themeColor="text1"/>
          <w:szCs w:val="24"/>
        </w:rPr>
        <w:t xml:space="preserve"> 42579151 [Indexed for MEDLINE]</w:t>
      </w:r>
    </w:p>
    <w:p w:rsidR="00051820" w:rsidRPr="00051820" w:rsidRDefault="00051820" w:rsidP="00051820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6D30B7" w:rsidRDefault="00F30181" w:rsidP="000519EB">
      <w:pPr>
        <w:rPr>
          <w:rFonts w:ascii="宋体" w:eastAsia="宋体" w:hAnsi="宋体" w:cs="宋体"/>
          <w:b/>
          <w:color w:val="FF0000"/>
          <w:szCs w:val="24"/>
        </w:rPr>
      </w:pPr>
      <w:bookmarkStart w:id="0" w:name="_GoBack"/>
      <w:bookmarkEnd w:id="0"/>
      <w:r>
        <w:rPr>
          <w:rFonts w:ascii="宋体" w:eastAsia="宋体" w:hAnsi="宋体" w:cs="宋体"/>
          <w:b/>
          <w:color w:val="FF0000"/>
          <w:szCs w:val="24"/>
        </w:rPr>
        <w:t>21</w:t>
      </w:r>
      <w:r w:rsidR="000519EB" w:rsidRPr="006D30B7">
        <w:rPr>
          <w:rFonts w:ascii="宋体" w:eastAsia="宋体" w:hAnsi="宋体" w:cs="宋体"/>
          <w:b/>
          <w:color w:val="FF0000"/>
          <w:szCs w:val="24"/>
        </w:rPr>
        <w:t xml:space="preserve">. Front Med (Lausanne). 2026 Jul 31;13:1900711. doi: 10.3389/fmed.2026.1900711. </w:t>
      </w:r>
    </w:p>
    <w:p w:rsidR="000519EB" w:rsidRPr="006D30B7" w:rsidRDefault="000519EB" w:rsidP="000519EB">
      <w:pPr>
        <w:rPr>
          <w:rFonts w:ascii="宋体" w:eastAsia="宋体" w:hAnsi="宋体" w:cs="宋体"/>
          <w:b/>
          <w:color w:val="FF0000"/>
          <w:szCs w:val="24"/>
        </w:rPr>
      </w:pPr>
      <w:r w:rsidRPr="006D30B7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Case Report: Presumed ocular tuberculosis masquerading as acute retinal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necrosis: the diagnostic and therapeutic journey of an elderly female.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Zuo C(1), Yang YL(1), Yang JF(1).</w:t>
      </w:r>
    </w:p>
    <w:p w:rsid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436C44" w:rsidRPr="00436C44" w:rsidRDefault="00436C44" w:rsidP="000519EB">
      <w:pPr>
        <w:rPr>
          <w:rFonts w:ascii="宋体" w:eastAsia="宋体" w:hAnsi="宋体" w:cs="宋体"/>
          <w:b/>
          <w:color w:val="0070C0"/>
          <w:szCs w:val="24"/>
        </w:rPr>
      </w:pPr>
      <w:r w:rsidRPr="00436C44">
        <w:rPr>
          <w:rFonts w:ascii="宋体" w:eastAsia="宋体" w:hAnsi="宋体" w:cs="宋体"/>
          <w:b/>
          <w:color w:val="0070C0"/>
          <w:szCs w:val="24"/>
        </w:rPr>
        <w:t>Cheng Zuo, Ya-Li Yang, Jun-Feng Yang</w:t>
      </w:r>
      <w:r w:rsidR="00F36BA3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436C44" w:rsidRPr="00F36BA3" w:rsidRDefault="00F36BA3" w:rsidP="000519EB">
      <w:pPr>
        <w:rPr>
          <w:rFonts w:ascii="宋体" w:eastAsia="宋体" w:hAnsi="宋体" w:cs="宋体"/>
          <w:b/>
          <w:color w:val="0070C0"/>
          <w:szCs w:val="24"/>
        </w:rPr>
      </w:pPr>
      <w:r w:rsidRPr="00F36BA3">
        <w:rPr>
          <w:rFonts w:ascii="宋体" w:eastAsia="宋体" w:hAnsi="宋体" w:cs="宋体"/>
          <w:b/>
          <w:color w:val="0070C0"/>
          <w:szCs w:val="24"/>
        </w:rPr>
        <w:t>*CORRESPONDENCE Jun-Feng Yang</w:t>
      </w:r>
      <w:r w:rsidRPr="00F36BA3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F36BA3">
        <w:rPr>
          <w:rFonts w:ascii="宋体" w:eastAsia="宋体" w:hAnsi="宋体" w:cs="宋体"/>
          <w:b/>
          <w:color w:val="0070C0"/>
          <w:szCs w:val="24"/>
        </w:rPr>
        <w:t>yangjunfeng0001@sina.com</w:t>
      </w:r>
    </w:p>
    <w:p w:rsidR="00436C44" w:rsidRDefault="00436C44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(1)Department of Ophthalmology, The Third People's Hospital of Chengdu, The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Affiliated Hospital of Southwest Jiao Tong University, Chengdu, Sichuan, China.</w:t>
      </w:r>
    </w:p>
    <w:p w:rsidR="000519EB" w:rsidRPr="006D30B7" w:rsidRDefault="000519EB" w:rsidP="000519EB">
      <w:pPr>
        <w:rPr>
          <w:rFonts w:ascii="宋体" w:eastAsia="宋体" w:hAnsi="宋体" w:cs="宋体"/>
          <w:b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30B7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Acute retinal necrosis (ARN) is typically caused by varicella-zoster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or herpes simplex virus, but Mycobacterium tuberculosis can present an identical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clinical picture. Distinguishing tuberculous uveitis (TBU) from ARN is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challenging when etiological tests are unavailable.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30B7">
        <w:rPr>
          <w:rFonts w:ascii="宋体" w:eastAsia="宋体" w:hAnsi="宋体" w:cs="宋体"/>
          <w:b/>
          <w:color w:val="000000" w:themeColor="text1"/>
          <w:szCs w:val="24"/>
        </w:rPr>
        <w:t>CASE PRESENTATION: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 A 78-year-old woman presented with rapid visual loss (hand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motion) in the left eye. Examination revealed elevated intraocular pressure,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mutton-fat keratic precipitates, severe anterior chamber and vitreous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inflammation, retinal arteritis, and peripheral necrotic lesions, which met the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2015 Japanese diagnostic criteria for presumed ARN with undetermined virology.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Standard antiviral therapy (famciclovir, two intravitreal ganciclovir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injections, and corticosteroids) failed to halt the progression. An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interferon-gamma release assay (IGRA) was positive, and chest CT showed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non-specific changes. After discontinuing antivirals, diagnostic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anti-tuberculosis therapy (ATT) led to rapid improvement: visual acuity reached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0.1, inflammation resolved, and necrotic lesions became pigmented scars. Over a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12-month follow-up period, which included 6 months of observation after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completion of ATT, the patient maintained a stable BCVA of 0.1, with no evidence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of retinal detachment or disease recurrence. The final diagnosis was revised to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lastRenderedPageBreak/>
        <w:t>presumed ocular tuberculosis.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30B7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 Presumed ocular tuberculosis can clinically mimic ARN. When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suspected ARN progresses despite adequate antiviral treatment, intraocular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tuberculosis should be included in the differential diagnosis. When a definitive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diagnosis cannot be established, an ATT trial guided by indirect evidence such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as a positive IGRA is a reasonable clinical option. It should be clarified that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this trial only supports a presumptive diagnosis rather than a definitive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diagnosis.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Copyright © 2026 Zuo, Yang and Yang.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DOI: 10.3389/fmed.2026.1900711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PMCID: PMC13474008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PMID: 42602473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6D78DC" w:rsidRDefault="00F30181" w:rsidP="000519EB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22</w:t>
      </w:r>
      <w:r w:rsidR="000519EB" w:rsidRPr="006D78DC">
        <w:rPr>
          <w:rFonts w:ascii="宋体" w:eastAsia="宋体" w:hAnsi="宋体" w:cs="宋体"/>
          <w:b/>
          <w:color w:val="FF0000"/>
          <w:szCs w:val="24"/>
        </w:rPr>
        <w:t>. BMC Infect Dis. 2026 Jul 29;26(1):1495. doi: 10.1186/s12879-026-14090-z.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Factors associated with interferon-gamma release assay positivity in patients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with psoriasis: a cross-sectional study.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Song H(1)(2), Zhang Y(1), Zhang Q(1), Zhang J(1), Gu W(3), Yang P(1), Xiao Y(1),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Liu F(1), Li M(1), Ding W(1), Song K(1), Qiao L(1), Li Y(4), Ma Y(5).</w:t>
      </w:r>
    </w:p>
    <w:p w:rsid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310C47" w:rsidRPr="00310C47" w:rsidRDefault="00310C47" w:rsidP="000519EB">
      <w:pPr>
        <w:rPr>
          <w:rFonts w:ascii="宋体" w:eastAsia="宋体" w:hAnsi="宋体" w:cs="宋体"/>
          <w:b/>
          <w:color w:val="0070C0"/>
          <w:szCs w:val="24"/>
        </w:rPr>
      </w:pPr>
      <w:r w:rsidRPr="00310C47">
        <w:rPr>
          <w:rFonts w:ascii="宋体" w:eastAsia="宋体" w:hAnsi="宋体" w:cs="宋体"/>
          <w:b/>
          <w:color w:val="0070C0"/>
          <w:szCs w:val="24"/>
        </w:rPr>
        <w:t>Hewei Song, Yao Zhang, Qingzhu Zhang, Jin Zhang, Weijie Gu, Pei Yang, Yang Xiao, Fang Liu, Min Li, Wenjing Ding, Kexu Song, Lina Qiao, Yanhua Li</w:t>
      </w:r>
      <w:r w:rsidRPr="00310C47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310C47">
        <w:rPr>
          <w:rFonts w:ascii="宋体" w:eastAsia="宋体" w:hAnsi="宋体" w:cs="宋体"/>
          <w:b/>
          <w:color w:val="0070C0"/>
          <w:szCs w:val="24"/>
        </w:rPr>
        <w:t>, Yueyun Ma</w:t>
      </w:r>
      <w:r w:rsidRPr="00310C47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310C47" w:rsidRPr="00310C47" w:rsidRDefault="00310C47" w:rsidP="000519EB">
      <w:pPr>
        <w:rPr>
          <w:rFonts w:ascii="宋体" w:eastAsia="宋体" w:hAnsi="宋体" w:cs="宋体"/>
          <w:b/>
          <w:color w:val="0070C0"/>
          <w:szCs w:val="24"/>
        </w:rPr>
      </w:pPr>
      <w:r w:rsidRPr="00310C47">
        <w:rPr>
          <w:rFonts w:ascii="宋体" w:eastAsia="宋体" w:hAnsi="宋体" w:cs="宋体"/>
          <w:b/>
          <w:color w:val="0070C0"/>
          <w:szCs w:val="24"/>
        </w:rPr>
        <w:t>* Correspondence: Yanhua Li</w:t>
      </w:r>
      <w:r w:rsidRPr="00310C47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310C47">
        <w:rPr>
          <w:rFonts w:ascii="宋体" w:eastAsia="宋体" w:hAnsi="宋体" w:cs="宋体"/>
          <w:b/>
          <w:color w:val="0070C0"/>
          <w:szCs w:val="24"/>
        </w:rPr>
        <w:t xml:space="preserve">Dryanhuali@163.com </w:t>
      </w:r>
      <w:r w:rsidRPr="00310C47">
        <w:rPr>
          <w:rFonts w:ascii="宋体" w:eastAsia="宋体" w:hAnsi="宋体" w:cs="宋体" w:hint="eastAsia"/>
          <w:b/>
          <w:color w:val="0070C0"/>
          <w:szCs w:val="24"/>
        </w:rPr>
        <w:t>；</w:t>
      </w:r>
      <w:r w:rsidRPr="00310C47">
        <w:rPr>
          <w:rFonts w:ascii="宋体" w:eastAsia="宋体" w:hAnsi="宋体" w:cs="宋体"/>
          <w:b/>
          <w:color w:val="0070C0"/>
          <w:szCs w:val="24"/>
        </w:rPr>
        <w:t>Yueyun Ma</w:t>
      </w:r>
      <w:r w:rsidRPr="00310C47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310C47">
        <w:rPr>
          <w:rFonts w:ascii="宋体" w:eastAsia="宋体" w:hAnsi="宋体" w:cs="宋体"/>
          <w:b/>
          <w:color w:val="0070C0"/>
          <w:szCs w:val="24"/>
        </w:rPr>
        <w:t>mayueyun2020@163.com</w:t>
      </w:r>
    </w:p>
    <w:p w:rsidR="00310C47" w:rsidRDefault="00310C47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(1)Department of Clinical Laboratory, Air Force Medical Center, Air Force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Medical University, Beijing, 100142,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(2)Department of Blood Quality Control, Yantai Central Blood Station, Yantai,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Shandong Province, 264003,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(3)Department of Dermatology, Air Force Medical Center, Air Force Medical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University, Beijing, 100142,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(4)Department of Clinical Laboratory, Air Force Medical Center, Air Force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Medical University, Beijing, 100142, China. Dryanhuali@163.com.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(5)Department of Clinical Laboratory, Air Force Medical Center, Air Force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Medical University, Beijing, 100142, China. mayueyun2020@163.com.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The interferon-gamma release assay (IGRA) is recommended for latent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tuberculosis infection (LTBI) screening prior to biologic therapy in psoriasis.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Yet factors influencing IGRA positivity in this population remain insufficiently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characterized.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 xml:space="preserve">OBJECTIVES: 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This study aimed to identify clinical factors associated with IGRA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positivity among patients with psoriasis and to develop an internally validated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model to summarize these associations in routine dermatological care.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 We retrospectively analysed 1,126 patients with psoriasis without a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documented history of prior tuberculosis (285 IGRA-positive and 841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IGRA-negative) at a single dermatology centre. Variables associated with IGRA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positivity in univariable analysis were entered into a multivariable logistic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regression model, which was internally validated using bootstrap resampling.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The overall IGRA positivity rate was 25.3%. IGRA positivity increased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markedly with age, from 8.2% in patients aged</w:t>
      </w:r>
      <w:r w:rsidRPr="000519EB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0519EB">
        <w:rPr>
          <w:rFonts w:ascii="宋体" w:eastAsia="宋体" w:hAnsi="宋体" w:cs="宋体" w:hint="eastAsia"/>
          <w:color w:val="000000" w:themeColor="text1"/>
          <w:szCs w:val="24"/>
        </w:rPr>
        <w:t>≤</w:t>
      </w:r>
      <w:r w:rsidRPr="000519EB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30 years to 45.6% in those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aged</w:t>
      </w:r>
      <w:r w:rsidRPr="000519EB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0519EB">
        <w:rPr>
          <w:rFonts w:ascii="宋体" w:eastAsia="宋体" w:hAnsi="宋体" w:cs="宋体"/>
          <w:color w:val="000000" w:themeColor="text1"/>
          <w:szCs w:val="24"/>
        </w:rPr>
        <w:t>&gt;</w:t>
      </w:r>
      <w:r w:rsidRPr="000519EB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60 years, with an optimal ROC-derived cutoff of 49 years (sensitivity,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0.561; specificity, 0.762). In multivariable analysis, older age (OR 1.048, 95%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CI 1.037-1.059, p</w:t>
      </w:r>
      <w:r w:rsidRPr="000519EB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0519EB">
        <w:rPr>
          <w:rFonts w:ascii="宋体" w:eastAsia="宋体" w:hAnsi="宋体" w:cs="宋体"/>
          <w:color w:val="000000" w:themeColor="text1"/>
          <w:szCs w:val="24"/>
        </w:rPr>
        <w:t>&lt;</w:t>
      </w:r>
      <w:r w:rsidRPr="000519EB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0.001), pulmonary nodules (OR 1.608, 95% CI 1.094-2.365,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</w:t>
      </w:r>
      <w:r w:rsidRPr="000519EB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0519EB">
        <w:rPr>
          <w:rFonts w:ascii="宋体" w:eastAsia="宋体" w:hAnsi="宋体" w:cs="宋体"/>
          <w:color w:val="000000" w:themeColor="text1"/>
          <w:szCs w:val="24"/>
        </w:rPr>
        <w:t>=</w:t>
      </w:r>
      <w:r w:rsidRPr="000519EB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0.016), and higher eosinophil percentage (OR 1.109, 95% CI 1.033-1.190,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</w:t>
      </w:r>
      <w:r w:rsidRPr="000519EB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0519EB">
        <w:rPr>
          <w:rFonts w:ascii="宋体" w:eastAsia="宋体" w:hAnsi="宋体" w:cs="宋体"/>
          <w:color w:val="000000" w:themeColor="text1"/>
          <w:szCs w:val="24"/>
        </w:rPr>
        <w:t>=</w:t>
      </w:r>
      <w:r w:rsidRPr="000519EB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0.004) were independently associated with increased odds of IGRA positivity,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whereas prior biologic exposure was associated with reduced odds (OR 0.705, 95%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CI 0.512-0.969, p</w:t>
      </w:r>
      <w:r w:rsidRPr="000519EB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0519EB">
        <w:rPr>
          <w:rFonts w:ascii="宋体" w:eastAsia="宋体" w:hAnsi="宋体" w:cs="宋体"/>
          <w:color w:val="000000" w:themeColor="text1"/>
          <w:szCs w:val="24"/>
        </w:rPr>
        <w:t>=</w:t>
      </w:r>
      <w:r w:rsidRPr="000519EB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0.031). The eight-variable multivariable model demonstrated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acceptable discrimination (AUC 0.726; optimism-corrected AUC 0.717, 95% CI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0.690-0.763) and good calibration (Brier score 0.167). Decision curve analysis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suggested net clinical benefit across a threshold range of approximately 5%-50%.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 Older age, pulmonary nodules, and higher eosinophil percentage were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independently associated with IGRA positivity, while prior biologic exposure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showed an inverse association likely related to selection bias. The model showed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acceptable internal performance and may provide supplementary context, but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should not replace standard pre-biologic tuberculosis assessment.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 2026. The Author(s).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DOI: 10.1186/s12879-026-14090-z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PMCID: PMC13474803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PMID:</w:t>
      </w:r>
      <w:r w:rsidR="006D78DC">
        <w:rPr>
          <w:rFonts w:ascii="宋体" w:eastAsia="宋体" w:hAnsi="宋体" w:cs="宋体"/>
          <w:color w:val="000000" w:themeColor="text1"/>
          <w:szCs w:val="24"/>
        </w:rPr>
        <w:t xml:space="preserve"> 42601602 [Indexed for MEDLINE]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6D78DC" w:rsidRDefault="00F30181" w:rsidP="000519EB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23</w:t>
      </w:r>
      <w:r w:rsidR="000519EB" w:rsidRPr="006D78DC">
        <w:rPr>
          <w:rFonts w:ascii="宋体" w:eastAsia="宋体" w:hAnsi="宋体" w:cs="宋体"/>
          <w:b/>
          <w:color w:val="FF0000"/>
          <w:szCs w:val="24"/>
        </w:rPr>
        <w:t xml:space="preserve">. Hepatobiliary Pancreat Dis Int. 2026 Aug 5:S1499-3872(26)00123-2. doi: </w:t>
      </w:r>
    </w:p>
    <w:p w:rsidR="000519EB" w:rsidRPr="006D78DC" w:rsidRDefault="000519EB" w:rsidP="000519EB">
      <w:pPr>
        <w:rPr>
          <w:rFonts w:ascii="宋体" w:eastAsia="宋体" w:hAnsi="宋体" w:cs="宋体"/>
          <w:b/>
          <w:color w:val="FF0000"/>
          <w:szCs w:val="24"/>
        </w:rPr>
      </w:pPr>
      <w:r w:rsidRPr="006D78DC">
        <w:rPr>
          <w:rFonts w:ascii="宋体" w:eastAsia="宋体" w:hAnsi="宋体" w:cs="宋体"/>
          <w:b/>
          <w:color w:val="FF0000"/>
          <w:szCs w:val="24"/>
        </w:rPr>
        <w:t>10.1016/j.hbpd.2026.08.001. Online ahead of print.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Pancreatic tuberculosis: Likely originating from peripancreatic tuberculous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lymphadenitis.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Shi Z(1), Feng XN(2), Li Q(1), Xu JF(3), Xu WM(1), Shi SH(4), Yang L(5).</w:t>
      </w:r>
    </w:p>
    <w:p w:rsid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C15802" w:rsidRPr="00C15802" w:rsidRDefault="00C15802" w:rsidP="000519EB">
      <w:pPr>
        <w:rPr>
          <w:rFonts w:ascii="宋体" w:eastAsia="宋体" w:hAnsi="宋体" w:cs="宋体"/>
          <w:b/>
          <w:color w:val="0070C0"/>
          <w:szCs w:val="24"/>
        </w:rPr>
      </w:pPr>
      <w:r w:rsidRPr="00C15802">
        <w:rPr>
          <w:rFonts w:ascii="宋体" w:eastAsia="宋体" w:hAnsi="宋体" w:cs="宋体"/>
          <w:b/>
          <w:color w:val="0070C0"/>
          <w:szCs w:val="24"/>
        </w:rPr>
        <w:t>Zhan Shi, Xiao-Ning Feng, Qi Li, Jing-Feng Xu, Wen-Man Xu, Shao-Hua Shi, Liang Yang</w:t>
      </w:r>
      <w:r w:rsidR="005872C4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C15802" w:rsidRPr="005872C4" w:rsidRDefault="005872C4" w:rsidP="000519EB">
      <w:pPr>
        <w:rPr>
          <w:rFonts w:ascii="宋体" w:eastAsia="宋体" w:hAnsi="宋体" w:cs="宋体"/>
          <w:b/>
          <w:color w:val="0070C0"/>
          <w:szCs w:val="24"/>
        </w:rPr>
      </w:pPr>
      <w:r w:rsidRPr="005872C4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5872C4">
        <w:rPr>
          <w:rFonts w:ascii="宋体" w:eastAsia="宋体" w:hAnsi="宋体" w:cs="宋体"/>
          <w:b/>
          <w:color w:val="0070C0"/>
          <w:szCs w:val="24"/>
        </w:rPr>
        <w:t>Corresponding author. E-mail address: 20191264@cmu.edu.cn (Liang Yang)</w:t>
      </w:r>
    </w:p>
    <w:p w:rsidR="00C15802" w:rsidRDefault="00C15802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(1)Department of General Surgery, the Fourth Affiliated Hospital, China Medical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University, Shenyang 110000,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(2)Department of Hepatobiliary and Pancreatic Surgery, the First Affiliated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Hospital, Zhejiang University School of Medicine, Hangzhou 310003,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(3)Department of Radiology, the First Affiliated Hospital, Zhejiang University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School of Medicine, Hangzhou 310003,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(4)Department of Hepatobiliary and Pancreatic Surgery, Shulan (Hangzhou)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Hospital, Shulan International Medical College, Zhejiang Shuren University,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Hangzhou 310022,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(5)Department of General Surgery, the Fourth Affiliated Hospital, China Medical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University, Shenyang 110000, China. Electronic address: 20191264@cmu.edu.cn.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Pancreatic tuberculosis is a rare entity. Most cases of pancreatic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tuberculosis are documented in case reports. There has been no systematic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analysis of the imaging characteristics of pancreatic tuberculosis, its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association with abutting peripancreatic tuberculous lymphadenopathy, and its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likely pathogenesis.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>DATA SOURCES: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 A comprehensive search of pancreatic tuberculosis literature was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conducted in MEDLINE, Embase and Scopus from 1978 to 2024. Manual searches of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references in the published literature were also performed. The inclusion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criteria for eligible cases comprised patient demographics, symptoms, imaging,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pathology, microbiology, treatment and outcomes.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 total of 252 eligible patients with pancreatic tuberculosis were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identified, including 8 (3.2%) associated with miliary tuberculosis and 244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(96.8%) associated with non-miliary tuberculosis. Because the pathogenesis of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miliary tuberculosis was distinct and hematogenous dissemination, only the 244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non-miliary tuberculosis patients were analyzed. Among these 244 patients, 61.5%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were diagnosed in Asia and 69.2% younger than 50 years. The common symptoms were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epigastric pain (79.5%) and weight loss (57.4%). In 244 patients, the most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common imaging finding was a solitary mass (94.3%), with 84.8% occurring in the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pancreatic head/uncinate process. The predominant imaging findings were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heterogeneous lesions with ill-defined borders (77.7%), intralesional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hypoechoic/anechoic areas on ultrasound (84.8%), and intralesional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low-attenuation areas on contrast-enhanced computed tomography (CT) (86.4%).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Peripancreatic tuberculous lymphadenopathies abutting pancreatic tuberculous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lesion were observed in 89.3% of 244 patients. Pancreatic tuberculous lesions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closely associated with peripancreatic abutting lymphadenopathy, observed in 198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(81.1%) patients. Among 95 patients who underwent surgery, 59 were found to be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directly derived from their abutting lymphadenopathies.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 Only a small proportion of patients with pancreatic tuberculosis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are related to miliary tuberculosis. Pancreatic tuberculosis is more likely to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originate from peripancreatic tuberculous lymphadenitis.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Copyright © 2026 First Affiliated Hospital, Zhejiang University School of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lastRenderedPageBreak/>
        <w:t>Medicine in China. Published by Elsevier B.V. All rights reserved.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DOI: 10.1016/j.hbpd.2026.08.001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PMID: 42601243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6D78DC" w:rsidRDefault="00F30181" w:rsidP="000519EB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24</w:t>
      </w:r>
      <w:r w:rsidR="000519EB" w:rsidRPr="006D78DC">
        <w:rPr>
          <w:rFonts w:ascii="宋体" w:eastAsia="宋体" w:hAnsi="宋体" w:cs="宋体"/>
          <w:b/>
          <w:color w:val="FF0000"/>
          <w:szCs w:val="24"/>
        </w:rPr>
        <w:t xml:space="preserve">. Cell Insight. 2026 Jul 21;5(5):100352. doi: 10.1016/j.cellin.2026.100352. </w:t>
      </w:r>
    </w:p>
    <w:p w:rsidR="000519EB" w:rsidRPr="006D78DC" w:rsidRDefault="000519EB" w:rsidP="000519EB">
      <w:pPr>
        <w:rPr>
          <w:rFonts w:ascii="宋体" w:eastAsia="宋体" w:hAnsi="宋体" w:cs="宋体"/>
          <w:b/>
          <w:color w:val="FF0000"/>
          <w:szCs w:val="24"/>
        </w:rPr>
      </w:pPr>
      <w:r w:rsidRPr="006D78DC">
        <w:rPr>
          <w:rFonts w:ascii="宋体" w:eastAsia="宋体" w:hAnsi="宋体" w:cs="宋体"/>
          <w:b/>
          <w:color w:val="FF0000"/>
          <w:szCs w:val="24"/>
        </w:rPr>
        <w:t>eCollection 2026 Oct.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Host-pathogen interactions in tuberculosis: from immunological mechanisms to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translational applications.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Chai Q(1), Lei Z(1), Liu CH(1)(2).</w:t>
      </w:r>
    </w:p>
    <w:p w:rsid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500324" w:rsidRPr="00500324" w:rsidRDefault="00500324" w:rsidP="000519EB">
      <w:pPr>
        <w:rPr>
          <w:rFonts w:ascii="宋体" w:eastAsia="宋体" w:hAnsi="宋体" w:cs="宋体"/>
          <w:b/>
          <w:color w:val="0070C0"/>
          <w:szCs w:val="24"/>
        </w:rPr>
      </w:pPr>
      <w:r w:rsidRPr="00500324">
        <w:rPr>
          <w:rFonts w:ascii="宋体" w:eastAsia="宋体" w:hAnsi="宋体" w:cs="宋体"/>
          <w:b/>
          <w:color w:val="0070C0"/>
          <w:szCs w:val="24"/>
        </w:rPr>
        <w:t>Qiyao Chai</w:t>
      </w:r>
      <w:r w:rsidR="008643EB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500324">
        <w:rPr>
          <w:rFonts w:ascii="宋体" w:eastAsia="宋体" w:hAnsi="宋体" w:cs="宋体"/>
          <w:b/>
          <w:color w:val="0070C0"/>
          <w:szCs w:val="24"/>
        </w:rPr>
        <w:t>, Zehui Lei, Cui Hua Liu</w:t>
      </w:r>
      <w:r w:rsidR="008643EB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500324" w:rsidRPr="008643EB" w:rsidRDefault="008643EB" w:rsidP="008643EB">
      <w:pPr>
        <w:jc w:val="left"/>
        <w:rPr>
          <w:rFonts w:ascii="宋体" w:eastAsia="宋体" w:hAnsi="宋体" w:cs="宋体"/>
          <w:b/>
          <w:color w:val="0070C0"/>
          <w:szCs w:val="24"/>
        </w:rPr>
      </w:pPr>
      <w:r w:rsidRPr="008643EB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8643EB">
        <w:rPr>
          <w:rFonts w:ascii="宋体" w:eastAsia="宋体" w:hAnsi="宋体" w:cs="宋体"/>
          <w:b/>
          <w:color w:val="0070C0"/>
          <w:szCs w:val="24"/>
        </w:rPr>
        <w:t>Corresponding author. E-mail addresses: chaiqy@im.ac.cn (Qiyao Chai), liucuihua@im.ac.cn (Cui Hua Liu).</w:t>
      </w:r>
    </w:p>
    <w:p w:rsidR="00500324" w:rsidRPr="000519EB" w:rsidRDefault="00500324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(1)Key Laboratory of Pathogen Microbiology and Immunology, Institute of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Microbiology, Chinese Academy of Sciences, Beijing, 100101,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(2)Medical School, University of Chinese Academy of Sciences, Beijing, 101408,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Tuberculosis (TB), which is caused by Mycobacterium tuberculosis (Mtb), remains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the leading cause of death from infectious diseases globally. The complexity of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host-Mtb interactions poses a fundamental challenge to developing effective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prevention and control measures. Recent advances in multi-omics, spatiotemporal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biology, and single-cell technologies have yielded transformative insights into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Mtb infection dynamics and its intricate crosstalk with the host immune system.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In this review, we will first introduce the current knowledge of Mtb-host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immunological interplay and discuss it from three interconnected perspectives,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including the balance between protective immunity and immunopathology, the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coordination between local and systemic immunity, and the contribution of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Mtb-induced immune dysregulation to TB comorbidities. We then further highlight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translational opportunities via targeting the host-Mtb interface, including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predictive biomarkers for Mtb infection and disease progression, next-generation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vaccines for immune restoration and TB prevention, and precision strategies to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overcome drug resistance and improve treatment outcomes. By integrating the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latest discoveries and discussing key unresolved questions, we seek to provide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an updated overview of TB pathogenesis with an aim to spur the development of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transformative tools for TB control.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 2026 The Authors.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lastRenderedPageBreak/>
        <w:t>DOI: 10.1016/j.cellin.2026.100352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PMCID: PMC13471215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PMID: 42598086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6D78DC" w:rsidRDefault="00F30181" w:rsidP="000519EB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25</w:t>
      </w:r>
      <w:r w:rsidR="000519EB" w:rsidRPr="006D78DC">
        <w:rPr>
          <w:rFonts w:ascii="宋体" w:eastAsia="宋体" w:hAnsi="宋体" w:cs="宋体"/>
          <w:b/>
          <w:color w:val="FF0000"/>
          <w:szCs w:val="24"/>
        </w:rPr>
        <w:t>. Front Oncol. 2026 Jul 30;16:1890572. doi: 10.3389/</w:t>
      </w:r>
      <w:r w:rsidR="006D78DC" w:rsidRPr="006D78DC">
        <w:rPr>
          <w:rFonts w:ascii="宋体" w:eastAsia="宋体" w:hAnsi="宋体" w:cs="宋体"/>
          <w:b/>
          <w:color w:val="FF0000"/>
          <w:szCs w:val="24"/>
        </w:rPr>
        <w:t xml:space="preserve">fonc.2026.1890572. eCollection </w:t>
      </w:r>
      <w:r w:rsidR="000519EB" w:rsidRPr="006D78DC">
        <w:rPr>
          <w:rFonts w:ascii="宋体" w:eastAsia="宋体" w:hAnsi="宋体" w:cs="宋体"/>
          <w:b/>
          <w:color w:val="FF0000"/>
          <w:szCs w:val="24"/>
        </w:rPr>
        <w:t>2026.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Diagnostic value of quantitative SPECT/CT integrated parameters for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differentiating spinal tuberculosis from spinal metastases.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Wang J(#)(1)(2), Ma Z(#)(3), Duan X(1)(2), Jia Y(4), Gao Y(1)(4), Zhao Q(5),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Wang J(1)(2), Niu N(1)(6).</w:t>
      </w:r>
    </w:p>
    <w:p w:rsid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1F1FD8" w:rsidRPr="001F1FD8" w:rsidRDefault="001F1FD8" w:rsidP="000519EB">
      <w:pPr>
        <w:rPr>
          <w:rFonts w:ascii="宋体" w:eastAsia="宋体" w:hAnsi="宋体" w:cs="宋体"/>
          <w:b/>
          <w:color w:val="0070C0"/>
          <w:szCs w:val="24"/>
        </w:rPr>
      </w:pPr>
      <w:r w:rsidRPr="001F1FD8">
        <w:rPr>
          <w:rFonts w:ascii="宋体" w:eastAsia="宋体" w:hAnsi="宋体" w:cs="宋体"/>
          <w:b/>
          <w:color w:val="0070C0"/>
          <w:szCs w:val="24"/>
        </w:rPr>
        <w:t>Jiaxing Wang, Zhiwei Ma, Xingyu Duan, Yingqin Jia, Yuxin Gao, Qian Zhao, Jiong Wang</w:t>
      </w:r>
      <w:r w:rsidRPr="001F1FD8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1F1FD8">
        <w:rPr>
          <w:rFonts w:ascii="宋体" w:eastAsia="宋体" w:hAnsi="宋体" w:cs="宋体"/>
          <w:b/>
          <w:color w:val="0070C0"/>
          <w:szCs w:val="24"/>
        </w:rPr>
        <w:t>, Ningkui Niu</w:t>
      </w:r>
      <w:r w:rsidRPr="001F1FD8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1F1FD8" w:rsidRPr="001F1FD8" w:rsidRDefault="001F1FD8" w:rsidP="001F1FD8">
      <w:pPr>
        <w:jc w:val="left"/>
        <w:rPr>
          <w:rFonts w:ascii="宋体" w:eastAsia="宋体" w:hAnsi="宋体" w:cs="宋体"/>
          <w:b/>
          <w:color w:val="0070C0"/>
          <w:szCs w:val="24"/>
        </w:rPr>
      </w:pPr>
      <w:r w:rsidRPr="001F1FD8">
        <w:rPr>
          <w:rFonts w:ascii="宋体" w:eastAsia="宋体" w:hAnsi="宋体" w:cs="宋体"/>
          <w:b/>
          <w:color w:val="0070C0"/>
          <w:szCs w:val="24"/>
        </w:rPr>
        <w:t>*CORRESPONDENCE Ningkui Niu</w:t>
      </w:r>
      <w:r w:rsidRPr="001F1FD8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1F1FD8">
        <w:rPr>
          <w:rFonts w:ascii="宋体" w:eastAsia="宋体" w:hAnsi="宋体" w:cs="宋体"/>
          <w:b/>
          <w:color w:val="0070C0"/>
          <w:szCs w:val="24"/>
        </w:rPr>
        <w:t xml:space="preserve">niuningkui6743242@163.com </w:t>
      </w:r>
      <w:r w:rsidRPr="001F1FD8">
        <w:rPr>
          <w:rFonts w:ascii="宋体" w:eastAsia="宋体" w:hAnsi="宋体" w:cs="宋体" w:hint="eastAsia"/>
          <w:b/>
          <w:color w:val="0070C0"/>
          <w:szCs w:val="24"/>
        </w:rPr>
        <w:t>；</w:t>
      </w:r>
      <w:r w:rsidRPr="001F1FD8">
        <w:rPr>
          <w:rFonts w:ascii="宋体" w:eastAsia="宋体" w:hAnsi="宋体" w:cs="宋体"/>
          <w:b/>
          <w:color w:val="0070C0"/>
          <w:szCs w:val="24"/>
        </w:rPr>
        <w:t>Jiong Wang</w:t>
      </w:r>
      <w:r w:rsidRPr="001F1FD8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1F1FD8">
        <w:rPr>
          <w:rFonts w:ascii="宋体" w:eastAsia="宋体" w:hAnsi="宋体" w:cs="宋体"/>
          <w:b/>
          <w:color w:val="0070C0"/>
          <w:szCs w:val="24"/>
        </w:rPr>
        <w:t xml:space="preserve"> 17326250112@163.com</w:t>
      </w:r>
    </w:p>
    <w:p w:rsidR="001F1FD8" w:rsidRDefault="001F1FD8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(1)Department of Orthopedics, General Hospital of Ningxia Medical University,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Yinchuan, 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(2)The First Clinical Medical College of Ningxia Medical University,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Yinchuan, 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(3)Department of Orthopedics, The Third People's Hospital of Yinchuan City,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Yinchuan, 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(4)Department of Nuclear Medicine, General Hospital of Ningxia Medical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University, Yinchuan, 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(5)Key Laboratory of Clinical Pathogenic Microorganisms, General Hospital of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Ningxia Medical University, Yinchuan, 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(6)Research Center for Prevention and Control of Bone and Joint Tuberculosis,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General Hospital of Ningxia Medical University, Yinchuan, 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>OBJECTIVES: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 To evaluate the diagnostic value of quantitative 99mTc-MDP SPECT/CT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metabolic, CT attenuation, and adjacent vertebra integrated parameters for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differentiating spinal tuberculosis (STB) from spinal metastases (SM).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 xml:space="preserve">MATERIALS AND METHODS: 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This retrospective study included 212 patients who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underwent quantitative 99mTc-MDP SPECT/CT, including 94 with STB and 118 with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SM. Volumes of interest (VOIs) were delineated on fused SPECT/CT images, from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which standardized uptake value (SUV), total bone uptake (TBU), metabolic bone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volume (MBV), and CT Hounsfield unit (HU) parameters were obtained. One target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metastatic vertebra was analyzed in each SM patient, whereas paired adjacent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involved vertebrae were used to construct integrated parameters in STB patients.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Diagnostic performance was assessed using ROC analysis, multivariable logistic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lastRenderedPageBreak/>
        <w:t>regression, DeLong's test, and decision curve analysis.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 SUVmax, SUVmean, metabolic bone volume, tracer bone uptake, CT HUmax,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and CT HUmean were significantly higher in SM target vertebrae than in STB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involved vertebrae, all p &lt; 0.001. Among single integrated parameters, the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lesion burden index based on SUVmax (LBISUVmax) showed the best performance,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with an AUC of 0.854, sensitivity of 95.7%, and specificity of 73.7%. The AUCs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of the metabolic, CT attenuation, and combined models were 0.938, 0.810, and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0.943, respectively. DeLong's test showed that the combined model outperformed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the CT attenuation model, LBISUVmax, but not the metabolic model, p = 0.422.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 Quantitative 99mTc-MDP SPECT/CT provides objective information for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noninvasive differentiation of STB and SM, and metabolic integrated parameters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may offer useful diagnostic value.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Copyright © 2026 Wang, Ma, Duan, Jia, Gao, Zhao, Wang and Niu.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DOI: 10.3389/fonc.2026.1890572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PMCID: PMC13467942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PMID: 42597454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6D78DC" w:rsidRDefault="00F30181" w:rsidP="000519EB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26</w:t>
      </w:r>
      <w:r w:rsidR="000519EB" w:rsidRPr="006D78DC">
        <w:rPr>
          <w:rFonts w:ascii="宋体" w:eastAsia="宋体" w:hAnsi="宋体" w:cs="宋体"/>
          <w:b/>
          <w:color w:val="FF0000"/>
          <w:szCs w:val="24"/>
        </w:rPr>
        <w:t xml:space="preserve">. Front Physiol. 2026 Jul 29;17:1885886. doi: 10.3389/fphys.2026.1885886. </w:t>
      </w:r>
    </w:p>
    <w:p w:rsidR="000519EB" w:rsidRPr="006D78DC" w:rsidRDefault="000519EB" w:rsidP="000519EB">
      <w:pPr>
        <w:rPr>
          <w:rFonts w:ascii="宋体" w:eastAsia="宋体" w:hAnsi="宋体" w:cs="宋体"/>
          <w:b/>
          <w:color w:val="FF0000"/>
          <w:szCs w:val="24"/>
        </w:rPr>
      </w:pPr>
      <w:r w:rsidRPr="006D78DC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Deep learning segmentation with uncertainty quantification for spinal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tuberculosis on fat-suppressed T2-weighted MRI.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Duan X(#)(1)(2), Wang J(#)(1)(2), Wang L(1)(2), Fan Y(3), Wang J(1)(2), Ma Q(4),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Niu N(1)(5).</w:t>
      </w:r>
    </w:p>
    <w:p w:rsid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9611C2" w:rsidRPr="009611C2" w:rsidRDefault="009611C2" w:rsidP="000519EB">
      <w:pPr>
        <w:rPr>
          <w:rFonts w:ascii="宋体" w:eastAsia="宋体" w:hAnsi="宋体" w:cs="宋体"/>
          <w:b/>
          <w:color w:val="0070C0"/>
          <w:szCs w:val="24"/>
        </w:rPr>
      </w:pPr>
      <w:r w:rsidRPr="009611C2">
        <w:rPr>
          <w:rFonts w:ascii="宋体" w:eastAsia="宋体" w:hAnsi="宋体" w:cs="宋体"/>
          <w:b/>
          <w:color w:val="0070C0"/>
          <w:szCs w:val="24"/>
        </w:rPr>
        <w:t>Xingyu Duan, Jiaxing Wang, Linan Wang, Yichao Fan, Jiong Wang, Qianpeng Ma</w:t>
      </w:r>
      <w:r w:rsidRPr="009611C2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9611C2">
        <w:rPr>
          <w:rFonts w:ascii="宋体" w:eastAsia="宋体" w:hAnsi="宋体" w:cs="宋体"/>
          <w:b/>
          <w:color w:val="0070C0"/>
          <w:szCs w:val="24"/>
        </w:rPr>
        <w:t>, Ningkui Niu</w:t>
      </w:r>
      <w:r w:rsidRPr="009611C2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9611C2" w:rsidRPr="009611C2" w:rsidRDefault="009611C2" w:rsidP="009611C2">
      <w:pPr>
        <w:jc w:val="left"/>
        <w:rPr>
          <w:rFonts w:ascii="宋体" w:eastAsia="宋体" w:hAnsi="宋体" w:cs="宋体"/>
          <w:b/>
          <w:color w:val="0070C0"/>
          <w:szCs w:val="24"/>
        </w:rPr>
      </w:pPr>
      <w:r w:rsidRPr="009611C2">
        <w:rPr>
          <w:rFonts w:ascii="宋体" w:eastAsia="宋体" w:hAnsi="宋体" w:cs="宋体"/>
          <w:b/>
          <w:color w:val="0070C0"/>
          <w:szCs w:val="24"/>
        </w:rPr>
        <w:t>*CORRESPONDENCE Qianpeng Ma</w:t>
      </w:r>
      <w:r w:rsidRPr="009611C2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9611C2">
        <w:rPr>
          <w:rFonts w:ascii="宋体" w:eastAsia="宋体" w:hAnsi="宋体" w:cs="宋体"/>
          <w:b/>
          <w:color w:val="0070C0"/>
          <w:szCs w:val="24"/>
        </w:rPr>
        <w:t xml:space="preserve">345612898@qq.com </w:t>
      </w:r>
      <w:r w:rsidRPr="009611C2">
        <w:rPr>
          <w:rFonts w:ascii="宋体" w:eastAsia="宋体" w:hAnsi="宋体" w:cs="宋体" w:hint="eastAsia"/>
          <w:b/>
          <w:color w:val="0070C0"/>
          <w:szCs w:val="24"/>
        </w:rPr>
        <w:t>；</w:t>
      </w:r>
      <w:r w:rsidRPr="009611C2">
        <w:rPr>
          <w:rFonts w:ascii="宋体" w:eastAsia="宋体" w:hAnsi="宋体" w:cs="宋体"/>
          <w:b/>
          <w:color w:val="0070C0"/>
          <w:szCs w:val="24"/>
        </w:rPr>
        <w:t>Ningkui Niu</w:t>
      </w:r>
      <w:r w:rsidRPr="009611C2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9611C2">
        <w:rPr>
          <w:rFonts w:ascii="宋体" w:eastAsia="宋体" w:hAnsi="宋体" w:cs="宋体"/>
          <w:b/>
          <w:color w:val="0070C0"/>
          <w:szCs w:val="24"/>
        </w:rPr>
        <w:t xml:space="preserve"> niuningkui6743242@163.com</w:t>
      </w:r>
    </w:p>
    <w:p w:rsidR="009611C2" w:rsidRPr="009611C2" w:rsidRDefault="009611C2" w:rsidP="000519EB">
      <w:pPr>
        <w:rPr>
          <w:rFonts w:ascii="宋体" w:eastAsia="宋体" w:hAnsi="宋体" w:cs="宋体"/>
          <w:b/>
          <w:color w:val="0070C0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(1)Department of Orthopedics, General Hospital of Ningxia Medical University,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Yinchuan, Ningxia, 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(2)First Clinical Medical College, Ningxia Medical University, Yinchuan,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Ningxia, 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(3)Department of Orthopedics, Zhoukou Central Hospital, Zhoukou, Henan, 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(4)Department of Orthopedics, The Third Hospital of Shizuishan (Pingluo People's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Hospital), Shizuishan, Ningxia, 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(5)Ningxia Key Laboratory of Clinical Pathogenic Microorganisms, General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Hospital of Ningxia Medical University, Yinchuan, Ningxia, 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Spinal tuberculosis is the most common extrapulmonary manifestation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of tuberculosis. Magnetic resonance imaging (MRI), particularly fat-suppressed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T2-weighted imaging (FS-T2WI), is the modality of choice for preoperative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evaluation; yet indistinct lesion boundaries render manual delineation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subjective and poorly reproducible. Although deep learning segmentation has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advanced considerably, its "black-box" nature and limited interpretability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remain critical obstacles. This study aimed to develop an uncertainty-guided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deep learning segmentation framework and evaluate its accuracy and clinical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utility.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 We retrospectively enrolled 210 patients with spinal tuberculosis from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an initial cohort of 300 screened at three centers, and acquired preoperative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FS-T2WI scans. Data from Center 1 (n = 160) were used for five-fold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cross-validation, while the remaining 50 cases served as an external test set.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We built an improved model on nnU-Net by integrating boundary-aware loss with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Monte Carlo Dropout, and compared it against U-Net, Attention U-Net, and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TransUNet. The uncertainty threshold was determined through internal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cross-validation, and clinical validation followed a within-subject crossover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design involving nine physicians.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On the external test set, the improved model achieved a Dice similarity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coefficient of 0.858 and an AUC of 0.912, outperforming all comparative models.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Uncertainty correlated strongly and positively with pixel-level error rates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(Spearman ρ = 0.74). At a threshold of 0.52, sensitivity for identifying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unreliable segmentation was 84.3% and negative predictive value was 89.5%. In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the physician validation, overlaying uncertainty maps significantly increased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trust scores (3.8 ± 0.7 vs. 3.2 ± 0.8; P &lt; 0.001,</w:t>
      </w:r>
      <w:r w:rsidR="006D78DC">
        <w:rPr>
          <w:rFonts w:ascii="宋体" w:eastAsia="宋体" w:hAnsi="宋体" w:cs="宋体"/>
          <w:color w:val="000000" w:themeColor="text1"/>
          <w:szCs w:val="24"/>
        </w:rPr>
        <w:t xml:space="preserve"> Cohen's d = 0.80) and reduced </w:t>
      </w:r>
      <w:r w:rsidRPr="000519EB">
        <w:rPr>
          <w:rFonts w:ascii="宋体" w:eastAsia="宋体" w:hAnsi="宋体" w:cs="宋体"/>
          <w:color w:val="000000" w:themeColor="text1"/>
          <w:szCs w:val="24"/>
        </w:rPr>
        <w:t>review time (P = 0.018), with the greatest b</w:t>
      </w:r>
      <w:r w:rsidR="006D78DC">
        <w:rPr>
          <w:rFonts w:ascii="宋体" w:eastAsia="宋体" w:hAnsi="宋体" w:cs="宋体"/>
          <w:color w:val="000000" w:themeColor="text1"/>
          <w:szCs w:val="24"/>
        </w:rPr>
        <w:t xml:space="preserve">enefit observed among resident 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physicians. In cases of obvious AI failure, uncertainty alerts accurately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flagged erroneous regions in 80.0% of instances.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The proposed uncertainty-guided framework improved spinal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tuberculosis lesion segmentation accuracy. Pixel-level uncertainty maps reliably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identified unreliable predictions and enhanced clinician trust, offering a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robust AI decision-support tool for precise surgical planning.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Copyright © 2026 Duan, Wang, Wang, Fan, Wang, Ma and Niu.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DOI: 10.3389/fphys.2026.1885886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PMCID: PMC13461315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PMID: 42591080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6D78DC" w:rsidRDefault="00F30181" w:rsidP="000519EB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27</w:t>
      </w:r>
      <w:r w:rsidR="000519EB" w:rsidRPr="006D78DC">
        <w:rPr>
          <w:rFonts w:ascii="宋体" w:eastAsia="宋体" w:hAnsi="宋体" w:cs="宋体"/>
          <w:b/>
          <w:color w:val="FF0000"/>
          <w:szCs w:val="24"/>
        </w:rPr>
        <w:t>. J Clin Med. 2026 Aug 6;15(15):6118. doi: 10.3390/jcm15156118.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MELD 3.0 Score and Time to Discharge After Pericardiectomy: A Competing Risks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Analysis in Tuberculous Constrictive Pericarditis.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Gao X(1), Wang S(1), Zhang X(2)(3)(4), Guo J(1), Tan K(1), Liu H(1), Wu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W(2)(3)(4), Xiong F(1).</w:t>
      </w:r>
    </w:p>
    <w:p w:rsid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6F56A5" w:rsidRPr="006F56A5" w:rsidRDefault="006F56A5" w:rsidP="000519EB">
      <w:pPr>
        <w:rPr>
          <w:rFonts w:ascii="宋体" w:eastAsia="宋体" w:hAnsi="宋体" w:cs="宋体"/>
          <w:b/>
          <w:color w:val="0070C0"/>
          <w:szCs w:val="24"/>
        </w:rPr>
      </w:pPr>
      <w:r w:rsidRPr="006F56A5">
        <w:rPr>
          <w:rFonts w:ascii="宋体" w:eastAsia="宋体" w:hAnsi="宋体" w:cs="宋体"/>
          <w:b/>
          <w:color w:val="0070C0"/>
          <w:szCs w:val="24"/>
        </w:rPr>
        <w:t>Xiaoqiang Gao, Shuzhen Wang, Xin Zhang, Jing Guo, Kunyue Tan, Hong Liu, Wenqian Wu</w:t>
      </w:r>
      <w:r w:rsidRPr="006F56A5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6F56A5">
        <w:rPr>
          <w:rFonts w:ascii="宋体" w:eastAsia="宋体" w:hAnsi="宋体" w:cs="宋体"/>
          <w:b/>
          <w:color w:val="0070C0"/>
          <w:szCs w:val="24"/>
        </w:rPr>
        <w:t>, Feng Xiong</w:t>
      </w:r>
      <w:r w:rsidRPr="006F56A5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6F56A5" w:rsidRPr="006F56A5" w:rsidRDefault="006F56A5" w:rsidP="000519EB">
      <w:pPr>
        <w:rPr>
          <w:rFonts w:ascii="宋体" w:eastAsia="宋体" w:hAnsi="宋体" w:cs="宋体"/>
          <w:b/>
          <w:color w:val="0070C0"/>
          <w:szCs w:val="24"/>
        </w:rPr>
      </w:pPr>
      <w:r w:rsidRPr="006F56A5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6F56A5">
        <w:rPr>
          <w:rFonts w:ascii="宋体" w:eastAsia="宋体" w:hAnsi="宋体" w:cs="宋体"/>
          <w:b/>
          <w:color w:val="0070C0"/>
          <w:szCs w:val="24"/>
        </w:rPr>
        <w:t>Correspondence: wuwq1117@hust.edu.cn (Wenqian Wu); xiong.feng05@163.com (Feng Xiong)</w:t>
      </w:r>
    </w:p>
    <w:p w:rsidR="006F56A5" w:rsidRDefault="006F56A5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(1)Department of Cardiovascular Medicine, The Third People's Hospital of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Chengdu, Chengdu 610031,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(2)Department of Ultrasound Medicine, Union Hospital, Tongji Medical College,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Huazhong University of Science and Technology, Wuhan 430022,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(3)Hubei Province Clinical Research Center for Medical Imaging, Wuhan 430022,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(4)Hubei Province Key Laboratory of Molecular Imaging, Wuhan 430022,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 xml:space="preserve">Background/Objectives: 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Tuberculous constrictive pericarditis (TCP) is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characterized by "backward failure" and systemic venous congestion, leading to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secondary multi-organ dysfunction. The Model for End-Stage Liver Disease (MELD)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3.0 score assesses liver, renal, and nutritional status, yet its prognostic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utility in TCP remains undefined. This study aimed to evaluate the preoperative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MELD 3.0 score as a predictor of time to discharge in patients undergoing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pericardiectomy for TCP. </w:t>
      </w:r>
      <w:r w:rsidRPr="006D78DC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We analyzed 190 patients undergoing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pericardiectomy for TCP between 2018 and 2024. The association between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preoperative MELD 3.0 scores and time to discharge (ICU, postoperative, and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total) was assessed using Fine-Gray competing risks regression to account for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in-hospital mortality. Models were adjusted for age, albumin, and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anti-tuberculosis therapy</w:t>
      </w:r>
      <w:r w:rsidRPr="006D78DC">
        <w:rPr>
          <w:rFonts w:ascii="宋体" w:eastAsia="宋体" w:hAnsi="宋体" w:cs="宋体"/>
          <w:b/>
          <w:color w:val="000000" w:themeColor="text1"/>
          <w:szCs w:val="24"/>
        </w:rPr>
        <w:t xml:space="preserve">. Results: 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Each unit increase in MELD 3.0 was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associated with higher operative mortality (OR 1.21, p = 0.013). In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multivariable analysis, a high MELD 3.0 score (&gt;median 9.6) was independently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associated with a lower probability of discharge (i.e., delayed discharge) for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total hospital stay (subdistribution hazard ratio [sHR] 0.606, 95% CI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0.453-0.811), postoperative stay (sHR 0.665), and ICU stay (sHR 0.658).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Preoperative albumin was also a strong predictor of faster discharge.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 xml:space="preserve">Conclusions: 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The preoperative MELD 3.0 score independently predicts delayed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hospital discharge after pericardiectomy for TCP, even when accounting for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mortality risk. It serves as a pragmatic tool for quantifying the systemic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burden of congestion and stratifying perioperative risk.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DOI: 10.3390/jcm15156118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PMCID: PMC13466852</w:t>
      </w:r>
    </w:p>
    <w:p w:rsidR="000519EB" w:rsidRPr="000519EB" w:rsidRDefault="006D78DC" w:rsidP="000519EB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42590220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6D78DC" w:rsidRDefault="00F30181" w:rsidP="000519EB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28</w:t>
      </w:r>
      <w:r w:rsidR="000519EB" w:rsidRPr="006D78DC">
        <w:rPr>
          <w:rFonts w:ascii="宋体" w:eastAsia="宋体" w:hAnsi="宋体" w:cs="宋体"/>
          <w:b/>
          <w:color w:val="FF0000"/>
          <w:szCs w:val="24"/>
        </w:rPr>
        <w:t>. Int J Mol Sci. 2026 Aug 1;27(15):6890. doi: 10.3390/ijms27156890.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Genomic Characterization and Taxonomic Classification of Mycobacterium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shunyiense sp. nov., a Novel Nontuberculous Mycobacterial Species from a Human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Respiratory Specimen.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Deng Y(1)(2), Yang XY(1)(2), Wang NH(1), Li B(1), Miao HH(1), Zhang J(1)(2),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Pang MD(1)(2), Ren YX(1), Yi JL(1), Cai M(3), Li J(1)(2).</w:t>
      </w:r>
    </w:p>
    <w:p w:rsid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1B7B64" w:rsidRPr="001B7B64" w:rsidRDefault="001B7B64" w:rsidP="000519EB">
      <w:pPr>
        <w:rPr>
          <w:rFonts w:ascii="宋体" w:eastAsia="宋体" w:hAnsi="宋体" w:cs="宋体"/>
          <w:b/>
          <w:color w:val="0070C0"/>
          <w:szCs w:val="24"/>
        </w:rPr>
      </w:pPr>
      <w:r w:rsidRPr="001B7B64">
        <w:rPr>
          <w:rFonts w:ascii="宋体" w:eastAsia="宋体" w:hAnsi="宋体" w:cs="宋体"/>
          <w:b/>
          <w:color w:val="0070C0"/>
          <w:szCs w:val="24"/>
        </w:rPr>
        <w:t>Yang Deng, Xin-Yu Yang, Nen-Han Wang, Bo Li, Hong-Hao Miao, Jie Zhang, Meng-Di Pang, Yi-Xuan Ren, Jun-Li Yi, Man Cai</w:t>
      </w:r>
      <w:r w:rsidRPr="001B7B64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1B7B64">
        <w:rPr>
          <w:rFonts w:ascii="宋体" w:eastAsia="宋体" w:hAnsi="宋体" w:cs="宋体"/>
          <w:b/>
          <w:color w:val="0070C0"/>
          <w:szCs w:val="24"/>
        </w:rPr>
        <w:t>, Jie Li</w:t>
      </w:r>
      <w:r w:rsidRPr="001B7B64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1B7B64" w:rsidRPr="001B7B64" w:rsidRDefault="001B7B64" w:rsidP="000519EB">
      <w:pPr>
        <w:rPr>
          <w:rFonts w:ascii="宋体" w:eastAsia="宋体" w:hAnsi="宋体" w:cs="宋体"/>
          <w:b/>
          <w:color w:val="0070C0"/>
          <w:szCs w:val="24"/>
        </w:rPr>
      </w:pPr>
      <w:r w:rsidRPr="001B7B64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1B7B64">
        <w:rPr>
          <w:rFonts w:ascii="宋体" w:eastAsia="宋体" w:hAnsi="宋体" w:cs="宋体"/>
          <w:b/>
          <w:color w:val="0070C0"/>
          <w:szCs w:val="24"/>
        </w:rPr>
        <w:t>Correspondence: caiman@im.ac.cn (Man Cai); lijie304304@163.com (Jie Li)</w:t>
      </w:r>
    </w:p>
    <w:p w:rsidR="001B7B64" w:rsidRDefault="001B7B64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(1)Beijing Center for Disease Prevention and Control, Beijing 100013,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(2)School of Public Health, Capital Medical University, Beijing 100069,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(3)Institute of Microbiology, China General Microbiological Culture Collection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Center, Chinese Academy of Sciences, Beijing 100101,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Non-tuberculous mycobacteria (NTM) are increasingly recognized as opportunistic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pathogens, yet accurate species identification remains challenging. In this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study, two clinical isolates, 19-857T and 20-525, obtained from patients with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suspected pulmonary tuberculosis in Beijing, were characterized using a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polyphasic approach integrating phenotypic, biochemical, chemotaxonomic, and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genomic analyses. Phylogenetic analysis based on 16S rRNA gene sequences placed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both strains within the genus Mycobacterium, with highest similarity to M.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peregrinum DSM 43271T and M. arcueilense DSM 46715T. However, whole-genome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comparisons via average nucleotide identity (ANI) and digital DNA-DNA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hybridization (dDDH) yielded values of 85.8-94.1% and 29.1-54.3%, respectively,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against their closest relatives-well below the species delineation thresholds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(95-96% for ANI; 70% for dDDH)-while the two isolates shared 98.8% ANI and 90.1%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dDDH, confirming their co-assignment to a single novel species. Genomic analysis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further revealed a repertoire of genes potentially associated with virulence,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including glycopeptidolipid biosynthesis, mce operons, ESX secretion systems,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and mycobactin synthesis, alongside antimicrobial resistance determinants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against rifampicin, tetracyclines, and β-lactams. Mobile genetic element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analysis also uncovered extensive insertion sequences and transposon-related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elements with differential distribution between the two strains. Based on the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combined evidence, we propose Mycobacterium shunyiense sp. nov., with strain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19-857T (=CGMCC 38906T) as the type strain. This discovery expands the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understanding of NTM diversity and provides genomic reference data for accurate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clinical identification.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lastRenderedPageBreak/>
        <w:t>DOI: 10.3390/ijms27156890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PMCID: PMC13466811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PMID: 42589543 [Indexed for MEDLINE]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6D78DC" w:rsidRDefault="00F30181" w:rsidP="000519EB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29</w:t>
      </w:r>
      <w:r w:rsidR="000519EB" w:rsidRPr="006D78DC">
        <w:rPr>
          <w:rFonts w:ascii="宋体" w:eastAsia="宋体" w:hAnsi="宋体" w:cs="宋体"/>
          <w:b/>
          <w:color w:val="FF0000"/>
          <w:szCs w:val="24"/>
        </w:rPr>
        <w:t xml:space="preserve">. J Infect Public Health. 2026 Jul 30;19(9):103329. doi: </w:t>
      </w:r>
    </w:p>
    <w:p w:rsidR="000519EB" w:rsidRPr="006D78DC" w:rsidRDefault="000519EB" w:rsidP="000519EB">
      <w:pPr>
        <w:rPr>
          <w:rFonts w:ascii="宋体" w:eastAsia="宋体" w:hAnsi="宋体" w:cs="宋体"/>
          <w:b/>
          <w:color w:val="FF0000"/>
          <w:szCs w:val="24"/>
        </w:rPr>
      </w:pPr>
      <w:r w:rsidRPr="006D78DC">
        <w:rPr>
          <w:rFonts w:ascii="宋体" w:eastAsia="宋体" w:hAnsi="宋体" w:cs="宋体"/>
          <w:b/>
          <w:color w:val="FF0000"/>
          <w:szCs w:val="24"/>
        </w:rPr>
        <w:t>10.1016/j.jiph.2026.103329. Online ahead of print.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 narrative review of transcriptomic biomarkers for non-sputum tuberculosis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diagnosis and triage: From bench to bedside.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Zhang X(1), Li Y(1), Jiang J(2).</w:t>
      </w:r>
    </w:p>
    <w:p w:rsid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7648BC" w:rsidRPr="007648BC" w:rsidRDefault="007648BC" w:rsidP="000519EB">
      <w:pPr>
        <w:rPr>
          <w:rFonts w:ascii="宋体" w:eastAsia="宋体" w:hAnsi="宋体" w:cs="宋体"/>
          <w:b/>
          <w:color w:val="0070C0"/>
          <w:szCs w:val="24"/>
        </w:rPr>
      </w:pPr>
      <w:r w:rsidRPr="007648BC">
        <w:rPr>
          <w:rFonts w:ascii="宋体" w:eastAsia="宋体" w:hAnsi="宋体" w:cs="宋体"/>
          <w:b/>
          <w:color w:val="0070C0"/>
          <w:szCs w:val="24"/>
        </w:rPr>
        <w:t>Xindie Zhang, Yuanyuan Li, Juan Jiang</w:t>
      </w:r>
      <w:r w:rsidR="004E597E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7648BC" w:rsidRPr="004E597E" w:rsidRDefault="004E597E" w:rsidP="000519EB">
      <w:pPr>
        <w:rPr>
          <w:rFonts w:ascii="宋体" w:eastAsia="宋体" w:hAnsi="宋体" w:cs="宋体"/>
          <w:b/>
          <w:color w:val="0070C0"/>
          <w:szCs w:val="24"/>
        </w:rPr>
      </w:pPr>
      <w:r w:rsidRPr="004E597E">
        <w:rPr>
          <w:rFonts w:ascii="Tahoma" w:eastAsia="宋体" w:hAnsi="Tahoma" w:cs="Tahoma"/>
          <w:b/>
          <w:color w:val="0070C0"/>
          <w:szCs w:val="24"/>
        </w:rPr>
        <w:t>⁎</w:t>
      </w:r>
      <w:r w:rsidRPr="004E597E">
        <w:rPr>
          <w:rFonts w:ascii="宋体" w:eastAsia="宋体" w:hAnsi="宋体" w:cs="宋体"/>
          <w:b/>
          <w:color w:val="0070C0"/>
          <w:szCs w:val="24"/>
        </w:rPr>
        <w:t xml:space="preserve"> Correspondence to: E-mail address: </w:t>
      </w:r>
      <w:hyperlink r:id="rId10" w:history="1">
        <w:r w:rsidRPr="004E597E">
          <w:rPr>
            <w:rStyle w:val="a6"/>
            <w:rFonts w:ascii="宋体" w:eastAsia="宋体" w:hAnsi="宋体" w:cs="宋体"/>
            <w:b/>
            <w:color w:val="0070C0"/>
            <w:szCs w:val="24"/>
            <w:u w:val="none"/>
          </w:rPr>
          <w:t>juanjiang@csu.edu.cn</w:t>
        </w:r>
      </w:hyperlink>
      <w:r w:rsidRPr="004E597E">
        <w:rPr>
          <w:rFonts w:ascii="宋体" w:eastAsia="宋体" w:hAnsi="宋体" w:cs="宋体"/>
          <w:b/>
          <w:color w:val="0070C0"/>
          <w:szCs w:val="24"/>
        </w:rPr>
        <w:t xml:space="preserve"> (Juan Jiang).</w:t>
      </w:r>
    </w:p>
    <w:p w:rsidR="007648BC" w:rsidRPr="000519EB" w:rsidRDefault="007648BC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(1)Department of Respiratory Medicine, National Key Clinical Specialty, Branch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of National Clinical Research Center for Respiratory Disease, Xiangya Hospital,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Central South University, Changsha, China; Center of Respiratory Medicine,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Xiangya Hospital, Central South University, Changsha, China; Clinical Research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Center for Respiratory Diseases in Hunan Province, Changsha, China; Hunan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Engineering Research Center for Intelligent Diagnosis and Treatment of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Respiratory Disease, Changsha, China; National Clinical Research Center for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Geriatric Disorders, Xiangya Hospital, Changsha,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(2)Department of Respiratory Medicine, National Key Clinical Specialty, Branch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of National Clinical Research Center for Respiratory Disease, Xiangya Hospital,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Central South University, Changsha, China; Center of Respiratory Medicine,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Xiangya Hospital, Central South University, Changsha, China; Clinical Research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Center for Respiratory Diseases in Hunan Province, Changsha, China; Hunan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Engineering Research Center for Intelligent Diagnosis and Treatment of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Respiratory Disease, Changsha, China; National Clinical Research Center for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Geriatric Disorders, Xiangya Hospital, Changsha, China. Electronic address: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juanjiang@csu.edu.cn.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Rapid and accurate detection of tuberculosis (TB) remains challenging,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especially in resource-limited settings. Considering the limitations of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sputum-dependent assays, the World Health Organization (WHO) has prioritized the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development of non-sputum biomarker-based TB diagnostic tools. Transcriptomic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biomarkers represent promising candidates for TB detection. This narrative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review updated the latest advances in transcriptomic biomarkers for TB diagnosis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and triage. mRNA signatures demonstrate significant potential for TB triage,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meeting or approaching the WHO Target Product Profiles. Non-coding RNAs also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hold diagnostic potential and require further validation in large cohorts.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Accelerating the translation of high-performing biomarkers into practical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clinical tools is essential. Xpert MTB Host Response, a cartridge based on a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three-gene signature, has demonstrated strong triage capabilities in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multinational evaluations. Additionally, integrating transcriptomic biomarkers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with clinical parameters or established diagnostics may enhance accuracy.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Speeding the clinical adoption of available near point-of-care tests is crucial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to the successful implementation of the End TB strategy.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Copyright © 2026 The Authors. Published by Elsevier Ltd.. All rights reserved.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DOI: 10.1016/j.jiph.2026.103329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PMID: 42585900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6D78DC" w:rsidRDefault="00F30181" w:rsidP="000519EB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30</w:t>
      </w:r>
      <w:r w:rsidR="000519EB" w:rsidRPr="006D78DC">
        <w:rPr>
          <w:rFonts w:ascii="宋体" w:eastAsia="宋体" w:hAnsi="宋体" w:cs="宋体"/>
          <w:b/>
          <w:color w:val="FF0000"/>
          <w:szCs w:val="24"/>
        </w:rPr>
        <w:t>. J Thorac Dis. 2026 Jul 31;18(7):765. doi: 10.2103</w:t>
      </w:r>
      <w:r w:rsidR="006D78DC" w:rsidRPr="006D78DC">
        <w:rPr>
          <w:rFonts w:ascii="宋体" w:eastAsia="宋体" w:hAnsi="宋体" w:cs="宋体"/>
          <w:b/>
          <w:color w:val="FF0000"/>
          <w:szCs w:val="24"/>
        </w:rPr>
        <w:t xml:space="preserve">7/jtd-2026-0761. Epub 2026 Jun </w:t>
      </w:r>
      <w:r w:rsidR="000519EB" w:rsidRPr="006D78DC">
        <w:rPr>
          <w:rFonts w:ascii="宋体" w:eastAsia="宋体" w:hAnsi="宋体" w:cs="宋体"/>
          <w:b/>
          <w:color w:val="FF0000"/>
          <w:szCs w:val="24"/>
        </w:rPr>
        <w:t>18.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Burden of multidrug-resistant and extensively drug-resistant tuberculosis in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China, India and Russia: estimates from the GBD 2023 study.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Li JD(#)(1), Li ZY(#)(2), Xiong KH(1), Ling JW(1)(3), Chen GQ(1), Tang HH(1),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Huang BB(1), Chen YT(4), Chen G(1), Ning Z(2), Feng H(5).</w:t>
      </w:r>
    </w:p>
    <w:p w:rsid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562955" w:rsidRPr="00041D2F" w:rsidRDefault="00562955" w:rsidP="000519EB">
      <w:pPr>
        <w:rPr>
          <w:rFonts w:ascii="宋体" w:eastAsia="宋体" w:hAnsi="宋体" w:cs="宋体"/>
          <w:b/>
          <w:color w:val="0070C0"/>
          <w:szCs w:val="24"/>
        </w:rPr>
      </w:pPr>
      <w:r w:rsidRPr="00041D2F">
        <w:rPr>
          <w:rFonts w:ascii="宋体" w:eastAsia="宋体" w:hAnsi="宋体" w:cs="宋体"/>
          <w:b/>
          <w:color w:val="0070C0"/>
          <w:szCs w:val="24"/>
        </w:rPr>
        <w:t>Jian-Di Li,</w:t>
      </w:r>
      <w:r w:rsidR="00041D2F" w:rsidRPr="00041D2F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041D2F">
        <w:rPr>
          <w:rFonts w:ascii="宋体" w:eastAsia="宋体" w:hAnsi="宋体" w:cs="宋体"/>
          <w:b/>
          <w:color w:val="0070C0"/>
          <w:szCs w:val="24"/>
        </w:rPr>
        <w:t>Zong-Yu Li,</w:t>
      </w:r>
      <w:r w:rsidR="00041D2F" w:rsidRPr="00041D2F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041D2F">
        <w:rPr>
          <w:rFonts w:ascii="宋体" w:eastAsia="宋体" w:hAnsi="宋体" w:cs="宋体"/>
          <w:b/>
          <w:color w:val="0070C0"/>
          <w:szCs w:val="24"/>
        </w:rPr>
        <w:t>Kun-Hua Xiong,</w:t>
      </w:r>
      <w:r w:rsidR="00041D2F" w:rsidRPr="00041D2F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041D2F">
        <w:rPr>
          <w:rFonts w:ascii="宋体" w:eastAsia="宋体" w:hAnsi="宋体" w:cs="宋体"/>
          <w:b/>
          <w:color w:val="0070C0"/>
          <w:szCs w:val="24"/>
        </w:rPr>
        <w:t>Jing-Wen Ling,</w:t>
      </w:r>
      <w:r w:rsidR="00041D2F" w:rsidRPr="00041D2F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041D2F">
        <w:rPr>
          <w:rFonts w:ascii="宋体" w:eastAsia="宋体" w:hAnsi="宋体" w:cs="宋体"/>
          <w:b/>
          <w:color w:val="0070C0"/>
          <w:szCs w:val="24"/>
        </w:rPr>
        <w:t>Guo-Qiang Chen,</w:t>
      </w:r>
      <w:r w:rsidR="00041D2F" w:rsidRPr="00041D2F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041D2F">
        <w:rPr>
          <w:rFonts w:ascii="宋体" w:eastAsia="宋体" w:hAnsi="宋体" w:cs="宋体"/>
          <w:b/>
          <w:color w:val="0070C0"/>
          <w:szCs w:val="24"/>
        </w:rPr>
        <w:t>Huan-Huan Tang,</w:t>
      </w:r>
      <w:r w:rsidR="00041D2F" w:rsidRPr="00041D2F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041D2F">
        <w:rPr>
          <w:rFonts w:ascii="宋体" w:eastAsia="宋体" w:hAnsi="宋体" w:cs="宋体"/>
          <w:b/>
          <w:color w:val="0070C0"/>
          <w:szCs w:val="24"/>
        </w:rPr>
        <w:t>Bei-Bei Huang,</w:t>
      </w:r>
      <w:r w:rsidR="00041D2F" w:rsidRPr="00041D2F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041D2F">
        <w:rPr>
          <w:rFonts w:ascii="宋体" w:eastAsia="宋体" w:hAnsi="宋体" w:cs="宋体"/>
          <w:b/>
          <w:color w:val="0070C0"/>
          <w:szCs w:val="24"/>
        </w:rPr>
        <w:t>Yu-Ting Chen,</w:t>
      </w:r>
      <w:r w:rsidR="00041D2F" w:rsidRPr="00041D2F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041D2F">
        <w:rPr>
          <w:rFonts w:ascii="宋体" w:eastAsia="宋体" w:hAnsi="宋体" w:cs="宋体"/>
          <w:b/>
          <w:color w:val="0070C0"/>
          <w:szCs w:val="24"/>
        </w:rPr>
        <w:t>Gang Chen,</w:t>
      </w:r>
      <w:r w:rsidR="00041D2F" w:rsidRPr="00041D2F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041D2F">
        <w:rPr>
          <w:rFonts w:ascii="宋体" w:eastAsia="宋体" w:hAnsi="宋体" w:cs="宋体"/>
          <w:b/>
          <w:color w:val="0070C0"/>
          <w:szCs w:val="24"/>
        </w:rPr>
        <w:t>Zong Ning</w:t>
      </w:r>
      <w:r w:rsidR="00041D2F" w:rsidRPr="00041D2F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041D2F">
        <w:rPr>
          <w:rFonts w:ascii="宋体" w:eastAsia="宋体" w:hAnsi="宋体" w:cs="宋体"/>
          <w:b/>
          <w:color w:val="0070C0"/>
          <w:szCs w:val="24"/>
        </w:rPr>
        <w:t>,</w:t>
      </w:r>
      <w:r w:rsidR="00041D2F" w:rsidRPr="00041D2F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041D2F">
        <w:rPr>
          <w:rFonts w:ascii="宋体" w:eastAsia="宋体" w:hAnsi="宋体" w:cs="宋体"/>
          <w:b/>
          <w:color w:val="0070C0"/>
          <w:szCs w:val="24"/>
        </w:rPr>
        <w:t>Hui Feng</w:t>
      </w:r>
      <w:r w:rsidR="00041D2F" w:rsidRPr="00041D2F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562955" w:rsidRPr="00041D2F" w:rsidRDefault="00041D2F" w:rsidP="000519EB">
      <w:pPr>
        <w:rPr>
          <w:rFonts w:ascii="宋体" w:eastAsia="宋体" w:hAnsi="宋体" w:cs="宋体"/>
          <w:b/>
          <w:color w:val="0070C0"/>
          <w:szCs w:val="24"/>
        </w:rPr>
      </w:pPr>
      <w:r w:rsidRPr="00041D2F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041D2F">
        <w:rPr>
          <w:rFonts w:ascii="宋体" w:eastAsia="宋体" w:hAnsi="宋体" w:cs="宋体"/>
          <w:b/>
          <w:color w:val="0070C0"/>
          <w:szCs w:val="24"/>
        </w:rPr>
        <w:t>Correspondence to: Prof. Hui Feng, Email: fenghui199205@163.com; Prof. Zong Ning, Email: gxningzong68@163.com</w:t>
      </w:r>
    </w:p>
    <w:p w:rsidR="00562955" w:rsidRDefault="00562955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(1)Department of Pathology, The First Affiliated Hospital of Guangxi Medical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University, Nanning,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(2)Department of General Practice, The First Affiliated Hospital of Guangxi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Medical University, Nanning,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(3)School of Information Management, Guangxi Medical University, Nanning,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(4)Department of Thoracic Surgery, The First Affiliated Hospital of Guangxi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Medical University, Nanning,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(5)The Financial Affairs Office, The First Affiliated Hospital of Guangxi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Medical University, Nanning,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Multidrug-resistant and extensively drug-resistant tuberculosis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(MDR-TB/XDR-TB) strains are complicating global tuberculosis (TB) control, with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China, India, and Russia bearing the heaviest burdens. This study aimed to map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their epidemiological profiles to guide targeted interventions.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 Epidemiological data were collected from the Global Burden of Disease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Study (GBD) 2023. Joinpoint regression, decomposition, age-period-cohort, and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lastRenderedPageBreak/>
        <w:t>autoregressive integrated moving average (ARIMA) analyses were performed.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 China, India, and Russia ranked among the top three globally in the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absolute number of MDR-TB/XDR-TB cases. Over the past 30 years, China had seen a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significant decrease in the age-standardized rate of MDR-TB, contrasting with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the rising trends in India and Russia, with epidemiological changes being the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main driving factor. China had a significantly negative net drift value for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XDR-TB mortality, indicating an overall decline across age groups over time,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whereas India and Russia had significantly positive values, indicating an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overall increase across age groups. In recent years, the burden of XDR-TB had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decreased in China and Russia, while there had been no significant change in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India. In all three countries, disease burden was higher in men than women, with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significant differences in peak age. Predictions indicate rising XDR-TB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prevalence in India and Russia, while China's indicators were expected to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stabilize.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 xml:space="preserve">CONCLUSIONS: 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MDR-TB/XDR-TB's epidemiological characteristics differ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significantly among China, India, and Russia, necessitating the development of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differentiated prevention and control strategies and strengthened joint efforts.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 AME Publishing Company.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DOI: 10.21037/jtd-2026-0761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PMCID: PMC13460139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PMID: 42583462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6D78DC" w:rsidRDefault="00F30181" w:rsidP="000519EB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31</w:t>
      </w:r>
      <w:r w:rsidR="000519EB" w:rsidRPr="006D78DC">
        <w:rPr>
          <w:rFonts w:ascii="宋体" w:eastAsia="宋体" w:hAnsi="宋体" w:cs="宋体"/>
          <w:b/>
          <w:color w:val="FF0000"/>
          <w:szCs w:val="24"/>
        </w:rPr>
        <w:t>. J Thorac Dis. 2026 Jul 31;18(7):797. doi: 10.2103</w:t>
      </w:r>
      <w:r w:rsidR="006D78DC" w:rsidRPr="006D78DC">
        <w:rPr>
          <w:rFonts w:ascii="宋体" w:eastAsia="宋体" w:hAnsi="宋体" w:cs="宋体"/>
          <w:b/>
          <w:color w:val="FF0000"/>
          <w:szCs w:val="24"/>
        </w:rPr>
        <w:t xml:space="preserve">7/jtd-2026-1788. Epub 2026 Jul </w:t>
      </w:r>
      <w:r w:rsidR="000519EB" w:rsidRPr="006D78DC">
        <w:rPr>
          <w:rFonts w:ascii="宋体" w:eastAsia="宋体" w:hAnsi="宋体" w:cs="宋体"/>
          <w:b/>
          <w:color w:val="FF0000"/>
          <w:szCs w:val="24"/>
        </w:rPr>
        <w:t>28.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Global, regional, and national tuberculosis burden associated with six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suboptimal dietary exposures from 1990 to 2021: a comparative risk assessment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based on the Global Burden of Disease Study 2021.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Yang Y(#)(1), Zhang H(#)(2), Shen L(1), Xu Z(1), Zhang X(1).</w:t>
      </w:r>
    </w:p>
    <w:p w:rsid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E230F6" w:rsidRPr="00E230F6" w:rsidRDefault="00E230F6" w:rsidP="000519EB">
      <w:pPr>
        <w:rPr>
          <w:rFonts w:ascii="宋体" w:eastAsia="宋体" w:hAnsi="宋体" w:cs="宋体"/>
          <w:b/>
          <w:color w:val="0070C0"/>
          <w:szCs w:val="24"/>
        </w:rPr>
      </w:pPr>
      <w:r w:rsidRPr="00E230F6">
        <w:rPr>
          <w:rFonts w:ascii="宋体" w:eastAsia="宋体" w:hAnsi="宋体" w:cs="宋体"/>
          <w:b/>
          <w:color w:val="0070C0"/>
          <w:szCs w:val="24"/>
        </w:rPr>
        <w:t>Yuanjian Yang, Huan Zhang, Lijun Shen, Zhiwei Xu, Xiaoju Zhang</w:t>
      </w:r>
      <w:r w:rsidRPr="00E230F6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E230F6" w:rsidRPr="00E230F6" w:rsidRDefault="00E230F6" w:rsidP="000519EB">
      <w:pPr>
        <w:rPr>
          <w:rFonts w:ascii="宋体" w:eastAsia="宋体" w:hAnsi="宋体" w:cs="宋体"/>
          <w:b/>
          <w:color w:val="0070C0"/>
          <w:szCs w:val="24"/>
        </w:rPr>
      </w:pPr>
      <w:r w:rsidRPr="00E230F6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E230F6">
        <w:rPr>
          <w:rFonts w:ascii="宋体" w:eastAsia="宋体" w:hAnsi="宋体" w:cs="宋体"/>
          <w:b/>
          <w:color w:val="0070C0"/>
          <w:szCs w:val="24"/>
        </w:rPr>
        <w:t>Correspondence to: Xiaoju Zhang, Email: zhangxiaoju@zzu.edu.cn</w:t>
      </w:r>
    </w:p>
    <w:p w:rsidR="00E230F6" w:rsidRDefault="00E230F6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(1)Department of Respiratory and Critical Care Medicine, Zhengzhou University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People's Hospital, Henan Provincial People's Hospital, Zhengzhou,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(2)Institute for Atmospheric and Earth System Research, University of Helsinki,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Helsinki, Finland.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 Tuberculosis (TB) remains a major public health challenge, and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nutritional deprivation continues to shape TB susceptibility, progression, and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outcomes. However, the population-level TB burden associated with specific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suboptimal dietary exposures has not been systematically quantified across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countries, sociodemographic settings, and time. We estimated global, regional,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and national TB mortality and disability-adjusted life years (DALYs) associated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with six suboptimal dietary exposures from 1990 to 2021 using the Global Burden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of Disease (GBD) Study 2021.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We extracted GBD 2021 estimates of TB deaths, DALYs, age-standardized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mortality rates (ASMRs), and age-standardized DALY rates (ASDRs) associated with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diets high in processed meat, high in red meat, high in sugar-sweetened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beverages, low in fruits, low in vegetables, and low in whole grains across 204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countries and territories. The GBD comparative risk assessment (CRA) framework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integrates multisource population, dietary exposure, disease surveillance, vital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registration, demographic, and published epidemiological data to estimate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modelled population-attributable burden. Rates were calculated using population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denominators and expressed per 100,000 persons. Temporal trends were assessed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using estimated annual percentage changes (EAPCs). Additionally, we applied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age-period-cohort (APC) models to isolate the independent contributions of age,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calendar period, and birth cohort to both TB mortality and DALY rates associated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with suboptimal dietary exposures.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 In 2021, diet low in whole grains and diet low in fruits were the two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largest contributors to diet-associated TB DALYs, accounting for 177,304 DALYs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and 164,027 DALYs, respectively. Smaller absolute burdens were associated with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low vegetable intake, high red meat intake, high processed meat intake, and high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sugar-sweetened beverage intake. From 1990 to 2021, all six exposures showed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declining ASDRs and ASMRs, with ASDR EAPCs ranging from -0.94% for diet high in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sugar-sweetened beverages to -2.94% for diet low in vegetables and ASMR EAPCs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ranging from -1.33% to -3.24%. Globally, the ASDR of diet high in processed meat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decreased from 1.92 [95% uncertainty interval (UI): 0.45 to 3.38] to 0.92 (95%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UI: 0.22 to 1.58) per 100,000 persons, and the ASMR decreased from 0.06 (95% UI: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0.01 to 0.11) to 0.03 (95% UI: 0.01 to 0.05) per 100,000 persons. Most exposures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showed the highest ASDR and ASMR in low-sociodemographic index (SDI) regions and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the lowest in high-SDI regions. Men and older adults had higher DALY and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mortality rates across most exposures. APC analyses showed negative net drifts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for both DALY and mortality rates across all exposures.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 The age-standardized TB burden associated with suboptimal dietary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exposures declined globally from 1990 to 2021, but substantial absolute burden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and socioeconomic disparities persisted. Population-level nutrition-sensitive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strategies, including improved access to whole grains, fruits, and vegetables,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nutrition support within TB care, and structural reforms addressing food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insecurity and inequities in TB prevention and treatment, may complement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biomedical TB control programs, particularly in low-SDI settings.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 AME Publishing Company.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DOI: 10.21037/jtd-2026-1788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PMCID: PMC13459945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PMID: 42583264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6D78DC" w:rsidRDefault="00F30181" w:rsidP="000519EB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32</w:t>
      </w:r>
      <w:r w:rsidR="000519EB" w:rsidRPr="006D78DC">
        <w:rPr>
          <w:rFonts w:ascii="宋体" w:eastAsia="宋体" w:hAnsi="宋体" w:cs="宋体"/>
          <w:b/>
          <w:color w:val="FF0000"/>
          <w:szCs w:val="24"/>
        </w:rPr>
        <w:t>. J Thorac Dis. 2026 Jul 31;18(7):748. doi: 10.21037/jtd-2026-0894.</w:t>
      </w:r>
      <w:r w:rsidR="006D78DC" w:rsidRPr="006D78DC">
        <w:rPr>
          <w:rFonts w:ascii="宋体" w:eastAsia="宋体" w:hAnsi="宋体" w:cs="宋体"/>
          <w:b/>
          <w:color w:val="FF0000"/>
          <w:szCs w:val="24"/>
        </w:rPr>
        <w:t xml:space="preserve"> Epub 2026 Jun </w:t>
      </w:r>
      <w:r w:rsidR="000519EB" w:rsidRPr="006D78DC">
        <w:rPr>
          <w:rFonts w:ascii="宋体" w:eastAsia="宋体" w:hAnsi="宋体" w:cs="宋体"/>
          <w:b/>
          <w:color w:val="FF0000"/>
          <w:szCs w:val="24"/>
        </w:rPr>
        <w:t>23.</w:t>
      </w:r>
    </w:p>
    <w:p w:rsidR="000519EB" w:rsidRPr="006D78DC" w:rsidRDefault="000519EB" w:rsidP="000519EB">
      <w:pPr>
        <w:rPr>
          <w:rFonts w:ascii="宋体" w:eastAsia="宋体" w:hAnsi="宋体" w:cs="宋体"/>
          <w:b/>
          <w:color w:val="FF0000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Global inequality in the burden of tuberculosis: findings from the Global Burden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of Disease Study 2021.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Bu Q(1), Yang J(2), Cheng H(3), Pan Z(3)(4), Zhang T(5)(6)(7).</w:t>
      </w:r>
    </w:p>
    <w:p w:rsid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B3751D" w:rsidRPr="00B3751D" w:rsidRDefault="00B3751D" w:rsidP="000519EB">
      <w:pPr>
        <w:rPr>
          <w:rFonts w:ascii="宋体" w:eastAsia="宋体" w:hAnsi="宋体" w:cs="宋体"/>
          <w:b/>
          <w:color w:val="0070C0"/>
          <w:szCs w:val="24"/>
        </w:rPr>
      </w:pPr>
      <w:r w:rsidRPr="00B3751D">
        <w:rPr>
          <w:rFonts w:ascii="宋体" w:eastAsia="宋体" w:hAnsi="宋体" w:cs="宋体"/>
          <w:b/>
          <w:color w:val="0070C0"/>
          <w:szCs w:val="24"/>
        </w:rPr>
        <w:t>Qingting Bu, Jin Yang, Hua Cheng, Zhenyu Pan</w:t>
      </w:r>
      <w:r w:rsidRPr="00B3751D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B3751D">
        <w:rPr>
          <w:rFonts w:ascii="宋体" w:eastAsia="宋体" w:hAnsi="宋体" w:cs="宋体"/>
          <w:b/>
          <w:color w:val="0070C0"/>
          <w:szCs w:val="24"/>
        </w:rPr>
        <w:t>, Tao Zhang</w:t>
      </w:r>
      <w:r w:rsidRPr="00B3751D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B3751D" w:rsidRPr="00B3751D" w:rsidRDefault="00B3751D" w:rsidP="000519EB">
      <w:pPr>
        <w:rPr>
          <w:rFonts w:ascii="宋体" w:eastAsia="宋体" w:hAnsi="宋体" w:cs="宋体"/>
          <w:b/>
          <w:color w:val="0070C0"/>
          <w:szCs w:val="24"/>
        </w:rPr>
      </w:pPr>
      <w:r w:rsidRPr="00B3751D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B3751D">
        <w:rPr>
          <w:rFonts w:ascii="宋体" w:eastAsia="宋体" w:hAnsi="宋体" w:cs="宋体"/>
          <w:b/>
          <w:color w:val="0070C0"/>
          <w:szCs w:val="24"/>
        </w:rPr>
        <w:t>Correspondence to: Zhenyu Pan, Email: panzhenyu1985@126.com; Tao Zhang,</w:t>
      </w:r>
      <w:r w:rsidRPr="00B3751D">
        <w:rPr>
          <w:rFonts w:ascii="宋体" w:eastAsia="宋体" w:hAnsi="宋体" w:cs="宋体"/>
          <w:b/>
          <w:color w:val="0070C0"/>
          <w:szCs w:val="24"/>
        </w:rPr>
        <w:br/>
        <w:t>Email: zhangtao@xjtu.edu.cn</w:t>
      </w:r>
    </w:p>
    <w:p w:rsidR="00B3751D" w:rsidRDefault="00B3751D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(1)Department of Genetics, Northwest Women's and Children's Hospital, Xi'an,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(2)Department of Epidemiology, School of Public Health, Southern Medical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University, Guangzhou,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(3)Department of Pharmacy, Xi'an Children's Hospital, Xi'an,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(4)School of Public Health, Xi'an Jiaotong University Health Science Center,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Xi'an,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(5)Key laboratory of Shaanxi Province for Craniofacial Precision Medicine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Research, College of Stomatology, Xi'an Jiaotong University, Xi'an,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(6)Clinical Research Center of Shaanxi Province for Dental and Maxillofacial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Diseases, College of Stomatology, Xi'an Jiaotong University, Xi'an,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(7)Department of Pharmacy, College of Stomatology, Xi'an Jiaotong University,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Xi'an,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Tuberculosis (TB) is one of the leading causes of death worldwide.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The United Nations' Sustainable Development Goals include a target to reduce TB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burden inequalities among countries. However, the current extent of TB burden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inequality among countries remains unclear. This study aims to analyze the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global burden inequality of TB.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 This study utilized the Global Burden of Disease (GBD) 2021 database to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extract TB-related data from 204 countries and territories, including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age-standardized rates (ASRs) of disability-adjusted life years (DALYs) and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population from 1990 to 2021 and annual DALY rates across different age groups.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By conducting statistical analyses, we calculated the slope index of inequality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(SII) and the Gini index for each country and territory to assess the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inequalities in the burden of TB.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lastRenderedPageBreak/>
        <w:t>RESULTS: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 The global SII reached an estimated 3,107.34×10-5 in 2021, a decrease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of 56.32% from 1990. In contrast, the Gini index exhibited an upward trend,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rising from 0.57 in 1990 to 0.60 in 2021. At the regional level, the burden of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TB showed significant disparities. The SII and Gini index generally showed a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pattern of first declining and then increasing with age.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 While absolute inequalities in TB burden have declined, relative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inequalities persist as a significant concern, especially in specific regions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and age groups. Future research should investigate the underlying drivers of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these inequalities to better guide TB control strategies.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 AME Publishing Company.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DOI: 10.21037/jtd-2026-0894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PMCID: PMC13459841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PMID: 42583260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6D78DC" w:rsidRDefault="00F30181" w:rsidP="000519EB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33</w:t>
      </w:r>
      <w:r w:rsidR="000519EB" w:rsidRPr="006D78DC">
        <w:rPr>
          <w:rFonts w:ascii="宋体" w:eastAsia="宋体" w:hAnsi="宋体" w:cs="宋体"/>
          <w:b/>
          <w:color w:val="FF0000"/>
          <w:szCs w:val="24"/>
        </w:rPr>
        <w:t xml:space="preserve">. Transl Lung Cancer Res. 2026 Jul 31;15(7):209. doi: 10.21037/tlcr-2026-0559. </w:t>
      </w:r>
    </w:p>
    <w:p w:rsidR="000519EB" w:rsidRPr="006D78DC" w:rsidRDefault="000519EB" w:rsidP="000519EB">
      <w:pPr>
        <w:rPr>
          <w:rFonts w:ascii="宋体" w:eastAsia="宋体" w:hAnsi="宋体" w:cs="宋体"/>
          <w:b/>
          <w:color w:val="FF0000"/>
          <w:szCs w:val="24"/>
        </w:rPr>
      </w:pPr>
      <w:r w:rsidRPr="006D78DC">
        <w:rPr>
          <w:rFonts w:ascii="宋体" w:eastAsia="宋体" w:hAnsi="宋体" w:cs="宋体"/>
          <w:b/>
          <w:color w:val="FF0000"/>
          <w:szCs w:val="24"/>
        </w:rPr>
        <w:t>Epub 2026 Jul 20.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Development and validation of machine learning diagnostic models integrating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clinical, CT, and laboratory features to differentiate lung cancer from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pulmonary tuberculosis in patients with solitary pulmonary nodules: a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single-center retrospective study.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Li Y(#)(1)(2), Wu W(#)(3), Xu H(3), Ma J(4), Bao M(5), Zhu J(6), Chen S(4).</w:t>
      </w:r>
    </w:p>
    <w:p w:rsid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4B3313" w:rsidRPr="00CE60EF" w:rsidRDefault="004B3313" w:rsidP="000519EB">
      <w:pPr>
        <w:rPr>
          <w:rFonts w:ascii="宋体" w:eastAsia="宋体" w:hAnsi="宋体" w:cs="宋体"/>
          <w:b/>
          <w:color w:val="0070C0"/>
          <w:szCs w:val="24"/>
        </w:rPr>
      </w:pPr>
      <w:r w:rsidRPr="00CE60EF">
        <w:rPr>
          <w:rFonts w:ascii="宋体" w:eastAsia="宋体" w:hAnsi="宋体" w:cs="宋体"/>
          <w:b/>
          <w:color w:val="0070C0"/>
          <w:szCs w:val="24"/>
        </w:rPr>
        <w:t>Yuhang Li, Weijun Wu, Huiling Xu, Jun Ma, Minwei Bao, Junjie Zhu</w:t>
      </w:r>
      <w:r w:rsidR="00CE60EF" w:rsidRPr="00CE60EF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CE60EF">
        <w:rPr>
          <w:rFonts w:ascii="宋体" w:eastAsia="宋体" w:hAnsi="宋体" w:cs="宋体"/>
          <w:b/>
          <w:color w:val="0070C0"/>
          <w:szCs w:val="24"/>
        </w:rPr>
        <w:t>, Shanhao Chen</w:t>
      </w:r>
      <w:r w:rsidRPr="00CE60EF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4B3313" w:rsidRPr="00CE60EF" w:rsidRDefault="00CE60EF" w:rsidP="000519EB">
      <w:pPr>
        <w:rPr>
          <w:rFonts w:ascii="宋体" w:eastAsia="宋体" w:hAnsi="宋体" w:cs="宋体"/>
          <w:b/>
          <w:color w:val="0070C0"/>
          <w:szCs w:val="24"/>
        </w:rPr>
      </w:pPr>
      <w:r w:rsidRPr="00CE60EF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="004B3313" w:rsidRPr="00CE60EF">
        <w:rPr>
          <w:rFonts w:ascii="宋体" w:eastAsia="宋体" w:hAnsi="宋体" w:cs="宋体"/>
          <w:b/>
          <w:color w:val="0070C0"/>
          <w:szCs w:val="24"/>
        </w:rPr>
        <w:t>Correspondence to: Shanhao Chen, Email: cshddd@163.com; Junjie Zhu, Email: zhujunjie@tongji.edu.cn</w:t>
      </w:r>
    </w:p>
    <w:p w:rsidR="004B3313" w:rsidRDefault="004B3313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(1)Department of Medical Oncology, Shanghai Pulmonary Hospital, School of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Medicine, Tongji University, Shanghai,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(2)School of Medicine, Tongji University, Shanghai,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(3)Department of Radiology, Tongren Hospital, Shanghai Jiao Tong University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School of Medicine, Shanghai,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(4)Clinic and Research Center of Tuberculosis, Shanghai Pulmonary Hospital,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School of Medicine, Tongji University, Shanghai,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(5)Department of Thoracic Surgery, Shanghai Pulmonary Hospital, School of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Medicine, Tongji University, Shanghai,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(6)Innovation and Incubation Center (IIC), Shanghai Pulmonary Hospital, School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of Medicine, Tongji University, Shanghai,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lastRenderedPageBreak/>
        <w:t xml:space="preserve">BACKGROUND: 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Differentiating lung cancer from pulmonary tuberculosis in patients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with solitary pulmonary nodules (SPNs) remains clinically challenging,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particularly in tuberculosis-endemic settings, because these two conditions may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show overlapping computed tomography (CT) morphological features. This study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aimed to develop and internally validate machine learning (ML) diagnostic models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integrating these routinely available variables and to identify stable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discriminative features using feature-importance analyses.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 This single-center retrospective diagnostic prediction model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development and internal validation study included adult patients with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 w:hint="eastAsia"/>
          <w:color w:val="000000" w:themeColor="text1"/>
          <w:szCs w:val="24"/>
        </w:rPr>
        <w:t xml:space="preserve">CT-detected SPNs measuring ≤3 cm and a definitive diagnosis of primary lung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cancer or pulmonary tuberculosis between May 2020 and June 2024. Candidate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predictors were extracted from baseline clinical information,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tuberculosis-related tests, manually assessed CT morphological features,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circulating tumor cell indicators, routine laboratory tests, and blood gas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analysis variables obtained within 7 days before surgery or biopsy. Variables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with more than 5% missingness were excluded, and 72 variables were retained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before least absolute shrinkage and selection operator (LASSO) feature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selection. The dataset was randomly divided into training and validation sets in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 stratified 7:3 ratio. Seven ML models were subsequently constructed, including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logistic regression (LR), random forest (RF), extra trees (ET), radial basis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function support vector machine (RBF-SVM), k-nearest neighbors (KNN), multilayer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perceptron (MLP), and gradient boosting decision tree (GBDT). Model performance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was evaluated using the area under the curve (AUC) for the receiver operating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characteristic (ROC) curve, sensitivity, specificity, and balanced accuracy.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Permutation importance and SHapley Additive exPlanations (SHAP) analyses were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further performed to assess model interpretability.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 total of 431 patients were included, comprising 168 patients with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pathologically confirmed lung cancer and 263 patients with pulmonary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tuberculosis. The median age was 60.00 years (interquartile range, 53.00-67.00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years), 277 patients (64.3%) were male, 349 patients (81.0%) had solid nodules,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and 277 patients (64.3%) had positive QuantiFERON-TB (QFT) results. After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missingness filtering, 72 variables were retained, and 29 features were selected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by LASSO for model development. Among the seven models, the RBF-SVM model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achieved the highest validation AUC of 0.803, with a sensitivity of 0.686,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specificity of 0.734, and balanced accuracy of 0.710. The ET model showed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comparable validation performance, with an AUC of 0.791, whereas LR achieved the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highest balanced accuracy of 0.711. Cross-model interpretability analyses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identified nodule type and age as the most stable core features.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 ML models integrating routine clinical, manually assessed CT, and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laboratory features showed moderate discriminative performance for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differentiating lung cancer from pulmonary tuberculosis in patients with SPNs.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The RBF-SVM model achieved the highest validation AUC, and cross-model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interpretability analyses identified nodule type and age as stable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discriminative features.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 AME Publishing Company.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DOI: 10.21037/tlcr-2026-0559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PMCID: PMC13458748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PMID: 42582867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6D78DC" w:rsidRDefault="00F30181" w:rsidP="000519EB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34</w:t>
      </w:r>
      <w:r w:rsidR="000519EB" w:rsidRPr="006D78DC">
        <w:rPr>
          <w:rFonts w:ascii="宋体" w:eastAsia="宋体" w:hAnsi="宋体" w:cs="宋体"/>
          <w:b/>
          <w:color w:val="FF0000"/>
          <w:szCs w:val="24"/>
        </w:rPr>
        <w:t xml:space="preserve">. Front Med (Lausanne). 2026 Jul 28;13:1905687. doi: 10.3389/fmed.2026.1905687. </w:t>
      </w:r>
    </w:p>
    <w:p w:rsidR="000519EB" w:rsidRPr="006D78DC" w:rsidRDefault="000519EB" w:rsidP="000519EB">
      <w:pPr>
        <w:rPr>
          <w:rFonts w:ascii="宋体" w:eastAsia="宋体" w:hAnsi="宋体" w:cs="宋体"/>
          <w:b/>
          <w:color w:val="FF0000"/>
          <w:szCs w:val="24"/>
        </w:rPr>
      </w:pPr>
      <w:r w:rsidRPr="006D78DC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Case Report: delayed recognition of pulmonary tuberculosis during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immunosuppression for suspected connective tissue disease.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Yang Z(1), Yan Y(2), Zheng M(3).</w:t>
      </w:r>
    </w:p>
    <w:p w:rsid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BA2F3A" w:rsidRPr="00BA2F3A" w:rsidRDefault="00BA2F3A" w:rsidP="000519EB">
      <w:pPr>
        <w:rPr>
          <w:rFonts w:ascii="宋体" w:eastAsia="宋体" w:hAnsi="宋体" w:cs="宋体"/>
          <w:b/>
          <w:color w:val="0070C0"/>
          <w:szCs w:val="24"/>
        </w:rPr>
      </w:pPr>
      <w:r w:rsidRPr="00BA2F3A">
        <w:rPr>
          <w:rFonts w:ascii="宋体" w:eastAsia="宋体" w:hAnsi="宋体" w:cs="宋体"/>
          <w:b/>
          <w:color w:val="0070C0"/>
          <w:szCs w:val="24"/>
        </w:rPr>
        <w:t>Zheng Yang, Yuhe Yan, Mengyi Zheng</w:t>
      </w:r>
      <w:r w:rsidRPr="00BA2F3A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BA2F3A" w:rsidRPr="00BA2F3A" w:rsidRDefault="00BA2F3A" w:rsidP="000519EB">
      <w:pPr>
        <w:rPr>
          <w:rFonts w:ascii="宋体" w:eastAsia="宋体" w:hAnsi="宋体" w:cs="宋体"/>
          <w:b/>
          <w:color w:val="0070C0"/>
          <w:szCs w:val="24"/>
        </w:rPr>
      </w:pPr>
      <w:r w:rsidRPr="00BA2F3A">
        <w:rPr>
          <w:rFonts w:ascii="宋体" w:eastAsia="宋体" w:hAnsi="宋体" w:cs="宋体"/>
          <w:b/>
          <w:color w:val="0070C0"/>
          <w:szCs w:val="24"/>
        </w:rPr>
        <w:t>*CORRESPONDENCE Mengyi Zheng</w:t>
      </w:r>
      <w:r w:rsidRPr="00BA2F3A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BA2F3A">
        <w:rPr>
          <w:rFonts w:ascii="宋体" w:eastAsia="宋体" w:hAnsi="宋体" w:cs="宋体"/>
          <w:b/>
          <w:color w:val="0070C0"/>
          <w:szCs w:val="24"/>
        </w:rPr>
        <w:t>zhengmy32@163.com</w:t>
      </w:r>
    </w:p>
    <w:p w:rsidR="00BA2F3A" w:rsidRDefault="00BA2F3A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(1)Department of Infectious Diseases, Quzhou Second People's Hospital, Quzhou,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Zhejiang,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(2)Graduate School of Shanxi Medical University, Taiyuan, Shanxi,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(3)Department of Rheumatology and Immunology, Quzhou Second People's Hospital,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Quzhou, Zhejiang,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Pulmonary tuberculosis may be difficult to recognize in patients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receiving immunosuppression for suspected connective tissue disease, because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clinical symptoms, inflammatory markers, pulmonary abnormalities, and imaging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findings may be attributed to autoimmune disease activity.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>CASE PRESENTATION: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 A 57-year-old woman with dry mouth, myalgia, arthralgia, and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positivity for antinuclear antibody (ANA) and anti-SSA/SSB antibodies was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initially considered to have Sjögren syndrome or undifferentiated connective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tissue disease. She sequentially received glucocorticoids, belimumab,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tocilizumab, and baricitinib. During treatment, she developed recurrent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low-grade fever, marked weight loss, pulmonary nodules and consolidation,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mediastinal lymphadenopathy, and painful subcutaneous nodules. Three TB-related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T-cell immunological assays were negative, including two interferon-gamma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release assay tests and one T-SPOT. TB assay. Biopsy of a subcutaneous lesion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showed acute and chronic inflammation with suspected granuloma formation, and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next-generation sequencing of the tissue did not identify a causative pathogen.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Because fever persisted and respiratory symptoms subsequently developed, an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infectious etiology was reconsidered, and respiratory microbiological testing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was repeated. The sputum acid-fast bacilli smear was positive (3+),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Mycobacterium tuberculosis complex nucleic acid testing showed a high DNA load,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molecular resistance testing demonstrated rifampicin susceptibility, and sputum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mycobacterial culture was subsequently positive. Anti-TB treatment with a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2HRZE/10HRE regimen was followed by defervescence, regression of the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panniculitis-like lesions, smear conversion, culture conversion, and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radiological improvement.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Negative IGRA-related tests should not be used to exclude active TB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in immunosuppressed patients. Persistent fever, weight loss, pulmonary lesions,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lymphadenopathy, or granulomatous inflammation should prompt repeat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microbiological testing before escalation of immunosuppression.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Copyright © 2026 Yang, Yan and Zheng.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DOI: 10.3389/fmed.2026.1905687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PMCID: PMC13458738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PMID: 42582782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6D78DC" w:rsidRDefault="00F30181" w:rsidP="000519EB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35</w:t>
      </w:r>
      <w:r w:rsidR="000519EB" w:rsidRPr="006D78DC">
        <w:rPr>
          <w:rFonts w:ascii="宋体" w:eastAsia="宋体" w:hAnsi="宋体" w:cs="宋体"/>
          <w:b/>
          <w:color w:val="FF0000"/>
          <w:szCs w:val="24"/>
        </w:rPr>
        <w:t xml:space="preserve">. Front Cell Infect Microbiol. 2026 Jul 28;16:1828046. doi: </w:t>
      </w:r>
    </w:p>
    <w:p w:rsidR="000519EB" w:rsidRPr="006D78DC" w:rsidRDefault="000519EB" w:rsidP="000519EB">
      <w:pPr>
        <w:rPr>
          <w:rFonts w:ascii="宋体" w:eastAsia="宋体" w:hAnsi="宋体" w:cs="宋体"/>
          <w:b/>
          <w:color w:val="FF0000"/>
          <w:szCs w:val="24"/>
        </w:rPr>
      </w:pPr>
      <w:r w:rsidRPr="006D78DC">
        <w:rPr>
          <w:rFonts w:ascii="宋体" w:eastAsia="宋体" w:hAnsi="宋体" w:cs="宋体"/>
          <w:b/>
          <w:color w:val="FF0000"/>
          <w:szCs w:val="24"/>
        </w:rPr>
        <w:t>10.3389/fcimb.2026.1828046. eCollection 2026.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Diagnostic and differential diagnostic value of plasma extracellular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vesicle-associated miRNAs in AIDS patients with tuberculosis and non-tuberculous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mycobacterial infection.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Xu S(1), Zhang R(1), Liu L(1), Chen J(1), Wang Z(1), Qi T(1), Sun J(1), Song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W(1), Tang Y(1), Yang J(1), Chen Y(1), Shao Y(1), Xun J(1), Zhang X(1), Song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Z(1), Shen Y(1), Lu H(2).</w:t>
      </w:r>
    </w:p>
    <w:p w:rsid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534C63" w:rsidRPr="00D35DF9" w:rsidRDefault="00534C63" w:rsidP="000519EB">
      <w:pPr>
        <w:rPr>
          <w:rFonts w:ascii="宋体" w:eastAsia="宋体" w:hAnsi="宋体" w:cs="宋体"/>
          <w:b/>
          <w:color w:val="0070C0"/>
          <w:szCs w:val="24"/>
        </w:rPr>
      </w:pPr>
      <w:r w:rsidRPr="00D35DF9">
        <w:rPr>
          <w:rFonts w:ascii="宋体" w:eastAsia="宋体" w:hAnsi="宋体" w:cs="宋体"/>
          <w:b/>
          <w:color w:val="0070C0"/>
          <w:szCs w:val="24"/>
        </w:rPr>
        <w:t>Shuibao Xu,</w:t>
      </w:r>
      <w:r w:rsidR="00D35DF9" w:rsidRPr="00D35DF9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D35DF9">
        <w:rPr>
          <w:rFonts w:ascii="宋体" w:eastAsia="宋体" w:hAnsi="宋体" w:cs="宋体"/>
          <w:b/>
          <w:color w:val="0070C0"/>
          <w:szCs w:val="24"/>
        </w:rPr>
        <w:t>Renfang Zhang,</w:t>
      </w:r>
      <w:r w:rsidR="00D35DF9" w:rsidRPr="00D35DF9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D35DF9">
        <w:rPr>
          <w:rFonts w:ascii="宋体" w:eastAsia="宋体" w:hAnsi="宋体" w:cs="宋体"/>
          <w:b/>
          <w:color w:val="0070C0"/>
          <w:szCs w:val="24"/>
        </w:rPr>
        <w:t>Li Liu,</w:t>
      </w:r>
      <w:r w:rsidR="00D35DF9" w:rsidRPr="00D35DF9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D35DF9">
        <w:rPr>
          <w:rFonts w:ascii="宋体" w:eastAsia="宋体" w:hAnsi="宋体" w:cs="宋体"/>
          <w:b/>
          <w:color w:val="0070C0"/>
          <w:szCs w:val="24"/>
        </w:rPr>
        <w:t>Jun Chen,</w:t>
      </w:r>
      <w:r w:rsidR="00D35DF9" w:rsidRPr="00D35DF9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D35DF9">
        <w:rPr>
          <w:rFonts w:ascii="宋体" w:eastAsia="宋体" w:hAnsi="宋体" w:cs="宋体"/>
          <w:b/>
          <w:color w:val="0070C0"/>
          <w:szCs w:val="24"/>
        </w:rPr>
        <w:t>Zhenyan Wang,</w:t>
      </w:r>
      <w:r w:rsidR="00D35DF9" w:rsidRPr="00D35DF9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D35DF9">
        <w:rPr>
          <w:rFonts w:ascii="宋体" w:eastAsia="宋体" w:hAnsi="宋体" w:cs="宋体"/>
          <w:b/>
          <w:color w:val="0070C0"/>
          <w:szCs w:val="24"/>
        </w:rPr>
        <w:t>Tangkai Qi,</w:t>
      </w:r>
      <w:r w:rsidR="00D35DF9" w:rsidRPr="00D35DF9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D35DF9">
        <w:rPr>
          <w:rFonts w:ascii="宋体" w:eastAsia="宋体" w:hAnsi="宋体" w:cs="宋体"/>
          <w:b/>
          <w:color w:val="0070C0"/>
          <w:szCs w:val="24"/>
        </w:rPr>
        <w:t>Jianjun Sun,</w:t>
      </w:r>
      <w:r w:rsidR="00D35DF9" w:rsidRPr="00D35DF9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D35DF9">
        <w:rPr>
          <w:rFonts w:ascii="宋体" w:eastAsia="宋体" w:hAnsi="宋体" w:cs="宋体"/>
          <w:b/>
          <w:color w:val="0070C0"/>
          <w:szCs w:val="24"/>
        </w:rPr>
        <w:t>Wei Song,</w:t>
      </w:r>
      <w:r w:rsidR="00D35DF9" w:rsidRPr="00D35DF9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D35DF9">
        <w:rPr>
          <w:rFonts w:ascii="宋体" w:eastAsia="宋体" w:hAnsi="宋体" w:cs="宋体"/>
          <w:b/>
          <w:color w:val="0070C0"/>
          <w:szCs w:val="24"/>
        </w:rPr>
        <w:t>Yang Tang,</w:t>
      </w:r>
      <w:r w:rsidR="00D35DF9" w:rsidRPr="00D35DF9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D35DF9">
        <w:rPr>
          <w:rFonts w:ascii="宋体" w:eastAsia="宋体" w:hAnsi="宋体" w:cs="宋体"/>
          <w:b/>
          <w:color w:val="0070C0"/>
          <w:szCs w:val="24"/>
        </w:rPr>
        <w:t>Junyang Yang,</w:t>
      </w:r>
      <w:r w:rsidR="00D35DF9" w:rsidRPr="00D35DF9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D35DF9">
        <w:rPr>
          <w:rFonts w:ascii="宋体" w:eastAsia="宋体" w:hAnsi="宋体" w:cs="宋体"/>
          <w:b/>
          <w:color w:val="0070C0"/>
          <w:szCs w:val="24"/>
        </w:rPr>
        <w:t>Youming Chen,</w:t>
      </w:r>
      <w:r w:rsidR="00D35DF9" w:rsidRPr="00D35DF9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D35DF9">
        <w:rPr>
          <w:rFonts w:ascii="宋体" w:eastAsia="宋体" w:hAnsi="宋体" w:cs="宋体"/>
          <w:b/>
          <w:color w:val="0070C0"/>
          <w:szCs w:val="24"/>
        </w:rPr>
        <w:t>Yueming Shao,</w:t>
      </w:r>
      <w:r w:rsidR="00D35DF9" w:rsidRPr="00D35DF9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D35DF9">
        <w:rPr>
          <w:rFonts w:ascii="宋体" w:eastAsia="宋体" w:hAnsi="宋体" w:cs="宋体"/>
          <w:b/>
          <w:color w:val="0070C0"/>
          <w:szCs w:val="24"/>
        </w:rPr>
        <w:t>Jingna Xun,</w:t>
      </w:r>
      <w:r w:rsidR="00D35DF9" w:rsidRPr="00D35DF9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D35DF9">
        <w:rPr>
          <w:rFonts w:ascii="宋体" w:eastAsia="宋体" w:hAnsi="宋体" w:cs="宋体"/>
          <w:b/>
          <w:color w:val="0070C0"/>
          <w:szCs w:val="24"/>
        </w:rPr>
        <w:t>Xinyu Zhang,</w:t>
      </w:r>
      <w:r w:rsidR="00D35DF9" w:rsidRPr="00D35DF9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D35DF9">
        <w:rPr>
          <w:rFonts w:ascii="宋体" w:eastAsia="宋体" w:hAnsi="宋体" w:cs="宋体"/>
          <w:b/>
          <w:color w:val="0070C0"/>
          <w:szCs w:val="24"/>
        </w:rPr>
        <w:t>Zichen Song,</w:t>
      </w:r>
      <w:r w:rsidR="00D35DF9" w:rsidRPr="00D35DF9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D35DF9">
        <w:rPr>
          <w:rFonts w:ascii="宋体" w:eastAsia="宋体" w:hAnsi="宋体" w:cs="宋体"/>
          <w:b/>
          <w:color w:val="0070C0"/>
          <w:szCs w:val="24"/>
        </w:rPr>
        <w:t>Yinzhong Shen</w:t>
      </w:r>
      <w:r w:rsidR="00D35DF9" w:rsidRPr="00D35DF9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D35DF9">
        <w:rPr>
          <w:rFonts w:ascii="宋体" w:eastAsia="宋体" w:hAnsi="宋体" w:cs="宋体"/>
          <w:b/>
          <w:color w:val="0070C0"/>
          <w:szCs w:val="24"/>
        </w:rPr>
        <w:t>,</w:t>
      </w:r>
      <w:r w:rsidR="00D35DF9" w:rsidRPr="00D35DF9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D35DF9">
        <w:rPr>
          <w:rFonts w:ascii="宋体" w:eastAsia="宋体" w:hAnsi="宋体" w:cs="宋体"/>
          <w:b/>
          <w:color w:val="0070C0"/>
          <w:szCs w:val="24"/>
        </w:rPr>
        <w:t>Hongzhou Lu</w:t>
      </w:r>
      <w:r w:rsidR="00D35DF9" w:rsidRPr="00D35DF9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534C63" w:rsidRPr="00D35DF9" w:rsidRDefault="00D35DF9" w:rsidP="00D35DF9">
      <w:pPr>
        <w:jc w:val="left"/>
        <w:rPr>
          <w:rFonts w:ascii="宋体" w:eastAsia="宋体" w:hAnsi="宋体" w:cs="宋体"/>
          <w:b/>
          <w:color w:val="0070C0"/>
          <w:szCs w:val="24"/>
        </w:rPr>
      </w:pPr>
      <w:r w:rsidRPr="00D35DF9">
        <w:rPr>
          <w:rFonts w:ascii="宋体" w:eastAsia="宋体" w:hAnsi="宋体" w:cs="宋体"/>
          <w:b/>
          <w:color w:val="0070C0"/>
          <w:szCs w:val="24"/>
        </w:rPr>
        <w:t>*CORRESPONDENCE Hongzhou Lu</w:t>
      </w:r>
      <w:r w:rsidRPr="00D35DF9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D35DF9">
        <w:rPr>
          <w:rFonts w:ascii="宋体" w:eastAsia="宋体" w:hAnsi="宋体" w:cs="宋体"/>
          <w:b/>
          <w:color w:val="0070C0"/>
          <w:szCs w:val="24"/>
        </w:rPr>
        <w:t xml:space="preserve">luhongzhou@fudan.edu.cn </w:t>
      </w:r>
      <w:r w:rsidRPr="00D35DF9">
        <w:rPr>
          <w:rFonts w:ascii="宋体" w:eastAsia="宋体" w:hAnsi="宋体" w:cs="宋体" w:hint="eastAsia"/>
          <w:b/>
          <w:color w:val="0070C0"/>
          <w:szCs w:val="24"/>
        </w:rPr>
        <w:t>；</w:t>
      </w:r>
      <w:r w:rsidRPr="00D35DF9">
        <w:rPr>
          <w:rFonts w:ascii="宋体" w:eastAsia="宋体" w:hAnsi="宋体" w:cs="宋体"/>
          <w:b/>
          <w:color w:val="0070C0"/>
          <w:szCs w:val="24"/>
        </w:rPr>
        <w:t>Yinzhong Shen</w:t>
      </w:r>
      <w:r w:rsidRPr="00D35DF9">
        <w:rPr>
          <w:rFonts w:ascii="宋体" w:eastAsia="宋体" w:hAnsi="宋体" w:cs="宋体" w:hint="eastAsia"/>
          <w:b/>
          <w:color w:val="0070C0"/>
          <w:szCs w:val="24"/>
        </w:rPr>
        <w:t>，</w:t>
      </w:r>
      <w:r w:rsidRPr="00D35DF9">
        <w:rPr>
          <w:rFonts w:ascii="宋体" w:eastAsia="宋体" w:hAnsi="宋体" w:cs="宋体"/>
          <w:b/>
          <w:color w:val="0070C0"/>
          <w:szCs w:val="24"/>
        </w:rPr>
        <w:t xml:space="preserve"> shenyinzhong@shaphc.org</w:t>
      </w:r>
    </w:p>
    <w:p w:rsidR="00534C63" w:rsidRDefault="00534C63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(1)Department of Infectious and Immune Diseases, Shanghai Public Health Clinical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Center, Fudan University, Shanghai, 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(2)Department of Infectious Diseases, Shenzhen Third People's Hospital,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Guangdong, 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This study evaluates the potential of plasma extracellular vesicle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(EV)-associated miRNAs as diagnostic and differential-diagnostic biomarkers to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distinguish tuberculosis (TB) from non-tuberculous mycobacterial infection (NTM)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among AIDS patients. A cohort of 125 AIDS patients admitted to the Infectious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Diseases and Immunology Department of Shanghai Public Health Clinical Center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from January 2021 to January 2024 was categorized into AIDS/TB, AIDS/NTM, and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AIDS control groups; in the discovery phase, 15 cases (AIDS/TB: 3, AIDS/NTM: 9,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AIDS controls: 3) were used to isolate plasma-derived EVs and perform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high-throughput sequencing to construct miRNA expression profiles, followed by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validation in a large-sample cohort of 110 cases using qPCR. Diagnostic and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differential diagnostic value were evaluated with ROC curves, area under the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curve (AUC), and the Youden index. In the discovery phase, differentially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expressed EV-associated miRNAs were observed among the three groups and among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different NTM species; miR-374a-5p and miR-652-3p were markedly downregulated in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AIDS/NTM versus AIDS/TB and AIDS controls, while let-7c-5p was upregulated in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both AIDS/NTM and AIDS/TB versus AIDS controls. In the validation phase (n=110),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miR-374a-5p showed no significant difference between AIDS/TB and AIDS controls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but was lower in AIDS/NTM; miR-652-3p was higher in AIDS/TB than controls and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lower in AIDS/NTM than controls and AIDS/TB; let-7c-5p was significantly higher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in both AIDS/TB and AIDS/NTM than controls, with AIDS/NTM higher than AIDS/TB.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ROC analyses yielded: AIDS control vs AIDS/NTM-miR-374a-5p AUC 0.7263,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miR-652-3p AUC 0.9947, let-7c-5p AUC 1.0000; AIDS control vs AIDS/TB-miR-374a-5p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AUC 0.6800, miR-652-3p AUC 0.7900, let-7c-5p AUC 1.0000; AIDS/NTM vs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AIDS/TB-miR-374a-5p AUC 0.8220, miR-652-3p AUC 0.9993, let-7c-5p AUC 0.6613.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Collectively, plasma EV-associated miR-374a-5p, miR-652-3p, and let-7c-5p show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potential as diagnostic and differential-diagnostic biomarkers for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distinguishing TB from NTM infections in AIDS patients, offering a prospective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direction for TB/NTM diagnostic strategies in this population.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Copyright © 2026 Xu, Zhang, Liu, Chen, Wang, Qi, Sun, Song, Tang, Yang, Chen,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Shao, Xun, Zhang, Song, Shen and Lu.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DOI: 10.3389/fcimb.2026.1828046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PMCID: PMC13456989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PMID: 42582021 [Indexed for MEDLINE]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6D78DC" w:rsidRDefault="00F30181" w:rsidP="000519EB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36</w:t>
      </w:r>
      <w:r w:rsidR="000519EB" w:rsidRPr="006D78DC">
        <w:rPr>
          <w:rFonts w:ascii="宋体" w:eastAsia="宋体" w:hAnsi="宋体" w:cs="宋体"/>
          <w:b/>
          <w:color w:val="FF0000"/>
          <w:szCs w:val="24"/>
        </w:rPr>
        <w:t>. Infect Drug Resist. 2026 Aug 6;19:616761. doi: 10</w:t>
      </w:r>
      <w:r w:rsidR="006D78DC" w:rsidRPr="006D78DC">
        <w:rPr>
          <w:rFonts w:ascii="宋体" w:eastAsia="宋体" w:hAnsi="宋体" w:cs="宋体"/>
          <w:b/>
          <w:color w:val="FF0000"/>
          <w:szCs w:val="24"/>
        </w:rPr>
        <w:t xml:space="preserve">.2147/IDR.S616761. eCollection </w:t>
      </w:r>
      <w:r w:rsidR="000519EB" w:rsidRPr="006D78DC">
        <w:rPr>
          <w:rFonts w:ascii="宋体" w:eastAsia="宋体" w:hAnsi="宋体" w:cs="宋体"/>
          <w:b/>
          <w:color w:val="FF0000"/>
          <w:szCs w:val="24"/>
        </w:rPr>
        <w:t>2026.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Miliary Tuberculosis: A Comprehensive Review of Epidemiology, Clinical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Manifestations, Diagnosis, Treatment, and Complications.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Qiu Y(1), Tang Y(1), Yu S(2), He J(2), Wang X(3), Liang J(1), Li Y(1), Sun M(1),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Xiao Y(1).</w:t>
      </w:r>
    </w:p>
    <w:p w:rsid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C90EAF" w:rsidRPr="00C90EAF" w:rsidRDefault="00C90EAF" w:rsidP="000519EB">
      <w:pPr>
        <w:rPr>
          <w:rFonts w:ascii="宋体" w:eastAsia="宋体" w:hAnsi="宋体" w:cs="宋体"/>
          <w:b/>
          <w:color w:val="0070C0"/>
          <w:szCs w:val="24"/>
        </w:rPr>
      </w:pPr>
      <w:r w:rsidRPr="00C90EAF">
        <w:rPr>
          <w:rFonts w:ascii="宋体" w:eastAsia="宋体" w:hAnsi="宋体" w:cs="宋体"/>
          <w:b/>
          <w:color w:val="0070C0"/>
          <w:szCs w:val="24"/>
        </w:rPr>
        <w:t>Yukun Qiu, Yubin Tang, Shuqing Yu, Jiaoyu He, Xiaohui Wang, Juan Liang, Yamei Li, Mei Sun, Yongjiu Xiao</w:t>
      </w:r>
      <w:r w:rsidRPr="00C90EAF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C90EAF" w:rsidRPr="00C90EAF" w:rsidRDefault="00C90EAF" w:rsidP="000519EB">
      <w:pPr>
        <w:rPr>
          <w:rFonts w:ascii="宋体" w:eastAsia="宋体" w:hAnsi="宋体" w:cs="宋体"/>
          <w:b/>
          <w:color w:val="0070C0"/>
          <w:szCs w:val="24"/>
        </w:rPr>
      </w:pPr>
      <w:r w:rsidRPr="00C90EAF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C90EAF">
        <w:rPr>
          <w:rFonts w:ascii="宋体" w:eastAsia="宋体" w:hAnsi="宋体" w:cs="宋体"/>
          <w:b/>
          <w:color w:val="0070C0"/>
          <w:szCs w:val="24"/>
        </w:rPr>
        <w:t>Correspondence: Yongjiu Xiao, Email yongjiuxiao@163.com</w:t>
      </w:r>
    </w:p>
    <w:p w:rsidR="00C90EAF" w:rsidRDefault="00C90EAF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lastRenderedPageBreak/>
        <w:t>Author information: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(1)Department of Emergency Medicine, The 940th Hospital of Joint Logistics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Support Force of PLA, Lanzhou, Gansu, People's Republic of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(2)Lanzhou Pulmonary Hospital, Lanzhou, Gansu, People's Republic of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(3)Clinical Laboratory, The 940th Hospital of Joint Logistics Support Force of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PLA, Lanzhou, Gansu,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Miliary tuberculosis (TB) represents a potentially fatal form of disseminated TB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resulting from the lymphohematogenous dissemination of Mycobacterium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tuberculosis. Although accounting for approximately 1-2% of all TB cases in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immunocompetent adults, its mortality rate exceeds 30%. This review screened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peer-reviewed, original research studies via four databases (PubMed, EMBASE,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MEDLINE, and CENTRAL) to synthesize up-to-date evidence. Key risk factors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include human immunodeficiency virus (HIV) co-infection, anti-tumor necrosis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factor-α (TNF-α) agents and chronic malnutrition. The clinical presentation of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miliary TB is notoriously nonspecific, with fever, night sweats, weight loss,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and constitutional symptoms predominating. Over 60% of patients have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extrapulmonary complications, with central nervous system (CNS) involvement in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10-30%, abdominal involvement in 15-30%, and skeletal involvement in up to 17%.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Laboratory abnormalities are common, including elevated erythrocyte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sedimentation rate (ESR), anemia, lymphopenia, and nearly universal C-reactive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protein (CRP) elevation. Diagnoses remain difficult due to paucibacillary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lesions; novel molecular assays and a validated CNS prediction scoring system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greatly improve diagnostic efficiency, while multiple microbiological and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invasive tissue sampling modalities are briefly summarized for comprehensive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clinical reference. Standard 6-month isoniazid, rifampicin, pyrazinamide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ethambutol and isoniazid, rifampicin (HRZE-HR) regimens apply to isolated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pulmonary miliary TB, whereas 9-12-month extended therapy plus adjunctive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dexamethasone is required for CNS complications. Drug resistant cases demand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18-24-month individualized regimens with high blood-brain barrier penetration.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Severe complications including tuberculous meningitis and high mortality acute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respiratory distress syndrome (ARDS) are fully discussed, and TNF-α antagonists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act as salvage therapy for steroid-refractory tuberculosis-associated immune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reconstitution inflammatory syndrome (TB-IRIS). Bacillus Calmette-Guérin (BCG)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vaccination provides substantial protection against miliary TB in children, with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efficacy of approximately 77% and favorable cost-effectiveness. Existing reviews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lack integrated post-pandemic epidemiological data, cutting-edge molecular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diagnostics and modern extrapulmonary treatment algorithms; this paper fills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such gaps to offer balanced clinical guidance for frontline clinicians.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 2026 Qiu et al.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DOI: 10.2147/IDR.S616761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PMCID: PMC13455802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lastRenderedPageBreak/>
        <w:t>PMID: 42577908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6D78DC" w:rsidRDefault="00F30181" w:rsidP="000519EB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</w:t>
      </w:r>
      <w:r w:rsidR="000519EB" w:rsidRPr="006D78DC">
        <w:rPr>
          <w:rFonts w:ascii="宋体" w:eastAsia="宋体" w:hAnsi="宋体" w:cs="宋体"/>
          <w:b/>
          <w:color w:val="FF0000"/>
          <w:szCs w:val="24"/>
        </w:rPr>
        <w:t xml:space="preserve">7. Infect Drug Resist. 2026 Aug 4;19:599100. doi: 10.2147/IDR.S599100. </w:t>
      </w:r>
      <w:r w:rsidR="006D78DC" w:rsidRPr="006D78DC">
        <w:rPr>
          <w:rFonts w:ascii="宋体" w:eastAsia="宋体" w:hAnsi="宋体" w:cs="宋体"/>
          <w:b/>
          <w:color w:val="FF0000"/>
          <w:szCs w:val="24"/>
        </w:rPr>
        <w:t xml:space="preserve">eCollection </w:t>
      </w:r>
      <w:r w:rsidR="000519EB" w:rsidRPr="006D78DC">
        <w:rPr>
          <w:rFonts w:ascii="宋体" w:eastAsia="宋体" w:hAnsi="宋体" w:cs="宋体"/>
          <w:b/>
          <w:color w:val="FF0000"/>
          <w:szCs w:val="24"/>
        </w:rPr>
        <w:t>2026.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Trends and Characteristics of Drug-Resistant Tuberculosis: A Five-Year Study at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a Major Specialized Hospital in Guizhou, China (2018-2023).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Huang J(#)(1)(2), Cao X(#)(1), Wang M(3), Du L(1), Chen X(1), Tu Y(2), Feng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Y(1)(4).</w:t>
      </w:r>
    </w:p>
    <w:p w:rsid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55C2" w:rsidRPr="000555C2" w:rsidRDefault="000555C2" w:rsidP="000519EB">
      <w:pPr>
        <w:rPr>
          <w:rFonts w:ascii="宋体" w:eastAsia="宋体" w:hAnsi="宋体" w:cs="宋体"/>
          <w:b/>
          <w:color w:val="0070C0"/>
          <w:szCs w:val="24"/>
        </w:rPr>
      </w:pPr>
      <w:r w:rsidRPr="000555C2">
        <w:rPr>
          <w:rFonts w:ascii="宋体" w:eastAsia="宋体" w:hAnsi="宋体" w:cs="宋体"/>
          <w:b/>
          <w:color w:val="0070C0"/>
          <w:szCs w:val="24"/>
        </w:rPr>
        <w:t>Jin Huang</w:t>
      </w:r>
      <w:r w:rsidRPr="000555C2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0555C2">
        <w:rPr>
          <w:rFonts w:ascii="宋体" w:eastAsia="宋体" w:hAnsi="宋体" w:cs="宋体"/>
          <w:b/>
          <w:color w:val="0070C0"/>
          <w:szCs w:val="24"/>
        </w:rPr>
        <w:t>, Xianjin Cao, Mingdong Wang, Lvtong Du, Xiaojie Chen, Yujuan Tu, Yonghong Feng</w:t>
      </w:r>
      <w:r w:rsidRPr="000555C2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0555C2" w:rsidRPr="000555C2" w:rsidRDefault="000555C2" w:rsidP="000519EB">
      <w:pPr>
        <w:rPr>
          <w:rFonts w:ascii="宋体" w:eastAsia="宋体" w:hAnsi="宋体" w:cs="宋体"/>
          <w:b/>
          <w:color w:val="0070C0"/>
          <w:szCs w:val="24"/>
        </w:rPr>
      </w:pPr>
      <w:r w:rsidRPr="000555C2">
        <w:rPr>
          <w:rFonts w:ascii="宋体" w:eastAsia="宋体" w:hAnsi="宋体" w:cs="宋体" w:hint="eastAsia"/>
          <w:b/>
          <w:color w:val="0070C0"/>
          <w:szCs w:val="24"/>
        </w:rPr>
        <w:t>*</w:t>
      </w:r>
      <w:r w:rsidRPr="000555C2">
        <w:rPr>
          <w:rFonts w:ascii="宋体" w:eastAsia="宋体" w:hAnsi="宋体" w:cs="宋体"/>
          <w:b/>
          <w:color w:val="0070C0"/>
          <w:szCs w:val="24"/>
        </w:rPr>
        <w:t>Correspondence: Jin Huang, Email huangjin@gmc.edu.cn; Yonghong Feng, Email feng_yonghong@tongji.edu.cn</w:t>
      </w:r>
    </w:p>
    <w:p w:rsidR="000555C2" w:rsidRDefault="000555C2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(1)The Key Laboratory of Environmental Pollution Monitoring and Disease Control,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Ministry of Education, School of Public Health, Guizhou Medical University,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Guiyang, Guizhou Province, People's Republic of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(2)Department of Biochemistry and Molecular Biology, School of Basic Medical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Science, Guizhou Medical University, Guiyang, Guizhou Province, People's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Republic of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(3)Department of Laboratory, Guiyang Public Health Clinical Center, Guiyang,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Guizhou Province, People's Republic of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(4)Shanghai Key Laboratory of Tuberculosis, Shanghai Pulmonary Hospital, School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of Medicine, School of Public Health, Tongji University, Shanghai, People's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Republic of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>PURPOSE: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 Drug-resistant tuberculosis (DR-TB), particularly multidrug-resistant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(MDR-TB) and rifampicin-resistant TB (RR-TB), poses a major public health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challenge. In Guizhou Province, a high-burden region for tuberculosis (TB) in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China, data on long-term drug resistance profile characteristics and trends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remain limited. This study aimed to characterize the epidemiological patterns,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drug resistance profiles, and temporal trends of DR-TB in Guizhou Province from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2018 to 2023.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 xml:space="preserve">PATIENTS AND METHODS: 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This retrospective study included 9,389 hospitalized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pulmonary TB patients from the Guiyang Public Health Clinical Center.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Sociodemographic and phenotypic drug susceptibility testing data were extracted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from laboratory databases. Trend chi-square tests and multivariate logistic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regression were used to analyze resistance trends and identify risk factors for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MDR/RR-TB.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 Among 9,389 patients, 2,669 (28.43%) had DR-TB. Resistance rates to the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four first-line anti-TB drugs were: isoniazid 16.92%, rifampicin 12.46%,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streptomycin 11.81%, and ethambutol 5.27%. For second-line drugs, rates were: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moxifloxacin 5.02%, para-aminosalicylic acid 4.96%, levofloxacin 4.58%,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kanamycin 2.89%, capreomycin 2.62%, clofazimine 1.84%, amikacin 1.51%, and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protionamide 1.04%. The prevalence of RR-TB, MDR-TB, and pre-extensively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drug-resistant TB (Pre-XDR-TB) was 12.46%, 10.05%, and 2.62%, respectively.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Significant increasing trends were observed for resistance to rifampicin,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fluoroquinolones (levofloxacin/moxifloxacin), and clofazimine. The most common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resistance patterns were MDR2 (INH+RIF, 7.68%) and PDR2 (INH+SM, 5.36%).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MDR/RR-TB cases clustered geographically in Guiyang and Bijie. Significant risk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factors included age 19-39 years (AOR=1.520, 95% CI: 1.026-2.252), unemployment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(AOR=1.330, 95% CI: 1.103-1.604), and prior TB treatment (AOR=6.422, 95% CI: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5.533-7.454).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From 2018 to 2023, the prevalence of RR-TB, MDR-TB, and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fluoroquinolone-resistant TB increased markedly in Guizhou Province. To reduce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the incidence and spread of MDR/RR-TB, future efforts should strengthen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prevention and control measures for DR-TB in vulnerable populations including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young and middle-aged adults, the unemployed, and individuals with previous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treatment failures as well as in high-risk locations.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 2026 Huang et al.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DOI: 10.2147/IDR.S599100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PMCID: PMC13453374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PMID: 42572727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6D78DC" w:rsidRDefault="00F30181" w:rsidP="000519EB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</w:t>
      </w:r>
      <w:r w:rsidR="000519EB" w:rsidRPr="006D78DC">
        <w:rPr>
          <w:rFonts w:ascii="宋体" w:eastAsia="宋体" w:hAnsi="宋体" w:cs="宋体"/>
          <w:b/>
          <w:color w:val="FF0000"/>
          <w:szCs w:val="24"/>
        </w:rPr>
        <w:t xml:space="preserve">8. J Clin Tuberc Other Mycobact Dis. 2026 Jul 30;45:100639. doi: </w:t>
      </w:r>
    </w:p>
    <w:p w:rsidR="000519EB" w:rsidRPr="006D78DC" w:rsidRDefault="000519EB" w:rsidP="000519EB">
      <w:pPr>
        <w:rPr>
          <w:rFonts w:ascii="宋体" w:eastAsia="宋体" w:hAnsi="宋体" w:cs="宋体"/>
          <w:b/>
          <w:color w:val="FF0000"/>
          <w:szCs w:val="24"/>
        </w:rPr>
      </w:pPr>
      <w:r w:rsidRPr="006D78DC">
        <w:rPr>
          <w:rFonts w:ascii="宋体" w:eastAsia="宋体" w:hAnsi="宋体" w:cs="宋体"/>
          <w:b/>
          <w:color w:val="FF0000"/>
          <w:szCs w:val="24"/>
        </w:rPr>
        <w:t>10.1016/j.jctube.2026.100639. eCollection 2026 Dec.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Hepatic steatosis affects the outcome of anti-tuberculosis treatment in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pulmonary tuberculosis patients.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Xue G(1), Chang FQ(2), Du ZX(2)(3).</w:t>
      </w:r>
    </w:p>
    <w:p w:rsid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ED6B30" w:rsidRPr="000555C2" w:rsidRDefault="00ED6B30" w:rsidP="000519EB">
      <w:pPr>
        <w:rPr>
          <w:rFonts w:ascii="宋体" w:eastAsia="宋体" w:hAnsi="宋体" w:cs="宋体"/>
          <w:b/>
          <w:color w:val="0070C0"/>
          <w:szCs w:val="24"/>
        </w:rPr>
      </w:pPr>
      <w:r w:rsidRPr="000555C2">
        <w:rPr>
          <w:rFonts w:ascii="宋体" w:eastAsia="宋体" w:hAnsi="宋体" w:cs="宋体"/>
          <w:b/>
          <w:color w:val="0070C0"/>
          <w:szCs w:val="24"/>
        </w:rPr>
        <w:t>Gang Xue,</w:t>
      </w:r>
      <w:r w:rsidR="000555C2" w:rsidRPr="000555C2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0555C2">
        <w:rPr>
          <w:rFonts w:ascii="宋体" w:eastAsia="宋体" w:hAnsi="宋体" w:cs="宋体"/>
          <w:b/>
          <w:color w:val="0070C0"/>
          <w:szCs w:val="24"/>
        </w:rPr>
        <w:t>Fang-Qun Chang,</w:t>
      </w:r>
      <w:r w:rsidR="000555C2" w:rsidRPr="000555C2">
        <w:rPr>
          <w:rFonts w:ascii="宋体" w:eastAsia="宋体" w:hAnsi="宋体" w:cs="宋体"/>
          <w:b/>
          <w:color w:val="0070C0"/>
          <w:szCs w:val="24"/>
        </w:rPr>
        <w:t xml:space="preserve"> </w:t>
      </w:r>
      <w:r w:rsidRPr="000555C2">
        <w:rPr>
          <w:rFonts w:ascii="宋体" w:eastAsia="宋体" w:hAnsi="宋体" w:cs="宋体"/>
          <w:b/>
          <w:color w:val="0070C0"/>
          <w:szCs w:val="24"/>
        </w:rPr>
        <w:t>Zhi-Xiang Du</w:t>
      </w:r>
      <w:r w:rsidR="00373088">
        <w:rPr>
          <w:rFonts w:ascii="宋体" w:eastAsia="宋体" w:hAnsi="宋体" w:cs="宋体" w:hint="eastAsia"/>
          <w:b/>
          <w:color w:val="0070C0"/>
          <w:szCs w:val="24"/>
        </w:rPr>
        <w:t>*</w:t>
      </w:r>
    </w:p>
    <w:p w:rsidR="00ED6B30" w:rsidRPr="00373088" w:rsidRDefault="00373088" w:rsidP="000519EB">
      <w:pPr>
        <w:rPr>
          <w:rFonts w:ascii="宋体" w:eastAsia="宋体" w:hAnsi="宋体" w:cs="宋体"/>
          <w:b/>
          <w:color w:val="0070C0"/>
          <w:szCs w:val="24"/>
        </w:rPr>
      </w:pPr>
      <w:r w:rsidRPr="00373088">
        <w:rPr>
          <w:rFonts w:ascii="宋体" w:eastAsia="宋体" w:hAnsi="宋体" w:cs="宋体"/>
          <w:b/>
          <w:color w:val="0070C0"/>
          <w:szCs w:val="24"/>
        </w:rPr>
        <w:t>* Corresponding authors at: E-mail address: daniel615212950@126.com (Zhi-Xiang Du).</w:t>
      </w:r>
    </w:p>
    <w:p w:rsidR="00ED6B30" w:rsidRDefault="00ED6B30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(1)Department of Cardiology, Yangzhou Hospital of Traditional Chinese Medicine,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Yangzhou 225000, PR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(2)Department of Infectious Disease and Liver Disease, First Hospital of Bengbu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Medical University, Bengbu 233000, PR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(3)Department of Infectious Diseases, The Affiliated Taizhou People's Hospital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of Nanjing Medical University, Taizhou School of Clinical Medicine, Nanjing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Medical University, Taizhou, Jiangsu Province, PR China.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 Pulmonary tuberculosis (PTB) remains a major cause of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infectious-disease mortality worldwide. Host metabolic status may shape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treatment response, but whether hepatic steatosis affects sputum smear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conversion in PTB remains poorly defined.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We performed a retrospective single-center cohort study including newly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diagnosed, smear-positive PTB patients treated at Taizhou People's Hospital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between January 2022 and December 2025. Patients were classified according to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sputum smear conversion status, with delayed conversion defined as persistent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smear positivity beyond 8 weeks after initiation of standard anti-tuberculosis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therapy. Baseline demographic, clinical, ultrasonographic, laboratory, and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cytokine data were collected and compared between groups. Potential factors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associated with delayed conversion were evaluated using correlation analysis,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multicollinearity assessment, change-in-estimate confounder analysis with the R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package chest, and multivariable logistic regression.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>RESULTS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: Clinical screening identified 11 candidate factors. After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prioritisation by clinical relevance, correlation structure, collinearity and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confounding assessment, six factors were entered into the multivariable model.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Hepatic steatosis and IL-18 were positively associated with delayed smear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conversion (hepatic steatosis: β = 2.401, OR = </w:t>
      </w:r>
      <w:r w:rsidR="006D78DC">
        <w:rPr>
          <w:rFonts w:ascii="宋体" w:eastAsia="宋体" w:hAnsi="宋体" w:cs="宋体"/>
          <w:color w:val="000000" w:themeColor="text1"/>
          <w:szCs w:val="24"/>
        </w:rPr>
        <w:t xml:space="preserve">11.036, 95% CI = 2.489-48.934; </w:t>
      </w:r>
      <w:r w:rsidRPr="000519EB">
        <w:rPr>
          <w:rFonts w:ascii="宋体" w:eastAsia="宋体" w:hAnsi="宋体" w:cs="宋体"/>
          <w:color w:val="000000" w:themeColor="text1"/>
          <w:szCs w:val="24"/>
        </w:rPr>
        <w:t>IL-18: β = 2.396, OR = 10.984, 95% CI = 1.83</w:t>
      </w:r>
      <w:r w:rsidR="006D78DC">
        <w:rPr>
          <w:rFonts w:ascii="宋体" w:eastAsia="宋体" w:hAnsi="宋体" w:cs="宋体"/>
          <w:color w:val="000000" w:themeColor="text1"/>
          <w:szCs w:val="24"/>
        </w:rPr>
        <w:t xml:space="preserve">2-65.862). By contrast, T-SPOT </w:t>
      </w:r>
      <w:r w:rsidRPr="000519EB">
        <w:rPr>
          <w:rFonts w:ascii="宋体" w:eastAsia="宋体" w:hAnsi="宋体" w:cs="宋体"/>
          <w:color w:val="000000" w:themeColor="text1"/>
          <w:szCs w:val="24"/>
        </w:rPr>
        <w:t>positivity was inversely associated with delayed</w:t>
      </w:r>
      <w:r w:rsidR="006D78DC">
        <w:rPr>
          <w:rFonts w:ascii="宋体" w:eastAsia="宋体" w:hAnsi="宋体" w:cs="宋体"/>
          <w:color w:val="000000" w:themeColor="text1"/>
          <w:szCs w:val="24"/>
        </w:rPr>
        <w:t xml:space="preserve"> smear conversion (β = -4.199, </w:t>
      </w:r>
      <w:r w:rsidRPr="000519EB">
        <w:rPr>
          <w:rFonts w:ascii="宋体" w:eastAsia="宋体" w:hAnsi="宋体" w:cs="宋体"/>
          <w:color w:val="000000" w:themeColor="text1"/>
          <w:szCs w:val="24"/>
        </w:rPr>
        <w:t>OR = 0.015, 95% CI = 0.001-0.172).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6D78DC">
        <w:rPr>
          <w:rFonts w:ascii="宋体" w:eastAsia="宋体" w:hAnsi="宋体" w:cs="宋体"/>
          <w:b/>
          <w:color w:val="000000" w:themeColor="text1"/>
          <w:szCs w:val="24"/>
        </w:rPr>
        <w:t xml:space="preserve">CONCLUSIONS: 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Hepatic steatosis was independently associated with delayed smear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conversion in PTB. Baseline cytokine profiles, including IL-6 and IL-18, also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differed according to treatment response. These findings suggest that PTB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patients with hepatic steatosis may benefit from closer monitoring of treatment 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response during anti-tuberculosis therapy.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0519EB">
        <w:rPr>
          <w:rFonts w:ascii="宋体" w:eastAsia="宋体" w:hAnsi="宋体" w:cs="宋体"/>
          <w:color w:val="000000" w:themeColor="text1"/>
          <w:szCs w:val="24"/>
        </w:rPr>
        <w:t xml:space="preserve"> 2026 The Authors. Published by Elsevier Ltd.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DOI: 10.1016/j.jctube.2026.100639</w:t>
      </w:r>
    </w:p>
    <w:p w:rsidR="000519EB" w:rsidRPr="000519EB" w:rsidRDefault="000519EB" w:rsidP="000519EB">
      <w:pPr>
        <w:rPr>
          <w:rFonts w:ascii="宋体" w:eastAsia="宋体" w:hAnsi="宋体" w:cs="宋体"/>
          <w:color w:val="000000" w:themeColor="text1"/>
          <w:szCs w:val="24"/>
        </w:rPr>
      </w:pPr>
      <w:r w:rsidRPr="000519EB">
        <w:rPr>
          <w:rFonts w:ascii="宋体" w:eastAsia="宋体" w:hAnsi="宋体" w:cs="宋体"/>
          <w:color w:val="000000" w:themeColor="text1"/>
          <w:szCs w:val="24"/>
        </w:rPr>
        <w:t>PMCID: PMC13453037</w:t>
      </w:r>
    </w:p>
    <w:p w:rsidR="002C0AB2" w:rsidRPr="009A771A" w:rsidRDefault="006D78DC" w:rsidP="000519EB">
      <w:pPr>
        <w:rPr>
          <w:rFonts w:ascii="宋体" w:eastAsia="宋体" w:hAnsi="宋体" w:cs="宋体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42572622</w:t>
      </w:r>
    </w:p>
    <w:sectPr w:rsidR="002C0AB2" w:rsidRPr="009A771A" w:rsidSect="00F92D14">
      <w:pgSz w:w="11906" w:h="16838"/>
      <w:pgMar w:top="1440" w:right="1753" w:bottom="1440" w:left="175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1B5" w:rsidRDefault="006761B5" w:rsidP="004C39AF">
      <w:r>
        <w:separator/>
      </w:r>
    </w:p>
  </w:endnote>
  <w:endnote w:type="continuationSeparator" w:id="0">
    <w:p w:rsidR="006761B5" w:rsidRDefault="006761B5" w:rsidP="004C3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1B5" w:rsidRDefault="006761B5" w:rsidP="004C39AF">
      <w:r>
        <w:separator/>
      </w:r>
    </w:p>
  </w:footnote>
  <w:footnote w:type="continuationSeparator" w:id="0">
    <w:p w:rsidR="006761B5" w:rsidRDefault="006761B5" w:rsidP="004C3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11840"/>
    <w:multiLevelType w:val="hybridMultilevel"/>
    <w:tmpl w:val="905A39FC"/>
    <w:lvl w:ilvl="0" w:tplc="C9CAD3D0">
      <w:numFmt w:val="bullet"/>
      <w:lvlText w:val=""/>
      <w:lvlJc w:val="left"/>
      <w:pPr>
        <w:ind w:left="36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EE23364"/>
    <w:multiLevelType w:val="hybridMultilevel"/>
    <w:tmpl w:val="63B0B616"/>
    <w:lvl w:ilvl="0" w:tplc="310639EC">
      <w:numFmt w:val="bullet"/>
      <w:lvlText w:val=""/>
      <w:lvlJc w:val="left"/>
      <w:pPr>
        <w:ind w:left="36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F376409"/>
    <w:multiLevelType w:val="multilevel"/>
    <w:tmpl w:val="FE86F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7C7289"/>
    <w:multiLevelType w:val="hybridMultilevel"/>
    <w:tmpl w:val="EB5851E0"/>
    <w:lvl w:ilvl="0" w:tplc="7C7063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2A45BDD"/>
    <w:multiLevelType w:val="multilevel"/>
    <w:tmpl w:val="F8047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6C0AC5"/>
    <w:multiLevelType w:val="hybridMultilevel"/>
    <w:tmpl w:val="001CACE0"/>
    <w:lvl w:ilvl="0" w:tplc="D49AD62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7EB3630"/>
    <w:multiLevelType w:val="multilevel"/>
    <w:tmpl w:val="10A04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5E3772"/>
    <w:multiLevelType w:val="hybridMultilevel"/>
    <w:tmpl w:val="23F6EB3C"/>
    <w:lvl w:ilvl="0" w:tplc="69BA72A8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25A61168"/>
    <w:multiLevelType w:val="multilevel"/>
    <w:tmpl w:val="D36C6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EF4D4A"/>
    <w:multiLevelType w:val="hybridMultilevel"/>
    <w:tmpl w:val="809A2174"/>
    <w:lvl w:ilvl="0" w:tplc="246CAA2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350E110C"/>
    <w:multiLevelType w:val="hybridMultilevel"/>
    <w:tmpl w:val="23E21F6A"/>
    <w:lvl w:ilvl="0" w:tplc="19809D0A">
      <w:numFmt w:val="bullet"/>
      <w:lvlText w:val=""/>
      <w:lvlJc w:val="left"/>
      <w:pPr>
        <w:ind w:left="36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36E372A6"/>
    <w:multiLevelType w:val="hybridMultilevel"/>
    <w:tmpl w:val="447499D8"/>
    <w:lvl w:ilvl="0" w:tplc="EAF69324">
      <w:start w:val="13"/>
      <w:numFmt w:val="bullet"/>
      <w:lvlText w:val=""/>
      <w:lvlJc w:val="left"/>
      <w:pPr>
        <w:ind w:left="36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381F2DD9"/>
    <w:multiLevelType w:val="multilevel"/>
    <w:tmpl w:val="13B6B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2C3BEF"/>
    <w:multiLevelType w:val="multilevel"/>
    <w:tmpl w:val="E74C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CB52AC"/>
    <w:multiLevelType w:val="hybridMultilevel"/>
    <w:tmpl w:val="B0A4FBA4"/>
    <w:lvl w:ilvl="0" w:tplc="6DF82C08">
      <w:start w:val="13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63086C9A"/>
    <w:multiLevelType w:val="multilevel"/>
    <w:tmpl w:val="551C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E90DEA"/>
    <w:multiLevelType w:val="multilevel"/>
    <w:tmpl w:val="F9608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36751A"/>
    <w:multiLevelType w:val="hybridMultilevel"/>
    <w:tmpl w:val="FBCEB74A"/>
    <w:lvl w:ilvl="0" w:tplc="E410C494">
      <w:numFmt w:val="bullet"/>
      <w:lvlText w:val=""/>
      <w:lvlJc w:val="left"/>
      <w:pPr>
        <w:ind w:left="36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717D1667"/>
    <w:multiLevelType w:val="multilevel"/>
    <w:tmpl w:val="3C32B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217901"/>
    <w:multiLevelType w:val="multilevel"/>
    <w:tmpl w:val="CC74F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5271D6"/>
    <w:multiLevelType w:val="multilevel"/>
    <w:tmpl w:val="D668E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787F15"/>
    <w:multiLevelType w:val="multilevel"/>
    <w:tmpl w:val="3D728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7"/>
  </w:num>
  <w:num w:numId="3">
    <w:abstractNumId w:val="18"/>
  </w:num>
  <w:num w:numId="4">
    <w:abstractNumId w:val="19"/>
  </w:num>
  <w:num w:numId="5">
    <w:abstractNumId w:val="0"/>
  </w:num>
  <w:num w:numId="6">
    <w:abstractNumId w:val="2"/>
  </w:num>
  <w:num w:numId="7">
    <w:abstractNumId w:val="13"/>
  </w:num>
  <w:num w:numId="8">
    <w:abstractNumId w:val="20"/>
  </w:num>
  <w:num w:numId="9">
    <w:abstractNumId w:val="6"/>
  </w:num>
  <w:num w:numId="10">
    <w:abstractNumId w:val="15"/>
  </w:num>
  <w:num w:numId="11">
    <w:abstractNumId w:val="4"/>
  </w:num>
  <w:num w:numId="12">
    <w:abstractNumId w:val="16"/>
  </w:num>
  <w:num w:numId="13">
    <w:abstractNumId w:val="7"/>
  </w:num>
  <w:num w:numId="14">
    <w:abstractNumId w:val="8"/>
  </w:num>
  <w:num w:numId="15">
    <w:abstractNumId w:val="21"/>
  </w:num>
  <w:num w:numId="16">
    <w:abstractNumId w:val="1"/>
  </w:num>
  <w:num w:numId="17">
    <w:abstractNumId w:val="12"/>
  </w:num>
  <w:num w:numId="18">
    <w:abstractNumId w:val="3"/>
  </w:num>
  <w:num w:numId="19">
    <w:abstractNumId w:val="14"/>
  </w:num>
  <w:num w:numId="20">
    <w:abstractNumId w:val="11"/>
  </w:num>
  <w:num w:numId="21">
    <w:abstractNumId w:val="9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099"/>
    <w:rsid w:val="00000DB9"/>
    <w:rsid w:val="000014AB"/>
    <w:rsid w:val="00001D3A"/>
    <w:rsid w:val="00002158"/>
    <w:rsid w:val="0000344F"/>
    <w:rsid w:val="00003B7D"/>
    <w:rsid w:val="00004B8B"/>
    <w:rsid w:val="00004DDC"/>
    <w:rsid w:val="00004E0D"/>
    <w:rsid w:val="000053D4"/>
    <w:rsid w:val="00005626"/>
    <w:rsid w:val="00005C57"/>
    <w:rsid w:val="00005DF6"/>
    <w:rsid w:val="00006365"/>
    <w:rsid w:val="00006B5E"/>
    <w:rsid w:val="00006BCA"/>
    <w:rsid w:val="00006DF9"/>
    <w:rsid w:val="00007617"/>
    <w:rsid w:val="00007812"/>
    <w:rsid w:val="00007A28"/>
    <w:rsid w:val="00011C35"/>
    <w:rsid w:val="00012109"/>
    <w:rsid w:val="00012461"/>
    <w:rsid w:val="0001360E"/>
    <w:rsid w:val="0001363A"/>
    <w:rsid w:val="00013BEE"/>
    <w:rsid w:val="00014403"/>
    <w:rsid w:val="00015A87"/>
    <w:rsid w:val="00016B45"/>
    <w:rsid w:val="00016B5F"/>
    <w:rsid w:val="0001711E"/>
    <w:rsid w:val="0001736B"/>
    <w:rsid w:val="0001780F"/>
    <w:rsid w:val="00017F5F"/>
    <w:rsid w:val="0002050B"/>
    <w:rsid w:val="000212B5"/>
    <w:rsid w:val="00021B2B"/>
    <w:rsid w:val="00022216"/>
    <w:rsid w:val="00022C1A"/>
    <w:rsid w:val="00024C92"/>
    <w:rsid w:val="0002517A"/>
    <w:rsid w:val="0002533D"/>
    <w:rsid w:val="0002556C"/>
    <w:rsid w:val="00025EF3"/>
    <w:rsid w:val="00026721"/>
    <w:rsid w:val="00026903"/>
    <w:rsid w:val="00026B44"/>
    <w:rsid w:val="00030C8F"/>
    <w:rsid w:val="00031017"/>
    <w:rsid w:val="00032443"/>
    <w:rsid w:val="0003251D"/>
    <w:rsid w:val="000336F2"/>
    <w:rsid w:val="000341A3"/>
    <w:rsid w:val="000349DB"/>
    <w:rsid w:val="00034C47"/>
    <w:rsid w:val="00035160"/>
    <w:rsid w:val="000369F1"/>
    <w:rsid w:val="000377E0"/>
    <w:rsid w:val="00040D2C"/>
    <w:rsid w:val="000411E9"/>
    <w:rsid w:val="000419D1"/>
    <w:rsid w:val="00041D2F"/>
    <w:rsid w:val="00041F05"/>
    <w:rsid w:val="00042044"/>
    <w:rsid w:val="00042257"/>
    <w:rsid w:val="00042426"/>
    <w:rsid w:val="00042646"/>
    <w:rsid w:val="000426FD"/>
    <w:rsid w:val="00042BCC"/>
    <w:rsid w:val="00042F87"/>
    <w:rsid w:val="000430FF"/>
    <w:rsid w:val="000439C5"/>
    <w:rsid w:val="00043AA7"/>
    <w:rsid w:val="00043EC1"/>
    <w:rsid w:val="00043F59"/>
    <w:rsid w:val="0004433C"/>
    <w:rsid w:val="0004482E"/>
    <w:rsid w:val="00044BF9"/>
    <w:rsid w:val="00044C1D"/>
    <w:rsid w:val="000467F6"/>
    <w:rsid w:val="00046D3D"/>
    <w:rsid w:val="0004738B"/>
    <w:rsid w:val="0004796A"/>
    <w:rsid w:val="00047D8A"/>
    <w:rsid w:val="00050F4A"/>
    <w:rsid w:val="000512A8"/>
    <w:rsid w:val="00051820"/>
    <w:rsid w:val="000518ED"/>
    <w:rsid w:val="000519EB"/>
    <w:rsid w:val="0005269D"/>
    <w:rsid w:val="00052F5C"/>
    <w:rsid w:val="00053092"/>
    <w:rsid w:val="00054174"/>
    <w:rsid w:val="000542D4"/>
    <w:rsid w:val="0005483D"/>
    <w:rsid w:val="000555C2"/>
    <w:rsid w:val="00055647"/>
    <w:rsid w:val="000557AE"/>
    <w:rsid w:val="00055A35"/>
    <w:rsid w:val="00055DAE"/>
    <w:rsid w:val="00055E67"/>
    <w:rsid w:val="0005622B"/>
    <w:rsid w:val="00056868"/>
    <w:rsid w:val="00056925"/>
    <w:rsid w:val="00056A0E"/>
    <w:rsid w:val="00056B72"/>
    <w:rsid w:val="0005708E"/>
    <w:rsid w:val="000570CD"/>
    <w:rsid w:val="00057CFD"/>
    <w:rsid w:val="000608E2"/>
    <w:rsid w:val="00061893"/>
    <w:rsid w:val="00061C4A"/>
    <w:rsid w:val="00062457"/>
    <w:rsid w:val="00063178"/>
    <w:rsid w:val="0006337A"/>
    <w:rsid w:val="000637F3"/>
    <w:rsid w:val="00063930"/>
    <w:rsid w:val="00063E49"/>
    <w:rsid w:val="000650D3"/>
    <w:rsid w:val="00065A57"/>
    <w:rsid w:val="00065B56"/>
    <w:rsid w:val="000660CB"/>
    <w:rsid w:val="00066C6B"/>
    <w:rsid w:val="0006702C"/>
    <w:rsid w:val="000672B8"/>
    <w:rsid w:val="00070260"/>
    <w:rsid w:val="0007069D"/>
    <w:rsid w:val="00070FE6"/>
    <w:rsid w:val="000716E0"/>
    <w:rsid w:val="00071D85"/>
    <w:rsid w:val="00071F83"/>
    <w:rsid w:val="00073164"/>
    <w:rsid w:val="0007482C"/>
    <w:rsid w:val="00074A4F"/>
    <w:rsid w:val="00075067"/>
    <w:rsid w:val="000750A2"/>
    <w:rsid w:val="000751FE"/>
    <w:rsid w:val="00075D82"/>
    <w:rsid w:val="00075F42"/>
    <w:rsid w:val="0007684E"/>
    <w:rsid w:val="00076855"/>
    <w:rsid w:val="00076884"/>
    <w:rsid w:val="00076A1E"/>
    <w:rsid w:val="00076E62"/>
    <w:rsid w:val="00076F4D"/>
    <w:rsid w:val="0007729A"/>
    <w:rsid w:val="0007790C"/>
    <w:rsid w:val="0008093D"/>
    <w:rsid w:val="00080EB3"/>
    <w:rsid w:val="00081087"/>
    <w:rsid w:val="000811D4"/>
    <w:rsid w:val="000815C7"/>
    <w:rsid w:val="00082408"/>
    <w:rsid w:val="00082565"/>
    <w:rsid w:val="00082B2E"/>
    <w:rsid w:val="00082B6A"/>
    <w:rsid w:val="00082EB9"/>
    <w:rsid w:val="00083766"/>
    <w:rsid w:val="00083B28"/>
    <w:rsid w:val="00083C1E"/>
    <w:rsid w:val="00083CDE"/>
    <w:rsid w:val="00083F4F"/>
    <w:rsid w:val="00084611"/>
    <w:rsid w:val="00085CBB"/>
    <w:rsid w:val="00086220"/>
    <w:rsid w:val="000866EC"/>
    <w:rsid w:val="000871EA"/>
    <w:rsid w:val="000878F0"/>
    <w:rsid w:val="000879A2"/>
    <w:rsid w:val="000900A1"/>
    <w:rsid w:val="000904A7"/>
    <w:rsid w:val="00090B79"/>
    <w:rsid w:val="00092343"/>
    <w:rsid w:val="00092419"/>
    <w:rsid w:val="0009252C"/>
    <w:rsid w:val="00092C39"/>
    <w:rsid w:val="00092C59"/>
    <w:rsid w:val="00092F3A"/>
    <w:rsid w:val="00093655"/>
    <w:rsid w:val="00093A63"/>
    <w:rsid w:val="00094139"/>
    <w:rsid w:val="00094FD8"/>
    <w:rsid w:val="00094FDF"/>
    <w:rsid w:val="00095EEB"/>
    <w:rsid w:val="00096767"/>
    <w:rsid w:val="00096770"/>
    <w:rsid w:val="00096805"/>
    <w:rsid w:val="00097075"/>
    <w:rsid w:val="000979C8"/>
    <w:rsid w:val="00097C56"/>
    <w:rsid w:val="00097DBB"/>
    <w:rsid w:val="000A0936"/>
    <w:rsid w:val="000A0C4E"/>
    <w:rsid w:val="000A12C3"/>
    <w:rsid w:val="000A1FB5"/>
    <w:rsid w:val="000A2006"/>
    <w:rsid w:val="000A2735"/>
    <w:rsid w:val="000A2DEE"/>
    <w:rsid w:val="000A361C"/>
    <w:rsid w:val="000A3785"/>
    <w:rsid w:val="000A37B4"/>
    <w:rsid w:val="000A3C36"/>
    <w:rsid w:val="000A4B87"/>
    <w:rsid w:val="000A4CEA"/>
    <w:rsid w:val="000A50DC"/>
    <w:rsid w:val="000A5E88"/>
    <w:rsid w:val="000A6D28"/>
    <w:rsid w:val="000A6DBA"/>
    <w:rsid w:val="000A73A3"/>
    <w:rsid w:val="000A7D87"/>
    <w:rsid w:val="000B086A"/>
    <w:rsid w:val="000B1292"/>
    <w:rsid w:val="000B15A4"/>
    <w:rsid w:val="000B1B8A"/>
    <w:rsid w:val="000B1EF2"/>
    <w:rsid w:val="000B2066"/>
    <w:rsid w:val="000B207D"/>
    <w:rsid w:val="000B2A58"/>
    <w:rsid w:val="000B37C0"/>
    <w:rsid w:val="000B4814"/>
    <w:rsid w:val="000B53D7"/>
    <w:rsid w:val="000B644B"/>
    <w:rsid w:val="000B64CA"/>
    <w:rsid w:val="000B73F6"/>
    <w:rsid w:val="000B7415"/>
    <w:rsid w:val="000B74EB"/>
    <w:rsid w:val="000B7C3B"/>
    <w:rsid w:val="000C07C5"/>
    <w:rsid w:val="000C09F8"/>
    <w:rsid w:val="000C0A24"/>
    <w:rsid w:val="000C0F9A"/>
    <w:rsid w:val="000C1141"/>
    <w:rsid w:val="000C11D8"/>
    <w:rsid w:val="000C1C1D"/>
    <w:rsid w:val="000C2025"/>
    <w:rsid w:val="000C2538"/>
    <w:rsid w:val="000C31CF"/>
    <w:rsid w:val="000C3599"/>
    <w:rsid w:val="000C3C2C"/>
    <w:rsid w:val="000C4172"/>
    <w:rsid w:val="000C4425"/>
    <w:rsid w:val="000C48BE"/>
    <w:rsid w:val="000C4AA0"/>
    <w:rsid w:val="000C54B5"/>
    <w:rsid w:val="000C5BD0"/>
    <w:rsid w:val="000C5D65"/>
    <w:rsid w:val="000C64E2"/>
    <w:rsid w:val="000C6757"/>
    <w:rsid w:val="000C6BE6"/>
    <w:rsid w:val="000D04AB"/>
    <w:rsid w:val="000D072C"/>
    <w:rsid w:val="000D088A"/>
    <w:rsid w:val="000D0A87"/>
    <w:rsid w:val="000D10A5"/>
    <w:rsid w:val="000D111E"/>
    <w:rsid w:val="000D1748"/>
    <w:rsid w:val="000D2140"/>
    <w:rsid w:val="000D229A"/>
    <w:rsid w:val="000D2954"/>
    <w:rsid w:val="000D29AC"/>
    <w:rsid w:val="000D29FE"/>
    <w:rsid w:val="000D2A7B"/>
    <w:rsid w:val="000D2D26"/>
    <w:rsid w:val="000D2E2E"/>
    <w:rsid w:val="000D3106"/>
    <w:rsid w:val="000D3334"/>
    <w:rsid w:val="000D38BB"/>
    <w:rsid w:val="000D3E73"/>
    <w:rsid w:val="000D401D"/>
    <w:rsid w:val="000D48F9"/>
    <w:rsid w:val="000D4DA6"/>
    <w:rsid w:val="000D6767"/>
    <w:rsid w:val="000D6B28"/>
    <w:rsid w:val="000D7130"/>
    <w:rsid w:val="000D7225"/>
    <w:rsid w:val="000E0BA3"/>
    <w:rsid w:val="000E0FAD"/>
    <w:rsid w:val="000E160C"/>
    <w:rsid w:val="000E1ED0"/>
    <w:rsid w:val="000E2070"/>
    <w:rsid w:val="000E2A73"/>
    <w:rsid w:val="000E321F"/>
    <w:rsid w:val="000E350F"/>
    <w:rsid w:val="000E3685"/>
    <w:rsid w:val="000E3861"/>
    <w:rsid w:val="000E3922"/>
    <w:rsid w:val="000E3998"/>
    <w:rsid w:val="000E3CB5"/>
    <w:rsid w:val="000E3E6F"/>
    <w:rsid w:val="000E3FAA"/>
    <w:rsid w:val="000E515E"/>
    <w:rsid w:val="000E5936"/>
    <w:rsid w:val="000E6910"/>
    <w:rsid w:val="000E6B0B"/>
    <w:rsid w:val="000E7095"/>
    <w:rsid w:val="000E7324"/>
    <w:rsid w:val="000E7332"/>
    <w:rsid w:val="000E782C"/>
    <w:rsid w:val="000F02D4"/>
    <w:rsid w:val="000F031F"/>
    <w:rsid w:val="000F0847"/>
    <w:rsid w:val="000F1325"/>
    <w:rsid w:val="000F1799"/>
    <w:rsid w:val="000F1C71"/>
    <w:rsid w:val="000F2CAB"/>
    <w:rsid w:val="000F31C8"/>
    <w:rsid w:val="000F352E"/>
    <w:rsid w:val="000F38A7"/>
    <w:rsid w:val="000F4278"/>
    <w:rsid w:val="000F5325"/>
    <w:rsid w:val="000F5B62"/>
    <w:rsid w:val="000F5E34"/>
    <w:rsid w:val="000F64D5"/>
    <w:rsid w:val="000F69E7"/>
    <w:rsid w:val="000F6C96"/>
    <w:rsid w:val="000F6F22"/>
    <w:rsid w:val="000F6FA9"/>
    <w:rsid w:val="000F763E"/>
    <w:rsid w:val="001011E5"/>
    <w:rsid w:val="001014FB"/>
    <w:rsid w:val="00101917"/>
    <w:rsid w:val="00101965"/>
    <w:rsid w:val="0010208F"/>
    <w:rsid w:val="0010233B"/>
    <w:rsid w:val="00102C3A"/>
    <w:rsid w:val="00102CB5"/>
    <w:rsid w:val="00102F6D"/>
    <w:rsid w:val="00104454"/>
    <w:rsid w:val="001054FA"/>
    <w:rsid w:val="001058AC"/>
    <w:rsid w:val="0010615D"/>
    <w:rsid w:val="0010782E"/>
    <w:rsid w:val="0010799E"/>
    <w:rsid w:val="00110110"/>
    <w:rsid w:val="00110765"/>
    <w:rsid w:val="00111272"/>
    <w:rsid w:val="00111661"/>
    <w:rsid w:val="00111A11"/>
    <w:rsid w:val="00112598"/>
    <w:rsid w:val="0011287F"/>
    <w:rsid w:val="00112A13"/>
    <w:rsid w:val="00112A56"/>
    <w:rsid w:val="00112F4B"/>
    <w:rsid w:val="0011324E"/>
    <w:rsid w:val="00113349"/>
    <w:rsid w:val="0011339A"/>
    <w:rsid w:val="001136AC"/>
    <w:rsid w:val="00113A4D"/>
    <w:rsid w:val="00113BD6"/>
    <w:rsid w:val="00114048"/>
    <w:rsid w:val="00114747"/>
    <w:rsid w:val="001148A1"/>
    <w:rsid w:val="00115471"/>
    <w:rsid w:val="00115539"/>
    <w:rsid w:val="00115817"/>
    <w:rsid w:val="00116CC5"/>
    <w:rsid w:val="001170F6"/>
    <w:rsid w:val="00117346"/>
    <w:rsid w:val="001174DF"/>
    <w:rsid w:val="00117773"/>
    <w:rsid w:val="001177F1"/>
    <w:rsid w:val="00117E84"/>
    <w:rsid w:val="00120949"/>
    <w:rsid w:val="001209C1"/>
    <w:rsid w:val="001209CA"/>
    <w:rsid w:val="00120A34"/>
    <w:rsid w:val="00120ED7"/>
    <w:rsid w:val="00122327"/>
    <w:rsid w:val="00122F4E"/>
    <w:rsid w:val="00123068"/>
    <w:rsid w:val="0012347D"/>
    <w:rsid w:val="00123DB0"/>
    <w:rsid w:val="00124801"/>
    <w:rsid w:val="0012481A"/>
    <w:rsid w:val="00125C53"/>
    <w:rsid w:val="001266D9"/>
    <w:rsid w:val="0012692E"/>
    <w:rsid w:val="0012702F"/>
    <w:rsid w:val="00127511"/>
    <w:rsid w:val="00127B6E"/>
    <w:rsid w:val="00127CF5"/>
    <w:rsid w:val="00130E3F"/>
    <w:rsid w:val="00131585"/>
    <w:rsid w:val="00132F43"/>
    <w:rsid w:val="001336F7"/>
    <w:rsid w:val="00133A73"/>
    <w:rsid w:val="00133ACC"/>
    <w:rsid w:val="001346A8"/>
    <w:rsid w:val="00134766"/>
    <w:rsid w:val="00134A12"/>
    <w:rsid w:val="00134A7B"/>
    <w:rsid w:val="00134DEE"/>
    <w:rsid w:val="00135067"/>
    <w:rsid w:val="001356E3"/>
    <w:rsid w:val="0013594B"/>
    <w:rsid w:val="001362DC"/>
    <w:rsid w:val="00136B8B"/>
    <w:rsid w:val="00136FAC"/>
    <w:rsid w:val="001370CD"/>
    <w:rsid w:val="001401A3"/>
    <w:rsid w:val="001405D6"/>
    <w:rsid w:val="00140740"/>
    <w:rsid w:val="0014119D"/>
    <w:rsid w:val="001412B3"/>
    <w:rsid w:val="001415DE"/>
    <w:rsid w:val="00141786"/>
    <w:rsid w:val="00141CE3"/>
    <w:rsid w:val="00142416"/>
    <w:rsid w:val="00142DBF"/>
    <w:rsid w:val="0014494D"/>
    <w:rsid w:val="00145B48"/>
    <w:rsid w:val="001502F0"/>
    <w:rsid w:val="00150583"/>
    <w:rsid w:val="00150794"/>
    <w:rsid w:val="0015126B"/>
    <w:rsid w:val="00151455"/>
    <w:rsid w:val="00151E7D"/>
    <w:rsid w:val="00152B66"/>
    <w:rsid w:val="0015367E"/>
    <w:rsid w:val="00153B0D"/>
    <w:rsid w:val="001559A6"/>
    <w:rsid w:val="00155C7B"/>
    <w:rsid w:val="00156286"/>
    <w:rsid w:val="001565EA"/>
    <w:rsid w:val="00156FBA"/>
    <w:rsid w:val="00157277"/>
    <w:rsid w:val="00157490"/>
    <w:rsid w:val="00157628"/>
    <w:rsid w:val="001609A6"/>
    <w:rsid w:val="00160D4F"/>
    <w:rsid w:val="00161378"/>
    <w:rsid w:val="001615D7"/>
    <w:rsid w:val="00161BF1"/>
    <w:rsid w:val="00161F92"/>
    <w:rsid w:val="0016209E"/>
    <w:rsid w:val="00162F9A"/>
    <w:rsid w:val="00163152"/>
    <w:rsid w:val="00164CBA"/>
    <w:rsid w:val="00165A37"/>
    <w:rsid w:val="00165A5C"/>
    <w:rsid w:val="00166250"/>
    <w:rsid w:val="00166477"/>
    <w:rsid w:val="0016753E"/>
    <w:rsid w:val="0016764C"/>
    <w:rsid w:val="00167748"/>
    <w:rsid w:val="00167E31"/>
    <w:rsid w:val="00170319"/>
    <w:rsid w:val="0017116D"/>
    <w:rsid w:val="00171541"/>
    <w:rsid w:val="00172F22"/>
    <w:rsid w:val="00173B35"/>
    <w:rsid w:val="00174065"/>
    <w:rsid w:val="001743F5"/>
    <w:rsid w:val="00175ACE"/>
    <w:rsid w:val="00175B5A"/>
    <w:rsid w:val="00175C0E"/>
    <w:rsid w:val="00175D6E"/>
    <w:rsid w:val="0017715C"/>
    <w:rsid w:val="0017719B"/>
    <w:rsid w:val="00177548"/>
    <w:rsid w:val="00177C94"/>
    <w:rsid w:val="0018099B"/>
    <w:rsid w:val="0018108C"/>
    <w:rsid w:val="001812F4"/>
    <w:rsid w:val="001816CC"/>
    <w:rsid w:val="0018181D"/>
    <w:rsid w:val="001830BE"/>
    <w:rsid w:val="00183788"/>
    <w:rsid w:val="001837F3"/>
    <w:rsid w:val="00183F32"/>
    <w:rsid w:val="001849FC"/>
    <w:rsid w:val="0018564F"/>
    <w:rsid w:val="0018682D"/>
    <w:rsid w:val="00186BCA"/>
    <w:rsid w:val="00187878"/>
    <w:rsid w:val="001878CF"/>
    <w:rsid w:val="00187A92"/>
    <w:rsid w:val="00187DA7"/>
    <w:rsid w:val="00190484"/>
    <w:rsid w:val="001908EB"/>
    <w:rsid w:val="001914BA"/>
    <w:rsid w:val="0019192C"/>
    <w:rsid w:val="00191A50"/>
    <w:rsid w:val="001929C1"/>
    <w:rsid w:val="00192D5E"/>
    <w:rsid w:val="001930F1"/>
    <w:rsid w:val="00193AD7"/>
    <w:rsid w:val="00193ADE"/>
    <w:rsid w:val="00194114"/>
    <w:rsid w:val="00194939"/>
    <w:rsid w:val="00194994"/>
    <w:rsid w:val="00195007"/>
    <w:rsid w:val="00195670"/>
    <w:rsid w:val="00196093"/>
    <w:rsid w:val="001960D3"/>
    <w:rsid w:val="0019652D"/>
    <w:rsid w:val="001967CA"/>
    <w:rsid w:val="00196C1E"/>
    <w:rsid w:val="0019757F"/>
    <w:rsid w:val="001A040E"/>
    <w:rsid w:val="001A06AF"/>
    <w:rsid w:val="001A127F"/>
    <w:rsid w:val="001A18AE"/>
    <w:rsid w:val="001A1B60"/>
    <w:rsid w:val="001A1F66"/>
    <w:rsid w:val="001A220A"/>
    <w:rsid w:val="001A3082"/>
    <w:rsid w:val="001A30F9"/>
    <w:rsid w:val="001A3C89"/>
    <w:rsid w:val="001A3ED6"/>
    <w:rsid w:val="001A4B38"/>
    <w:rsid w:val="001A5EB8"/>
    <w:rsid w:val="001A6CD6"/>
    <w:rsid w:val="001A71D4"/>
    <w:rsid w:val="001A7525"/>
    <w:rsid w:val="001A75BC"/>
    <w:rsid w:val="001A75E8"/>
    <w:rsid w:val="001A77F9"/>
    <w:rsid w:val="001A7832"/>
    <w:rsid w:val="001A79CD"/>
    <w:rsid w:val="001A7ADC"/>
    <w:rsid w:val="001B1480"/>
    <w:rsid w:val="001B14E7"/>
    <w:rsid w:val="001B1623"/>
    <w:rsid w:val="001B183C"/>
    <w:rsid w:val="001B1D7B"/>
    <w:rsid w:val="001B2009"/>
    <w:rsid w:val="001B2688"/>
    <w:rsid w:val="001B26E2"/>
    <w:rsid w:val="001B28A8"/>
    <w:rsid w:val="001B2961"/>
    <w:rsid w:val="001B2D3B"/>
    <w:rsid w:val="001B2EE4"/>
    <w:rsid w:val="001B382E"/>
    <w:rsid w:val="001B468D"/>
    <w:rsid w:val="001B4C3C"/>
    <w:rsid w:val="001B4CE6"/>
    <w:rsid w:val="001B4DC6"/>
    <w:rsid w:val="001B51A9"/>
    <w:rsid w:val="001B578C"/>
    <w:rsid w:val="001B59BF"/>
    <w:rsid w:val="001B5DFD"/>
    <w:rsid w:val="001B6637"/>
    <w:rsid w:val="001B6AA0"/>
    <w:rsid w:val="001B6B80"/>
    <w:rsid w:val="001B7B64"/>
    <w:rsid w:val="001C0858"/>
    <w:rsid w:val="001C0BA3"/>
    <w:rsid w:val="001C0D59"/>
    <w:rsid w:val="001C0DC6"/>
    <w:rsid w:val="001C1546"/>
    <w:rsid w:val="001C1578"/>
    <w:rsid w:val="001C1881"/>
    <w:rsid w:val="001C20B6"/>
    <w:rsid w:val="001C20EB"/>
    <w:rsid w:val="001C2C76"/>
    <w:rsid w:val="001C2D56"/>
    <w:rsid w:val="001C2D8C"/>
    <w:rsid w:val="001C2F64"/>
    <w:rsid w:val="001C3115"/>
    <w:rsid w:val="001C3C4B"/>
    <w:rsid w:val="001C3EF8"/>
    <w:rsid w:val="001C5120"/>
    <w:rsid w:val="001C524A"/>
    <w:rsid w:val="001C5712"/>
    <w:rsid w:val="001C57FB"/>
    <w:rsid w:val="001C58F8"/>
    <w:rsid w:val="001C59F0"/>
    <w:rsid w:val="001C62D4"/>
    <w:rsid w:val="001C694D"/>
    <w:rsid w:val="001C69AE"/>
    <w:rsid w:val="001C6E99"/>
    <w:rsid w:val="001D0089"/>
    <w:rsid w:val="001D0B07"/>
    <w:rsid w:val="001D0DD3"/>
    <w:rsid w:val="001D1737"/>
    <w:rsid w:val="001D1D47"/>
    <w:rsid w:val="001D2534"/>
    <w:rsid w:val="001D2C2F"/>
    <w:rsid w:val="001D4E51"/>
    <w:rsid w:val="001D52DD"/>
    <w:rsid w:val="001D5A05"/>
    <w:rsid w:val="001D5FC7"/>
    <w:rsid w:val="001D6262"/>
    <w:rsid w:val="001D69BF"/>
    <w:rsid w:val="001D6D6C"/>
    <w:rsid w:val="001D74AD"/>
    <w:rsid w:val="001D76AC"/>
    <w:rsid w:val="001D7F12"/>
    <w:rsid w:val="001E0201"/>
    <w:rsid w:val="001E02EA"/>
    <w:rsid w:val="001E092D"/>
    <w:rsid w:val="001E0F00"/>
    <w:rsid w:val="001E14F6"/>
    <w:rsid w:val="001E16A8"/>
    <w:rsid w:val="001E179C"/>
    <w:rsid w:val="001E2637"/>
    <w:rsid w:val="001E2B6C"/>
    <w:rsid w:val="001E2D41"/>
    <w:rsid w:val="001E37E1"/>
    <w:rsid w:val="001E4C91"/>
    <w:rsid w:val="001E4D01"/>
    <w:rsid w:val="001E568E"/>
    <w:rsid w:val="001E5B2C"/>
    <w:rsid w:val="001E6528"/>
    <w:rsid w:val="001E697E"/>
    <w:rsid w:val="001E735A"/>
    <w:rsid w:val="001E7838"/>
    <w:rsid w:val="001E7B37"/>
    <w:rsid w:val="001E7CB2"/>
    <w:rsid w:val="001E7CD8"/>
    <w:rsid w:val="001F098B"/>
    <w:rsid w:val="001F0E0C"/>
    <w:rsid w:val="001F1791"/>
    <w:rsid w:val="001F182F"/>
    <w:rsid w:val="001F1FD8"/>
    <w:rsid w:val="001F20FA"/>
    <w:rsid w:val="001F22BE"/>
    <w:rsid w:val="001F248C"/>
    <w:rsid w:val="001F2638"/>
    <w:rsid w:val="001F2E8E"/>
    <w:rsid w:val="001F3DB3"/>
    <w:rsid w:val="001F4101"/>
    <w:rsid w:val="001F4C90"/>
    <w:rsid w:val="001F55C0"/>
    <w:rsid w:val="001F5BE0"/>
    <w:rsid w:val="001F6243"/>
    <w:rsid w:val="001F6401"/>
    <w:rsid w:val="001F6444"/>
    <w:rsid w:val="001F6920"/>
    <w:rsid w:val="001F6BB5"/>
    <w:rsid w:val="001F7747"/>
    <w:rsid w:val="00200448"/>
    <w:rsid w:val="0020060C"/>
    <w:rsid w:val="00200BFB"/>
    <w:rsid w:val="00201467"/>
    <w:rsid w:val="00201665"/>
    <w:rsid w:val="0020169B"/>
    <w:rsid w:val="00202162"/>
    <w:rsid w:val="00202614"/>
    <w:rsid w:val="0020283E"/>
    <w:rsid w:val="00203136"/>
    <w:rsid w:val="00203B67"/>
    <w:rsid w:val="00203FDE"/>
    <w:rsid w:val="00204B2F"/>
    <w:rsid w:val="00204F38"/>
    <w:rsid w:val="0020515F"/>
    <w:rsid w:val="0020559A"/>
    <w:rsid w:val="00206265"/>
    <w:rsid w:val="00207513"/>
    <w:rsid w:val="00207993"/>
    <w:rsid w:val="0021097D"/>
    <w:rsid w:val="0021160B"/>
    <w:rsid w:val="00211AE3"/>
    <w:rsid w:val="00212521"/>
    <w:rsid w:val="0021256D"/>
    <w:rsid w:val="00212CBB"/>
    <w:rsid w:val="00212D63"/>
    <w:rsid w:val="0021356B"/>
    <w:rsid w:val="00213DC4"/>
    <w:rsid w:val="00213E9D"/>
    <w:rsid w:val="00214099"/>
    <w:rsid w:val="0021415D"/>
    <w:rsid w:val="002143BF"/>
    <w:rsid w:val="00215009"/>
    <w:rsid w:val="00215036"/>
    <w:rsid w:val="00215D68"/>
    <w:rsid w:val="00215E87"/>
    <w:rsid w:val="00216865"/>
    <w:rsid w:val="00216B2D"/>
    <w:rsid w:val="00216B69"/>
    <w:rsid w:val="00216FE3"/>
    <w:rsid w:val="0021718E"/>
    <w:rsid w:val="002172B8"/>
    <w:rsid w:val="00220849"/>
    <w:rsid w:val="0022112B"/>
    <w:rsid w:val="0022177F"/>
    <w:rsid w:val="00222BF8"/>
    <w:rsid w:val="00222C1F"/>
    <w:rsid w:val="002237B6"/>
    <w:rsid w:val="00223EC7"/>
    <w:rsid w:val="00223F13"/>
    <w:rsid w:val="002246F4"/>
    <w:rsid w:val="002250FB"/>
    <w:rsid w:val="0022537C"/>
    <w:rsid w:val="002260D7"/>
    <w:rsid w:val="00226151"/>
    <w:rsid w:val="002261D7"/>
    <w:rsid w:val="0022635E"/>
    <w:rsid w:val="00226417"/>
    <w:rsid w:val="002264F6"/>
    <w:rsid w:val="002269CE"/>
    <w:rsid w:val="00226A07"/>
    <w:rsid w:val="0023030B"/>
    <w:rsid w:val="0023054B"/>
    <w:rsid w:val="002307BF"/>
    <w:rsid w:val="00231B75"/>
    <w:rsid w:val="00232D98"/>
    <w:rsid w:val="0023387B"/>
    <w:rsid w:val="00233B2D"/>
    <w:rsid w:val="00234A90"/>
    <w:rsid w:val="00234AC9"/>
    <w:rsid w:val="00235153"/>
    <w:rsid w:val="0023622E"/>
    <w:rsid w:val="00236497"/>
    <w:rsid w:val="002366B9"/>
    <w:rsid w:val="002368A3"/>
    <w:rsid w:val="0023793E"/>
    <w:rsid w:val="0024004F"/>
    <w:rsid w:val="0024013D"/>
    <w:rsid w:val="002404BC"/>
    <w:rsid w:val="0024079D"/>
    <w:rsid w:val="00240F93"/>
    <w:rsid w:val="0024111C"/>
    <w:rsid w:val="0024123B"/>
    <w:rsid w:val="002414C7"/>
    <w:rsid w:val="002426DE"/>
    <w:rsid w:val="00242B2B"/>
    <w:rsid w:val="002434F4"/>
    <w:rsid w:val="00244832"/>
    <w:rsid w:val="002449AD"/>
    <w:rsid w:val="002465F0"/>
    <w:rsid w:val="00246901"/>
    <w:rsid w:val="0024704A"/>
    <w:rsid w:val="00247E12"/>
    <w:rsid w:val="00250A8B"/>
    <w:rsid w:val="00251271"/>
    <w:rsid w:val="00251922"/>
    <w:rsid w:val="00252068"/>
    <w:rsid w:val="002520B2"/>
    <w:rsid w:val="00252307"/>
    <w:rsid w:val="00252DE3"/>
    <w:rsid w:val="0025362F"/>
    <w:rsid w:val="0025415A"/>
    <w:rsid w:val="00254609"/>
    <w:rsid w:val="00254919"/>
    <w:rsid w:val="00254E56"/>
    <w:rsid w:val="00254F1F"/>
    <w:rsid w:val="00255583"/>
    <w:rsid w:val="002557EB"/>
    <w:rsid w:val="002558A0"/>
    <w:rsid w:val="0025593F"/>
    <w:rsid w:val="0025671A"/>
    <w:rsid w:val="00256A02"/>
    <w:rsid w:val="00256D18"/>
    <w:rsid w:val="0025701C"/>
    <w:rsid w:val="0025720C"/>
    <w:rsid w:val="002573CF"/>
    <w:rsid w:val="002577B2"/>
    <w:rsid w:val="00257A79"/>
    <w:rsid w:val="00257C61"/>
    <w:rsid w:val="0026071D"/>
    <w:rsid w:val="00260828"/>
    <w:rsid w:val="002609CD"/>
    <w:rsid w:val="0026193B"/>
    <w:rsid w:val="002619A4"/>
    <w:rsid w:val="00261A00"/>
    <w:rsid w:val="0026216B"/>
    <w:rsid w:val="002622F1"/>
    <w:rsid w:val="002629E1"/>
    <w:rsid w:val="00262EA3"/>
    <w:rsid w:val="002640D3"/>
    <w:rsid w:val="00264730"/>
    <w:rsid w:val="00264E66"/>
    <w:rsid w:val="00264E82"/>
    <w:rsid w:val="002658B8"/>
    <w:rsid w:val="00265E5B"/>
    <w:rsid w:val="0026605C"/>
    <w:rsid w:val="002662B8"/>
    <w:rsid w:val="0026666D"/>
    <w:rsid w:val="002667A0"/>
    <w:rsid w:val="002667F6"/>
    <w:rsid w:val="00266D93"/>
    <w:rsid w:val="00266F9B"/>
    <w:rsid w:val="0026754E"/>
    <w:rsid w:val="0026793F"/>
    <w:rsid w:val="00270098"/>
    <w:rsid w:val="00270835"/>
    <w:rsid w:val="002708B4"/>
    <w:rsid w:val="00270CE5"/>
    <w:rsid w:val="00271C0B"/>
    <w:rsid w:val="002723F8"/>
    <w:rsid w:val="002734FB"/>
    <w:rsid w:val="00273BB6"/>
    <w:rsid w:val="00275609"/>
    <w:rsid w:val="00275C21"/>
    <w:rsid w:val="00276213"/>
    <w:rsid w:val="00277640"/>
    <w:rsid w:val="00277768"/>
    <w:rsid w:val="00281323"/>
    <w:rsid w:val="00281B09"/>
    <w:rsid w:val="0028258F"/>
    <w:rsid w:val="002839D1"/>
    <w:rsid w:val="00283F3A"/>
    <w:rsid w:val="002849DB"/>
    <w:rsid w:val="00284ADA"/>
    <w:rsid w:val="00284E2C"/>
    <w:rsid w:val="002850C9"/>
    <w:rsid w:val="00285178"/>
    <w:rsid w:val="00285233"/>
    <w:rsid w:val="00285261"/>
    <w:rsid w:val="002856EB"/>
    <w:rsid w:val="00285E2D"/>
    <w:rsid w:val="00286A3C"/>
    <w:rsid w:val="00286C77"/>
    <w:rsid w:val="00287DB6"/>
    <w:rsid w:val="00290166"/>
    <w:rsid w:val="002904A3"/>
    <w:rsid w:val="00290ED2"/>
    <w:rsid w:val="00290F48"/>
    <w:rsid w:val="0029167E"/>
    <w:rsid w:val="00291877"/>
    <w:rsid w:val="00291C13"/>
    <w:rsid w:val="00291F64"/>
    <w:rsid w:val="00292D3A"/>
    <w:rsid w:val="00294399"/>
    <w:rsid w:val="00294A7A"/>
    <w:rsid w:val="00294FFF"/>
    <w:rsid w:val="0029557A"/>
    <w:rsid w:val="002968AF"/>
    <w:rsid w:val="0029720F"/>
    <w:rsid w:val="002975D6"/>
    <w:rsid w:val="002A0CFE"/>
    <w:rsid w:val="002A1B89"/>
    <w:rsid w:val="002A1DB0"/>
    <w:rsid w:val="002A22D6"/>
    <w:rsid w:val="002A2B49"/>
    <w:rsid w:val="002A3C2A"/>
    <w:rsid w:val="002A3C75"/>
    <w:rsid w:val="002A4094"/>
    <w:rsid w:val="002A46B4"/>
    <w:rsid w:val="002A48D6"/>
    <w:rsid w:val="002A52D6"/>
    <w:rsid w:val="002A5755"/>
    <w:rsid w:val="002A59B9"/>
    <w:rsid w:val="002A5A6B"/>
    <w:rsid w:val="002A5EB6"/>
    <w:rsid w:val="002A5EE6"/>
    <w:rsid w:val="002A65C4"/>
    <w:rsid w:val="002A6BE3"/>
    <w:rsid w:val="002A71C7"/>
    <w:rsid w:val="002A730A"/>
    <w:rsid w:val="002A76E3"/>
    <w:rsid w:val="002A7785"/>
    <w:rsid w:val="002A779F"/>
    <w:rsid w:val="002B0853"/>
    <w:rsid w:val="002B0E05"/>
    <w:rsid w:val="002B1029"/>
    <w:rsid w:val="002B164A"/>
    <w:rsid w:val="002B1915"/>
    <w:rsid w:val="002B26DA"/>
    <w:rsid w:val="002B2853"/>
    <w:rsid w:val="002B2AF0"/>
    <w:rsid w:val="002B2F94"/>
    <w:rsid w:val="002B39FD"/>
    <w:rsid w:val="002B3B3E"/>
    <w:rsid w:val="002B3C03"/>
    <w:rsid w:val="002B3E8B"/>
    <w:rsid w:val="002B4525"/>
    <w:rsid w:val="002B4A2B"/>
    <w:rsid w:val="002B6176"/>
    <w:rsid w:val="002B6D55"/>
    <w:rsid w:val="002B6E03"/>
    <w:rsid w:val="002B75F8"/>
    <w:rsid w:val="002B7C6A"/>
    <w:rsid w:val="002B7C9B"/>
    <w:rsid w:val="002C0178"/>
    <w:rsid w:val="002C0AB2"/>
    <w:rsid w:val="002C0C00"/>
    <w:rsid w:val="002C0D87"/>
    <w:rsid w:val="002C0F7F"/>
    <w:rsid w:val="002C1311"/>
    <w:rsid w:val="002C1B3D"/>
    <w:rsid w:val="002C1EE8"/>
    <w:rsid w:val="002C2D59"/>
    <w:rsid w:val="002C4737"/>
    <w:rsid w:val="002C4820"/>
    <w:rsid w:val="002C56DB"/>
    <w:rsid w:val="002C5B8B"/>
    <w:rsid w:val="002C5C4A"/>
    <w:rsid w:val="002C6CB6"/>
    <w:rsid w:val="002C6DF3"/>
    <w:rsid w:val="002C756E"/>
    <w:rsid w:val="002D0691"/>
    <w:rsid w:val="002D06AB"/>
    <w:rsid w:val="002D08DE"/>
    <w:rsid w:val="002D097F"/>
    <w:rsid w:val="002D0F60"/>
    <w:rsid w:val="002D1036"/>
    <w:rsid w:val="002D1E5D"/>
    <w:rsid w:val="002D1F08"/>
    <w:rsid w:val="002D1F45"/>
    <w:rsid w:val="002D227E"/>
    <w:rsid w:val="002D2B2D"/>
    <w:rsid w:val="002D2C9F"/>
    <w:rsid w:val="002D2D13"/>
    <w:rsid w:val="002D3321"/>
    <w:rsid w:val="002D4623"/>
    <w:rsid w:val="002D4762"/>
    <w:rsid w:val="002D486C"/>
    <w:rsid w:val="002D4B0D"/>
    <w:rsid w:val="002D5297"/>
    <w:rsid w:val="002D56E1"/>
    <w:rsid w:val="002D5D18"/>
    <w:rsid w:val="002D6980"/>
    <w:rsid w:val="002D7004"/>
    <w:rsid w:val="002D70BC"/>
    <w:rsid w:val="002D7167"/>
    <w:rsid w:val="002E07C7"/>
    <w:rsid w:val="002E141B"/>
    <w:rsid w:val="002E1B94"/>
    <w:rsid w:val="002E2195"/>
    <w:rsid w:val="002E271A"/>
    <w:rsid w:val="002E29E7"/>
    <w:rsid w:val="002E3D81"/>
    <w:rsid w:val="002E4F32"/>
    <w:rsid w:val="002E5FCF"/>
    <w:rsid w:val="002E69D6"/>
    <w:rsid w:val="002E6B73"/>
    <w:rsid w:val="002E731D"/>
    <w:rsid w:val="002E7808"/>
    <w:rsid w:val="002E7ACD"/>
    <w:rsid w:val="002E7E95"/>
    <w:rsid w:val="002F01F9"/>
    <w:rsid w:val="002F0230"/>
    <w:rsid w:val="002F0755"/>
    <w:rsid w:val="002F0D59"/>
    <w:rsid w:val="002F0DE0"/>
    <w:rsid w:val="002F1B7B"/>
    <w:rsid w:val="002F25BC"/>
    <w:rsid w:val="002F2E38"/>
    <w:rsid w:val="002F2E7B"/>
    <w:rsid w:val="002F3C7F"/>
    <w:rsid w:val="002F3DAB"/>
    <w:rsid w:val="002F3FA9"/>
    <w:rsid w:val="002F4386"/>
    <w:rsid w:val="002F453E"/>
    <w:rsid w:val="002F4946"/>
    <w:rsid w:val="002F4B1A"/>
    <w:rsid w:val="002F5970"/>
    <w:rsid w:val="002F5B09"/>
    <w:rsid w:val="002F61DE"/>
    <w:rsid w:val="002F6822"/>
    <w:rsid w:val="002F6EBD"/>
    <w:rsid w:val="002F7159"/>
    <w:rsid w:val="002F723D"/>
    <w:rsid w:val="002F7C4D"/>
    <w:rsid w:val="002F7C8C"/>
    <w:rsid w:val="002F7F3B"/>
    <w:rsid w:val="002F7FC3"/>
    <w:rsid w:val="00300459"/>
    <w:rsid w:val="003004F8"/>
    <w:rsid w:val="00300880"/>
    <w:rsid w:val="00300933"/>
    <w:rsid w:val="00300B17"/>
    <w:rsid w:val="00300B25"/>
    <w:rsid w:val="00300BE1"/>
    <w:rsid w:val="00301A69"/>
    <w:rsid w:val="00301AFE"/>
    <w:rsid w:val="00301C1E"/>
    <w:rsid w:val="00302429"/>
    <w:rsid w:val="003036B5"/>
    <w:rsid w:val="00303AD4"/>
    <w:rsid w:val="003047CA"/>
    <w:rsid w:val="003047D4"/>
    <w:rsid w:val="00304D6E"/>
    <w:rsid w:val="003058F8"/>
    <w:rsid w:val="003059EA"/>
    <w:rsid w:val="00305BF3"/>
    <w:rsid w:val="003076BD"/>
    <w:rsid w:val="0030788B"/>
    <w:rsid w:val="00307B4D"/>
    <w:rsid w:val="00310C47"/>
    <w:rsid w:val="00310C6D"/>
    <w:rsid w:val="003112ED"/>
    <w:rsid w:val="003115CE"/>
    <w:rsid w:val="00311803"/>
    <w:rsid w:val="00311A4A"/>
    <w:rsid w:val="00311AE8"/>
    <w:rsid w:val="00311EB9"/>
    <w:rsid w:val="00312830"/>
    <w:rsid w:val="00313453"/>
    <w:rsid w:val="0031499F"/>
    <w:rsid w:val="00314BD8"/>
    <w:rsid w:val="00314DA8"/>
    <w:rsid w:val="00315619"/>
    <w:rsid w:val="00315723"/>
    <w:rsid w:val="00316469"/>
    <w:rsid w:val="003164FD"/>
    <w:rsid w:val="00316661"/>
    <w:rsid w:val="003168D6"/>
    <w:rsid w:val="00316EAA"/>
    <w:rsid w:val="00316EFC"/>
    <w:rsid w:val="0031733D"/>
    <w:rsid w:val="00317342"/>
    <w:rsid w:val="00317F7F"/>
    <w:rsid w:val="00321B3B"/>
    <w:rsid w:val="00321BA1"/>
    <w:rsid w:val="00322183"/>
    <w:rsid w:val="00322A9A"/>
    <w:rsid w:val="00322C7B"/>
    <w:rsid w:val="003236C4"/>
    <w:rsid w:val="00324282"/>
    <w:rsid w:val="00324324"/>
    <w:rsid w:val="003250B7"/>
    <w:rsid w:val="00325B57"/>
    <w:rsid w:val="00325C09"/>
    <w:rsid w:val="00325FC1"/>
    <w:rsid w:val="003264B8"/>
    <w:rsid w:val="003264DA"/>
    <w:rsid w:val="00326B51"/>
    <w:rsid w:val="00326C40"/>
    <w:rsid w:val="00327286"/>
    <w:rsid w:val="00327769"/>
    <w:rsid w:val="00327DC3"/>
    <w:rsid w:val="00330EEE"/>
    <w:rsid w:val="00330F68"/>
    <w:rsid w:val="003312A7"/>
    <w:rsid w:val="00331C94"/>
    <w:rsid w:val="00331CA9"/>
    <w:rsid w:val="0033244E"/>
    <w:rsid w:val="00332B82"/>
    <w:rsid w:val="00332ED6"/>
    <w:rsid w:val="003337B2"/>
    <w:rsid w:val="00333C97"/>
    <w:rsid w:val="0033405E"/>
    <w:rsid w:val="0033488D"/>
    <w:rsid w:val="00334CFC"/>
    <w:rsid w:val="003351B7"/>
    <w:rsid w:val="00335356"/>
    <w:rsid w:val="00336B6F"/>
    <w:rsid w:val="00336E81"/>
    <w:rsid w:val="00337DD8"/>
    <w:rsid w:val="00340239"/>
    <w:rsid w:val="00340543"/>
    <w:rsid w:val="0034073E"/>
    <w:rsid w:val="00340832"/>
    <w:rsid w:val="003408F2"/>
    <w:rsid w:val="00341464"/>
    <w:rsid w:val="003431E8"/>
    <w:rsid w:val="003432F0"/>
    <w:rsid w:val="003434A1"/>
    <w:rsid w:val="0034379D"/>
    <w:rsid w:val="0034470F"/>
    <w:rsid w:val="0034535A"/>
    <w:rsid w:val="0034613D"/>
    <w:rsid w:val="00346C3C"/>
    <w:rsid w:val="0034753F"/>
    <w:rsid w:val="00347C38"/>
    <w:rsid w:val="00347F11"/>
    <w:rsid w:val="00350006"/>
    <w:rsid w:val="00350BAF"/>
    <w:rsid w:val="0035124C"/>
    <w:rsid w:val="0035196D"/>
    <w:rsid w:val="00351EE7"/>
    <w:rsid w:val="00353FA5"/>
    <w:rsid w:val="0035436A"/>
    <w:rsid w:val="00354448"/>
    <w:rsid w:val="00354BF4"/>
    <w:rsid w:val="00354D01"/>
    <w:rsid w:val="00354D93"/>
    <w:rsid w:val="0035505B"/>
    <w:rsid w:val="003554CD"/>
    <w:rsid w:val="0035606C"/>
    <w:rsid w:val="00356D07"/>
    <w:rsid w:val="0035704B"/>
    <w:rsid w:val="003578D4"/>
    <w:rsid w:val="00360B6D"/>
    <w:rsid w:val="00360E97"/>
    <w:rsid w:val="00361061"/>
    <w:rsid w:val="0036188C"/>
    <w:rsid w:val="00361922"/>
    <w:rsid w:val="00361AC8"/>
    <w:rsid w:val="00361F88"/>
    <w:rsid w:val="003628DE"/>
    <w:rsid w:val="00362BCA"/>
    <w:rsid w:val="00363137"/>
    <w:rsid w:val="003634E2"/>
    <w:rsid w:val="0036354F"/>
    <w:rsid w:val="00364128"/>
    <w:rsid w:val="00364147"/>
    <w:rsid w:val="003651AB"/>
    <w:rsid w:val="003658FE"/>
    <w:rsid w:val="00365C42"/>
    <w:rsid w:val="003666D3"/>
    <w:rsid w:val="00366949"/>
    <w:rsid w:val="00366985"/>
    <w:rsid w:val="0036725E"/>
    <w:rsid w:val="00367A20"/>
    <w:rsid w:val="00367EDE"/>
    <w:rsid w:val="00367FED"/>
    <w:rsid w:val="003715AF"/>
    <w:rsid w:val="00373035"/>
    <w:rsid w:val="00373088"/>
    <w:rsid w:val="00373E6F"/>
    <w:rsid w:val="00373F21"/>
    <w:rsid w:val="003742AF"/>
    <w:rsid w:val="00374410"/>
    <w:rsid w:val="003746C3"/>
    <w:rsid w:val="00374F06"/>
    <w:rsid w:val="00376182"/>
    <w:rsid w:val="003761D4"/>
    <w:rsid w:val="00376FAF"/>
    <w:rsid w:val="00377921"/>
    <w:rsid w:val="00380554"/>
    <w:rsid w:val="003806FA"/>
    <w:rsid w:val="0038089A"/>
    <w:rsid w:val="0038099B"/>
    <w:rsid w:val="00380AAE"/>
    <w:rsid w:val="0038110D"/>
    <w:rsid w:val="0038116D"/>
    <w:rsid w:val="0038141E"/>
    <w:rsid w:val="00381542"/>
    <w:rsid w:val="00381B50"/>
    <w:rsid w:val="00381D42"/>
    <w:rsid w:val="00381E27"/>
    <w:rsid w:val="003821C8"/>
    <w:rsid w:val="003829B9"/>
    <w:rsid w:val="0038322B"/>
    <w:rsid w:val="00383BA7"/>
    <w:rsid w:val="00383D99"/>
    <w:rsid w:val="00384775"/>
    <w:rsid w:val="0038484E"/>
    <w:rsid w:val="00385022"/>
    <w:rsid w:val="0038563A"/>
    <w:rsid w:val="00385E22"/>
    <w:rsid w:val="0039039E"/>
    <w:rsid w:val="0039054F"/>
    <w:rsid w:val="00390BA2"/>
    <w:rsid w:val="00390F4D"/>
    <w:rsid w:val="00391675"/>
    <w:rsid w:val="00391751"/>
    <w:rsid w:val="003918EE"/>
    <w:rsid w:val="00392717"/>
    <w:rsid w:val="003928C1"/>
    <w:rsid w:val="003933E4"/>
    <w:rsid w:val="003936C4"/>
    <w:rsid w:val="0039406E"/>
    <w:rsid w:val="00395A4B"/>
    <w:rsid w:val="00395FEA"/>
    <w:rsid w:val="00396B06"/>
    <w:rsid w:val="003978AB"/>
    <w:rsid w:val="003A01DF"/>
    <w:rsid w:val="003A21DE"/>
    <w:rsid w:val="003A2335"/>
    <w:rsid w:val="003A3232"/>
    <w:rsid w:val="003A396B"/>
    <w:rsid w:val="003A3A4E"/>
    <w:rsid w:val="003A3E49"/>
    <w:rsid w:val="003A5979"/>
    <w:rsid w:val="003A6D57"/>
    <w:rsid w:val="003A73D5"/>
    <w:rsid w:val="003B0472"/>
    <w:rsid w:val="003B06D6"/>
    <w:rsid w:val="003B07D2"/>
    <w:rsid w:val="003B1211"/>
    <w:rsid w:val="003B1E9F"/>
    <w:rsid w:val="003B3657"/>
    <w:rsid w:val="003B37D5"/>
    <w:rsid w:val="003B37F0"/>
    <w:rsid w:val="003B4748"/>
    <w:rsid w:val="003B476D"/>
    <w:rsid w:val="003B4BC5"/>
    <w:rsid w:val="003B5A29"/>
    <w:rsid w:val="003B61C0"/>
    <w:rsid w:val="003B74B5"/>
    <w:rsid w:val="003B77B1"/>
    <w:rsid w:val="003B797B"/>
    <w:rsid w:val="003C12BF"/>
    <w:rsid w:val="003C12E4"/>
    <w:rsid w:val="003C17B3"/>
    <w:rsid w:val="003C261C"/>
    <w:rsid w:val="003C2964"/>
    <w:rsid w:val="003C2980"/>
    <w:rsid w:val="003C2D78"/>
    <w:rsid w:val="003C2F2F"/>
    <w:rsid w:val="003C2FD6"/>
    <w:rsid w:val="003C3777"/>
    <w:rsid w:val="003C3899"/>
    <w:rsid w:val="003C3B18"/>
    <w:rsid w:val="003C447A"/>
    <w:rsid w:val="003C4B12"/>
    <w:rsid w:val="003C4E94"/>
    <w:rsid w:val="003C5949"/>
    <w:rsid w:val="003C6658"/>
    <w:rsid w:val="003C66AF"/>
    <w:rsid w:val="003C68FA"/>
    <w:rsid w:val="003C6DA0"/>
    <w:rsid w:val="003C798C"/>
    <w:rsid w:val="003C79E8"/>
    <w:rsid w:val="003D042F"/>
    <w:rsid w:val="003D0464"/>
    <w:rsid w:val="003D0890"/>
    <w:rsid w:val="003D1376"/>
    <w:rsid w:val="003D165F"/>
    <w:rsid w:val="003D2B60"/>
    <w:rsid w:val="003D36E0"/>
    <w:rsid w:val="003D4141"/>
    <w:rsid w:val="003D48D8"/>
    <w:rsid w:val="003D4B4E"/>
    <w:rsid w:val="003D4ECD"/>
    <w:rsid w:val="003D54C1"/>
    <w:rsid w:val="003D630D"/>
    <w:rsid w:val="003D65F4"/>
    <w:rsid w:val="003D7524"/>
    <w:rsid w:val="003D7D26"/>
    <w:rsid w:val="003E0336"/>
    <w:rsid w:val="003E09E3"/>
    <w:rsid w:val="003E0B3D"/>
    <w:rsid w:val="003E0E67"/>
    <w:rsid w:val="003E1A75"/>
    <w:rsid w:val="003E2B2B"/>
    <w:rsid w:val="003E2C2D"/>
    <w:rsid w:val="003E2C86"/>
    <w:rsid w:val="003E3935"/>
    <w:rsid w:val="003E3A21"/>
    <w:rsid w:val="003E3CBC"/>
    <w:rsid w:val="003E45FC"/>
    <w:rsid w:val="003E48AC"/>
    <w:rsid w:val="003E48EE"/>
    <w:rsid w:val="003E4E48"/>
    <w:rsid w:val="003E505F"/>
    <w:rsid w:val="003E51FE"/>
    <w:rsid w:val="003E5DD0"/>
    <w:rsid w:val="003E6A35"/>
    <w:rsid w:val="003E726A"/>
    <w:rsid w:val="003E7403"/>
    <w:rsid w:val="003E7CE5"/>
    <w:rsid w:val="003F0284"/>
    <w:rsid w:val="003F03F5"/>
    <w:rsid w:val="003F0687"/>
    <w:rsid w:val="003F0AA6"/>
    <w:rsid w:val="003F0E95"/>
    <w:rsid w:val="003F113C"/>
    <w:rsid w:val="003F24B9"/>
    <w:rsid w:val="003F283A"/>
    <w:rsid w:val="003F3631"/>
    <w:rsid w:val="003F3EFD"/>
    <w:rsid w:val="003F4068"/>
    <w:rsid w:val="003F4C2D"/>
    <w:rsid w:val="003F52AD"/>
    <w:rsid w:val="003F562F"/>
    <w:rsid w:val="003F7583"/>
    <w:rsid w:val="003F76D8"/>
    <w:rsid w:val="003F7775"/>
    <w:rsid w:val="003F7C2C"/>
    <w:rsid w:val="003F7D93"/>
    <w:rsid w:val="003F7EAC"/>
    <w:rsid w:val="004013A4"/>
    <w:rsid w:val="004017ED"/>
    <w:rsid w:val="00401F72"/>
    <w:rsid w:val="00402280"/>
    <w:rsid w:val="004024C7"/>
    <w:rsid w:val="00402545"/>
    <w:rsid w:val="004026D8"/>
    <w:rsid w:val="00403146"/>
    <w:rsid w:val="004035AF"/>
    <w:rsid w:val="00403E00"/>
    <w:rsid w:val="0040422E"/>
    <w:rsid w:val="004048F2"/>
    <w:rsid w:val="00404999"/>
    <w:rsid w:val="00404B86"/>
    <w:rsid w:val="00405665"/>
    <w:rsid w:val="00405FE9"/>
    <w:rsid w:val="00406328"/>
    <w:rsid w:val="004078DF"/>
    <w:rsid w:val="004110AD"/>
    <w:rsid w:val="004114DD"/>
    <w:rsid w:val="00412BC7"/>
    <w:rsid w:val="00413616"/>
    <w:rsid w:val="00414112"/>
    <w:rsid w:val="0041429B"/>
    <w:rsid w:val="00414361"/>
    <w:rsid w:val="00415306"/>
    <w:rsid w:val="004155D7"/>
    <w:rsid w:val="00415BE5"/>
    <w:rsid w:val="00416636"/>
    <w:rsid w:val="00417C19"/>
    <w:rsid w:val="00417DFE"/>
    <w:rsid w:val="00420607"/>
    <w:rsid w:val="004206FE"/>
    <w:rsid w:val="0042083B"/>
    <w:rsid w:val="00420C63"/>
    <w:rsid w:val="00421469"/>
    <w:rsid w:val="00422191"/>
    <w:rsid w:val="00422E5C"/>
    <w:rsid w:val="004238F2"/>
    <w:rsid w:val="00424BB5"/>
    <w:rsid w:val="00425780"/>
    <w:rsid w:val="00425A90"/>
    <w:rsid w:val="00425CA9"/>
    <w:rsid w:val="00425E7A"/>
    <w:rsid w:val="0042603D"/>
    <w:rsid w:val="00426138"/>
    <w:rsid w:val="004262E6"/>
    <w:rsid w:val="00426E0C"/>
    <w:rsid w:val="00427861"/>
    <w:rsid w:val="00427DA6"/>
    <w:rsid w:val="00427E77"/>
    <w:rsid w:val="0043103A"/>
    <w:rsid w:val="0043115B"/>
    <w:rsid w:val="0043130F"/>
    <w:rsid w:val="00431A04"/>
    <w:rsid w:val="00431F1C"/>
    <w:rsid w:val="00432041"/>
    <w:rsid w:val="004321C5"/>
    <w:rsid w:val="004324DF"/>
    <w:rsid w:val="004324F1"/>
    <w:rsid w:val="004327EB"/>
    <w:rsid w:val="004333ED"/>
    <w:rsid w:val="00433991"/>
    <w:rsid w:val="00433FD7"/>
    <w:rsid w:val="00434AAA"/>
    <w:rsid w:val="00434D40"/>
    <w:rsid w:val="0043516A"/>
    <w:rsid w:val="004357A5"/>
    <w:rsid w:val="00436C44"/>
    <w:rsid w:val="004402E7"/>
    <w:rsid w:val="004407E8"/>
    <w:rsid w:val="00440802"/>
    <w:rsid w:val="004408A5"/>
    <w:rsid w:val="00441188"/>
    <w:rsid w:val="0044128E"/>
    <w:rsid w:val="004414FD"/>
    <w:rsid w:val="0044254E"/>
    <w:rsid w:val="004425FA"/>
    <w:rsid w:val="00442724"/>
    <w:rsid w:val="00443412"/>
    <w:rsid w:val="00443446"/>
    <w:rsid w:val="004437CB"/>
    <w:rsid w:val="00444133"/>
    <w:rsid w:val="00444369"/>
    <w:rsid w:val="00444DB4"/>
    <w:rsid w:val="00445DE8"/>
    <w:rsid w:val="00446216"/>
    <w:rsid w:val="004464BD"/>
    <w:rsid w:val="004477C3"/>
    <w:rsid w:val="0045029C"/>
    <w:rsid w:val="004503C7"/>
    <w:rsid w:val="00450784"/>
    <w:rsid w:val="004507E5"/>
    <w:rsid w:val="00450CBC"/>
    <w:rsid w:val="00451367"/>
    <w:rsid w:val="00451F5A"/>
    <w:rsid w:val="00453E62"/>
    <w:rsid w:val="00453E92"/>
    <w:rsid w:val="00453ED1"/>
    <w:rsid w:val="004541FD"/>
    <w:rsid w:val="00454971"/>
    <w:rsid w:val="00454B6E"/>
    <w:rsid w:val="00454D1E"/>
    <w:rsid w:val="004555C8"/>
    <w:rsid w:val="00455DA7"/>
    <w:rsid w:val="0045657F"/>
    <w:rsid w:val="00456B60"/>
    <w:rsid w:val="00456DB3"/>
    <w:rsid w:val="00460119"/>
    <w:rsid w:val="004603A0"/>
    <w:rsid w:val="00461010"/>
    <w:rsid w:val="004620E3"/>
    <w:rsid w:val="004624E1"/>
    <w:rsid w:val="00462950"/>
    <w:rsid w:val="00462D96"/>
    <w:rsid w:val="0046350F"/>
    <w:rsid w:val="0046363E"/>
    <w:rsid w:val="0046490E"/>
    <w:rsid w:val="00464FE8"/>
    <w:rsid w:val="00466C06"/>
    <w:rsid w:val="004674FC"/>
    <w:rsid w:val="00470389"/>
    <w:rsid w:val="00471B3F"/>
    <w:rsid w:val="00471C5A"/>
    <w:rsid w:val="004723C7"/>
    <w:rsid w:val="0047320C"/>
    <w:rsid w:val="004732A1"/>
    <w:rsid w:val="00473331"/>
    <w:rsid w:val="004735B6"/>
    <w:rsid w:val="00473A91"/>
    <w:rsid w:val="004742E0"/>
    <w:rsid w:val="004745C0"/>
    <w:rsid w:val="00474746"/>
    <w:rsid w:val="00474ADA"/>
    <w:rsid w:val="0047521A"/>
    <w:rsid w:val="0047579F"/>
    <w:rsid w:val="00475F81"/>
    <w:rsid w:val="004761CD"/>
    <w:rsid w:val="00476675"/>
    <w:rsid w:val="00476B9C"/>
    <w:rsid w:val="00477D7E"/>
    <w:rsid w:val="0048024B"/>
    <w:rsid w:val="00480CC2"/>
    <w:rsid w:val="00480F47"/>
    <w:rsid w:val="00481210"/>
    <w:rsid w:val="00481406"/>
    <w:rsid w:val="0048155D"/>
    <w:rsid w:val="00481DA4"/>
    <w:rsid w:val="0048297D"/>
    <w:rsid w:val="00483113"/>
    <w:rsid w:val="004838E2"/>
    <w:rsid w:val="00483E90"/>
    <w:rsid w:val="00484051"/>
    <w:rsid w:val="004844D0"/>
    <w:rsid w:val="00484BD3"/>
    <w:rsid w:val="00484E8E"/>
    <w:rsid w:val="00485132"/>
    <w:rsid w:val="00485492"/>
    <w:rsid w:val="004859E6"/>
    <w:rsid w:val="00485A26"/>
    <w:rsid w:val="004868D8"/>
    <w:rsid w:val="00486AED"/>
    <w:rsid w:val="0048706C"/>
    <w:rsid w:val="00487272"/>
    <w:rsid w:val="004879CD"/>
    <w:rsid w:val="00487B2E"/>
    <w:rsid w:val="00490132"/>
    <w:rsid w:val="00490C54"/>
    <w:rsid w:val="00490D13"/>
    <w:rsid w:val="00492480"/>
    <w:rsid w:val="004926B5"/>
    <w:rsid w:val="00492A94"/>
    <w:rsid w:val="00492C89"/>
    <w:rsid w:val="004933DC"/>
    <w:rsid w:val="004935C4"/>
    <w:rsid w:val="00495080"/>
    <w:rsid w:val="0049619D"/>
    <w:rsid w:val="0049645C"/>
    <w:rsid w:val="00496878"/>
    <w:rsid w:val="00496C86"/>
    <w:rsid w:val="00497113"/>
    <w:rsid w:val="004A0388"/>
    <w:rsid w:val="004A03A0"/>
    <w:rsid w:val="004A0414"/>
    <w:rsid w:val="004A0998"/>
    <w:rsid w:val="004A09E4"/>
    <w:rsid w:val="004A0E6D"/>
    <w:rsid w:val="004A10E1"/>
    <w:rsid w:val="004A14FE"/>
    <w:rsid w:val="004A1710"/>
    <w:rsid w:val="004A17A9"/>
    <w:rsid w:val="004A20AB"/>
    <w:rsid w:val="004A20B1"/>
    <w:rsid w:val="004A221A"/>
    <w:rsid w:val="004A24B3"/>
    <w:rsid w:val="004A2703"/>
    <w:rsid w:val="004A32E6"/>
    <w:rsid w:val="004A3E99"/>
    <w:rsid w:val="004A3F28"/>
    <w:rsid w:val="004A405A"/>
    <w:rsid w:val="004A589F"/>
    <w:rsid w:val="004A5D9A"/>
    <w:rsid w:val="004A5F86"/>
    <w:rsid w:val="004A63AC"/>
    <w:rsid w:val="004A70E6"/>
    <w:rsid w:val="004B0063"/>
    <w:rsid w:val="004B131F"/>
    <w:rsid w:val="004B21EC"/>
    <w:rsid w:val="004B2741"/>
    <w:rsid w:val="004B27AC"/>
    <w:rsid w:val="004B2A6F"/>
    <w:rsid w:val="004B2B7F"/>
    <w:rsid w:val="004B2FFD"/>
    <w:rsid w:val="004B3313"/>
    <w:rsid w:val="004B460A"/>
    <w:rsid w:val="004B4A8B"/>
    <w:rsid w:val="004B4BC3"/>
    <w:rsid w:val="004B5C90"/>
    <w:rsid w:val="004B5EAA"/>
    <w:rsid w:val="004B652B"/>
    <w:rsid w:val="004B6958"/>
    <w:rsid w:val="004B706D"/>
    <w:rsid w:val="004B7473"/>
    <w:rsid w:val="004B7C58"/>
    <w:rsid w:val="004C0BEF"/>
    <w:rsid w:val="004C163C"/>
    <w:rsid w:val="004C1FE4"/>
    <w:rsid w:val="004C237B"/>
    <w:rsid w:val="004C33DB"/>
    <w:rsid w:val="004C37A0"/>
    <w:rsid w:val="004C39AF"/>
    <w:rsid w:val="004C40BE"/>
    <w:rsid w:val="004C421E"/>
    <w:rsid w:val="004C44DA"/>
    <w:rsid w:val="004C470B"/>
    <w:rsid w:val="004C575A"/>
    <w:rsid w:val="004C5C1E"/>
    <w:rsid w:val="004C655A"/>
    <w:rsid w:val="004C7259"/>
    <w:rsid w:val="004C7734"/>
    <w:rsid w:val="004C7A21"/>
    <w:rsid w:val="004C7A4E"/>
    <w:rsid w:val="004C7F23"/>
    <w:rsid w:val="004D0791"/>
    <w:rsid w:val="004D1099"/>
    <w:rsid w:val="004D1D8C"/>
    <w:rsid w:val="004D1E11"/>
    <w:rsid w:val="004D20D6"/>
    <w:rsid w:val="004D235D"/>
    <w:rsid w:val="004D2500"/>
    <w:rsid w:val="004D2C65"/>
    <w:rsid w:val="004D3BE2"/>
    <w:rsid w:val="004D3CD1"/>
    <w:rsid w:val="004D4BB9"/>
    <w:rsid w:val="004D560C"/>
    <w:rsid w:val="004D5676"/>
    <w:rsid w:val="004D5796"/>
    <w:rsid w:val="004D5835"/>
    <w:rsid w:val="004D5B35"/>
    <w:rsid w:val="004D5C18"/>
    <w:rsid w:val="004D6D9D"/>
    <w:rsid w:val="004D7C08"/>
    <w:rsid w:val="004D7C7C"/>
    <w:rsid w:val="004E01BC"/>
    <w:rsid w:val="004E0983"/>
    <w:rsid w:val="004E14B8"/>
    <w:rsid w:val="004E1E0B"/>
    <w:rsid w:val="004E1F87"/>
    <w:rsid w:val="004E21D3"/>
    <w:rsid w:val="004E2841"/>
    <w:rsid w:val="004E2E92"/>
    <w:rsid w:val="004E2EF5"/>
    <w:rsid w:val="004E3C7D"/>
    <w:rsid w:val="004E3CC2"/>
    <w:rsid w:val="004E456A"/>
    <w:rsid w:val="004E4747"/>
    <w:rsid w:val="004E477B"/>
    <w:rsid w:val="004E4A7D"/>
    <w:rsid w:val="004E4CB6"/>
    <w:rsid w:val="004E52E1"/>
    <w:rsid w:val="004E56A1"/>
    <w:rsid w:val="004E597E"/>
    <w:rsid w:val="004E6996"/>
    <w:rsid w:val="004E7581"/>
    <w:rsid w:val="004E7687"/>
    <w:rsid w:val="004E775D"/>
    <w:rsid w:val="004F0850"/>
    <w:rsid w:val="004F0C58"/>
    <w:rsid w:val="004F1049"/>
    <w:rsid w:val="004F20CB"/>
    <w:rsid w:val="004F2487"/>
    <w:rsid w:val="004F3762"/>
    <w:rsid w:val="004F484F"/>
    <w:rsid w:val="004F52AA"/>
    <w:rsid w:val="004F531A"/>
    <w:rsid w:val="004F5A0E"/>
    <w:rsid w:val="004F64F4"/>
    <w:rsid w:val="004F76E0"/>
    <w:rsid w:val="0050001C"/>
    <w:rsid w:val="00500324"/>
    <w:rsid w:val="005008A3"/>
    <w:rsid w:val="00500D65"/>
    <w:rsid w:val="00500FB2"/>
    <w:rsid w:val="0050107D"/>
    <w:rsid w:val="005013B8"/>
    <w:rsid w:val="005014D7"/>
    <w:rsid w:val="00501DA9"/>
    <w:rsid w:val="0050212E"/>
    <w:rsid w:val="00502AEF"/>
    <w:rsid w:val="00502B3B"/>
    <w:rsid w:val="00502EE4"/>
    <w:rsid w:val="0050362C"/>
    <w:rsid w:val="00504516"/>
    <w:rsid w:val="00504C5C"/>
    <w:rsid w:val="0050541F"/>
    <w:rsid w:val="00505997"/>
    <w:rsid w:val="00505F8E"/>
    <w:rsid w:val="00506493"/>
    <w:rsid w:val="00506F90"/>
    <w:rsid w:val="005073CF"/>
    <w:rsid w:val="00507DC9"/>
    <w:rsid w:val="005106CD"/>
    <w:rsid w:val="00510B8F"/>
    <w:rsid w:val="005117AC"/>
    <w:rsid w:val="00511E33"/>
    <w:rsid w:val="0051229D"/>
    <w:rsid w:val="00512610"/>
    <w:rsid w:val="00512AED"/>
    <w:rsid w:val="00513169"/>
    <w:rsid w:val="00513327"/>
    <w:rsid w:val="00513D1A"/>
    <w:rsid w:val="00514B81"/>
    <w:rsid w:val="0051563E"/>
    <w:rsid w:val="00515F90"/>
    <w:rsid w:val="00515FAC"/>
    <w:rsid w:val="00516223"/>
    <w:rsid w:val="00516566"/>
    <w:rsid w:val="005166E2"/>
    <w:rsid w:val="00516718"/>
    <w:rsid w:val="00516D23"/>
    <w:rsid w:val="00517C63"/>
    <w:rsid w:val="00520EF5"/>
    <w:rsid w:val="00520F44"/>
    <w:rsid w:val="005210D9"/>
    <w:rsid w:val="00521280"/>
    <w:rsid w:val="00521601"/>
    <w:rsid w:val="00521AEE"/>
    <w:rsid w:val="005228C0"/>
    <w:rsid w:val="00522A4E"/>
    <w:rsid w:val="00522D67"/>
    <w:rsid w:val="00524C51"/>
    <w:rsid w:val="00524D3F"/>
    <w:rsid w:val="00525431"/>
    <w:rsid w:val="005256F7"/>
    <w:rsid w:val="00525CB4"/>
    <w:rsid w:val="00526038"/>
    <w:rsid w:val="00526157"/>
    <w:rsid w:val="00526233"/>
    <w:rsid w:val="00526479"/>
    <w:rsid w:val="00526CCB"/>
    <w:rsid w:val="005271DF"/>
    <w:rsid w:val="0052759B"/>
    <w:rsid w:val="00530493"/>
    <w:rsid w:val="00530E25"/>
    <w:rsid w:val="0053112F"/>
    <w:rsid w:val="00531289"/>
    <w:rsid w:val="00531421"/>
    <w:rsid w:val="00532246"/>
    <w:rsid w:val="005328FF"/>
    <w:rsid w:val="00532BEB"/>
    <w:rsid w:val="00533759"/>
    <w:rsid w:val="00534130"/>
    <w:rsid w:val="005347F2"/>
    <w:rsid w:val="00534C63"/>
    <w:rsid w:val="00535A76"/>
    <w:rsid w:val="00535C55"/>
    <w:rsid w:val="0053619F"/>
    <w:rsid w:val="005363A7"/>
    <w:rsid w:val="005364EE"/>
    <w:rsid w:val="00536637"/>
    <w:rsid w:val="00536994"/>
    <w:rsid w:val="005369C7"/>
    <w:rsid w:val="00537678"/>
    <w:rsid w:val="00540FD2"/>
    <w:rsid w:val="00541D1C"/>
    <w:rsid w:val="00541E77"/>
    <w:rsid w:val="005425E6"/>
    <w:rsid w:val="00542924"/>
    <w:rsid w:val="00542A65"/>
    <w:rsid w:val="00542A66"/>
    <w:rsid w:val="00542BC0"/>
    <w:rsid w:val="00542DC6"/>
    <w:rsid w:val="0054357B"/>
    <w:rsid w:val="00544A39"/>
    <w:rsid w:val="00544C92"/>
    <w:rsid w:val="00544D1E"/>
    <w:rsid w:val="00544E11"/>
    <w:rsid w:val="00544E84"/>
    <w:rsid w:val="00544F05"/>
    <w:rsid w:val="005452DD"/>
    <w:rsid w:val="00545A46"/>
    <w:rsid w:val="00545D04"/>
    <w:rsid w:val="00545EA8"/>
    <w:rsid w:val="0054613C"/>
    <w:rsid w:val="005463C2"/>
    <w:rsid w:val="00546550"/>
    <w:rsid w:val="005468FB"/>
    <w:rsid w:val="00546D92"/>
    <w:rsid w:val="00546DF0"/>
    <w:rsid w:val="00546EAF"/>
    <w:rsid w:val="0054714C"/>
    <w:rsid w:val="00550993"/>
    <w:rsid w:val="005510A1"/>
    <w:rsid w:val="00551148"/>
    <w:rsid w:val="0055142B"/>
    <w:rsid w:val="00551A02"/>
    <w:rsid w:val="00551B20"/>
    <w:rsid w:val="00553692"/>
    <w:rsid w:val="005539F7"/>
    <w:rsid w:val="00553DB0"/>
    <w:rsid w:val="00553FB0"/>
    <w:rsid w:val="00555606"/>
    <w:rsid w:val="005561D4"/>
    <w:rsid w:val="00557B06"/>
    <w:rsid w:val="005605D2"/>
    <w:rsid w:val="00560709"/>
    <w:rsid w:val="0056090E"/>
    <w:rsid w:val="005613F7"/>
    <w:rsid w:val="00561854"/>
    <w:rsid w:val="00561AC4"/>
    <w:rsid w:val="00561DF9"/>
    <w:rsid w:val="00562955"/>
    <w:rsid w:val="00563250"/>
    <w:rsid w:val="005639AA"/>
    <w:rsid w:val="00563B6E"/>
    <w:rsid w:val="00563BE1"/>
    <w:rsid w:val="00563EFD"/>
    <w:rsid w:val="005641AE"/>
    <w:rsid w:val="00564F2D"/>
    <w:rsid w:val="0056547A"/>
    <w:rsid w:val="00565638"/>
    <w:rsid w:val="00565CDB"/>
    <w:rsid w:val="00565D91"/>
    <w:rsid w:val="0056627D"/>
    <w:rsid w:val="005667B7"/>
    <w:rsid w:val="00567A9C"/>
    <w:rsid w:val="0057123A"/>
    <w:rsid w:val="005717DE"/>
    <w:rsid w:val="00572B13"/>
    <w:rsid w:val="00572D95"/>
    <w:rsid w:val="00573DBC"/>
    <w:rsid w:val="00574256"/>
    <w:rsid w:val="005744AE"/>
    <w:rsid w:val="00574706"/>
    <w:rsid w:val="00574CF6"/>
    <w:rsid w:val="00574EDE"/>
    <w:rsid w:val="005752EC"/>
    <w:rsid w:val="0057566A"/>
    <w:rsid w:val="005757C0"/>
    <w:rsid w:val="0057596A"/>
    <w:rsid w:val="00575A86"/>
    <w:rsid w:val="00575D85"/>
    <w:rsid w:val="00575F35"/>
    <w:rsid w:val="005764F8"/>
    <w:rsid w:val="0057656A"/>
    <w:rsid w:val="0057656C"/>
    <w:rsid w:val="00576C39"/>
    <w:rsid w:val="005771CB"/>
    <w:rsid w:val="005773EC"/>
    <w:rsid w:val="00577446"/>
    <w:rsid w:val="00577753"/>
    <w:rsid w:val="00577F06"/>
    <w:rsid w:val="00577FB7"/>
    <w:rsid w:val="00580229"/>
    <w:rsid w:val="00580629"/>
    <w:rsid w:val="0058087E"/>
    <w:rsid w:val="00581199"/>
    <w:rsid w:val="00581715"/>
    <w:rsid w:val="00581A9B"/>
    <w:rsid w:val="00581C4E"/>
    <w:rsid w:val="00582356"/>
    <w:rsid w:val="00582A9A"/>
    <w:rsid w:val="00582B3C"/>
    <w:rsid w:val="00582F42"/>
    <w:rsid w:val="00583AE4"/>
    <w:rsid w:val="005847E0"/>
    <w:rsid w:val="00584820"/>
    <w:rsid w:val="00584E3C"/>
    <w:rsid w:val="005854E1"/>
    <w:rsid w:val="005854EF"/>
    <w:rsid w:val="00585B55"/>
    <w:rsid w:val="00585C01"/>
    <w:rsid w:val="00586107"/>
    <w:rsid w:val="00586304"/>
    <w:rsid w:val="0058681F"/>
    <w:rsid w:val="005870C3"/>
    <w:rsid w:val="005872C4"/>
    <w:rsid w:val="00587360"/>
    <w:rsid w:val="00587769"/>
    <w:rsid w:val="00587C48"/>
    <w:rsid w:val="00590120"/>
    <w:rsid w:val="005906AE"/>
    <w:rsid w:val="00590D40"/>
    <w:rsid w:val="0059135B"/>
    <w:rsid w:val="005919ED"/>
    <w:rsid w:val="00591C5E"/>
    <w:rsid w:val="00592011"/>
    <w:rsid w:val="00592666"/>
    <w:rsid w:val="00592E0A"/>
    <w:rsid w:val="005954AC"/>
    <w:rsid w:val="005954E1"/>
    <w:rsid w:val="00595E76"/>
    <w:rsid w:val="0059632A"/>
    <w:rsid w:val="00597960"/>
    <w:rsid w:val="005A07B1"/>
    <w:rsid w:val="005A0F8A"/>
    <w:rsid w:val="005A1148"/>
    <w:rsid w:val="005A12C9"/>
    <w:rsid w:val="005A1371"/>
    <w:rsid w:val="005A1910"/>
    <w:rsid w:val="005A1A34"/>
    <w:rsid w:val="005A2514"/>
    <w:rsid w:val="005A32BA"/>
    <w:rsid w:val="005A376D"/>
    <w:rsid w:val="005A3D50"/>
    <w:rsid w:val="005A46D1"/>
    <w:rsid w:val="005A4AC6"/>
    <w:rsid w:val="005A4E75"/>
    <w:rsid w:val="005A4F50"/>
    <w:rsid w:val="005A507A"/>
    <w:rsid w:val="005A53EB"/>
    <w:rsid w:val="005A6971"/>
    <w:rsid w:val="005B0A39"/>
    <w:rsid w:val="005B14FD"/>
    <w:rsid w:val="005B1C1C"/>
    <w:rsid w:val="005B1CFB"/>
    <w:rsid w:val="005B2212"/>
    <w:rsid w:val="005B24F5"/>
    <w:rsid w:val="005B29C0"/>
    <w:rsid w:val="005B2D3A"/>
    <w:rsid w:val="005B3C5A"/>
    <w:rsid w:val="005B484B"/>
    <w:rsid w:val="005B5963"/>
    <w:rsid w:val="005B6734"/>
    <w:rsid w:val="005B6828"/>
    <w:rsid w:val="005B6A8D"/>
    <w:rsid w:val="005B6B3D"/>
    <w:rsid w:val="005B6F08"/>
    <w:rsid w:val="005B6FB7"/>
    <w:rsid w:val="005B727D"/>
    <w:rsid w:val="005C09A6"/>
    <w:rsid w:val="005C09FD"/>
    <w:rsid w:val="005C1D5B"/>
    <w:rsid w:val="005C2903"/>
    <w:rsid w:val="005C296D"/>
    <w:rsid w:val="005C339C"/>
    <w:rsid w:val="005C341C"/>
    <w:rsid w:val="005C3616"/>
    <w:rsid w:val="005C36CB"/>
    <w:rsid w:val="005C3744"/>
    <w:rsid w:val="005C3C9A"/>
    <w:rsid w:val="005C4AAA"/>
    <w:rsid w:val="005C519F"/>
    <w:rsid w:val="005C5489"/>
    <w:rsid w:val="005C57F9"/>
    <w:rsid w:val="005C5E3B"/>
    <w:rsid w:val="005C60B5"/>
    <w:rsid w:val="005C654F"/>
    <w:rsid w:val="005C74B2"/>
    <w:rsid w:val="005C7630"/>
    <w:rsid w:val="005C768B"/>
    <w:rsid w:val="005C773A"/>
    <w:rsid w:val="005D0735"/>
    <w:rsid w:val="005D0C52"/>
    <w:rsid w:val="005D113E"/>
    <w:rsid w:val="005D1DE4"/>
    <w:rsid w:val="005D27E2"/>
    <w:rsid w:val="005D655F"/>
    <w:rsid w:val="005D6CAB"/>
    <w:rsid w:val="005D7495"/>
    <w:rsid w:val="005D763A"/>
    <w:rsid w:val="005D78B7"/>
    <w:rsid w:val="005D791F"/>
    <w:rsid w:val="005D7AD8"/>
    <w:rsid w:val="005E0397"/>
    <w:rsid w:val="005E0676"/>
    <w:rsid w:val="005E08A7"/>
    <w:rsid w:val="005E1D31"/>
    <w:rsid w:val="005E36FD"/>
    <w:rsid w:val="005E3E9D"/>
    <w:rsid w:val="005E5330"/>
    <w:rsid w:val="005E53FA"/>
    <w:rsid w:val="005E5461"/>
    <w:rsid w:val="005E56C0"/>
    <w:rsid w:val="005E6037"/>
    <w:rsid w:val="005E6523"/>
    <w:rsid w:val="005E7A49"/>
    <w:rsid w:val="005F16BD"/>
    <w:rsid w:val="005F1710"/>
    <w:rsid w:val="005F17C5"/>
    <w:rsid w:val="005F29A3"/>
    <w:rsid w:val="005F325B"/>
    <w:rsid w:val="005F35FE"/>
    <w:rsid w:val="005F4617"/>
    <w:rsid w:val="005F5780"/>
    <w:rsid w:val="005F6618"/>
    <w:rsid w:val="005F67F3"/>
    <w:rsid w:val="005F69FA"/>
    <w:rsid w:val="005F6BCD"/>
    <w:rsid w:val="005F71B3"/>
    <w:rsid w:val="00600E34"/>
    <w:rsid w:val="006012B3"/>
    <w:rsid w:val="00602033"/>
    <w:rsid w:val="00604136"/>
    <w:rsid w:val="006046D8"/>
    <w:rsid w:val="006046E1"/>
    <w:rsid w:val="00604994"/>
    <w:rsid w:val="00604B10"/>
    <w:rsid w:val="00604C3C"/>
    <w:rsid w:val="00604CA8"/>
    <w:rsid w:val="00605A62"/>
    <w:rsid w:val="00605E3D"/>
    <w:rsid w:val="00606339"/>
    <w:rsid w:val="00606E01"/>
    <w:rsid w:val="00606ECC"/>
    <w:rsid w:val="00606F91"/>
    <w:rsid w:val="0060721B"/>
    <w:rsid w:val="006076D5"/>
    <w:rsid w:val="00610403"/>
    <w:rsid w:val="006109CC"/>
    <w:rsid w:val="00610CD3"/>
    <w:rsid w:val="00611BA8"/>
    <w:rsid w:val="0061248D"/>
    <w:rsid w:val="00612BA1"/>
    <w:rsid w:val="00612E69"/>
    <w:rsid w:val="0061356E"/>
    <w:rsid w:val="0061369A"/>
    <w:rsid w:val="00613953"/>
    <w:rsid w:val="00613A12"/>
    <w:rsid w:val="00613A84"/>
    <w:rsid w:val="00613C22"/>
    <w:rsid w:val="00613C37"/>
    <w:rsid w:val="006147C5"/>
    <w:rsid w:val="0061517C"/>
    <w:rsid w:val="00615A71"/>
    <w:rsid w:val="00615C74"/>
    <w:rsid w:val="006160C7"/>
    <w:rsid w:val="006164FF"/>
    <w:rsid w:val="00616B33"/>
    <w:rsid w:val="00617566"/>
    <w:rsid w:val="00617CAF"/>
    <w:rsid w:val="00617F75"/>
    <w:rsid w:val="0062009C"/>
    <w:rsid w:val="0062034C"/>
    <w:rsid w:val="00620766"/>
    <w:rsid w:val="00620A34"/>
    <w:rsid w:val="006210A8"/>
    <w:rsid w:val="0062176C"/>
    <w:rsid w:val="00621A24"/>
    <w:rsid w:val="006221E3"/>
    <w:rsid w:val="00622365"/>
    <w:rsid w:val="006227EF"/>
    <w:rsid w:val="0062292E"/>
    <w:rsid w:val="00622948"/>
    <w:rsid w:val="00622E3A"/>
    <w:rsid w:val="00623F5A"/>
    <w:rsid w:val="00623FBD"/>
    <w:rsid w:val="00624871"/>
    <w:rsid w:val="00624DFC"/>
    <w:rsid w:val="0062514F"/>
    <w:rsid w:val="006253AF"/>
    <w:rsid w:val="0062593B"/>
    <w:rsid w:val="00625BE3"/>
    <w:rsid w:val="00625C8E"/>
    <w:rsid w:val="00626126"/>
    <w:rsid w:val="00626678"/>
    <w:rsid w:val="00626868"/>
    <w:rsid w:val="00626C50"/>
    <w:rsid w:val="006274E9"/>
    <w:rsid w:val="006278B1"/>
    <w:rsid w:val="00627D5A"/>
    <w:rsid w:val="00627DB7"/>
    <w:rsid w:val="00627F44"/>
    <w:rsid w:val="0063016C"/>
    <w:rsid w:val="006310BC"/>
    <w:rsid w:val="006313DB"/>
    <w:rsid w:val="006321EE"/>
    <w:rsid w:val="0063254D"/>
    <w:rsid w:val="0063273A"/>
    <w:rsid w:val="00633521"/>
    <w:rsid w:val="006344C0"/>
    <w:rsid w:val="00634963"/>
    <w:rsid w:val="006351B3"/>
    <w:rsid w:val="0063530A"/>
    <w:rsid w:val="0063579D"/>
    <w:rsid w:val="0063580A"/>
    <w:rsid w:val="006358D6"/>
    <w:rsid w:val="00635B56"/>
    <w:rsid w:val="0063602E"/>
    <w:rsid w:val="006368FD"/>
    <w:rsid w:val="00637137"/>
    <w:rsid w:val="00637349"/>
    <w:rsid w:val="006374EA"/>
    <w:rsid w:val="006375B6"/>
    <w:rsid w:val="00637824"/>
    <w:rsid w:val="006378C9"/>
    <w:rsid w:val="006401CB"/>
    <w:rsid w:val="00640BF2"/>
    <w:rsid w:val="00640E0F"/>
    <w:rsid w:val="00641284"/>
    <w:rsid w:val="00643189"/>
    <w:rsid w:val="006433C2"/>
    <w:rsid w:val="006436AF"/>
    <w:rsid w:val="006438C4"/>
    <w:rsid w:val="00643BD7"/>
    <w:rsid w:val="006448D7"/>
    <w:rsid w:val="006449C1"/>
    <w:rsid w:val="00646CB9"/>
    <w:rsid w:val="006471F4"/>
    <w:rsid w:val="00647474"/>
    <w:rsid w:val="00647D56"/>
    <w:rsid w:val="00647D78"/>
    <w:rsid w:val="006507F4"/>
    <w:rsid w:val="006512B1"/>
    <w:rsid w:val="00651921"/>
    <w:rsid w:val="006520C8"/>
    <w:rsid w:val="00652177"/>
    <w:rsid w:val="0065257E"/>
    <w:rsid w:val="00652780"/>
    <w:rsid w:val="00652B69"/>
    <w:rsid w:val="00652EA4"/>
    <w:rsid w:val="00653FE4"/>
    <w:rsid w:val="006540B2"/>
    <w:rsid w:val="0065417B"/>
    <w:rsid w:val="00654D9D"/>
    <w:rsid w:val="0065510B"/>
    <w:rsid w:val="006552EE"/>
    <w:rsid w:val="00655605"/>
    <w:rsid w:val="00655A39"/>
    <w:rsid w:val="00655B89"/>
    <w:rsid w:val="006562B2"/>
    <w:rsid w:val="006565EC"/>
    <w:rsid w:val="00657006"/>
    <w:rsid w:val="006601F0"/>
    <w:rsid w:val="0066234C"/>
    <w:rsid w:val="006628F1"/>
    <w:rsid w:val="0066295F"/>
    <w:rsid w:val="0066352E"/>
    <w:rsid w:val="0066463A"/>
    <w:rsid w:val="00665476"/>
    <w:rsid w:val="0066565F"/>
    <w:rsid w:val="006657D3"/>
    <w:rsid w:val="00665B79"/>
    <w:rsid w:val="00667089"/>
    <w:rsid w:val="0066796D"/>
    <w:rsid w:val="00667BA3"/>
    <w:rsid w:val="00670BA4"/>
    <w:rsid w:val="00671092"/>
    <w:rsid w:val="006725FF"/>
    <w:rsid w:val="00672780"/>
    <w:rsid w:val="0067287E"/>
    <w:rsid w:val="00673AF7"/>
    <w:rsid w:val="00673FF7"/>
    <w:rsid w:val="00674D62"/>
    <w:rsid w:val="00674DD3"/>
    <w:rsid w:val="006761B5"/>
    <w:rsid w:val="0067748A"/>
    <w:rsid w:val="006816F2"/>
    <w:rsid w:val="006827B4"/>
    <w:rsid w:val="006828B9"/>
    <w:rsid w:val="006828C3"/>
    <w:rsid w:val="00682943"/>
    <w:rsid w:val="00682DBF"/>
    <w:rsid w:val="0068311E"/>
    <w:rsid w:val="00683C75"/>
    <w:rsid w:val="006844D1"/>
    <w:rsid w:val="00684A8B"/>
    <w:rsid w:val="00684AE5"/>
    <w:rsid w:val="00685FAC"/>
    <w:rsid w:val="00686628"/>
    <w:rsid w:val="006869D9"/>
    <w:rsid w:val="00686F90"/>
    <w:rsid w:val="00687164"/>
    <w:rsid w:val="0068748F"/>
    <w:rsid w:val="006902D6"/>
    <w:rsid w:val="006903D9"/>
    <w:rsid w:val="00690B19"/>
    <w:rsid w:val="0069120C"/>
    <w:rsid w:val="00691914"/>
    <w:rsid w:val="00691D36"/>
    <w:rsid w:val="00693332"/>
    <w:rsid w:val="00693BA9"/>
    <w:rsid w:val="00693D4A"/>
    <w:rsid w:val="00694712"/>
    <w:rsid w:val="00695436"/>
    <w:rsid w:val="00695817"/>
    <w:rsid w:val="00695B36"/>
    <w:rsid w:val="00695EC3"/>
    <w:rsid w:val="0069663F"/>
    <w:rsid w:val="006971BB"/>
    <w:rsid w:val="006A0194"/>
    <w:rsid w:val="006A01C9"/>
    <w:rsid w:val="006A0FBB"/>
    <w:rsid w:val="006A1066"/>
    <w:rsid w:val="006A1466"/>
    <w:rsid w:val="006A1684"/>
    <w:rsid w:val="006A2B25"/>
    <w:rsid w:val="006A344E"/>
    <w:rsid w:val="006A3450"/>
    <w:rsid w:val="006A358D"/>
    <w:rsid w:val="006A398A"/>
    <w:rsid w:val="006A39F7"/>
    <w:rsid w:val="006A3AE7"/>
    <w:rsid w:val="006A4766"/>
    <w:rsid w:val="006A5A9E"/>
    <w:rsid w:val="006A5AA2"/>
    <w:rsid w:val="006A5C07"/>
    <w:rsid w:val="006A6A10"/>
    <w:rsid w:val="006A6CC7"/>
    <w:rsid w:val="006B0960"/>
    <w:rsid w:val="006B1E2E"/>
    <w:rsid w:val="006B30F6"/>
    <w:rsid w:val="006B3169"/>
    <w:rsid w:val="006B3571"/>
    <w:rsid w:val="006B3D54"/>
    <w:rsid w:val="006B4698"/>
    <w:rsid w:val="006B52A7"/>
    <w:rsid w:val="006B57E2"/>
    <w:rsid w:val="006B580F"/>
    <w:rsid w:val="006B5C94"/>
    <w:rsid w:val="006B6C2A"/>
    <w:rsid w:val="006B6D06"/>
    <w:rsid w:val="006B6D37"/>
    <w:rsid w:val="006B71D6"/>
    <w:rsid w:val="006B76B3"/>
    <w:rsid w:val="006C04FA"/>
    <w:rsid w:val="006C0837"/>
    <w:rsid w:val="006C127B"/>
    <w:rsid w:val="006C1ADD"/>
    <w:rsid w:val="006C1B41"/>
    <w:rsid w:val="006C3262"/>
    <w:rsid w:val="006C336D"/>
    <w:rsid w:val="006C3CE3"/>
    <w:rsid w:val="006C43D2"/>
    <w:rsid w:val="006C45C8"/>
    <w:rsid w:val="006C6318"/>
    <w:rsid w:val="006C65D5"/>
    <w:rsid w:val="006C6C80"/>
    <w:rsid w:val="006C7733"/>
    <w:rsid w:val="006D0BD3"/>
    <w:rsid w:val="006D0D5A"/>
    <w:rsid w:val="006D271B"/>
    <w:rsid w:val="006D2CEB"/>
    <w:rsid w:val="006D3077"/>
    <w:rsid w:val="006D30B7"/>
    <w:rsid w:val="006D3871"/>
    <w:rsid w:val="006D3B09"/>
    <w:rsid w:val="006D42AA"/>
    <w:rsid w:val="006D4387"/>
    <w:rsid w:val="006D4F8F"/>
    <w:rsid w:val="006D598D"/>
    <w:rsid w:val="006D5A91"/>
    <w:rsid w:val="006D63FA"/>
    <w:rsid w:val="006D657F"/>
    <w:rsid w:val="006D77A6"/>
    <w:rsid w:val="006D7860"/>
    <w:rsid w:val="006D78DC"/>
    <w:rsid w:val="006D7ADD"/>
    <w:rsid w:val="006D7F99"/>
    <w:rsid w:val="006E05E7"/>
    <w:rsid w:val="006E067D"/>
    <w:rsid w:val="006E0C7E"/>
    <w:rsid w:val="006E1287"/>
    <w:rsid w:val="006E139D"/>
    <w:rsid w:val="006E2B3C"/>
    <w:rsid w:val="006E41BB"/>
    <w:rsid w:val="006E4F9B"/>
    <w:rsid w:val="006E5225"/>
    <w:rsid w:val="006E5F90"/>
    <w:rsid w:val="006E61FA"/>
    <w:rsid w:val="006E6466"/>
    <w:rsid w:val="006E6AAA"/>
    <w:rsid w:val="006E74CE"/>
    <w:rsid w:val="006F038C"/>
    <w:rsid w:val="006F0464"/>
    <w:rsid w:val="006F14F6"/>
    <w:rsid w:val="006F2099"/>
    <w:rsid w:val="006F2408"/>
    <w:rsid w:val="006F3806"/>
    <w:rsid w:val="006F4189"/>
    <w:rsid w:val="006F4704"/>
    <w:rsid w:val="006F4B57"/>
    <w:rsid w:val="006F56A5"/>
    <w:rsid w:val="006F57FE"/>
    <w:rsid w:val="006F5A02"/>
    <w:rsid w:val="006F5D99"/>
    <w:rsid w:val="006F6B99"/>
    <w:rsid w:val="006F722C"/>
    <w:rsid w:val="006F7D97"/>
    <w:rsid w:val="00700617"/>
    <w:rsid w:val="00701618"/>
    <w:rsid w:val="007022C0"/>
    <w:rsid w:val="00702454"/>
    <w:rsid w:val="0070247A"/>
    <w:rsid w:val="00702F1A"/>
    <w:rsid w:val="0070328C"/>
    <w:rsid w:val="007037B6"/>
    <w:rsid w:val="00703A1F"/>
    <w:rsid w:val="00703B41"/>
    <w:rsid w:val="00703E18"/>
    <w:rsid w:val="00704113"/>
    <w:rsid w:val="00705125"/>
    <w:rsid w:val="00705B95"/>
    <w:rsid w:val="00705C90"/>
    <w:rsid w:val="007063EB"/>
    <w:rsid w:val="00706602"/>
    <w:rsid w:val="007069A1"/>
    <w:rsid w:val="00706E0B"/>
    <w:rsid w:val="007071E3"/>
    <w:rsid w:val="00707300"/>
    <w:rsid w:val="00707458"/>
    <w:rsid w:val="00707935"/>
    <w:rsid w:val="00711B45"/>
    <w:rsid w:val="007120D6"/>
    <w:rsid w:val="00712616"/>
    <w:rsid w:val="0071390F"/>
    <w:rsid w:val="00714374"/>
    <w:rsid w:val="0071491F"/>
    <w:rsid w:val="0071599D"/>
    <w:rsid w:val="00715ADB"/>
    <w:rsid w:val="00716291"/>
    <w:rsid w:val="007172D2"/>
    <w:rsid w:val="007173E7"/>
    <w:rsid w:val="007204CF"/>
    <w:rsid w:val="00720707"/>
    <w:rsid w:val="00720951"/>
    <w:rsid w:val="00720A47"/>
    <w:rsid w:val="0072136A"/>
    <w:rsid w:val="007218C1"/>
    <w:rsid w:val="00721C7E"/>
    <w:rsid w:val="00722281"/>
    <w:rsid w:val="007227A3"/>
    <w:rsid w:val="00722CAC"/>
    <w:rsid w:val="00722E16"/>
    <w:rsid w:val="0072330E"/>
    <w:rsid w:val="007244E5"/>
    <w:rsid w:val="0072491D"/>
    <w:rsid w:val="00724D65"/>
    <w:rsid w:val="00725154"/>
    <w:rsid w:val="007251FF"/>
    <w:rsid w:val="0072524B"/>
    <w:rsid w:val="00725A44"/>
    <w:rsid w:val="00725D45"/>
    <w:rsid w:val="00727DD7"/>
    <w:rsid w:val="00727F20"/>
    <w:rsid w:val="007300C3"/>
    <w:rsid w:val="00730B4A"/>
    <w:rsid w:val="00731036"/>
    <w:rsid w:val="00731756"/>
    <w:rsid w:val="007317ED"/>
    <w:rsid w:val="00731F1F"/>
    <w:rsid w:val="00732650"/>
    <w:rsid w:val="0073298A"/>
    <w:rsid w:val="00732C78"/>
    <w:rsid w:val="007338C1"/>
    <w:rsid w:val="00733988"/>
    <w:rsid w:val="0073449C"/>
    <w:rsid w:val="00734B72"/>
    <w:rsid w:val="00734BF8"/>
    <w:rsid w:val="00735370"/>
    <w:rsid w:val="00735A6E"/>
    <w:rsid w:val="0073607D"/>
    <w:rsid w:val="007364ED"/>
    <w:rsid w:val="00736915"/>
    <w:rsid w:val="00736ECC"/>
    <w:rsid w:val="007409E0"/>
    <w:rsid w:val="00740B25"/>
    <w:rsid w:val="00741281"/>
    <w:rsid w:val="007414C8"/>
    <w:rsid w:val="00741877"/>
    <w:rsid w:val="00741A39"/>
    <w:rsid w:val="0074266D"/>
    <w:rsid w:val="00742CCE"/>
    <w:rsid w:val="00742E34"/>
    <w:rsid w:val="00742E77"/>
    <w:rsid w:val="00742FDB"/>
    <w:rsid w:val="0074352B"/>
    <w:rsid w:val="00743C01"/>
    <w:rsid w:val="00744274"/>
    <w:rsid w:val="00744723"/>
    <w:rsid w:val="0074481A"/>
    <w:rsid w:val="00744EF4"/>
    <w:rsid w:val="007452A5"/>
    <w:rsid w:val="00745745"/>
    <w:rsid w:val="00745874"/>
    <w:rsid w:val="00745BB2"/>
    <w:rsid w:val="007465DC"/>
    <w:rsid w:val="00746E28"/>
    <w:rsid w:val="00747710"/>
    <w:rsid w:val="0074794D"/>
    <w:rsid w:val="00747A1B"/>
    <w:rsid w:val="00747A2C"/>
    <w:rsid w:val="00750002"/>
    <w:rsid w:val="007502A7"/>
    <w:rsid w:val="00750816"/>
    <w:rsid w:val="00750819"/>
    <w:rsid w:val="00750826"/>
    <w:rsid w:val="00750883"/>
    <w:rsid w:val="00751203"/>
    <w:rsid w:val="00751218"/>
    <w:rsid w:val="0075188B"/>
    <w:rsid w:val="00752D27"/>
    <w:rsid w:val="00752E94"/>
    <w:rsid w:val="0075306C"/>
    <w:rsid w:val="00753214"/>
    <w:rsid w:val="00753B0E"/>
    <w:rsid w:val="00753F11"/>
    <w:rsid w:val="00754F96"/>
    <w:rsid w:val="0075586B"/>
    <w:rsid w:val="007559C9"/>
    <w:rsid w:val="00755E2C"/>
    <w:rsid w:val="00756563"/>
    <w:rsid w:val="007565F5"/>
    <w:rsid w:val="00757186"/>
    <w:rsid w:val="00757B7B"/>
    <w:rsid w:val="00757CC6"/>
    <w:rsid w:val="00757CF9"/>
    <w:rsid w:val="00760B7E"/>
    <w:rsid w:val="00760D38"/>
    <w:rsid w:val="007616CA"/>
    <w:rsid w:val="00761E6D"/>
    <w:rsid w:val="00762957"/>
    <w:rsid w:val="007629B0"/>
    <w:rsid w:val="00763667"/>
    <w:rsid w:val="00763E0C"/>
    <w:rsid w:val="007640F6"/>
    <w:rsid w:val="007648BC"/>
    <w:rsid w:val="00765370"/>
    <w:rsid w:val="00765739"/>
    <w:rsid w:val="00765DEC"/>
    <w:rsid w:val="00766BFB"/>
    <w:rsid w:val="00766DEC"/>
    <w:rsid w:val="00767B63"/>
    <w:rsid w:val="00767FA3"/>
    <w:rsid w:val="00770878"/>
    <w:rsid w:val="00770B16"/>
    <w:rsid w:val="00770E22"/>
    <w:rsid w:val="00771988"/>
    <w:rsid w:val="007720AA"/>
    <w:rsid w:val="0077263B"/>
    <w:rsid w:val="007729F2"/>
    <w:rsid w:val="00772B2A"/>
    <w:rsid w:val="00773480"/>
    <w:rsid w:val="0077401E"/>
    <w:rsid w:val="00774BFA"/>
    <w:rsid w:val="0077537B"/>
    <w:rsid w:val="007756B4"/>
    <w:rsid w:val="00775A9D"/>
    <w:rsid w:val="00775E06"/>
    <w:rsid w:val="0077618A"/>
    <w:rsid w:val="00776350"/>
    <w:rsid w:val="00776970"/>
    <w:rsid w:val="00777321"/>
    <w:rsid w:val="00777371"/>
    <w:rsid w:val="00780249"/>
    <w:rsid w:val="007804AF"/>
    <w:rsid w:val="007808EB"/>
    <w:rsid w:val="00780E89"/>
    <w:rsid w:val="00781810"/>
    <w:rsid w:val="00781CAB"/>
    <w:rsid w:val="00782951"/>
    <w:rsid w:val="00782D2F"/>
    <w:rsid w:val="007831CD"/>
    <w:rsid w:val="0078327D"/>
    <w:rsid w:val="0078407E"/>
    <w:rsid w:val="0078409E"/>
    <w:rsid w:val="007846C1"/>
    <w:rsid w:val="007849AE"/>
    <w:rsid w:val="00784A08"/>
    <w:rsid w:val="00784E2E"/>
    <w:rsid w:val="00787B4B"/>
    <w:rsid w:val="0079009C"/>
    <w:rsid w:val="00790495"/>
    <w:rsid w:val="00790AA2"/>
    <w:rsid w:val="007923CD"/>
    <w:rsid w:val="00792F5C"/>
    <w:rsid w:val="00793120"/>
    <w:rsid w:val="00793CC3"/>
    <w:rsid w:val="00793E4B"/>
    <w:rsid w:val="00794365"/>
    <w:rsid w:val="007947BB"/>
    <w:rsid w:val="0079510A"/>
    <w:rsid w:val="00795863"/>
    <w:rsid w:val="007974B6"/>
    <w:rsid w:val="007A0071"/>
    <w:rsid w:val="007A0AD3"/>
    <w:rsid w:val="007A182C"/>
    <w:rsid w:val="007A201C"/>
    <w:rsid w:val="007A2A43"/>
    <w:rsid w:val="007A2E23"/>
    <w:rsid w:val="007A32DC"/>
    <w:rsid w:val="007A3A3A"/>
    <w:rsid w:val="007A3E59"/>
    <w:rsid w:val="007A46E8"/>
    <w:rsid w:val="007A497C"/>
    <w:rsid w:val="007A5343"/>
    <w:rsid w:val="007A5E30"/>
    <w:rsid w:val="007A73EF"/>
    <w:rsid w:val="007B1938"/>
    <w:rsid w:val="007B1C9B"/>
    <w:rsid w:val="007B3E9A"/>
    <w:rsid w:val="007B499C"/>
    <w:rsid w:val="007B4BFB"/>
    <w:rsid w:val="007B56EA"/>
    <w:rsid w:val="007B57C5"/>
    <w:rsid w:val="007B5963"/>
    <w:rsid w:val="007B6E12"/>
    <w:rsid w:val="007B7F69"/>
    <w:rsid w:val="007C057D"/>
    <w:rsid w:val="007C1D3C"/>
    <w:rsid w:val="007C37A3"/>
    <w:rsid w:val="007C3803"/>
    <w:rsid w:val="007C3BB1"/>
    <w:rsid w:val="007C4351"/>
    <w:rsid w:val="007C476A"/>
    <w:rsid w:val="007C521B"/>
    <w:rsid w:val="007C5251"/>
    <w:rsid w:val="007C58E0"/>
    <w:rsid w:val="007C5D2F"/>
    <w:rsid w:val="007C5F8D"/>
    <w:rsid w:val="007C68BC"/>
    <w:rsid w:val="007C6EFE"/>
    <w:rsid w:val="007C71E8"/>
    <w:rsid w:val="007C77A1"/>
    <w:rsid w:val="007C7BE1"/>
    <w:rsid w:val="007D0957"/>
    <w:rsid w:val="007D09B0"/>
    <w:rsid w:val="007D0E9F"/>
    <w:rsid w:val="007D0F1E"/>
    <w:rsid w:val="007D1F16"/>
    <w:rsid w:val="007D254A"/>
    <w:rsid w:val="007D2CCF"/>
    <w:rsid w:val="007D333F"/>
    <w:rsid w:val="007D38B8"/>
    <w:rsid w:val="007D3AF4"/>
    <w:rsid w:val="007D3F73"/>
    <w:rsid w:val="007D443B"/>
    <w:rsid w:val="007D492A"/>
    <w:rsid w:val="007D4B77"/>
    <w:rsid w:val="007D516D"/>
    <w:rsid w:val="007D541E"/>
    <w:rsid w:val="007D6012"/>
    <w:rsid w:val="007D611B"/>
    <w:rsid w:val="007D66A8"/>
    <w:rsid w:val="007D6BD0"/>
    <w:rsid w:val="007D767C"/>
    <w:rsid w:val="007D77CB"/>
    <w:rsid w:val="007D7944"/>
    <w:rsid w:val="007D7A0E"/>
    <w:rsid w:val="007D7BE7"/>
    <w:rsid w:val="007E0C31"/>
    <w:rsid w:val="007E205F"/>
    <w:rsid w:val="007E283C"/>
    <w:rsid w:val="007E3576"/>
    <w:rsid w:val="007E3BD6"/>
    <w:rsid w:val="007E438C"/>
    <w:rsid w:val="007E4455"/>
    <w:rsid w:val="007E570F"/>
    <w:rsid w:val="007E5BD1"/>
    <w:rsid w:val="007E6545"/>
    <w:rsid w:val="007E6781"/>
    <w:rsid w:val="007E6FA0"/>
    <w:rsid w:val="007E7249"/>
    <w:rsid w:val="007E72FB"/>
    <w:rsid w:val="007E76FE"/>
    <w:rsid w:val="007E798A"/>
    <w:rsid w:val="007E7B3F"/>
    <w:rsid w:val="007E7C36"/>
    <w:rsid w:val="007E7E58"/>
    <w:rsid w:val="007F1CA6"/>
    <w:rsid w:val="007F1E8A"/>
    <w:rsid w:val="007F1F8B"/>
    <w:rsid w:val="007F2D35"/>
    <w:rsid w:val="007F31F5"/>
    <w:rsid w:val="007F3252"/>
    <w:rsid w:val="007F4D0E"/>
    <w:rsid w:val="007F4F76"/>
    <w:rsid w:val="007F5540"/>
    <w:rsid w:val="007F55E1"/>
    <w:rsid w:val="007F58C8"/>
    <w:rsid w:val="007F58DA"/>
    <w:rsid w:val="007F7F42"/>
    <w:rsid w:val="00800133"/>
    <w:rsid w:val="008005C8"/>
    <w:rsid w:val="0080080A"/>
    <w:rsid w:val="00800C4F"/>
    <w:rsid w:val="0080111D"/>
    <w:rsid w:val="0080132C"/>
    <w:rsid w:val="008022E1"/>
    <w:rsid w:val="00803553"/>
    <w:rsid w:val="00803BF7"/>
    <w:rsid w:val="00803DD0"/>
    <w:rsid w:val="0080474F"/>
    <w:rsid w:val="008048AB"/>
    <w:rsid w:val="00804E7B"/>
    <w:rsid w:val="008051D7"/>
    <w:rsid w:val="008056A3"/>
    <w:rsid w:val="00806052"/>
    <w:rsid w:val="00807605"/>
    <w:rsid w:val="00807B96"/>
    <w:rsid w:val="00810207"/>
    <w:rsid w:val="0081025B"/>
    <w:rsid w:val="00810B62"/>
    <w:rsid w:val="00810DC9"/>
    <w:rsid w:val="00810E83"/>
    <w:rsid w:val="008110B3"/>
    <w:rsid w:val="0081167A"/>
    <w:rsid w:val="00811AD3"/>
    <w:rsid w:val="00811CAC"/>
    <w:rsid w:val="00813394"/>
    <w:rsid w:val="00813473"/>
    <w:rsid w:val="00813D11"/>
    <w:rsid w:val="00813EA5"/>
    <w:rsid w:val="00814DB4"/>
    <w:rsid w:val="00814E14"/>
    <w:rsid w:val="00814F18"/>
    <w:rsid w:val="00815000"/>
    <w:rsid w:val="00815D35"/>
    <w:rsid w:val="00815E5E"/>
    <w:rsid w:val="008162FC"/>
    <w:rsid w:val="00816ABF"/>
    <w:rsid w:val="00817A46"/>
    <w:rsid w:val="008213F1"/>
    <w:rsid w:val="0082171F"/>
    <w:rsid w:val="008217C5"/>
    <w:rsid w:val="00821E18"/>
    <w:rsid w:val="00822648"/>
    <w:rsid w:val="0082315C"/>
    <w:rsid w:val="008234D8"/>
    <w:rsid w:val="00824344"/>
    <w:rsid w:val="008243A3"/>
    <w:rsid w:val="00824894"/>
    <w:rsid w:val="00824D19"/>
    <w:rsid w:val="008252CC"/>
    <w:rsid w:val="008255FE"/>
    <w:rsid w:val="0082581D"/>
    <w:rsid w:val="0082602E"/>
    <w:rsid w:val="0082615F"/>
    <w:rsid w:val="008267E7"/>
    <w:rsid w:val="00827C1C"/>
    <w:rsid w:val="00830FCC"/>
    <w:rsid w:val="008312D6"/>
    <w:rsid w:val="00831DEA"/>
    <w:rsid w:val="00832163"/>
    <w:rsid w:val="008327EB"/>
    <w:rsid w:val="008331AB"/>
    <w:rsid w:val="0083461D"/>
    <w:rsid w:val="00834835"/>
    <w:rsid w:val="00834938"/>
    <w:rsid w:val="00834C1E"/>
    <w:rsid w:val="00834E68"/>
    <w:rsid w:val="00834F5F"/>
    <w:rsid w:val="008357C6"/>
    <w:rsid w:val="00835E68"/>
    <w:rsid w:val="00835F78"/>
    <w:rsid w:val="0083751C"/>
    <w:rsid w:val="008378FC"/>
    <w:rsid w:val="00837ED8"/>
    <w:rsid w:val="00840D42"/>
    <w:rsid w:val="00840DD7"/>
    <w:rsid w:val="00841191"/>
    <w:rsid w:val="008412EA"/>
    <w:rsid w:val="0084154A"/>
    <w:rsid w:val="00842762"/>
    <w:rsid w:val="00842D92"/>
    <w:rsid w:val="008431A7"/>
    <w:rsid w:val="0084332D"/>
    <w:rsid w:val="00843896"/>
    <w:rsid w:val="0084476E"/>
    <w:rsid w:val="00845A61"/>
    <w:rsid w:val="00845E91"/>
    <w:rsid w:val="0084601D"/>
    <w:rsid w:val="008467D3"/>
    <w:rsid w:val="00847049"/>
    <w:rsid w:val="008470D2"/>
    <w:rsid w:val="00850734"/>
    <w:rsid w:val="00850939"/>
    <w:rsid w:val="0085158E"/>
    <w:rsid w:val="00852118"/>
    <w:rsid w:val="00852969"/>
    <w:rsid w:val="00852A4E"/>
    <w:rsid w:val="00853279"/>
    <w:rsid w:val="00853720"/>
    <w:rsid w:val="00853E37"/>
    <w:rsid w:val="008545D7"/>
    <w:rsid w:val="008548A5"/>
    <w:rsid w:val="00854DEB"/>
    <w:rsid w:val="008574D9"/>
    <w:rsid w:val="0085769D"/>
    <w:rsid w:val="00861748"/>
    <w:rsid w:val="00861DD5"/>
    <w:rsid w:val="008620D9"/>
    <w:rsid w:val="00862F54"/>
    <w:rsid w:val="00863919"/>
    <w:rsid w:val="008640E9"/>
    <w:rsid w:val="008643EB"/>
    <w:rsid w:val="00864B2A"/>
    <w:rsid w:val="00865F14"/>
    <w:rsid w:val="00865FC1"/>
    <w:rsid w:val="008666F6"/>
    <w:rsid w:val="008675CD"/>
    <w:rsid w:val="008679D8"/>
    <w:rsid w:val="00870312"/>
    <w:rsid w:val="00870492"/>
    <w:rsid w:val="008707AC"/>
    <w:rsid w:val="008721D1"/>
    <w:rsid w:val="00872E28"/>
    <w:rsid w:val="00872FCF"/>
    <w:rsid w:val="00873B5E"/>
    <w:rsid w:val="00873E07"/>
    <w:rsid w:val="00873E74"/>
    <w:rsid w:val="0087627C"/>
    <w:rsid w:val="00876391"/>
    <w:rsid w:val="00876D37"/>
    <w:rsid w:val="008773AF"/>
    <w:rsid w:val="0087758D"/>
    <w:rsid w:val="00877A7E"/>
    <w:rsid w:val="00880AA0"/>
    <w:rsid w:val="00880C94"/>
    <w:rsid w:val="00880E23"/>
    <w:rsid w:val="008810B3"/>
    <w:rsid w:val="0088151C"/>
    <w:rsid w:val="00881543"/>
    <w:rsid w:val="008817D9"/>
    <w:rsid w:val="008819A5"/>
    <w:rsid w:val="00882EDF"/>
    <w:rsid w:val="00883112"/>
    <w:rsid w:val="0088344B"/>
    <w:rsid w:val="00883789"/>
    <w:rsid w:val="008837CA"/>
    <w:rsid w:val="00883A84"/>
    <w:rsid w:val="00883D8A"/>
    <w:rsid w:val="0088433D"/>
    <w:rsid w:val="0088491B"/>
    <w:rsid w:val="008850B3"/>
    <w:rsid w:val="008857EC"/>
    <w:rsid w:val="00885F43"/>
    <w:rsid w:val="00886913"/>
    <w:rsid w:val="00886F39"/>
    <w:rsid w:val="008878C5"/>
    <w:rsid w:val="00887AEB"/>
    <w:rsid w:val="00890E5A"/>
    <w:rsid w:val="008913C1"/>
    <w:rsid w:val="00891566"/>
    <w:rsid w:val="00891B37"/>
    <w:rsid w:val="00891E54"/>
    <w:rsid w:val="0089221B"/>
    <w:rsid w:val="00892EFD"/>
    <w:rsid w:val="00893270"/>
    <w:rsid w:val="00893C50"/>
    <w:rsid w:val="00893D16"/>
    <w:rsid w:val="00893E77"/>
    <w:rsid w:val="00893F70"/>
    <w:rsid w:val="008943C6"/>
    <w:rsid w:val="0089537A"/>
    <w:rsid w:val="00895B68"/>
    <w:rsid w:val="0089653B"/>
    <w:rsid w:val="008968A8"/>
    <w:rsid w:val="0089699F"/>
    <w:rsid w:val="008971FF"/>
    <w:rsid w:val="0089772E"/>
    <w:rsid w:val="0089776F"/>
    <w:rsid w:val="00897DDA"/>
    <w:rsid w:val="00897FE8"/>
    <w:rsid w:val="008A03C4"/>
    <w:rsid w:val="008A0552"/>
    <w:rsid w:val="008A07BB"/>
    <w:rsid w:val="008A1336"/>
    <w:rsid w:val="008A1590"/>
    <w:rsid w:val="008A2631"/>
    <w:rsid w:val="008A26F4"/>
    <w:rsid w:val="008A2D78"/>
    <w:rsid w:val="008A33B8"/>
    <w:rsid w:val="008A376A"/>
    <w:rsid w:val="008A37BE"/>
    <w:rsid w:val="008A39E3"/>
    <w:rsid w:val="008A3A25"/>
    <w:rsid w:val="008A49B6"/>
    <w:rsid w:val="008A502C"/>
    <w:rsid w:val="008A67C7"/>
    <w:rsid w:val="008A7317"/>
    <w:rsid w:val="008B054D"/>
    <w:rsid w:val="008B0785"/>
    <w:rsid w:val="008B10CA"/>
    <w:rsid w:val="008B10D9"/>
    <w:rsid w:val="008B1ED5"/>
    <w:rsid w:val="008B2019"/>
    <w:rsid w:val="008B2B66"/>
    <w:rsid w:val="008B33A6"/>
    <w:rsid w:val="008B3F12"/>
    <w:rsid w:val="008B3F1B"/>
    <w:rsid w:val="008B4B04"/>
    <w:rsid w:val="008B4B63"/>
    <w:rsid w:val="008B4EA0"/>
    <w:rsid w:val="008B63D9"/>
    <w:rsid w:val="008B6B47"/>
    <w:rsid w:val="008B707A"/>
    <w:rsid w:val="008B74C6"/>
    <w:rsid w:val="008B7825"/>
    <w:rsid w:val="008C0B58"/>
    <w:rsid w:val="008C28F9"/>
    <w:rsid w:val="008C2AF7"/>
    <w:rsid w:val="008C3813"/>
    <w:rsid w:val="008C383D"/>
    <w:rsid w:val="008C3C68"/>
    <w:rsid w:val="008C3D49"/>
    <w:rsid w:val="008C5040"/>
    <w:rsid w:val="008C59EE"/>
    <w:rsid w:val="008C5AC6"/>
    <w:rsid w:val="008C6077"/>
    <w:rsid w:val="008C73FF"/>
    <w:rsid w:val="008C75F2"/>
    <w:rsid w:val="008C7978"/>
    <w:rsid w:val="008C7BFF"/>
    <w:rsid w:val="008D0075"/>
    <w:rsid w:val="008D072F"/>
    <w:rsid w:val="008D0BA0"/>
    <w:rsid w:val="008D18F7"/>
    <w:rsid w:val="008D1EAF"/>
    <w:rsid w:val="008D1F4F"/>
    <w:rsid w:val="008D2072"/>
    <w:rsid w:val="008D223E"/>
    <w:rsid w:val="008D25B6"/>
    <w:rsid w:val="008D3198"/>
    <w:rsid w:val="008D4563"/>
    <w:rsid w:val="008D5754"/>
    <w:rsid w:val="008D57B4"/>
    <w:rsid w:val="008D5D64"/>
    <w:rsid w:val="008D6077"/>
    <w:rsid w:val="008D66B9"/>
    <w:rsid w:val="008D6AB7"/>
    <w:rsid w:val="008D6EED"/>
    <w:rsid w:val="008D7649"/>
    <w:rsid w:val="008D7BC9"/>
    <w:rsid w:val="008D7D82"/>
    <w:rsid w:val="008D7DE2"/>
    <w:rsid w:val="008E036A"/>
    <w:rsid w:val="008E0F48"/>
    <w:rsid w:val="008E14EE"/>
    <w:rsid w:val="008E1516"/>
    <w:rsid w:val="008E19AA"/>
    <w:rsid w:val="008E2EB5"/>
    <w:rsid w:val="008E3104"/>
    <w:rsid w:val="008E3C92"/>
    <w:rsid w:val="008E3EB1"/>
    <w:rsid w:val="008E3EF9"/>
    <w:rsid w:val="008E4119"/>
    <w:rsid w:val="008E47B1"/>
    <w:rsid w:val="008E5353"/>
    <w:rsid w:val="008E5AF4"/>
    <w:rsid w:val="008E5C1C"/>
    <w:rsid w:val="008E5FC1"/>
    <w:rsid w:val="008E63EC"/>
    <w:rsid w:val="008E6B66"/>
    <w:rsid w:val="008E6E9B"/>
    <w:rsid w:val="008E7131"/>
    <w:rsid w:val="008E72AE"/>
    <w:rsid w:val="008E75FC"/>
    <w:rsid w:val="008E790D"/>
    <w:rsid w:val="008F042A"/>
    <w:rsid w:val="008F0433"/>
    <w:rsid w:val="008F0C02"/>
    <w:rsid w:val="008F18E5"/>
    <w:rsid w:val="008F1BEC"/>
    <w:rsid w:val="008F2B9A"/>
    <w:rsid w:val="008F2BB6"/>
    <w:rsid w:val="008F2CD7"/>
    <w:rsid w:val="008F2FD2"/>
    <w:rsid w:val="008F37ED"/>
    <w:rsid w:val="008F41B4"/>
    <w:rsid w:val="008F4E28"/>
    <w:rsid w:val="008F50C0"/>
    <w:rsid w:val="008F52A3"/>
    <w:rsid w:val="008F5698"/>
    <w:rsid w:val="008F598A"/>
    <w:rsid w:val="008F5CF9"/>
    <w:rsid w:val="008F5D81"/>
    <w:rsid w:val="008F6358"/>
    <w:rsid w:val="008F7445"/>
    <w:rsid w:val="0090037B"/>
    <w:rsid w:val="00900766"/>
    <w:rsid w:val="009014E6"/>
    <w:rsid w:val="009015BF"/>
    <w:rsid w:val="009022C8"/>
    <w:rsid w:val="009028C7"/>
    <w:rsid w:val="00903017"/>
    <w:rsid w:val="009030A8"/>
    <w:rsid w:val="009045D9"/>
    <w:rsid w:val="00904A96"/>
    <w:rsid w:val="00905731"/>
    <w:rsid w:val="00905CD3"/>
    <w:rsid w:val="00906273"/>
    <w:rsid w:val="00906F57"/>
    <w:rsid w:val="00907287"/>
    <w:rsid w:val="00910DA9"/>
    <w:rsid w:val="009116CD"/>
    <w:rsid w:val="00911859"/>
    <w:rsid w:val="009120A0"/>
    <w:rsid w:val="00912DE4"/>
    <w:rsid w:val="00913049"/>
    <w:rsid w:val="0091328C"/>
    <w:rsid w:val="009134D0"/>
    <w:rsid w:val="009136EB"/>
    <w:rsid w:val="0091410C"/>
    <w:rsid w:val="009141E6"/>
    <w:rsid w:val="00914382"/>
    <w:rsid w:val="009151FF"/>
    <w:rsid w:val="0091559E"/>
    <w:rsid w:val="00915E9C"/>
    <w:rsid w:val="0091615E"/>
    <w:rsid w:val="00916502"/>
    <w:rsid w:val="00916D23"/>
    <w:rsid w:val="00916D98"/>
    <w:rsid w:val="009171E9"/>
    <w:rsid w:val="00917A51"/>
    <w:rsid w:val="00920012"/>
    <w:rsid w:val="00920653"/>
    <w:rsid w:val="00920C10"/>
    <w:rsid w:val="0092148B"/>
    <w:rsid w:val="00921C72"/>
    <w:rsid w:val="0092223A"/>
    <w:rsid w:val="009225AD"/>
    <w:rsid w:val="00922924"/>
    <w:rsid w:val="00922D68"/>
    <w:rsid w:val="00923C53"/>
    <w:rsid w:val="00924183"/>
    <w:rsid w:val="00924691"/>
    <w:rsid w:val="0092510D"/>
    <w:rsid w:val="009254F2"/>
    <w:rsid w:val="0092668B"/>
    <w:rsid w:val="00926B00"/>
    <w:rsid w:val="00926D85"/>
    <w:rsid w:val="0092726E"/>
    <w:rsid w:val="00927419"/>
    <w:rsid w:val="00927523"/>
    <w:rsid w:val="009303B8"/>
    <w:rsid w:val="00930ACB"/>
    <w:rsid w:val="00930F77"/>
    <w:rsid w:val="009312EB"/>
    <w:rsid w:val="0093164F"/>
    <w:rsid w:val="009319E6"/>
    <w:rsid w:val="00931C56"/>
    <w:rsid w:val="00932229"/>
    <w:rsid w:val="0093236C"/>
    <w:rsid w:val="00932B18"/>
    <w:rsid w:val="00932E05"/>
    <w:rsid w:val="00932FFB"/>
    <w:rsid w:val="009336D0"/>
    <w:rsid w:val="00933728"/>
    <w:rsid w:val="0093382D"/>
    <w:rsid w:val="00933A2A"/>
    <w:rsid w:val="009344F6"/>
    <w:rsid w:val="00934522"/>
    <w:rsid w:val="00934E9F"/>
    <w:rsid w:val="009359D9"/>
    <w:rsid w:val="0093604D"/>
    <w:rsid w:val="0093710E"/>
    <w:rsid w:val="00937CA2"/>
    <w:rsid w:val="00940190"/>
    <w:rsid w:val="00940EAF"/>
    <w:rsid w:val="0094168E"/>
    <w:rsid w:val="00941A10"/>
    <w:rsid w:val="00941A51"/>
    <w:rsid w:val="00941D86"/>
    <w:rsid w:val="00941E85"/>
    <w:rsid w:val="00942234"/>
    <w:rsid w:val="00942B7B"/>
    <w:rsid w:val="00943786"/>
    <w:rsid w:val="009444A0"/>
    <w:rsid w:val="0094452C"/>
    <w:rsid w:val="00944C10"/>
    <w:rsid w:val="009456CD"/>
    <w:rsid w:val="00945C6C"/>
    <w:rsid w:val="00945E00"/>
    <w:rsid w:val="00946442"/>
    <w:rsid w:val="00947A3A"/>
    <w:rsid w:val="00947BD7"/>
    <w:rsid w:val="00950783"/>
    <w:rsid w:val="0095087B"/>
    <w:rsid w:val="009509E1"/>
    <w:rsid w:val="009511AD"/>
    <w:rsid w:val="00951ABF"/>
    <w:rsid w:val="00951EA6"/>
    <w:rsid w:val="009521B7"/>
    <w:rsid w:val="009522D1"/>
    <w:rsid w:val="00952EAC"/>
    <w:rsid w:val="00952F0D"/>
    <w:rsid w:val="00952F1C"/>
    <w:rsid w:val="00953057"/>
    <w:rsid w:val="00953162"/>
    <w:rsid w:val="009531B1"/>
    <w:rsid w:val="00953733"/>
    <w:rsid w:val="00953B33"/>
    <w:rsid w:val="00953E5E"/>
    <w:rsid w:val="00954036"/>
    <w:rsid w:val="0095432E"/>
    <w:rsid w:val="00955A08"/>
    <w:rsid w:val="00955C03"/>
    <w:rsid w:val="00956836"/>
    <w:rsid w:val="0095689A"/>
    <w:rsid w:val="009568AE"/>
    <w:rsid w:val="009569F2"/>
    <w:rsid w:val="00956AA7"/>
    <w:rsid w:val="0095773F"/>
    <w:rsid w:val="00957D20"/>
    <w:rsid w:val="009601E6"/>
    <w:rsid w:val="009603AF"/>
    <w:rsid w:val="009604AC"/>
    <w:rsid w:val="009609A9"/>
    <w:rsid w:val="00960D79"/>
    <w:rsid w:val="00960F45"/>
    <w:rsid w:val="00961094"/>
    <w:rsid w:val="009611C2"/>
    <w:rsid w:val="00961630"/>
    <w:rsid w:val="0096213B"/>
    <w:rsid w:val="009629D6"/>
    <w:rsid w:val="00962E0E"/>
    <w:rsid w:val="009635D5"/>
    <w:rsid w:val="009639D7"/>
    <w:rsid w:val="00964692"/>
    <w:rsid w:val="00964831"/>
    <w:rsid w:val="00964CD9"/>
    <w:rsid w:val="0096544B"/>
    <w:rsid w:val="00965896"/>
    <w:rsid w:val="00966A0A"/>
    <w:rsid w:val="00966AA0"/>
    <w:rsid w:val="00966C06"/>
    <w:rsid w:val="00966E65"/>
    <w:rsid w:val="0096729F"/>
    <w:rsid w:val="009672C6"/>
    <w:rsid w:val="00967DB8"/>
    <w:rsid w:val="00967E93"/>
    <w:rsid w:val="00970484"/>
    <w:rsid w:val="0097071C"/>
    <w:rsid w:val="00970C2A"/>
    <w:rsid w:val="009725F3"/>
    <w:rsid w:val="009731CB"/>
    <w:rsid w:val="009736A2"/>
    <w:rsid w:val="00975161"/>
    <w:rsid w:val="009758E0"/>
    <w:rsid w:val="0097632C"/>
    <w:rsid w:val="009764AA"/>
    <w:rsid w:val="00976EDA"/>
    <w:rsid w:val="0097773B"/>
    <w:rsid w:val="009777ED"/>
    <w:rsid w:val="00980AAA"/>
    <w:rsid w:val="00980F37"/>
    <w:rsid w:val="00980FB2"/>
    <w:rsid w:val="00981E33"/>
    <w:rsid w:val="00982417"/>
    <w:rsid w:val="009824D5"/>
    <w:rsid w:val="009827C3"/>
    <w:rsid w:val="00982B01"/>
    <w:rsid w:val="0098342E"/>
    <w:rsid w:val="00983A5D"/>
    <w:rsid w:val="0098444D"/>
    <w:rsid w:val="009851A1"/>
    <w:rsid w:val="0098557C"/>
    <w:rsid w:val="00986354"/>
    <w:rsid w:val="00986837"/>
    <w:rsid w:val="009869AF"/>
    <w:rsid w:val="0098780C"/>
    <w:rsid w:val="00990211"/>
    <w:rsid w:val="0099092A"/>
    <w:rsid w:val="00990E13"/>
    <w:rsid w:val="00991F5D"/>
    <w:rsid w:val="00992979"/>
    <w:rsid w:val="00992EA3"/>
    <w:rsid w:val="00993C31"/>
    <w:rsid w:val="00993E99"/>
    <w:rsid w:val="00994389"/>
    <w:rsid w:val="009948D7"/>
    <w:rsid w:val="009955FD"/>
    <w:rsid w:val="00995DD3"/>
    <w:rsid w:val="00995FEC"/>
    <w:rsid w:val="009979E4"/>
    <w:rsid w:val="009A1E12"/>
    <w:rsid w:val="009A2251"/>
    <w:rsid w:val="009A2D40"/>
    <w:rsid w:val="009A3623"/>
    <w:rsid w:val="009A36F2"/>
    <w:rsid w:val="009A3F53"/>
    <w:rsid w:val="009A4770"/>
    <w:rsid w:val="009A4EE1"/>
    <w:rsid w:val="009A55AE"/>
    <w:rsid w:val="009A5612"/>
    <w:rsid w:val="009A59F4"/>
    <w:rsid w:val="009A617C"/>
    <w:rsid w:val="009A63FC"/>
    <w:rsid w:val="009A6C08"/>
    <w:rsid w:val="009A6C15"/>
    <w:rsid w:val="009A6F1C"/>
    <w:rsid w:val="009A771A"/>
    <w:rsid w:val="009B03AC"/>
    <w:rsid w:val="009B29F5"/>
    <w:rsid w:val="009B2BEB"/>
    <w:rsid w:val="009B2E94"/>
    <w:rsid w:val="009B3167"/>
    <w:rsid w:val="009B3326"/>
    <w:rsid w:val="009B34A8"/>
    <w:rsid w:val="009B4B67"/>
    <w:rsid w:val="009B5096"/>
    <w:rsid w:val="009B52CA"/>
    <w:rsid w:val="009B5575"/>
    <w:rsid w:val="009B5700"/>
    <w:rsid w:val="009B6300"/>
    <w:rsid w:val="009B6A48"/>
    <w:rsid w:val="009B6C9A"/>
    <w:rsid w:val="009B7073"/>
    <w:rsid w:val="009B711E"/>
    <w:rsid w:val="009B7422"/>
    <w:rsid w:val="009B7EA1"/>
    <w:rsid w:val="009B7FAB"/>
    <w:rsid w:val="009C0CAC"/>
    <w:rsid w:val="009C0E67"/>
    <w:rsid w:val="009C0EF6"/>
    <w:rsid w:val="009C14B1"/>
    <w:rsid w:val="009C1F8E"/>
    <w:rsid w:val="009C3114"/>
    <w:rsid w:val="009C31DF"/>
    <w:rsid w:val="009C3773"/>
    <w:rsid w:val="009C3AC8"/>
    <w:rsid w:val="009C3E2D"/>
    <w:rsid w:val="009C51AE"/>
    <w:rsid w:val="009C545E"/>
    <w:rsid w:val="009C59D7"/>
    <w:rsid w:val="009C6171"/>
    <w:rsid w:val="009C62F5"/>
    <w:rsid w:val="009C6C2F"/>
    <w:rsid w:val="009C73FF"/>
    <w:rsid w:val="009C7421"/>
    <w:rsid w:val="009C7953"/>
    <w:rsid w:val="009D05E6"/>
    <w:rsid w:val="009D241F"/>
    <w:rsid w:val="009D2A98"/>
    <w:rsid w:val="009D439A"/>
    <w:rsid w:val="009D4C0F"/>
    <w:rsid w:val="009D526D"/>
    <w:rsid w:val="009D58E6"/>
    <w:rsid w:val="009D5DBC"/>
    <w:rsid w:val="009D5DD8"/>
    <w:rsid w:val="009D60B6"/>
    <w:rsid w:val="009D61DF"/>
    <w:rsid w:val="009D6635"/>
    <w:rsid w:val="009D67A2"/>
    <w:rsid w:val="009D67E2"/>
    <w:rsid w:val="009D6FD5"/>
    <w:rsid w:val="009D70F6"/>
    <w:rsid w:val="009D71A8"/>
    <w:rsid w:val="009E08C3"/>
    <w:rsid w:val="009E18FC"/>
    <w:rsid w:val="009E2455"/>
    <w:rsid w:val="009E2995"/>
    <w:rsid w:val="009E2D8B"/>
    <w:rsid w:val="009E4FFF"/>
    <w:rsid w:val="009E52C7"/>
    <w:rsid w:val="009E5D21"/>
    <w:rsid w:val="009E661D"/>
    <w:rsid w:val="009E7F03"/>
    <w:rsid w:val="009E7FEB"/>
    <w:rsid w:val="009F0CB7"/>
    <w:rsid w:val="009F0CCE"/>
    <w:rsid w:val="009F2DD4"/>
    <w:rsid w:val="009F2FF4"/>
    <w:rsid w:val="009F32AF"/>
    <w:rsid w:val="009F39EA"/>
    <w:rsid w:val="009F3BAF"/>
    <w:rsid w:val="009F3D8F"/>
    <w:rsid w:val="009F3E12"/>
    <w:rsid w:val="009F4C9F"/>
    <w:rsid w:val="009F5053"/>
    <w:rsid w:val="009F5764"/>
    <w:rsid w:val="009F59A0"/>
    <w:rsid w:val="009F6AF8"/>
    <w:rsid w:val="009F6BD0"/>
    <w:rsid w:val="009F6FAB"/>
    <w:rsid w:val="009F72B6"/>
    <w:rsid w:val="009F7FD9"/>
    <w:rsid w:val="00A00723"/>
    <w:rsid w:val="00A007C6"/>
    <w:rsid w:val="00A014B4"/>
    <w:rsid w:val="00A01960"/>
    <w:rsid w:val="00A01B33"/>
    <w:rsid w:val="00A02ACD"/>
    <w:rsid w:val="00A02C04"/>
    <w:rsid w:val="00A02FA4"/>
    <w:rsid w:val="00A05559"/>
    <w:rsid w:val="00A0565F"/>
    <w:rsid w:val="00A06BDE"/>
    <w:rsid w:val="00A06D7A"/>
    <w:rsid w:val="00A10063"/>
    <w:rsid w:val="00A1017A"/>
    <w:rsid w:val="00A107EE"/>
    <w:rsid w:val="00A11131"/>
    <w:rsid w:val="00A1297E"/>
    <w:rsid w:val="00A13244"/>
    <w:rsid w:val="00A15C9E"/>
    <w:rsid w:val="00A15D02"/>
    <w:rsid w:val="00A1763C"/>
    <w:rsid w:val="00A203C4"/>
    <w:rsid w:val="00A204C9"/>
    <w:rsid w:val="00A20B10"/>
    <w:rsid w:val="00A2102B"/>
    <w:rsid w:val="00A213EB"/>
    <w:rsid w:val="00A21A61"/>
    <w:rsid w:val="00A21DB4"/>
    <w:rsid w:val="00A21F8C"/>
    <w:rsid w:val="00A221DD"/>
    <w:rsid w:val="00A222B3"/>
    <w:rsid w:val="00A2255B"/>
    <w:rsid w:val="00A22970"/>
    <w:rsid w:val="00A22FCB"/>
    <w:rsid w:val="00A23295"/>
    <w:rsid w:val="00A24349"/>
    <w:rsid w:val="00A254FD"/>
    <w:rsid w:val="00A2765F"/>
    <w:rsid w:val="00A27A48"/>
    <w:rsid w:val="00A30201"/>
    <w:rsid w:val="00A303A0"/>
    <w:rsid w:val="00A308DD"/>
    <w:rsid w:val="00A31127"/>
    <w:rsid w:val="00A31D3D"/>
    <w:rsid w:val="00A329CF"/>
    <w:rsid w:val="00A32F57"/>
    <w:rsid w:val="00A33004"/>
    <w:rsid w:val="00A33487"/>
    <w:rsid w:val="00A334C3"/>
    <w:rsid w:val="00A33755"/>
    <w:rsid w:val="00A33CE7"/>
    <w:rsid w:val="00A33CF6"/>
    <w:rsid w:val="00A33FE5"/>
    <w:rsid w:val="00A34E7F"/>
    <w:rsid w:val="00A35799"/>
    <w:rsid w:val="00A35E98"/>
    <w:rsid w:val="00A4004A"/>
    <w:rsid w:val="00A404DF"/>
    <w:rsid w:val="00A40AFF"/>
    <w:rsid w:val="00A40EFF"/>
    <w:rsid w:val="00A413C4"/>
    <w:rsid w:val="00A41510"/>
    <w:rsid w:val="00A418C6"/>
    <w:rsid w:val="00A41AD4"/>
    <w:rsid w:val="00A41EFC"/>
    <w:rsid w:val="00A42678"/>
    <w:rsid w:val="00A42C23"/>
    <w:rsid w:val="00A42C41"/>
    <w:rsid w:val="00A42CE3"/>
    <w:rsid w:val="00A43399"/>
    <w:rsid w:val="00A43DE1"/>
    <w:rsid w:val="00A440F3"/>
    <w:rsid w:val="00A4540D"/>
    <w:rsid w:val="00A45FE9"/>
    <w:rsid w:val="00A46238"/>
    <w:rsid w:val="00A46F5C"/>
    <w:rsid w:val="00A4723C"/>
    <w:rsid w:val="00A50273"/>
    <w:rsid w:val="00A50D9E"/>
    <w:rsid w:val="00A51A8C"/>
    <w:rsid w:val="00A51CE6"/>
    <w:rsid w:val="00A527A3"/>
    <w:rsid w:val="00A52911"/>
    <w:rsid w:val="00A52988"/>
    <w:rsid w:val="00A53382"/>
    <w:rsid w:val="00A53529"/>
    <w:rsid w:val="00A535B3"/>
    <w:rsid w:val="00A53DCE"/>
    <w:rsid w:val="00A54816"/>
    <w:rsid w:val="00A559E6"/>
    <w:rsid w:val="00A56642"/>
    <w:rsid w:val="00A56CB0"/>
    <w:rsid w:val="00A5792D"/>
    <w:rsid w:val="00A57A1E"/>
    <w:rsid w:val="00A57C22"/>
    <w:rsid w:val="00A60785"/>
    <w:rsid w:val="00A60FFB"/>
    <w:rsid w:val="00A61824"/>
    <w:rsid w:val="00A619F3"/>
    <w:rsid w:val="00A622CF"/>
    <w:rsid w:val="00A62A5E"/>
    <w:rsid w:val="00A62B1B"/>
    <w:rsid w:val="00A648EB"/>
    <w:rsid w:val="00A64C33"/>
    <w:rsid w:val="00A652FD"/>
    <w:rsid w:val="00A65631"/>
    <w:rsid w:val="00A6567E"/>
    <w:rsid w:val="00A65C83"/>
    <w:rsid w:val="00A66AFF"/>
    <w:rsid w:val="00A66E30"/>
    <w:rsid w:val="00A67AF2"/>
    <w:rsid w:val="00A7108E"/>
    <w:rsid w:val="00A71C51"/>
    <w:rsid w:val="00A72F26"/>
    <w:rsid w:val="00A73204"/>
    <w:rsid w:val="00A73C19"/>
    <w:rsid w:val="00A73E93"/>
    <w:rsid w:val="00A74088"/>
    <w:rsid w:val="00A74409"/>
    <w:rsid w:val="00A7466E"/>
    <w:rsid w:val="00A7468A"/>
    <w:rsid w:val="00A75387"/>
    <w:rsid w:val="00A7594A"/>
    <w:rsid w:val="00A7685E"/>
    <w:rsid w:val="00A771D3"/>
    <w:rsid w:val="00A77355"/>
    <w:rsid w:val="00A77750"/>
    <w:rsid w:val="00A77CC1"/>
    <w:rsid w:val="00A77D60"/>
    <w:rsid w:val="00A77E8C"/>
    <w:rsid w:val="00A80B6F"/>
    <w:rsid w:val="00A81DAA"/>
    <w:rsid w:val="00A8201A"/>
    <w:rsid w:val="00A82594"/>
    <w:rsid w:val="00A83DF3"/>
    <w:rsid w:val="00A84924"/>
    <w:rsid w:val="00A84A1B"/>
    <w:rsid w:val="00A84A84"/>
    <w:rsid w:val="00A84AE9"/>
    <w:rsid w:val="00A84E88"/>
    <w:rsid w:val="00A85A03"/>
    <w:rsid w:val="00A86556"/>
    <w:rsid w:val="00A865E5"/>
    <w:rsid w:val="00A86F6D"/>
    <w:rsid w:val="00A870FE"/>
    <w:rsid w:val="00A87C53"/>
    <w:rsid w:val="00A90E4B"/>
    <w:rsid w:val="00A92173"/>
    <w:rsid w:val="00A92442"/>
    <w:rsid w:val="00A92752"/>
    <w:rsid w:val="00A9280D"/>
    <w:rsid w:val="00A93E3E"/>
    <w:rsid w:val="00A94CC3"/>
    <w:rsid w:val="00A94CFF"/>
    <w:rsid w:val="00A94E5B"/>
    <w:rsid w:val="00A95445"/>
    <w:rsid w:val="00A9551C"/>
    <w:rsid w:val="00A95A0B"/>
    <w:rsid w:val="00A95A71"/>
    <w:rsid w:val="00A95B12"/>
    <w:rsid w:val="00A977C6"/>
    <w:rsid w:val="00A979E9"/>
    <w:rsid w:val="00AA005B"/>
    <w:rsid w:val="00AA08E2"/>
    <w:rsid w:val="00AA09FD"/>
    <w:rsid w:val="00AA0BB4"/>
    <w:rsid w:val="00AA0CD3"/>
    <w:rsid w:val="00AA113F"/>
    <w:rsid w:val="00AA19DC"/>
    <w:rsid w:val="00AA235C"/>
    <w:rsid w:val="00AA2F62"/>
    <w:rsid w:val="00AA3898"/>
    <w:rsid w:val="00AA392F"/>
    <w:rsid w:val="00AA5AA7"/>
    <w:rsid w:val="00AA5F00"/>
    <w:rsid w:val="00AA62E2"/>
    <w:rsid w:val="00AA66E7"/>
    <w:rsid w:val="00AA6FCF"/>
    <w:rsid w:val="00AA7253"/>
    <w:rsid w:val="00AA74A5"/>
    <w:rsid w:val="00AA7CB5"/>
    <w:rsid w:val="00AA7EAE"/>
    <w:rsid w:val="00AB0442"/>
    <w:rsid w:val="00AB158E"/>
    <w:rsid w:val="00AB18F7"/>
    <w:rsid w:val="00AB1A21"/>
    <w:rsid w:val="00AB1ED5"/>
    <w:rsid w:val="00AB208F"/>
    <w:rsid w:val="00AB2580"/>
    <w:rsid w:val="00AB2B72"/>
    <w:rsid w:val="00AB2E81"/>
    <w:rsid w:val="00AB3C55"/>
    <w:rsid w:val="00AB5387"/>
    <w:rsid w:val="00AB5626"/>
    <w:rsid w:val="00AB5F3C"/>
    <w:rsid w:val="00AB5F7C"/>
    <w:rsid w:val="00AB7813"/>
    <w:rsid w:val="00AC0F05"/>
    <w:rsid w:val="00AC1880"/>
    <w:rsid w:val="00AC1E1C"/>
    <w:rsid w:val="00AC3819"/>
    <w:rsid w:val="00AC3B1C"/>
    <w:rsid w:val="00AC4666"/>
    <w:rsid w:val="00AC4952"/>
    <w:rsid w:val="00AC4B2E"/>
    <w:rsid w:val="00AC4E6D"/>
    <w:rsid w:val="00AC608D"/>
    <w:rsid w:val="00AC7399"/>
    <w:rsid w:val="00AC78B6"/>
    <w:rsid w:val="00AD0299"/>
    <w:rsid w:val="00AD0962"/>
    <w:rsid w:val="00AD1169"/>
    <w:rsid w:val="00AD19CE"/>
    <w:rsid w:val="00AD1E9E"/>
    <w:rsid w:val="00AD2AA4"/>
    <w:rsid w:val="00AD2F9B"/>
    <w:rsid w:val="00AD3AC1"/>
    <w:rsid w:val="00AD41E4"/>
    <w:rsid w:val="00AD4284"/>
    <w:rsid w:val="00AD4408"/>
    <w:rsid w:val="00AD440F"/>
    <w:rsid w:val="00AD5779"/>
    <w:rsid w:val="00AD58FE"/>
    <w:rsid w:val="00AD5AF3"/>
    <w:rsid w:val="00AD5C53"/>
    <w:rsid w:val="00AD612D"/>
    <w:rsid w:val="00AD7219"/>
    <w:rsid w:val="00AD7701"/>
    <w:rsid w:val="00AD7CD5"/>
    <w:rsid w:val="00AE07E9"/>
    <w:rsid w:val="00AE08CA"/>
    <w:rsid w:val="00AE0F1E"/>
    <w:rsid w:val="00AE1281"/>
    <w:rsid w:val="00AE1F7A"/>
    <w:rsid w:val="00AE3A66"/>
    <w:rsid w:val="00AE3D8E"/>
    <w:rsid w:val="00AE4469"/>
    <w:rsid w:val="00AE4540"/>
    <w:rsid w:val="00AE5604"/>
    <w:rsid w:val="00AE569F"/>
    <w:rsid w:val="00AE56E5"/>
    <w:rsid w:val="00AE6160"/>
    <w:rsid w:val="00AE673D"/>
    <w:rsid w:val="00AE75CC"/>
    <w:rsid w:val="00AF1B51"/>
    <w:rsid w:val="00AF1B61"/>
    <w:rsid w:val="00AF1E1F"/>
    <w:rsid w:val="00AF2860"/>
    <w:rsid w:val="00AF2A79"/>
    <w:rsid w:val="00AF3166"/>
    <w:rsid w:val="00AF41A6"/>
    <w:rsid w:val="00AF4288"/>
    <w:rsid w:val="00AF42B7"/>
    <w:rsid w:val="00AF46A2"/>
    <w:rsid w:val="00AF4749"/>
    <w:rsid w:val="00AF4DAA"/>
    <w:rsid w:val="00AF6E57"/>
    <w:rsid w:val="00AF7396"/>
    <w:rsid w:val="00AF748C"/>
    <w:rsid w:val="00B000DC"/>
    <w:rsid w:val="00B002BA"/>
    <w:rsid w:val="00B00D9C"/>
    <w:rsid w:val="00B00E1C"/>
    <w:rsid w:val="00B0113D"/>
    <w:rsid w:val="00B01306"/>
    <w:rsid w:val="00B01AC5"/>
    <w:rsid w:val="00B027D1"/>
    <w:rsid w:val="00B0297A"/>
    <w:rsid w:val="00B02C9C"/>
    <w:rsid w:val="00B03757"/>
    <w:rsid w:val="00B03B73"/>
    <w:rsid w:val="00B04B07"/>
    <w:rsid w:val="00B04D1B"/>
    <w:rsid w:val="00B0518C"/>
    <w:rsid w:val="00B05F00"/>
    <w:rsid w:val="00B05F98"/>
    <w:rsid w:val="00B06760"/>
    <w:rsid w:val="00B077C8"/>
    <w:rsid w:val="00B100F8"/>
    <w:rsid w:val="00B102FF"/>
    <w:rsid w:val="00B104DE"/>
    <w:rsid w:val="00B10A2C"/>
    <w:rsid w:val="00B10C87"/>
    <w:rsid w:val="00B10CB4"/>
    <w:rsid w:val="00B110D6"/>
    <w:rsid w:val="00B11211"/>
    <w:rsid w:val="00B124EE"/>
    <w:rsid w:val="00B12596"/>
    <w:rsid w:val="00B13217"/>
    <w:rsid w:val="00B13479"/>
    <w:rsid w:val="00B160F6"/>
    <w:rsid w:val="00B16192"/>
    <w:rsid w:val="00B1705B"/>
    <w:rsid w:val="00B17CCC"/>
    <w:rsid w:val="00B17D7F"/>
    <w:rsid w:val="00B17D8F"/>
    <w:rsid w:val="00B20B69"/>
    <w:rsid w:val="00B217ED"/>
    <w:rsid w:val="00B2189B"/>
    <w:rsid w:val="00B2275B"/>
    <w:rsid w:val="00B23123"/>
    <w:rsid w:val="00B2364B"/>
    <w:rsid w:val="00B23AED"/>
    <w:rsid w:val="00B23B79"/>
    <w:rsid w:val="00B24EC8"/>
    <w:rsid w:val="00B25292"/>
    <w:rsid w:val="00B25FA5"/>
    <w:rsid w:val="00B261B8"/>
    <w:rsid w:val="00B265D4"/>
    <w:rsid w:val="00B26623"/>
    <w:rsid w:val="00B2673A"/>
    <w:rsid w:val="00B2673C"/>
    <w:rsid w:val="00B26BB5"/>
    <w:rsid w:val="00B2718A"/>
    <w:rsid w:val="00B31FCC"/>
    <w:rsid w:val="00B3295E"/>
    <w:rsid w:val="00B33350"/>
    <w:rsid w:val="00B3364B"/>
    <w:rsid w:val="00B343B4"/>
    <w:rsid w:val="00B35C49"/>
    <w:rsid w:val="00B3722F"/>
    <w:rsid w:val="00B3751D"/>
    <w:rsid w:val="00B3759C"/>
    <w:rsid w:val="00B37837"/>
    <w:rsid w:val="00B4051A"/>
    <w:rsid w:val="00B40D3B"/>
    <w:rsid w:val="00B40E50"/>
    <w:rsid w:val="00B412A4"/>
    <w:rsid w:val="00B416DF"/>
    <w:rsid w:val="00B41BEB"/>
    <w:rsid w:val="00B41E0F"/>
    <w:rsid w:val="00B41FC1"/>
    <w:rsid w:val="00B42A45"/>
    <w:rsid w:val="00B42A98"/>
    <w:rsid w:val="00B42D28"/>
    <w:rsid w:val="00B4367A"/>
    <w:rsid w:val="00B43CCA"/>
    <w:rsid w:val="00B44E63"/>
    <w:rsid w:val="00B44EB5"/>
    <w:rsid w:val="00B45000"/>
    <w:rsid w:val="00B45A64"/>
    <w:rsid w:val="00B45EF4"/>
    <w:rsid w:val="00B50D1F"/>
    <w:rsid w:val="00B51EF6"/>
    <w:rsid w:val="00B52049"/>
    <w:rsid w:val="00B52979"/>
    <w:rsid w:val="00B52DE6"/>
    <w:rsid w:val="00B52F69"/>
    <w:rsid w:val="00B52F7B"/>
    <w:rsid w:val="00B53D15"/>
    <w:rsid w:val="00B53E71"/>
    <w:rsid w:val="00B53FC8"/>
    <w:rsid w:val="00B55E0A"/>
    <w:rsid w:val="00B561E0"/>
    <w:rsid w:val="00B566EE"/>
    <w:rsid w:val="00B57709"/>
    <w:rsid w:val="00B578F9"/>
    <w:rsid w:val="00B57CB2"/>
    <w:rsid w:val="00B61272"/>
    <w:rsid w:val="00B613B3"/>
    <w:rsid w:val="00B61676"/>
    <w:rsid w:val="00B61E0A"/>
    <w:rsid w:val="00B627A4"/>
    <w:rsid w:val="00B62F91"/>
    <w:rsid w:val="00B631DA"/>
    <w:rsid w:val="00B632E7"/>
    <w:rsid w:val="00B638F6"/>
    <w:rsid w:val="00B63A6C"/>
    <w:rsid w:val="00B642F8"/>
    <w:rsid w:val="00B65197"/>
    <w:rsid w:val="00B65BB0"/>
    <w:rsid w:val="00B65FA0"/>
    <w:rsid w:val="00B664B1"/>
    <w:rsid w:val="00B66532"/>
    <w:rsid w:val="00B66A0B"/>
    <w:rsid w:val="00B66F8F"/>
    <w:rsid w:val="00B6724E"/>
    <w:rsid w:val="00B67824"/>
    <w:rsid w:val="00B6787C"/>
    <w:rsid w:val="00B67D4E"/>
    <w:rsid w:val="00B709C9"/>
    <w:rsid w:val="00B719F5"/>
    <w:rsid w:val="00B71E05"/>
    <w:rsid w:val="00B729AC"/>
    <w:rsid w:val="00B735D2"/>
    <w:rsid w:val="00B73A9D"/>
    <w:rsid w:val="00B74527"/>
    <w:rsid w:val="00B745AE"/>
    <w:rsid w:val="00B756EF"/>
    <w:rsid w:val="00B75742"/>
    <w:rsid w:val="00B75D2B"/>
    <w:rsid w:val="00B763C9"/>
    <w:rsid w:val="00B77122"/>
    <w:rsid w:val="00B772FF"/>
    <w:rsid w:val="00B77A93"/>
    <w:rsid w:val="00B77E00"/>
    <w:rsid w:val="00B77F87"/>
    <w:rsid w:val="00B81372"/>
    <w:rsid w:val="00B82221"/>
    <w:rsid w:val="00B82298"/>
    <w:rsid w:val="00B8260B"/>
    <w:rsid w:val="00B82AC2"/>
    <w:rsid w:val="00B831C5"/>
    <w:rsid w:val="00B834BB"/>
    <w:rsid w:val="00B8397C"/>
    <w:rsid w:val="00B83C3B"/>
    <w:rsid w:val="00B84873"/>
    <w:rsid w:val="00B84FF1"/>
    <w:rsid w:val="00B8561F"/>
    <w:rsid w:val="00B867B2"/>
    <w:rsid w:val="00B86B3E"/>
    <w:rsid w:val="00B86DD4"/>
    <w:rsid w:val="00B87449"/>
    <w:rsid w:val="00B876E3"/>
    <w:rsid w:val="00B90968"/>
    <w:rsid w:val="00B9144A"/>
    <w:rsid w:val="00B91619"/>
    <w:rsid w:val="00B94BD1"/>
    <w:rsid w:val="00B94E5F"/>
    <w:rsid w:val="00B94F3C"/>
    <w:rsid w:val="00B95533"/>
    <w:rsid w:val="00B95926"/>
    <w:rsid w:val="00B95D99"/>
    <w:rsid w:val="00B96155"/>
    <w:rsid w:val="00B96382"/>
    <w:rsid w:val="00B963CB"/>
    <w:rsid w:val="00B96DB1"/>
    <w:rsid w:val="00B97495"/>
    <w:rsid w:val="00B97D42"/>
    <w:rsid w:val="00B97D57"/>
    <w:rsid w:val="00BA0A24"/>
    <w:rsid w:val="00BA0D74"/>
    <w:rsid w:val="00BA0DB7"/>
    <w:rsid w:val="00BA1155"/>
    <w:rsid w:val="00BA14D8"/>
    <w:rsid w:val="00BA194E"/>
    <w:rsid w:val="00BA2440"/>
    <w:rsid w:val="00BA2933"/>
    <w:rsid w:val="00BA2BB8"/>
    <w:rsid w:val="00BA2D7A"/>
    <w:rsid w:val="00BA2F3A"/>
    <w:rsid w:val="00BA31E7"/>
    <w:rsid w:val="00BA3C6C"/>
    <w:rsid w:val="00BA3E58"/>
    <w:rsid w:val="00BA3F59"/>
    <w:rsid w:val="00BA4164"/>
    <w:rsid w:val="00BA4421"/>
    <w:rsid w:val="00BA44F6"/>
    <w:rsid w:val="00BA55AC"/>
    <w:rsid w:val="00BA5DF0"/>
    <w:rsid w:val="00BA5E1C"/>
    <w:rsid w:val="00BA67DF"/>
    <w:rsid w:val="00BA68DB"/>
    <w:rsid w:val="00BA6E90"/>
    <w:rsid w:val="00BA6FB9"/>
    <w:rsid w:val="00BA70E2"/>
    <w:rsid w:val="00BA711B"/>
    <w:rsid w:val="00BA7990"/>
    <w:rsid w:val="00BB0D2C"/>
    <w:rsid w:val="00BB1D4E"/>
    <w:rsid w:val="00BB2696"/>
    <w:rsid w:val="00BB3057"/>
    <w:rsid w:val="00BB35E2"/>
    <w:rsid w:val="00BB3B5B"/>
    <w:rsid w:val="00BB427C"/>
    <w:rsid w:val="00BB45AB"/>
    <w:rsid w:val="00BB4D08"/>
    <w:rsid w:val="00BB6F9A"/>
    <w:rsid w:val="00BB757F"/>
    <w:rsid w:val="00BC118F"/>
    <w:rsid w:val="00BC17E6"/>
    <w:rsid w:val="00BC1995"/>
    <w:rsid w:val="00BC2000"/>
    <w:rsid w:val="00BC235A"/>
    <w:rsid w:val="00BC4E7B"/>
    <w:rsid w:val="00BC52E7"/>
    <w:rsid w:val="00BC6A89"/>
    <w:rsid w:val="00BC6BDC"/>
    <w:rsid w:val="00BC6C68"/>
    <w:rsid w:val="00BC79FB"/>
    <w:rsid w:val="00BC7ACC"/>
    <w:rsid w:val="00BD1B32"/>
    <w:rsid w:val="00BD1DFF"/>
    <w:rsid w:val="00BD25BC"/>
    <w:rsid w:val="00BD3497"/>
    <w:rsid w:val="00BD4533"/>
    <w:rsid w:val="00BD566B"/>
    <w:rsid w:val="00BD5A34"/>
    <w:rsid w:val="00BD5AEB"/>
    <w:rsid w:val="00BD5B54"/>
    <w:rsid w:val="00BD740A"/>
    <w:rsid w:val="00BD7853"/>
    <w:rsid w:val="00BD7E5F"/>
    <w:rsid w:val="00BD7E8E"/>
    <w:rsid w:val="00BE0FF1"/>
    <w:rsid w:val="00BE1AF8"/>
    <w:rsid w:val="00BE1B0E"/>
    <w:rsid w:val="00BE1CC3"/>
    <w:rsid w:val="00BE1F12"/>
    <w:rsid w:val="00BE2944"/>
    <w:rsid w:val="00BE2DB4"/>
    <w:rsid w:val="00BE32D6"/>
    <w:rsid w:val="00BE367F"/>
    <w:rsid w:val="00BE5222"/>
    <w:rsid w:val="00BE5488"/>
    <w:rsid w:val="00BE5552"/>
    <w:rsid w:val="00BE63AE"/>
    <w:rsid w:val="00BE699E"/>
    <w:rsid w:val="00BE6EA6"/>
    <w:rsid w:val="00BE7237"/>
    <w:rsid w:val="00BE7245"/>
    <w:rsid w:val="00BE7319"/>
    <w:rsid w:val="00BE79F3"/>
    <w:rsid w:val="00BE7D2B"/>
    <w:rsid w:val="00BF0138"/>
    <w:rsid w:val="00BF03DF"/>
    <w:rsid w:val="00BF0966"/>
    <w:rsid w:val="00BF104A"/>
    <w:rsid w:val="00BF16D9"/>
    <w:rsid w:val="00BF1894"/>
    <w:rsid w:val="00BF1C70"/>
    <w:rsid w:val="00BF22D7"/>
    <w:rsid w:val="00BF2E23"/>
    <w:rsid w:val="00BF54C7"/>
    <w:rsid w:val="00BF5610"/>
    <w:rsid w:val="00BF5745"/>
    <w:rsid w:val="00BF5CC8"/>
    <w:rsid w:val="00BF5E8D"/>
    <w:rsid w:val="00BF641A"/>
    <w:rsid w:val="00BF6D80"/>
    <w:rsid w:val="00BF6DBE"/>
    <w:rsid w:val="00BF7887"/>
    <w:rsid w:val="00BF7D01"/>
    <w:rsid w:val="00C00B8D"/>
    <w:rsid w:val="00C010FA"/>
    <w:rsid w:val="00C0111C"/>
    <w:rsid w:val="00C01183"/>
    <w:rsid w:val="00C01375"/>
    <w:rsid w:val="00C01394"/>
    <w:rsid w:val="00C0145E"/>
    <w:rsid w:val="00C026CC"/>
    <w:rsid w:val="00C02DF7"/>
    <w:rsid w:val="00C03953"/>
    <w:rsid w:val="00C041F7"/>
    <w:rsid w:val="00C04427"/>
    <w:rsid w:val="00C0447D"/>
    <w:rsid w:val="00C04C2A"/>
    <w:rsid w:val="00C0593D"/>
    <w:rsid w:val="00C05B17"/>
    <w:rsid w:val="00C05BB8"/>
    <w:rsid w:val="00C05FF4"/>
    <w:rsid w:val="00C065C0"/>
    <w:rsid w:val="00C06F64"/>
    <w:rsid w:val="00C078F9"/>
    <w:rsid w:val="00C07B17"/>
    <w:rsid w:val="00C1030B"/>
    <w:rsid w:val="00C10B95"/>
    <w:rsid w:val="00C10E59"/>
    <w:rsid w:val="00C111A6"/>
    <w:rsid w:val="00C11296"/>
    <w:rsid w:val="00C114E7"/>
    <w:rsid w:val="00C11512"/>
    <w:rsid w:val="00C119CD"/>
    <w:rsid w:val="00C11BBF"/>
    <w:rsid w:val="00C11D4C"/>
    <w:rsid w:val="00C1235D"/>
    <w:rsid w:val="00C12BFB"/>
    <w:rsid w:val="00C12CED"/>
    <w:rsid w:val="00C12CFD"/>
    <w:rsid w:val="00C12E22"/>
    <w:rsid w:val="00C13049"/>
    <w:rsid w:val="00C13648"/>
    <w:rsid w:val="00C138EC"/>
    <w:rsid w:val="00C139CE"/>
    <w:rsid w:val="00C14572"/>
    <w:rsid w:val="00C14BD5"/>
    <w:rsid w:val="00C15135"/>
    <w:rsid w:val="00C1557A"/>
    <w:rsid w:val="00C15802"/>
    <w:rsid w:val="00C1589C"/>
    <w:rsid w:val="00C15D89"/>
    <w:rsid w:val="00C16754"/>
    <w:rsid w:val="00C168D7"/>
    <w:rsid w:val="00C2009F"/>
    <w:rsid w:val="00C21F68"/>
    <w:rsid w:val="00C221C3"/>
    <w:rsid w:val="00C2225B"/>
    <w:rsid w:val="00C22934"/>
    <w:rsid w:val="00C23306"/>
    <w:rsid w:val="00C2346B"/>
    <w:rsid w:val="00C238A2"/>
    <w:rsid w:val="00C23CB7"/>
    <w:rsid w:val="00C25209"/>
    <w:rsid w:val="00C252BE"/>
    <w:rsid w:val="00C254DA"/>
    <w:rsid w:val="00C265D2"/>
    <w:rsid w:val="00C26B0A"/>
    <w:rsid w:val="00C279A5"/>
    <w:rsid w:val="00C27E0E"/>
    <w:rsid w:val="00C3010C"/>
    <w:rsid w:val="00C309C5"/>
    <w:rsid w:val="00C30AC5"/>
    <w:rsid w:val="00C310C6"/>
    <w:rsid w:val="00C3130F"/>
    <w:rsid w:val="00C315E8"/>
    <w:rsid w:val="00C31A8C"/>
    <w:rsid w:val="00C32448"/>
    <w:rsid w:val="00C329B3"/>
    <w:rsid w:val="00C32A7D"/>
    <w:rsid w:val="00C32CB2"/>
    <w:rsid w:val="00C330F5"/>
    <w:rsid w:val="00C3348F"/>
    <w:rsid w:val="00C337AC"/>
    <w:rsid w:val="00C341CF"/>
    <w:rsid w:val="00C341ED"/>
    <w:rsid w:val="00C34279"/>
    <w:rsid w:val="00C34C0A"/>
    <w:rsid w:val="00C34C75"/>
    <w:rsid w:val="00C36FEC"/>
    <w:rsid w:val="00C375D5"/>
    <w:rsid w:val="00C37DFF"/>
    <w:rsid w:val="00C40A8C"/>
    <w:rsid w:val="00C414E3"/>
    <w:rsid w:val="00C41556"/>
    <w:rsid w:val="00C41DC6"/>
    <w:rsid w:val="00C42406"/>
    <w:rsid w:val="00C42AD1"/>
    <w:rsid w:val="00C42CE3"/>
    <w:rsid w:val="00C42D37"/>
    <w:rsid w:val="00C431D9"/>
    <w:rsid w:val="00C437D2"/>
    <w:rsid w:val="00C4393E"/>
    <w:rsid w:val="00C43CE8"/>
    <w:rsid w:val="00C43F4F"/>
    <w:rsid w:val="00C44440"/>
    <w:rsid w:val="00C44D0B"/>
    <w:rsid w:val="00C4520D"/>
    <w:rsid w:val="00C4631C"/>
    <w:rsid w:val="00C50B84"/>
    <w:rsid w:val="00C5108A"/>
    <w:rsid w:val="00C512A4"/>
    <w:rsid w:val="00C522F2"/>
    <w:rsid w:val="00C52411"/>
    <w:rsid w:val="00C5246A"/>
    <w:rsid w:val="00C52E63"/>
    <w:rsid w:val="00C53802"/>
    <w:rsid w:val="00C53D8A"/>
    <w:rsid w:val="00C54840"/>
    <w:rsid w:val="00C5561D"/>
    <w:rsid w:val="00C55AE5"/>
    <w:rsid w:val="00C56496"/>
    <w:rsid w:val="00C56FFE"/>
    <w:rsid w:val="00C5702F"/>
    <w:rsid w:val="00C577B3"/>
    <w:rsid w:val="00C57FAC"/>
    <w:rsid w:val="00C60E87"/>
    <w:rsid w:val="00C6137E"/>
    <w:rsid w:val="00C613D8"/>
    <w:rsid w:val="00C61914"/>
    <w:rsid w:val="00C61C75"/>
    <w:rsid w:val="00C6299F"/>
    <w:rsid w:val="00C62F97"/>
    <w:rsid w:val="00C659AB"/>
    <w:rsid w:val="00C65C37"/>
    <w:rsid w:val="00C65E2C"/>
    <w:rsid w:val="00C6620A"/>
    <w:rsid w:val="00C662D5"/>
    <w:rsid w:val="00C668F4"/>
    <w:rsid w:val="00C66FB4"/>
    <w:rsid w:val="00C6710D"/>
    <w:rsid w:val="00C672B0"/>
    <w:rsid w:val="00C67CDA"/>
    <w:rsid w:val="00C67EEC"/>
    <w:rsid w:val="00C70EBC"/>
    <w:rsid w:val="00C7126E"/>
    <w:rsid w:val="00C712E7"/>
    <w:rsid w:val="00C71B8D"/>
    <w:rsid w:val="00C728AB"/>
    <w:rsid w:val="00C735A0"/>
    <w:rsid w:val="00C743B7"/>
    <w:rsid w:val="00C745F4"/>
    <w:rsid w:val="00C74DAA"/>
    <w:rsid w:val="00C758FF"/>
    <w:rsid w:val="00C759E7"/>
    <w:rsid w:val="00C76B49"/>
    <w:rsid w:val="00C77D09"/>
    <w:rsid w:val="00C77D5F"/>
    <w:rsid w:val="00C803F1"/>
    <w:rsid w:val="00C8098E"/>
    <w:rsid w:val="00C81073"/>
    <w:rsid w:val="00C81CEB"/>
    <w:rsid w:val="00C81ED3"/>
    <w:rsid w:val="00C82437"/>
    <w:rsid w:val="00C83941"/>
    <w:rsid w:val="00C83E9D"/>
    <w:rsid w:val="00C83F36"/>
    <w:rsid w:val="00C84176"/>
    <w:rsid w:val="00C84671"/>
    <w:rsid w:val="00C84D60"/>
    <w:rsid w:val="00C85196"/>
    <w:rsid w:val="00C85631"/>
    <w:rsid w:val="00C85D10"/>
    <w:rsid w:val="00C86544"/>
    <w:rsid w:val="00C8717C"/>
    <w:rsid w:val="00C8748E"/>
    <w:rsid w:val="00C877E3"/>
    <w:rsid w:val="00C879A0"/>
    <w:rsid w:val="00C90947"/>
    <w:rsid w:val="00C90EAF"/>
    <w:rsid w:val="00C91937"/>
    <w:rsid w:val="00C92267"/>
    <w:rsid w:val="00C926E9"/>
    <w:rsid w:val="00C935EC"/>
    <w:rsid w:val="00C9475D"/>
    <w:rsid w:val="00C948DB"/>
    <w:rsid w:val="00C94D74"/>
    <w:rsid w:val="00C951B4"/>
    <w:rsid w:val="00C9567E"/>
    <w:rsid w:val="00C95E64"/>
    <w:rsid w:val="00C964B2"/>
    <w:rsid w:val="00C96AAD"/>
    <w:rsid w:val="00C974A6"/>
    <w:rsid w:val="00CA0ED8"/>
    <w:rsid w:val="00CA14A7"/>
    <w:rsid w:val="00CA160E"/>
    <w:rsid w:val="00CA1989"/>
    <w:rsid w:val="00CA2848"/>
    <w:rsid w:val="00CA29AB"/>
    <w:rsid w:val="00CA3345"/>
    <w:rsid w:val="00CA38FC"/>
    <w:rsid w:val="00CA3E56"/>
    <w:rsid w:val="00CA3F25"/>
    <w:rsid w:val="00CA4670"/>
    <w:rsid w:val="00CA49EC"/>
    <w:rsid w:val="00CA4D85"/>
    <w:rsid w:val="00CA53C4"/>
    <w:rsid w:val="00CA54B8"/>
    <w:rsid w:val="00CA556C"/>
    <w:rsid w:val="00CA60CC"/>
    <w:rsid w:val="00CB0CEB"/>
    <w:rsid w:val="00CB10E9"/>
    <w:rsid w:val="00CB13BD"/>
    <w:rsid w:val="00CB185E"/>
    <w:rsid w:val="00CB1AEE"/>
    <w:rsid w:val="00CB1BE3"/>
    <w:rsid w:val="00CB4601"/>
    <w:rsid w:val="00CB49EA"/>
    <w:rsid w:val="00CB4B0A"/>
    <w:rsid w:val="00CB4BC2"/>
    <w:rsid w:val="00CB4E5E"/>
    <w:rsid w:val="00CB77B6"/>
    <w:rsid w:val="00CB780E"/>
    <w:rsid w:val="00CB7F33"/>
    <w:rsid w:val="00CC1BC3"/>
    <w:rsid w:val="00CC1D8F"/>
    <w:rsid w:val="00CC25DD"/>
    <w:rsid w:val="00CC2A23"/>
    <w:rsid w:val="00CC2B7E"/>
    <w:rsid w:val="00CC2E40"/>
    <w:rsid w:val="00CC3856"/>
    <w:rsid w:val="00CC3B2E"/>
    <w:rsid w:val="00CC3E3A"/>
    <w:rsid w:val="00CC3F61"/>
    <w:rsid w:val="00CC4682"/>
    <w:rsid w:val="00CC46B7"/>
    <w:rsid w:val="00CC4CD3"/>
    <w:rsid w:val="00CC536B"/>
    <w:rsid w:val="00CC554E"/>
    <w:rsid w:val="00CC5657"/>
    <w:rsid w:val="00CC5B25"/>
    <w:rsid w:val="00CC5F4E"/>
    <w:rsid w:val="00CC65AA"/>
    <w:rsid w:val="00CC6D67"/>
    <w:rsid w:val="00CC7868"/>
    <w:rsid w:val="00CC7BD5"/>
    <w:rsid w:val="00CC7CD8"/>
    <w:rsid w:val="00CD063D"/>
    <w:rsid w:val="00CD09E6"/>
    <w:rsid w:val="00CD17D9"/>
    <w:rsid w:val="00CD1876"/>
    <w:rsid w:val="00CD1A4C"/>
    <w:rsid w:val="00CD2422"/>
    <w:rsid w:val="00CD2994"/>
    <w:rsid w:val="00CD30CF"/>
    <w:rsid w:val="00CD3872"/>
    <w:rsid w:val="00CD41DA"/>
    <w:rsid w:val="00CD41FB"/>
    <w:rsid w:val="00CD4BD5"/>
    <w:rsid w:val="00CD4D5D"/>
    <w:rsid w:val="00CD50AB"/>
    <w:rsid w:val="00CD5501"/>
    <w:rsid w:val="00CD58A5"/>
    <w:rsid w:val="00CD5992"/>
    <w:rsid w:val="00CD62E2"/>
    <w:rsid w:val="00CD647B"/>
    <w:rsid w:val="00CD67BF"/>
    <w:rsid w:val="00CD7290"/>
    <w:rsid w:val="00CD752F"/>
    <w:rsid w:val="00CD75FE"/>
    <w:rsid w:val="00CE080E"/>
    <w:rsid w:val="00CE0A2A"/>
    <w:rsid w:val="00CE2009"/>
    <w:rsid w:val="00CE276A"/>
    <w:rsid w:val="00CE2E7C"/>
    <w:rsid w:val="00CE30EB"/>
    <w:rsid w:val="00CE3903"/>
    <w:rsid w:val="00CE4071"/>
    <w:rsid w:val="00CE4533"/>
    <w:rsid w:val="00CE523C"/>
    <w:rsid w:val="00CE5C76"/>
    <w:rsid w:val="00CE60EF"/>
    <w:rsid w:val="00CE6B00"/>
    <w:rsid w:val="00CE6C4F"/>
    <w:rsid w:val="00CE7409"/>
    <w:rsid w:val="00CE7752"/>
    <w:rsid w:val="00CE7B8A"/>
    <w:rsid w:val="00CE7F29"/>
    <w:rsid w:val="00CF0800"/>
    <w:rsid w:val="00CF0930"/>
    <w:rsid w:val="00CF0D1A"/>
    <w:rsid w:val="00CF21DA"/>
    <w:rsid w:val="00CF27A8"/>
    <w:rsid w:val="00CF2DC4"/>
    <w:rsid w:val="00CF3E2E"/>
    <w:rsid w:val="00CF42B5"/>
    <w:rsid w:val="00CF4A23"/>
    <w:rsid w:val="00CF4B21"/>
    <w:rsid w:val="00CF4E91"/>
    <w:rsid w:val="00CF52CE"/>
    <w:rsid w:val="00CF578F"/>
    <w:rsid w:val="00CF57E1"/>
    <w:rsid w:val="00CF5EEB"/>
    <w:rsid w:val="00CF637D"/>
    <w:rsid w:val="00CF6915"/>
    <w:rsid w:val="00CF6BBF"/>
    <w:rsid w:val="00CF6C3E"/>
    <w:rsid w:val="00CF6DB2"/>
    <w:rsid w:val="00CF6EC5"/>
    <w:rsid w:val="00CF6F45"/>
    <w:rsid w:val="00CF7572"/>
    <w:rsid w:val="00CF7C98"/>
    <w:rsid w:val="00D00903"/>
    <w:rsid w:val="00D00D57"/>
    <w:rsid w:val="00D0124E"/>
    <w:rsid w:val="00D0143F"/>
    <w:rsid w:val="00D030A3"/>
    <w:rsid w:val="00D030E9"/>
    <w:rsid w:val="00D031F2"/>
    <w:rsid w:val="00D033AE"/>
    <w:rsid w:val="00D03B68"/>
    <w:rsid w:val="00D03CA2"/>
    <w:rsid w:val="00D048C7"/>
    <w:rsid w:val="00D05CBE"/>
    <w:rsid w:val="00D05F0B"/>
    <w:rsid w:val="00D06C63"/>
    <w:rsid w:val="00D06ECE"/>
    <w:rsid w:val="00D07168"/>
    <w:rsid w:val="00D077F9"/>
    <w:rsid w:val="00D07898"/>
    <w:rsid w:val="00D106EA"/>
    <w:rsid w:val="00D10B06"/>
    <w:rsid w:val="00D10D04"/>
    <w:rsid w:val="00D10FC5"/>
    <w:rsid w:val="00D111E1"/>
    <w:rsid w:val="00D1139E"/>
    <w:rsid w:val="00D113BA"/>
    <w:rsid w:val="00D11A61"/>
    <w:rsid w:val="00D11BE3"/>
    <w:rsid w:val="00D11FA3"/>
    <w:rsid w:val="00D12945"/>
    <w:rsid w:val="00D1294F"/>
    <w:rsid w:val="00D12AD2"/>
    <w:rsid w:val="00D12DBD"/>
    <w:rsid w:val="00D12FD2"/>
    <w:rsid w:val="00D12FEA"/>
    <w:rsid w:val="00D134CB"/>
    <w:rsid w:val="00D1361A"/>
    <w:rsid w:val="00D13685"/>
    <w:rsid w:val="00D14D0C"/>
    <w:rsid w:val="00D151FD"/>
    <w:rsid w:val="00D15621"/>
    <w:rsid w:val="00D15B29"/>
    <w:rsid w:val="00D163E8"/>
    <w:rsid w:val="00D166A5"/>
    <w:rsid w:val="00D16CD9"/>
    <w:rsid w:val="00D16CF2"/>
    <w:rsid w:val="00D17355"/>
    <w:rsid w:val="00D17E07"/>
    <w:rsid w:val="00D20731"/>
    <w:rsid w:val="00D21059"/>
    <w:rsid w:val="00D2129C"/>
    <w:rsid w:val="00D2155B"/>
    <w:rsid w:val="00D21797"/>
    <w:rsid w:val="00D2196C"/>
    <w:rsid w:val="00D22125"/>
    <w:rsid w:val="00D223A1"/>
    <w:rsid w:val="00D23AD1"/>
    <w:rsid w:val="00D23ADE"/>
    <w:rsid w:val="00D24CE2"/>
    <w:rsid w:val="00D24F4B"/>
    <w:rsid w:val="00D253B8"/>
    <w:rsid w:val="00D25748"/>
    <w:rsid w:val="00D25ABF"/>
    <w:rsid w:val="00D265AC"/>
    <w:rsid w:val="00D26915"/>
    <w:rsid w:val="00D2739F"/>
    <w:rsid w:val="00D27ECE"/>
    <w:rsid w:val="00D301BB"/>
    <w:rsid w:val="00D3118D"/>
    <w:rsid w:val="00D3127C"/>
    <w:rsid w:val="00D31393"/>
    <w:rsid w:val="00D31566"/>
    <w:rsid w:val="00D3172D"/>
    <w:rsid w:val="00D31AD5"/>
    <w:rsid w:val="00D31AD9"/>
    <w:rsid w:val="00D31D4A"/>
    <w:rsid w:val="00D323D8"/>
    <w:rsid w:val="00D327BD"/>
    <w:rsid w:val="00D32AC8"/>
    <w:rsid w:val="00D34601"/>
    <w:rsid w:val="00D3469A"/>
    <w:rsid w:val="00D350F0"/>
    <w:rsid w:val="00D352E6"/>
    <w:rsid w:val="00D35DF9"/>
    <w:rsid w:val="00D363CA"/>
    <w:rsid w:val="00D36FFC"/>
    <w:rsid w:val="00D371F7"/>
    <w:rsid w:val="00D3741D"/>
    <w:rsid w:val="00D37795"/>
    <w:rsid w:val="00D37AB7"/>
    <w:rsid w:val="00D37FDC"/>
    <w:rsid w:val="00D40309"/>
    <w:rsid w:val="00D4052B"/>
    <w:rsid w:val="00D40808"/>
    <w:rsid w:val="00D40CB6"/>
    <w:rsid w:val="00D40F97"/>
    <w:rsid w:val="00D4151E"/>
    <w:rsid w:val="00D417F8"/>
    <w:rsid w:val="00D418CB"/>
    <w:rsid w:val="00D41EC1"/>
    <w:rsid w:val="00D42014"/>
    <w:rsid w:val="00D4282A"/>
    <w:rsid w:val="00D42EED"/>
    <w:rsid w:val="00D43FA4"/>
    <w:rsid w:val="00D43FFD"/>
    <w:rsid w:val="00D441A7"/>
    <w:rsid w:val="00D44A98"/>
    <w:rsid w:val="00D44BD6"/>
    <w:rsid w:val="00D459CB"/>
    <w:rsid w:val="00D461B4"/>
    <w:rsid w:val="00D4631C"/>
    <w:rsid w:val="00D4635D"/>
    <w:rsid w:val="00D46B77"/>
    <w:rsid w:val="00D47C51"/>
    <w:rsid w:val="00D50A8E"/>
    <w:rsid w:val="00D51BCC"/>
    <w:rsid w:val="00D52BC4"/>
    <w:rsid w:val="00D52BFF"/>
    <w:rsid w:val="00D538C0"/>
    <w:rsid w:val="00D53DE2"/>
    <w:rsid w:val="00D55279"/>
    <w:rsid w:val="00D55786"/>
    <w:rsid w:val="00D56153"/>
    <w:rsid w:val="00D565DA"/>
    <w:rsid w:val="00D56786"/>
    <w:rsid w:val="00D56BA4"/>
    <w:rsid w:val="00D5707A"/>
    <w:rsid w:val="00D600B1"/>
    <w:rsid w:val="00D60334"/>
    <w:rsid w:val="00D60531"/>
    <w:rsid w:val="00D60957"/>
    <w:rsid w:val="00D6110C"/>
    <w:rsid w:val="00D61147"/>
    <w:rsid w:val="00D613EE"/>
    <w:rsid w:val="00D61967"/>
    <w:rsid w:val="00D61BD2"/>
    <w:rsid w:val="00D628B3"/>
    <w:rsid w:val="00D62FF3"/>
    <w:rsid w:val="00D62FF5"/>
    <w:rsid w:val="00D63436"/>
    <w:rsid w:val="00D636DE"/>
    <w:rsid w:val="00D63A02"/>
    <w:rsid w:val="00D63EA9"/>
    <w:rsid w:val="00D64B8B"/>
    <w:rsid w:val="00D6501C"/>
    <w:rsid w:val="00D654AE"/>
    <w:rsid w:val="00D65D90"/>
    <w:rsid w:val="00D65EF4"/>
    <w:rsid w:val="00D665E8"/>
    <w:rsid w:val="00D668EA"/>
    <w:rsid w:val="00D66B40"/>
    <w:rsid w:val="00D6778E"/>
    <w:rsid w:val="00D67A05"/>
    <w:rsid w:val="00D71072"/>
    <w:rsid w:val="00D71C72"/>
    <w:rsid w:val="00D737ED"/>
    <w:rsid w:val="00D73BE9"/>
    <w:rsid w:val="00D7484C"/>
    <w:rsid w:val="00D74CE3"/>
    <w:rsid w:val="00D74D5D"/>
    <w:rsid w:val="00D75058"/>
    <w:rsid w:val="00D7520C"/>
    <w:rsid w:val="00D75468"/>
    <w:rsid w:val="00D7585C"/>
    <w:rsid w:val="00D761B5"/>
    <w:rsid w:val="00D77060"/>
    <w:rsid w:val="00D77CA6"/>
    <w:rsid w:val="00D8028B"/>
    <w:rsid w:val="00D80D39"/>
    <w:rsid w:val="00D80FB6"/>
    <w:rsid w:val="00D81782"/>
    <w:rsid w:val="00D818FA"/>
    <w:rsid w:val="00D81B0D"/>
    <w:rsid w:val="00D81E08"/>
    <w:rsid w:val="00D81F51"/>
    <w:rsid w:val="00D835D6"/>
    <w:rsid w:val="00D8390A"/>
    <w:rsid w:val="00D83B33"/>
    <w:rsid w:val="00D83BEB"/>
    <w:rsid w:val="00D83CFC"/>
    <w:rsid w:val="00D845AB"/>
    <w:rsid w:val="00D84791"/>
    <w:rsid w:val="00D85686"/>
    <w:rsid w:val="00D85766"/>
    <w:rsid w:val="00D857D9"/>
    <w:rsid w:val="00D86A3C"/>
    <w:rsid w:val="00D86BC4"/>
    <w:rsid w:val="00D877EE"/>
    <w:rsid w:val="00D90123"/>
    <w:rsid w:val="00D90476"/>
    <w:rsid w:val="00D90D7F"/>
    <w:rsid w:val="00D90ED2"/>
    <w:rsid w:val="00D912E8"/>
    <w:rsid w:val="00D913EB"/>
    <w:rsid w:val="00D9158F"/>
    <w:rsid w:val="00D923EE"/>
    <w:rsid w:val="00D925DC"/>
    <w:rsid w:val="00D92695"/>
    <w:rsid w:val="00D92ACA"/>
    <w:rsid w:val="00D92FEC"/>
    <w:rsid w:val="00D94074"/>
    <w:rsid w:val="00D94B8D"/>
    <w:rsid w:val="00D94C66"/>
    <w:rsid w:val="00D96CD5"/>
    <w:rsid w:val="00D96E2F"/>
    <w:rsid w:val="00DA00D4"/>
    <w:rsid w:val="00DA0CA6"/>
    <w:rsid w:val="00DA2176"/>
    <w:rsid w:val="00DA29D1"/>
    <w:rsid w:val="00DA2A78"/>
    <w:rsid w:val="00DA2BD8"/>
    <w:rsid w:val="00DA2E23"/>
    <w:rsid w:val="00DA30BB"/>
    <w:rsid w:val="00DA352F"/>
    <w:rsid w:val="00DA3550"/>
    <w:rsid w:val="00DA3B0B"/>
    <w:rsid w:val="00DA47E1"/>
    <w:rsid w:val="00DA4946"/>
    <w:rsid w:val="00DA4C4A"/>
    <w:rsid w:val="00DA4D9C"/>
    <w:rsid w:val="00DA56E8"/>
    <w:rsid w:val="00DA59CB"/>
    <w:rsid w:val="00DA5BC4"/>
    <w:rsid w:val="00DA5CBB"/>
    <w:rsid w:val="00DA7278"/>
    <w:rsid w:val="00DA7AAD"/>
    <w:rsid w:val="00DB039C"/>
    <w:rsid w:val="00DB0442"/>
    <w:rsid w:val="00DB0978"/>
    <w:rsid w:val="00DB3275"/>
    <w:rsid w:val="00DB32FD"/>
    <w:rsid w:val="00DB3710"/>
    <w:rsid w:val="00DB4D1C"/>
    <w:rsid w:val="00DB51FF"/>
    <w:rsid w:val="00DB65AA"/>
    <w:rsid w:val="00DB6D19"/>
    <w:rsid w:val="00DB6F79"/>
    <w:rsid w:val="00DB79ED"/>
    <w:rsid w:val="00DC00C6"/>
    <w:rsid w:val="00DC0136"/>
    <w:rsid w:val="00DC136A"/>
    <w:rsid w:val="00DC2307"/>
    <w:rsid w:val="00DC2C2A"/>
    <w:rsid w:val="00DC317E"/>
    <w:rsid w:val="00DC3808"/>
    <w:rsid w:val="00DC4300"/>
    <w:rsid w:val="00DC4898"/>
    <w:rsid w:val="00DC4902"/>
    <w:rsid w:val="00DC4D95"/>
    <w:rsid w:val="00DC5096"/>
    <w:rsid w:val="00DC5343"/>
    <w:rsid w:val="00DC5E73"/>
    <w:rsid w:val="00DC628B"/>
    <w:rsid w:val="00DC6339"/>
    <w:rsid w:val="00DC6A79"/>
    <w:rsid w:val="00DC6CAA"/>
    <w:rsid w:val="00DC74BE"/>
    <w:rsid w:val="00DC7C92"/>
    <w:rsid w:val="00DC7FE8"/>
    <w:rsid w:val="00DD00CE"/>
    <w:rsid w:val="00DD031F"/>
    <w:rsid w:val="00DD05D0"/>
    <w:rsid w:val="00DD1618"/>
    <w:rsid w:val="00DD18C5"/>
    <w:rsid w:val="00DD1B74"/>
    <w:rsid w:val="00DD1F18"/>
    <w:rsid w:val="00DD2370"/>
    <w:rsid w:val="00DD291F"/>
    <w:rsid w:val="00DD2DB9"/>
    <w:rsid w:val="00DD2E95"/>
    <w:rsid w:val="00DD3C29"/>
    <w:rsid w:val="00DD44DD"/>
    <w:rsid w:val="00DD4557"/>
    <w:rsid w:val="00DD4809"/>
    <w:rsid w:val="00DD5006"/>
    <w:rsid w:val="00DD50F9"/>
    <w:rsid w:val="00DD6259"/>
    <w:rsid w:val="00DD6A9C"/>
    <w:rsid w:val="00DD7C7D"/>
    <w:rsid w:val="00DD7F34"/>
    <w:rsid w:val="00DD7F87"/>
    <w:rsid w:val="00DE04E7"/>
    <w:rsid w:val="00DE0954"/>
    <w:rsid w:val="00DE0C08"/>
    <w:rsid w:val="00DE0C96"/>
    <w:rsid w:val="00DE0C9F"/>
    <w:rsid w:val="00DE1909"/>
    <w:rsid w:val="00DE1D4A"/>
    <w:rsid w:val="00DE1E85"/>
    <w:rsid w:val="00DE2C4E"/>
    <w:rsid w:val="00DE44CE"/>
    <w:rsid w:val="00DE44DE"/>
    <w:rsid w:val="00DE4926"/>
    <w:rsid w:val="00DE4E83"/>
    <w:rsid w:val="00DE5072"/>
    <w:rsid w:val="00DE51DE"/>
    <w:rsid w:val="00DE57CF"/>
    <w:rsid w:val="00DE5C3A"/>
    <w:rsid w:val="00DE5FE1"/>
    <w:rsid w:val="00DE6596"/>
    <w:rsid w:val="00DE6F2A"/>
    <w:rsid w:val="00DE6FB7"/>
    <w:rsid w:val="00DE7EBE"/>
    <w:rsid w:val="00DF055C"/>
    <w:rsid w:val="00DF06F3"/>
    <w:rsid w:val="00DF0D1B"/>
    <w:rsid w:val="00DF0D77"/>
    <w:rsid w:val="00DF1987"/>
    <w:rsid w:val="00DF23D0"/>
    <w:rsid w:val="00DF25F9"/>
    <w:rsid w:val="00DF29F2"/>
    <w:rsid w:val="00DF3556"/>
    <w:rsid w:val="00DF3A22"/>
    <w:rsid w:val="00DF41E1"/>
    <w:rsid w:val="00DF4442"/>
    <w:rsid w:val="00DF48E7"/>
    <w:rsid w:val="00DF49DA"/>
    <w:rsid w:val="00DF4FE9"/>
    <w:rsid w:val="00DF50B7"/>
    <w:rsid w:val="00DF6B60"/>
    <w:rsid w:val="00E008F0"/>
    <w:rsid w:val="00E00C03"/>
    <w:rsid w:val="00E00E18"/>
    <w:rsid w:val="00E013CC"/>
    <w:rsid w:val="00E016FD"/>
    <w:rsid w:val="00E02184"/>
    <w:rsid w:val="00E0251F"/>
    <w:rsid w:val="00E045BD"/>
    <w:rsid w:val="00E04850"/>
    <w:rsid w:val="00E04C1D"/>
    <w:rsid w:val="00E04DF6"/>
    <w:rsid w:val="00E05745"/>
    <w:rsid w:val="00E066C8"/>
    <w:rsid w:val="00E06815"/>
    <w:rsid w:val="00E06BD3"/>
    <w:rsid w:val="00E06D0F"/>
    <w:rsid w:val="00E07D70"/>
    <w:rsid w:val="00E1029F"/>
    <w:rsid w:val="00E10E48"/>
    <w:rsid w:val="00E11D49"/>
    <w:rsid w:val="00E12871"/>
    <w:rsid w:val="00E1291C"/>
    <w:rsid w:val="00E1318B"/>
    <w:rsid w:val="00E13510"/>
    <w:rsid w:val="00E13671"/>
    <w:rsid w:val="00E13B0E"/>
    <w:rsid w:val="00E163DF"/>
    <w:rsid w:val="00E16ED0"/>
    <w:rsid w:val="00E170ED"/>
    <w:rsid w:val="00E17DEE"/>
    <w:rsid w:val="00E20CC2"/>
    <w:rsid w:val="00E20D3B"/>
    <w:rsid w:val="00E20DD4"/>
    <w:rsid w:val="00E21330"/>
    <w:rsid w:val="00E2147D"/>
    <w:rsid w:val="00E22471"/>
    <w:rsid w:val="00E230F6"/>
    <w:rsid w:val="00E23227"/>
    <w:rsid w:val="00E23A9C"/>
    <w:rsid w:val="00E24084"/>
    <w:rsid w:val="00E24292"/>
    <w:rsid w:val="00E245F3"/>
    <w:rsid w:val="00E24C13"/>
    <w:rsid w:val="00E24C8D"/>
    <w:rsid w:val="00E24F23"/>
    <w:rsid w:val="00E27326"/>
    <w:rsid w:val="00E30488"/>
    <w:rsid w:val="00E30B8C"/>
    <w:rsid w:val="00E31417"/>
    <w:rsid w:val="00E32C53"/>
    <w:rsid w:val="00E332BE"/>
    <w:rsid w:val="00E336C0"/>
    <w:rsid w:val="00E336FF"/>
    <w:rsid w:val="00E3541C"/>
    <w:rsid w:val="00E3716D"/>
    <w:rsid w:val="00E37C87"/>
    <w:rsid w:val="00E40897"/>
    <w:rsid w:val="00E412F0"/>
    <w:rsid w:val="00E417B9"/>
    <w:rsid w:val="00E419E5"/>
    <w:rsid w:val="00E41F70"/>
    <w:rsid w:val="00E42EE8"/>
    <w:rsid w:val="00E43260"/>
    <w:rsid w:val="00E441B6"/>
    <w:rsid w:val="00E443AD"/>
    <w:rsid w:val="00E445EE"/>
    <w:rsid w:val="00E449F9"/>
    <w:rsid w:val="00E45046"/>
    <w:rsid w:val="00E45174"/>
    <w:rsid w:val="00E45FF1"/>
    <w:rsid w:val="00E474B9"/>
    <w:rsid w:val="00E47E99"/>
    <w:rsid w:val="00E50245"/>
    <w:rsid w:val="00E508B7"/>
    <w:rsid w:val="00E508C0"/>
    <w:rsid w:val="00E51A92"/>
    <w:rsid w:val="00E5229C"/>
    <w:rsid w:val="00E52521"/>
    <w:rsid w:val="00E530D5"/>
    <w:rsid w:val="00E53441"/>
    <w:rsid w:val="00E53903"/>
    <w:rsid w:val="00E53EF8"/>
    <w:rsid w:val="00E541A9"/>
    <w:rsid w:val="00E54472"/>
    <w:rsid w:val="00E55520"/>
    <w:rsid w:val="00E555BA"/>
    <w:rsid w:val="00E55D7B"/>
    <w:rsid w:val="00E55F42"/>
    <w:rsid w:val="00E56040"/>
    <w:rsid w:val="00E567D8"/>
    <w:rsid w:val="00E60252"/>
    <w:rsid w:val="00E60958"/>
    <w:rsid w:val="00E60FAA"/>
    <w:rsid w:val="00E61570"/>
    <w:rsid w:val="00E619C5"/>
    <w:rsid w:val="00E6266E"/>
    <w:rsid w:val="00E62834"/>
    <w:rsid w:val="00E62F06"/>
    <w:rsid w:val="00E63C91"/>
    <w:rsid w:val="00E6460C"/>
    <w:rsid w:val="00E65B4D"/>
    <w:rsid w:val="00E65D64"/>
    <w:rsid w:val="00E667DB"/>
    <w:rsid w:val="00E670F9"/>
    <w:rsid w:val="00E672F0"/>
    <w:rsid w:val="00E67A7E"/>
    <w:rsid w:val="00E67F67"/>
    <w:rsid w:val="00E7018D"/>
    <w:rsid w:val="00E709A2"/>
    <w:rsid w:val="00E70FEC"/>
    <w:rsid w:val="00E726DC"/>
    <w:rsid w:val="00E72A0B"/>
    <w:rsid w:val="00E72BB5"/>
    <w:rsid w:val="00E72EB8"/>
    <w:rsid w:val="00E7353C"/>
    <w:rsid w:val="00E73A2E"/>
    <w:rsid w:val="00E742C0"/>
    <w:rsid w:val="00E75050"/>
    <w:rsid w:val="00E750D3"/>
    <w:rsid w:val="00E75DA3"/>
    <w:rsid w:val="00E76756"/>
    <w:rsid w:val="00E76A5C"/>
    <w:rsid w:val="00E77063"/>
    <w:rsid w:val="00E771A3"/>
    <w:rsid w:val="00E77411"/>
    <w:rsid w:val="00E77920"/>
    <w:rsid w:val="00E77D16"/>
    <w:rsid w:val="00E77F75"/>
    <w:rsid w:val="00E800C9"/>
    <w:rsid w:val="00E80C04"/>
    <w:rsid w:val="00E80DEC"/>
    <w:rsid w:val="00E81582"/>
    <w:rsid w:val="00E82FE6"/>
    <w:rsid w:val="00E83351"/>
    <w:rsid w:val="00E838E8"/>
    <w:rsid w:val="00E841C0"/>
    <w:rsid w:val="00E85225"/>
    <w:rsid w:val="00E85266"/>
    <w:rsid w:val="00E85584"/>
    <w:rsid w:val="00E86518"/>
    <w:rsid w:val="00E86B56"/>
    <w:rsid w:val="00E86CE3"/>
    <w:rsid w:val="00E86EB1"/>
    <w:rsid w:val="00E86F22"/>
    <w:rsid w:val="00E87213"/>
    <w:rsid w:val="00E8743E"/>
    <w:rsid w:val="00E87548"/>
    <w:rsid w:val="00E91DFD"/>
    <w:rsid w:val="00E9277B"/>
    <w:rsid w:val="00E92C4B"/>
    <w:rsid w:val="00E92D01"/>
    <w:rsid w:val="00E93277"/>
    <w:rsid w:val="00E9424F"/>
    <w:rsid w:val="00E94566"/>
    <w:rsid w:val="00E949DB"/>
    <w:rsid w:val="00E95144"/>
    <w:rsid w:val="00E954E9"/>
    <w:rsid w:val="00E970C8"/>
    <w:rsid w:val="00E9725D"/>
    <w:rsid w:val="00E979A3"/>
    <w:rsid w:val="00E97A68"/>
    <w:rsid w:val="00EA1898"/>
    <w:rsid w:val="00EA1ADB"/>
    <w:rsid w:val="00EA1DD0"/>
    <w:rsid w:val="00EA2129"/>
    <w:rsid w:val="00EA22C0"/>
    <w:rsid w:val="00EA2494"/>
    <w:rsid w:val="00EA2A5E"/>
    <w:rsid w:val="00EA35DF"/>
    <w:rsid w:val="00EA3966"/>
    <w:rsid w:val="00EA3B11"/>
    <w:rsid w:val="00EA4767"/>
    <w:rsid w:val="00EA4C3B"/>
    <w:rsid w:val="00EA5468"/>
    <w:rsid w:val="00EA5812"/>
    <w:rsid w:val="00EA5927"/>
    <w:rsid w:val="00EA5A3D"/>
    <w:rsid w:val="00EA61D6"/>
    <w:rsid w:val="00EA6788"/>
    <w:rsid w:val="00EB012C"/>
    <w:rsid w:val="00EB1E5E"/>
    <w:rsid w:val="00EB215F"/>
    <w:rsid w:val="00EB2DF3"/>
    <w:rsid w:val="00EB33E5"/>
    <w:rsid w:val="00EB39F5"/>
    <w:rsid w:val="00EB405D"/>
    <w:rsid w:val="00EB428A"/>
    <w:rsid w:val="00EB4331"/>
    <w:rsid w:val="00EB4D6B"/>
    <w:rsid w:val="00EB4FCB"/>
    <w:rsid w:val="00EB61A1"/>
    <w:rsid w:val="00EB7281"/>
    <w:rsid w:val="00EB7536"/>
    <w:rsid w:val="00EB7952"/>
    <w:rsid w:val="00EC0515"/>
    <w:rsid w:val="00EC0964"/>
    <w:rsid w:val="00EC0D05"/>
    <w:rsid w:val="00EC0E96"/>
    <w:rsid w:val="00EC29BC"/>
    <w:rsid w:val="00EC2B52"/>
    <w:rsid w:val="00EC2BA8"/>
    <w:rsid w:val="00EC2EDC"/>
    <w:rsid w:val="00EC36EB"/>
    <w:rsid w:val="00EC3CE4"/>
    <w:rsid w:val="00EC5194"/>
    <w:rsid w:val="00EC5A2A"/>
    <w:rsid w:val="00EC5EC1"/>
    <w:rsid w:val="00EC62FC"/>
    <w:rsid w:val="00EC6D4C"/>
    <w:rsid w:val="00EC737D"/>
    <w:rsid w:val="00EC7590"/>
    <w:rsid w:val="00EC7C09"/>
    <w:rsid w:val="00EC7D3B"/>
    <w:rsid w:val="00ED0BC0"/>
    <w:rsid w:val="00ED0D84"/>
    <w:rsid w:val="00ED0DF8"/>
    <w:rsid w:val="00ED13AD"/>
    <w:rsid w:val="00ED1776"/>
    <w:rsid w:val="00ED1BA6"/>
    <w:rsid w:val="00ED2121"/>
    <w:rsid w:val="00ED2735"/>
    <w:rsid w:val="00ED2975"/>
    <w:rsid w:val="00ED2CE0"/>
    <w:rsid w:val="00ED3016"/>
    <w:rsid w:val="00ED47E1"/>
    <w:rsid w:val="00ED48D9"/>
    <w:rsid w:val="00ED4CD3"/>
    <w:rsid w:val="00ED4D40"/>
    <w:rsid w:val="00ED50CC"/>
    <w:rsid w:val="00ED6865"/>
    <w:rsid w:val="00ED6B30"/>
    <w:rsid w:val="00ED6DD5"/>
    <w:rsid w:val="00EE03EE"/>
    <w:rsid w:val="00EE0608"/>
    <w:rsid w:val="00EE0BF7"/>
    <w:rsid w:val="00EE0E48"/>
    <w:rsid w:val="00EE1533"/>
    <w:rsid w:val="00EE1C3C"/>
    <w:rsid w:val="00EE1D82"/>
    <w:rsid w:val="00EE1E37"/>
    <w:rsid w:val="00EE235E"/>
    <w:rsid w:val="00EE23CD"/>
    <w:rsid w:val="00EE2ACF"/>
    <w:rsid w:val="00EE351C"/>
    <w:rsid w:val="00EE3D5B"/>
    <w:rsid w:val="00EE3F83"/>
    <w:rsid w:val="00EE4151"/>
    <w:rsid w:val="00EE434F"/>
    <w:rsid w:val="00EE45E6"/>
    <w:rsid w:val="00EE48BE"/>
    <w:rsid w:val="00EE502A"/>
    <w:rsid w:val="00EE50A0"/>
    <w:rsid w:val="00EE50CC"/>
    <w:rsid w:val="00EE5D8E"/>
    <w:rsid w:val="00EE5F87"/>
    <w:rsid w:val="00EE684D"/>
    <w:rsid w:val="00EE6D06"/>
    <w:rsid w:val="00EE72BB"/>
    <w:rsid w:val="00EE7556"/>
    <w:rsid w:val="00EE7AAB"/>
    <w:rsid w:val="00EE7DE6"/>
    <w:rsid w:val="00EE7F4F"/>
    <w:rsid w:val="00EF079A"/>
    <w:rsid w:val="00EF0FB8"/>
    <w:rsid w:val="00EF1A28"/>
    <w:rsid w:val="00EF1FD8"/>
    <w:rsid w:val="00EF22E1"/>
    <w:rsid w:val="00EF259B"/>
    <w:rsid w:val="00EF291E"/>
    <w:rsid w:val="00EF2C61"/>
    <w:rsid w:val="00EF336F"/>
    <w:rsid w:val="00EF3687"/>
    <w:rsid w:val="00EF3B9C"/>
    <w:rsid w:val="00EF3C26"/>
    <w:rsid w:val="00EF3CAC"/>
    <w:rsid w:val="00EF3E22"/>
    <w:rsid w:val="00EF408B"/>
    <w:rsid w:val="00EF4107"/>
    <w:rsid w:val="00EF43B6"/>
    <w:rsid w:val="00EF449A"/>
    <w:rsid w:val="00EF5E9A"/>
    <w:rsid w:val="00EF5F34"/>
    <w:rsid w:val="00EF7234"/>
    <w:rsid w:val="00EF7380"/>
    <w:rsid w:val="00F006F3"/>
    <w:rsid w:val="00F00B39"/>
    <w:rsid w:val="00F010C6"/>
    <w:rsid w:val="00F01384"/>
    <w:rsid w:val="00F017FC"/>
    <w:rsid w:val="00F028DB"/>
    <w:rsid w:val="00F02BC5"/>
    <w:rsid w:val="00F02C47"/>
    <w:rsid w:val="00F02CE4"/>
    <w:rsid w:val="00F02D08"/>
    <w:rsid w:val="00F0344C"/>
    <w:rsid w:val="00F0496B"/>
    <w:rsid w:val="00F04D7A"/>
    <w:rsid w:val="00F053B5"/>
    <w:rsid w:val="00F05456"/>
    <w:rsid w:val="00F056D9"/>
    <w:rsid w:val="00F05B02"/>
    <w:rsid w:val="00F06F4B"/>
    <w:rsid w:val="00F07842"/>
    <w:rsid w:val="00F07D99"/>
    <w:rsid w:val="00F102FB"/>
    <w:rsid w:val="00F10855"/>
    <w:rsid w:val="00F109FE"/>
    <w:rsid w:val="00F10B7E"/>
    <w:rsid w:val="00F112B2"/>
    <w:rsid w:val="00F121B8"/>
    <w:rsid w:val="00F12C42"/>
    <w:rsid w:val="00F14347"/>
    <w:rsid w:val="00F15F39"/>
    <w:rsid w:val="00F16422"/>
    <w:rsid w:val="00F16610"/>
    <w:rsid w:val="00F16734"/>
    <w:rsid w:val="00F174DE"/>
    <w:rsid w:val="00F179A3"/>
    <w:rsid w:val="00F20005"/>
    <w:rsid w:val="00F20820"/>
    <w:rsid w:val="00F20DE4"/>
    <w:rsid w:val="00F21185"/>
    <w:rsid w:val="00F21C1C"/>
    <w:rsid w:val="00F21CFB"/>
    <w:rsid w:val="00F22764"/>
    <w:rsid w:val="00F22B3E"/>
    <w:rsid w:val="00F234D7"/>
    <w:rsid w:val="00F23A7B"/>
    <w:rsid w:val="00F23C57"/>
    <w:rsid w:val="00F23CBE"/>
    <w:rsid w:val="00F24153"/>
    <w:rsid w:val="00F244D7"/>
    <w:rsid w:val="00F246A9"/>
    <w:rsid w:val="00F2474F"/>
    <w:rsid w:val="00F257B5"/>
    <w:rsid w:val="00F25934"/>
    <w:rsid w:val="00F25AF8"/>
    <w:rsid w:val="00F25BC9"/>
    <w:rsid w:val="00F261E3"/>
    <w:rsid w:val="00F26803"/>
    <w:rsid w:val="00F2697E"/>
    <w:rsid w:val="00F26B48"/>
    <w:rsid w:val="00F279F9"/>
    <w:rsid w:val="00F27B59"/>
    <w:rsid w:val="00F27E03"/>
    <w:rsid w:val="00F27F2E"/>
    <w:rsid w:val="00F30019"/>
    <w:rsid w:val="00F30181"/>
    <w:rsid w:val="00F308C0"/>
    <w:rsid w:val="00F30925"/>
    <w:rsid w:val="00F30C44"/>
    <w:rsid w:val="00F31060"/>
    <w:rsid w:val="00F318E1"/>
    <w:rsid w:val="00F31DD2"/>
    <w:rsid w:val="00F3240F"/>
    <w:rsid w:val="00F32907"/>
    <w:rsid w:val="00F33D23"/>
    <w:rsid w:val="00F34072"/>
    <w:rsid w:val="00F34AEA"/>
    <w:rsid w:val="00F34BD7"/>
    <w:rsid w:val="00F34DF4"/>
    <w:rsid w:val="00F350DF"/>
    <w:rsid w:val="00F3667B"/>
    <w:rsid w:val="00F36BA3"/>
    <w:rsid w:val="00F37397"/>
    <w:rsid w:val="00F377AB"/>
    <w:rsid w:val="00F402BF"/>
    <w:rsid w:val="00F4058A"/>
    <w:rsid w:val="00F4122B"/>
    <w:rsid w:val="00F419C6"/>
    <w:rsid w:val="00F41AC6"/>
    <w:rsid w:val="00F42A11"/>
    <w:rsid w:val="00F42A36"/>
    <w:rsid w:val="00F42A49"/>
    <w:rsid w:val="00F42C20"/>
    <w:rsid w:val="00F43419"/>
    <w:rsid w:val="00F44774"/>
    <w:rsid w:val="00F44A9D"/>
    <w:rsid w:val="00F44B2A"/>
    <w:rsid w:val="00F4527C"/>
    <w:rsid w:val="00F458FB"/>
    <w:rsid w:val="00F461A4"/>
    <w:rsid w:val="00F463CF"/>
    <w:rsid w:val="00F46862"/>
    <w:rsid w:val="00F51351"/>
    <w:rsid w:val="00F51475"/>
    <w:rsid w:val="00F51532"/>
    <w:rsid w:val="00F51576"/>
    <w:rsid w:val="00F51DBA"/>
    <w:rsid w:val="00F51E87"/>
    <w:rsid w:val="00F51EC9"/>
    <w:rsid w:val="00F52819"/>
    <w:rsid w:val="00F53098"/>
    <w:rsid w:val="00F54485"/>
    <w:rsid w:val="00F5458F"/>
    <w:rsid w:val="00F5480D"/>
    <w:rsid w:val="00F548A3"/>
    <w:rsid w:val="00F54936"/>
    <w:rsid w:val="00F54C5F"/>
    <w:rsid w:val="00F55169"/>
    <w:rsid w:val="00F55B6F"/>
    <w:rsid w:val="00F56C65"/>
    <w:rsid w:val="00F5756B"/>
    <w:rsid w:val="00F575D3"/>
    <w:rsid w:val="00F57C44"/>
    <w:rsid w:val="00F57D80"/>
    <w:rsid w:val="00F607C3"/>
    <w:rsid w:val="00F60C30"/>
    <w:rsid w:val="00F60F3C"/>
    <w:rsid w:val="00F61352"/>
    <w:rsid w:val="00F61AA6"/>
    <w:rsid w:val="00F622ED"/>
    <w:rsid w:val="00F623E9"/>
    <w:rsid w:val="00F624AA"/>
    <w:rsid w:val="00F624E6"/>
    <w:rsid w:val="00F62A68"/>
    <w:rsid w:val="00F6361A"/>
    <w:rsid w:val="00F639F8"/>
    <w:rsid w:val="00F63B07"/>
    <w:rsid w:val="00F63D51"/>
    <w:rsid w:val="00F64B4D"/>
    <w:rsid w:val="00F6556E"/>
    <w:rsid w:val="00F65884"/>
    <w:rsid w:val="00F6602A"/>
    <w:rsid w:val="00F66892"/>
    <w:rsid w:val="00F66AC4"/>
    <w:rsid w:val="00F66DF2"/>
    <w:rsid w:val="00F6748D"/>
    <w:rsid w:val="00F67C74"/>
    <w:rsid w:val="00F701C2"/>
    <w:rsid w:val="00F702F7"/>
    <w:rsid w:val="00F70529"/>
    <w:rsid w:val="00F71445"/>
    <w:rsid w:val="00F7148D"/>
    <w:rsid w:val="00F71763"/>
    <w:rsid w:val="00F72FF1"/>
    <w:rsid w:val="00F7345A"/>
    <w:rsid w:val="00F74E8D"/>
    <w:rsid w:val="00F7543A"/>
    <w:rsid w:val="00F76347"/>
    <w:rsid w:val="00F76980"/>
    <w:rsid w:val="00F77FD7"/>
    <w:rsid w:val="00F81155"/>
    <w:rsid w:val="00F81EA8"/>
    <w:rsid w:val="00F82356"/>
    <w:rsid w:val="00F827CC"/>
    <w:rsid w:val="00F82B11"/>
    <w:rsid w:val="00F82F38"/>
    <w:rsid w:val="00F83165"/>
    <w:rsid w:val="00F83EF5"/>
    <w:rsid w:val="00F83F0A"/>
    <w:rsid w:val="00F85309"/>
    <w:rsid w:val="00F85CA7"/>
    <w:rsid w:val="00F85D0C"/>
    <w:rsid w:val="00F85EC3"/>
    <w:rsid w:val="00F860F1"/>
    <w:rsid w:val="00F865C2"/>
    <w:rsid w:val="00F86A28"/>
    <w:rsid w:val="00F86A40"/>
    <w:rsid w:val="00F86A5B"/>
    <w:rsid w:val="00F86F0D"/>
    <w:rsid w:val="00F87AB0"/>
    <w:rsid w:val="00F9084B"/>
    <w:rsid w:val="00F90CA7"/>
    <w:rsid w:val="00F91588"/>
    <w:rsid w:val="00F9172A"/>
    <w:rsid w:val="00F9183E"/>
    <w:rsid w:val="00F91BC6"/>
    <w:rsid w:val="00F92B5A"/>
    <w:rsid w:val="00F92D14"/>
    <w:rsid w:val="00F92FE1"/>
    <w:rsid w:val="00F93479"/>
    <w:rsid w:val="00F93A30"/>
    <w:rsid w:val="00F94934"/>
    <w:rsid w:val="00F94BEB"/>
    <w:rsid w:val="00F9545F"/>
    <w:rsid w:val="00F9596C"/>
    <w:rsid w:val="00F95FEE"/>
    <w:rsid w:val="00F96478"/>
    <w:rsid w:val="00F965E5"/>
    <w:rsid w:val="00F967F8"/>
    <w:rsid w:val="00F96C1E"/>
    <w:rsid w:val="00F96D07"/>
    <w:rsid w:val="00F9725D"/>
    <w:rsid w:val="00F974C5"/>
    <w:rsid w:val="00FA0174"/>
    <w:rsid w:val="00FA1802"/>
    <w:rsid w:val="00FA18F1"/>
    <w:rsid w:val="00FA2046"/>
    <w:rsid w:val="00FA2F0D"/>
    <w:rsid w:val="00FA3241"/>
    <w:rsid w:val="00FA3829"/>
    <w:rsid w:val="00FA4C7E"/>
    <w:rsid w:val="00FA4DDE"/>
    <w:rsid w:val="00FA52BA"/>
    <w:rsid w:val="00FA577D"/>
    <w:rsid w:val="00FA58D7"/>
    <w:rsid w:val="00FA5C3B"/>
    <w:rsid w:val="00FA6774"/>
    <w:rsid w:val="00FA6825"/>
    <w:rsid w:val="00FA6B15"/>
    <w:rsid w:val="00FA6D42"/>
    <w:rsid w:val="00FA77D9"/>
    <w:rsid w:val="00FA797E"/>
    <w:rsid w:val="00FA79D6"/>
    <w:rsid w:val="00FB02E2"/>
    <w:rsid w:val="00FB074D"/>
    <w:rsid w:val="00FB11EC"/>
    <w:rsid w:val="00FB13E4"/>
    <w:rsid w:val="00FB1909"/>
    <w:rsid w:val="00FB19BB"/>
    <w:rsid w:val="00FB1D45"/>
    <w:rsid w:val="00FB282C"/>
    <w:rsid w:val="00FB28EE"/>
    <w:rsid w:val="00FB2D28"/>
    <w:rsid w:val="00FB3A6F"/>
    <w:rsid w:val="00FB3ECD"/>
    <w:rsid w:val="00FB42C4"/>
    <w:rsid w:val="00FB54DA"/>
    <w:rsid w:val="00FB5ACA"/>
    <w:rsid w:val="00FB6B5C"/>
    <w:rsid w:val="00FB7E27"/>
    <w:rsid w:val="00FC0AD0"/>
    <w:rsid w:val="00FC0F91"/>
    <w:rsid w:val="00FC118D"/>
    <w:rsid w:val="00FC1950"/>
    <w:rsid w:val="00FC1CA0"/>
    <w:rsid w:val="00FC2DD3"/>
    <w:rsid w:val="00FC37C3"/>
    <w:rsid w:val="00FC3803"/>
    <w:rsid w:val="00FC383E"/>
    <w:rsid w:val="00FC3D2B"/>
    <w:rsid w:val="00FC3E25"/>
    <w:rsid w:val="00FC4BBE"/>
    <w:rsid w:val="00FC4BC8"/>
    <w:rsid w:val="00FC4FD8"/>
    <w:rsid w:val="00FC58E7"/>
    <w:rsid w:val="00FC5C2B"/>
    <w:rsid w:val="00FC5EA2"/>
    <w:rsid w:val="00FC6765"/>
    <w:rsid w:val="00FC749E"/>
    <w:rsid w:val="00FC7AD0"/>
    <w:rsid w:val="00FC7AD8"/>
    <w:rsid w:val="00FC7E8E"/>
    <w:rsid w:val="00FD04A5"/>
    <w:rsid w:val="00FD04C7"/>
    <w:rsid w:val="00FD077F"/>
    <w:rsid w:val="00FD0DF2"/>
    <w:rsid w:val="00FD1130"/>
    <w:rsid w:val="00FD1675"/>
    <w:rsid w:val="00FD1C7B"/>
    <w:rsid w:val="00FD2B51"/>
    <w:rsid w:val="00FD3086"/>
    <w:rsid w:val="00FD40DF"/>
    <w:rsid w:val="00FD4E9F"/>
    <w:rsid w:val="00FD6343"/>
    <w:rsid w:val="00FD6AA1"/>
    <w:rsid w:val="00FD743A"/>
    <w:rsid w:val="00FD7539"/>
    <w:rsid w:val="00FD7902"/>
    <w:rsid w:val="00FD7B68"/>
    <w:rsid w:val="00FD7BEE"/>
    <w:rsid w:val="00FE0760"/>
    <w:rsid w:val="00FE2967"/>
    <w:rsid w:val="00FE2DA0"/>
    <w:rsid w:val="00FE3184"/>
    <w:rsid w:val="00FE5D62"/>
    <w:rsid w:val="00FE6B07"/>
    <w:rsid w:val="00FE6B97"/>
    <w:rsid w:val="00FE7289"/>
    <w:rsid w:val="00FE7B57"/>
    <w:rsid w:val="00FF0924"/>
    <w:rsid w:val="00FF0E46"/>
    <w:rsid w:val="00FF0FCE"/>
    <w:rsid w:val="00FF1628"/>
    <w:rsid w:val="00FF1717"/>
    <w:rsid w:val="00FF1755"/>
    <w:rsid w:val="00FF1CA2"/>
    <w:rsid w:val="00FF2189"/>
    <w:rsid w:val="00FF21BD"/>
    <w:rsid w:val="00FF24F6"/>
    <w:rsid w:val="00FF4D25"/>
    <w:rsid w:val="00FF56BC"/>
    <w:rsid w:val="00FF6A3A"/>
    <w:rsid w:val="00FF6F07"/>
    <w:rsid w:val="00FF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0FA499-EC26-4F38-B4C3-41DCC762C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10B0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507E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802419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rsid w:val="00802419"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Char0"/>
    <w:uiPriority w:val="99"/>
    <w:unhideWhenUsed/>
    <w:rsid w:val="004C39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C39A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C39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C39AF"/>
    <w:rPr>
      <w:sz w:val="18"/>
      <w:szCs w:val="18"/>
    </w:rPr>
  </w:style>
  <w:style w:type="character" w:styleId="a6">
    <w:name w:val="Hyperlink"/>
    <w:basedOn w:val="a0"/>
    <w:uiPriority w:val="99"/>
    <w:unhideWhenUsed/>
    <w:rsid w:val="00540FD2"/>
    <w:rPr>
      <w:color w:val="0563C1" w:themeColor="hyperlink"/>
      <w:u w:val="single"/>
    </w:rPr>
  </w:style>
  <w:style w:type="character" w:customStyle="1" w:styleId="conrtib-corresp">
    <w:name w:val="conrtib-corresp"/>
    <w:basedOn w:val="a0"/>
    <w:rsid w:val="005919ED"/>
  </w:style>
  <w:style w:type="character" w:customStyle="1" w:styleId="3Char">
    <w:name w:val="标题 3 Char"/>
    <w:basedOn w:val="a0"/>
    <w:link w:val="3"/>
    <w:uiPriority w:val="9"/>
    <w:semiHidden/>
    <w:rsid w:val="004507E5"/>
    <w:rPr>
      <w:b/>
      <w:bCs/>
      <w:sz w:val="32"/>
      <w:szCs w:val="32"/>
    </w:rPr>
  </w:style>
  <w:style w:type="character" w:customStyle="1" w:styleId="2Char">
    <w:name w:val="标题 2 Char"/>
    <w:basedOn w:val="a0"/>
    <w:link w:val="2"/>
    <w:uiPriority w:val="9"/>
    <w:semiHidden/>
    <w:rsid w:val="00D10B06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uthor-type">
    <w:name w:val="author-type"/>
    <w:basedOn w:val="a"/>
    <w:rsid w:val="00C238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author-name">
    <w:name w:val="author-name"/>
    <w:basedOn w:val="a"/>
    <w:rsid w:val="00C238A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254E56"/>
    <w:rPr>
      <w:color w:val="954F72" w:themeColor="followedHyperlink"/>
      <w:u w:val="single"/>
    </w:rPr>
  </w:style>
  <w:style w:type="numbering" w:customStyle="1" w:styleId="1">
    <w:name w:val="无列表1"/>
    <w:next w:val="a2"/>
    <w:uiPriority w:val="99"/>
    <w:semiHidden/>
    <w:unhideWhenUsed/>
    <w:rsid w:val="00D857D9"/>
  </w:style>
  <w:style w:type="character" w:styleId="a8">
    <w:name w:val="annotation reference"/>
    <w:basedOn w:val="a0"/>
    <w:uiPriority w:val="99"/>
    <w:semiHidden/>
    <w:unhideWhenUsed/>
    <w:rsid w:val="00AB5626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AB5626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AB5626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AB5626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AB5626"/>
    <w:rPr>
      <w:b/>
      <w:bCs/>
    </w:rPr>
  </w:style>
  <w:style w:type="paragraph" w:styleId="ab">
    <w:name w:val="Balloon Text"/>
    <w:basedOn w:val="a"/>
    <w:link w:val="Char4"/>
    <w:uiPriority w:val="99"/>
    <w:semiHidden/>
    <w:unhideWhenUsed/>
    <w:rsid w:val="00AB5626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AB5626"/>
    <w:rPr>
      <w:sz w:val="18"/>
      <w:szCs w:val="18"/>
    </w:rPr>
  </w:style>
  <w:style w:type="paragraph" w:styleId="ac">
    <w:name w:val="List Paragraph"/>
    <w:basedOn w:val="a"/>
    <w:uiPriority w:val="34"/>
    <w:qFormat/>
    <w:rsid w:val="002F49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78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53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8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540153">
                  <w:marLeft w:val="-30"/>
                  <w:marRight w:val="9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6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2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4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4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0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52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31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915810">
                                  <w:marLeft w:val="0"/>
                                  <w:marRight w:val="-120"/>
                                  <w:marTop w:val="0"/>
                                  <w:marBottom w:val="0"/>
                                  <w:divBdr>
                                    <w:top w:val="single" w:sz="6" w:space="0" w:color="C2C2C2"/>
                                    <w:left w:val="single" w:sz="6" w:space="0" w:color="C2C2C2"/>
                                    <w:bottom w:val="single" w:sz="6" w:space="0" w:color="C2C2C2"/>
                                    <w:right w:val="none" w:sz="0" w:space="0" w:color="auto"/>
                                  </w:divBdr>
                                  <w:divsChild>
                                    <w:div w:id="1910380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009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212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59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671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79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10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18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416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940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907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656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058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518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817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324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510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633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448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3499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24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089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1099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701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964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8126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835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494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3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1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7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853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26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3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41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4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28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554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177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34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386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36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0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8034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93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10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8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8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623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3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1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48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39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9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3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4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6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7441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1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498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02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87969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7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93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735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08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16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0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38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64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1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5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9371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65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5244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19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01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25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4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6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95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17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44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42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2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1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6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9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60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296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4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2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8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3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39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5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0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5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3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2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0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9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84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82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42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118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9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4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22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4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6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46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20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8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0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9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75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352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9445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54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1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8784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97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4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3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328835">
                  <w:marLeft w:val="-30"/>
                  <w:marRight w:val="9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8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0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99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01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6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168221">
                                  <w:marLeft w:val="0"/>
                                  <w:marRight w:val="-120"/>
                                  <w:marTop w:val="0"/>
                                  <w:marBottom w:val="0"/>
                                  <w:divBdr>
                                    <w:top w:val="single" w:sz="6" w:space="0" w:color="C2C2C2"/>
                                    <w:left w:val="single" w:sz="6" w:space="0" w:color="C2C2C2"/>
                                    <w:bottom w:val="single" w:sz="6" w:space="0" w:color="C2C2C2"/>
                                    <w:right w:val="none" w:sz="0" w:space="0" w:color="auto"/>
                                  </w:divBdr>
                                  <w:divsChild>
                                    <w:div w:id="814688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301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07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366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523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6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48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600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8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51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481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9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9508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10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4447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96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785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479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644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659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352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77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1754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451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1268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6154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0361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4676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3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8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8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576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5381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8909">
              <w:marLeft w:val="0"/>
              <w:marRight w:val="0"/>
              <w:marTop w:val="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2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1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7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29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2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2575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0980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3747">
              <w:marLeft w:val="0"/>
              <w:marRight w:val="0"/>
              <w:marTop w:val="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4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667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84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1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33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334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80584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480769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6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23071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33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85683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2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7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0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78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247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87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9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93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88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72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8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2288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148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5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6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6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3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5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62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4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7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1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34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93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83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5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77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94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2150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9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0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2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31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22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0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55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13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6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9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7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0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2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43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40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98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12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81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2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0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9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51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961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2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1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3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2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17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21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9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7969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8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19318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8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300395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6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644001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848369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085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05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9425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3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7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25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277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7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1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3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7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6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9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395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50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94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65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0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83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8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61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384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70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57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0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44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06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2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032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30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804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24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19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41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762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98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36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726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348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0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43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16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2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7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53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2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0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3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44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48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38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7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1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88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440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8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3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2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93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30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2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5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nrilong@zju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uanjiang@csu.edu.c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1517029@zju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C6339-62B8-4613-8C46-C764DFA3C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1114</TotalTime>
  <Pages>47</Pages>
  <Words>16804</Words>
  <Characters>95783</Characters>
  <Application>Microsoft Office Word</Application>
  <DocSecurity>0</DocSecurity>
  <Lines>798</Lines>
  <Paragraphs>224</Paragraphs>
  <ScaleCrop>false</ScaleCrop>
  <Company/>
  <LinksUpToDate>false</LinksUpToDate>
  <CharactersWithSpaces>112363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bnds</dc:creator>
  <cp:keywords/>
  <dc:description/>
  <cp:lastModifiedBy>bnds</cp:lastModifiedBy>
  <cp:revision>455</cp:revision>
  <dcterms:created xsi:type="dcterms:W3CDTF">2026-04-20T01:10:00Z</dcterms:created>
  <dcterms:modified xsi:type="dcterms:W3CDTF">2026-08-18T01:35:00Z</dcterms:modified>
</cp:coreProperties>
</file>