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41B" w:rsidRPr="00913F6F" w:rsidRDefault="0048441B" w:rsidP="0048441B">
      <w:pPr>
        <w:spacing w:line="360" w:lineRule="auto"/>
        <w:jc w:val="center"/>
        <w:rPr>
          <w:rFonts w:ascii="宋体" w:eastAsia="宋体" w:hAnsi="宋体" w:cs="宋体"/>
          <w:b/>
          <w:color w:val="000000"/>
          <w:sz w:val="28"/>
          <w:szCs w:val="28"/>
        </w:rPr>
      </w:pP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202</w:t>
      </w:r>
      <w:r w:rsidR="00F4440E">
        <w:rPr>
          <w:rFonts w:ascii="宋体" w:eastAsia="宋体" w:hAnsi="宋体" w:cs="宋体"/>
          <w:b/>
          <w:color w:val="000000"/>
          <w:sz w:val="28"/>
          <w:szCs w:val="28"/>
        </w:rPr>
        <w:t>6</w:t>
      </w: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年第</w:t>
      </w:r>
      <w:r w:rsidR="00A55058">
        <w:rPr>
          <w:rFonts w:ascii="宋体" w:eastAsia="宋体" w:hAnsi="宋体" w:cs="宋体"/>
          <w:b/>
          <w:color w:val="000000"/>
          <w:sz w:val="28"/>
          <w:szCs w:val="28"/>
        </w:rPr>
        <w:t>3</w:t>
      </w:r>
      <w:r w:rsidR="00D1675A">
        <w:rPr>
          <w:rFonts w:ascii="宋体" w:eastAsia="宋体" w:hAnsi="宋体" w:cs="宋体"/>
          <w:b/>
          <w:color w:val="000000"/>
          <w:sz w:val="28"/>
          <w:szCs w:val="28"/>
        </w:rPr>
        <w:t>2</w:t>
      </w: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周</w:t>
      </w:r>
    </w:p>
    <w:p w:rsidR="0048441B" w:rsidRPr="00913F6F" w:rsidRDefault="0048441B" w:rsidP="0048441B">
      <w:pPr>
        <w:spacing w:line="360" w:lineRule="auto"/>
        <w:jc w:val="center"/>
        <w:rPr>
          <w:rFonts w:ascii="宋体" w:eastAsia="宋体" w:hAnsi="宋体" w:cs="宋体"/>
          <w:b/>
          <w:color w:val="000000"/>
          <w:sz w:val="28"/>
          <w:szCs w:val="28"/>
        </w:rPr>
      </w:pP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境外学者发表的结核病英文文章摘要</w:t>
      </w:r>
    </w:p>
    <w:p w:rsidR="0048441B" w:rsidRPr="00913F6F" w:rsidRDefault="0048441B" w:rsidP="0048441B">
      <w:pPr>
        <w:spacing w:line="360" w:lineRule="auto"/>
        <w:jc w:val="center"/>
        <w:rPr>
          <w:rFonts w:ascii="宋体" w:eastAsia="宋体" w:hAnsi="宋体" w:cs="宋体"/>
          <w:b/>
          <w:color w:val="000000"/>
          <w:sz w:val="28"/>
          <w:szCs w:val="28"/>
        </w:rPr>
      </w:pPr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（</w:t>
      </w:r>
      <w:r w:rsidR="00BD37D9">
        <w:rPr>
          <w:rFonts w:ascii="宋体" w:eastAsia="宋体" w:hAnsi="宋体" w:cs="宋体" w:hint="eastAsia"/>
          <w:b/>
          <w:color w:val="000000"/>
          <w:sz w:val="28"/>
          <w:szCs w:val="28"/>
        </w:rPr>
        <w:t>8</w:t>
      </w:r>
      <w:r w:rsidR="00BD37D9">
        <w:rPr>
          <w:rFonts w:ascii="宋体" w:eastAsia="宋体" w:hAnsi="宋体" w:cs="宋体"/>
          <w:b/>
          <w:color w:val="000000"/>
          <w:sz w:val="28"/>
          <w:szCs w:val="28"/>
        </w:rPr>
        <w:t>4</w:t>
      </w:r>
      <w:bookmarkStart w:id="0" w:name="_GoBack"/>
      <w:bookmarkEnd w:id="0"/>
      <w:r w:rsidRPr="00913F6F">
        <w:rPr>
          <w:rFonts w:ascii="宋体" w:eastAsia="宋体" w:hAnsi="宋体" w:cs="宋体" w:hint="eastAsia"/>
          <w:b/>
          <w:color w:val="000000"/>
          <w:sz w:val="28"/>
          <w:szCs w:val="28"/>
        </w:rPr>
        <w:t>篇）</w:t>
      </w:r>
    </w:p>
    <w:p w:rsidR="0048441B" w:rsidRPr="00440A9B" w:rsidRDefault="0048441B" w:rsidP="0048441B">
      <w:pPr>
        <w:jc w:val="left"/>
        <w:rPr>
          <w:rFonts w:ascii="宋体" w:eastAsia="宋体" w:hAnsi="宋体" w:cs="宋体"/>
          <w:b/>
          <w:color w:val="FF0000"/>
          <w:szCs w:val="24"/>
        </w:rPr>
      </w:pPr>
    </w:p>
    <w:p w:rsidR="0048441B" w:rsidRPr="00913F6F" w:rsidRDefault="00AE3580" w:rsidP="0048441B">
      <w:pPr>
        <w:jc w:val="left"/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 w:hint="eastAsia"/>
          <w:b/>
          <w:color w:val="FF0000"/>
          <w:szCs w:val="24"/>
        </w:rPr>
        <w:t>PubMed  Publication date: 202</w:t>
      </w:r>
      <w:r w:rsidR="009A67B7">
        <w:rPr>
          <w:rFonts w:ascii="宋体" w:eastAsia="宋体" w:hAnsi="宋体" w:cs="宋体"/>
          <w:b/>
          <w:color w:val="FF0000"/>
          <w:szCs w:val="24"/>
        </w:rPr>
        <w:t>6</w:t>
      </w:r>
      <w:r w:rsidR="008236E7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D1675A">
        <w:rPr>
          <w:rFonts w:ascii="宋体" w:eastAsia="宋体" w:hAnsi="宋体" w:cs="宋体"/>
          <w:b/>
          <w:color w:val="FF0000"/>
          <w:szCs w:val="24"/>
        </w:rPr>
        <w:t>8</w:t>
      </w:r>
      <w:r w:rsidR="0048441B" w:rsidRPr="00913F6F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D1675A">
        <w:rPr>
          <w:rFonts w:ascii="宋体" w:eastAsia="宋体" w:hAnsi="宋体" w:cs="宋体"/>
          <w:b/>
          <w:color w:val="FF0000"/>
          <w:szCs w:val="24"/>
        </w:rPr>
        <w:t>3</w:t>
      </w:r>
      <w:r w:rsidR="0038007F">
        <w:rPr>
          <w:rFonts w:ascii="宋体" w:eastAsia="宋体" w:hAnsi="宋体" w:cs="宋体"/>
          <w:b/>
          <w:color w:val="FF000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FF0000"/>
          <w:szCs w:val="24"/>
        </w:rPr>
        <w:t>---</w:t>
      </w:r>
      <w:r w:rsidR="001F13B5">
        <w:rPr>
          <w:rFonts w:ascii="宋体" w:eastAsia="宋体" w:hAnsi="宋体" w:cs="宋体"/>
          <w:b/>
          <w:color w:val="FF0000"/>
          <w:szCs w:val="24"/>
        </w:rPr>
        <w:t xml:space="preserve"> </w:t>
      </w:r>
      <w:r>
        <w:rPr>
          <w:rFonts w:ascii="宋体" w:eastAsia="宋体" w:hAnsi="宋体" w:cs="宋体" w:hint="eastAsia"/>
          <w:b/>
          <w:color w:val="FF0000"/>
          <w:szCs w:val="24"/>
        </w:rPr>
        <w:t>202</w:t>
      </w:r>
      <w:r w:rsidR="00F4440E">
        <w:rPr>
          <w:rFonts w:ascii="宋体" w:eastAsia="宋体" w:hAnsi="宋体" w:cs="宋体"/>
          <w:b/>
          <w:color w:val="FF0000"/>
          <w:szCs w:val="24"/>
        </w:rPr>
        <w:t>6</w:t>
      </w:r>
      <w:r w:rsidR="00A46C82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E1534B">
        <w:rPr>
          <w:rFonts w:ascii="宋体" w:eastAsia="宋体" w:hAnsi="宋体" w:cs="宋体"/>
          <w:b/>
          <w:color w:val="FF0000"/>
          <w:szCs w:val="24"/>
        </w:rPr>
        <w:t>8</w:t>
      </w:r>
      <w:r w:rsidR="0048441B" w:rsidRPr="00913F6F">
        <w:rPr>
          <w:rFonts w:ascii="宋体" w:eastAsia="宋体" w:hAnsi="宋体" w:cs="宋体" w:hint="eastAsia"/>
          <w:b/>
          <w:color w:val="FF0000"/>
          <w:szCs w:val="24"/>
        </w:rPr>
        <w:t>/</w:t>
      </w:r>
      <w:r w:rsidR="00D1675A">
        <w:rPr>
          <w:rFonts w:ascii="宋体" w:eastAsia="宋体" w:hAnsi="宋体" w:cs="宋体"/>
          <w:b/>
          <w:color w:val="FF0000"/>
          <w:szCs w:val="24"/>
        </w:rPr>
        <w:t>9</w:t>
      </w:r>
    </w:p>
    <w:p w:rsidR="006C3F55" w:rsidRDefault="0048441B" w:rsidP="00763AE2">
      <w:pPr>
        <w:rPr>
          <w:rFonts w:ascii="宋体" w:eastAsia="宋体" w:hAnsi="宋体" w:cs="宋体"/>
          <w:b/>
          <w:color w:val="FF0000"/>
          <w:szCs w:val="24"/>
        </w:rPr>
      </w:pPr>
      <w:r w:rsidRPr="00913F6F">
        <w:rPr>
          <w:rFonts w:ascii="宋体" w:eastAsia="宋体" w:hAnsi="宋体" w:cs="宋体" w:hint="eastAsia"/>
          <w:b/>
          <w:color w:val="FF0000"/>
          <w:szCs w:val="24"/>
        </w:rPr>
        <w:t>(tuberculosis[Title/Abstract]) AND (English[Language])</w:t>
      </w:r>
    </w:p>
    <w:p w:rsidR="00FA0D6F" w:rsidRDefault="00FA0D6F" w:rsidP="003D46F1">
      <w:pPr>
        <w:rPr>
          <w:rFonts w:ascii="宋体" w:eastAsia="宋体" w:hAnsi="宋体" w:cs="宋体"/>
          <w:b/>
          <w:color w:val="FF0000"/>
          <w:szCs w:val="24"/>
        </w:rPr>
      </w:pPr>
    </w:p>
    <w:p w:rsidR="00254324" w:rsidRPr="00FE3754" w:rsidRDefault="004A1F5A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</w:t>
      </w:r>
      <w:r w:rsidR="00254324" w:rsidRPr="00FE3754">
        <w:rPr>
          <w:rFonts w:ascii="宋体" w:eastAsia="宋体" w:hAnsi="宋体" w:cs="宋体"/>
          <w:b/>
          <w:color w:val="FF0000"/>
          <w:szCs w:val="24"/>
        </w:rPr>
        <w:t xml:space="preserve">. J Infect. 2026 Aug 8:106828. doi: 10.1016/j.jinf.2026.106828. Online ahead of </w:t>
      </w:r>
    </w:p>
    <w:p w:rsidR="00254324" w:rsidRPr="00FE3754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FE3754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Mycobacterium tuberculosis pathogen load and associated inflammatory responses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define infection severity in HIV-associated TB and interact with age to predict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mortality.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Boloko L(1), Schutz C(2), Ward A(3), Wilkinson RJ(4), Jacob ST(5), Meintjes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G(6), Barr DA(7).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(1)Wellcome Discovery Research Platforms in Infection, Centre for Infectious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Diseases Research in Africa (CIDRI-Africa), Institute of Infectious Disease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Molecular Medicine, University of Cape Town, South Africa; Department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Medicine, University of Cape Town, Observatory 7925, South Africa. Electronic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address: linda.boloko@gmail.com.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(2)Wellcome Discovery Research Platforms in Infection, Centre for Infectious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Diseases Research in Africa (CIDRI-Africa), Institute of Infectious Disease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Molecular Medicine, University of Cape Town, South Africa; Department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Medicine, University of Cape Town, Observatory 7925, South Africa.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(3)Department of Medicine, University of Cape Town, Observatory 7925, South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Africa; Vuka Research Clinic, 1(st) Floor, Isivivana Centre, 8 Mzala Street,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Khayelitsha, Cape Town, 7784, South Africa.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(4)Wellcome Discovery Research Platforms in Infection, Centre for Infectious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Diseases Research in Africa (CIDRI-Africa), Institute of Infectious Disease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Molecular Medicine, University of Cape Town, South Africa; Department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Medicine, University of Cape Town, Observatory 7925, South Africa; The Francis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Crick Institute, London NW1 1AT, UK &amp; Department of Infectious Disease, Imperial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College, London, W12 0NN, United Kingdom.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(5)Department of Clinical Sciences, Liverpool School of Tropical Medicine,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Pembroke Place, Liverpool L3 5QA, UK; Walimu, Plot 5-7, Coral Crescent, Kampala,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Uganda.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(6)Wellcome Discovery Research Platforms in Infection, Centre for Infectious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Diseases Research in Africa (CIDRI-Africa), Institute of Infectious Disease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Molecular Medicine, University of Cape Town, South Africa; Department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Medicine, University of Cape Town, Observatory 7925, South Africa; Vuka Research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Clinic, 1(st) Floor, Isivivana Centre, 8 Mzala Street, Khayelitsha, Cape Town,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7784, South Africa; Blizard Institute, Faculty of Medicine and Dentistry, Queen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Mary University of London, London, UK.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(7)Wellcome Discovery Research Platforms in Infection, Centre for Infectious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Diseases Research in Africa (CIDRI-Africa), Institute of Infectious Disease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Molecular Medicine, University of Cape Town, South Africa; Department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Medicine, University of Cape Town, Observatory 7925, South Africa; Department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Infectious Diseases, Queen Elizabeth University Hospital, Glasgow, UK.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Sepsis pathobiology is shaped by both pathogen load and host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characteristics, yet pathogen load is rarely measurable in clinical cohorts.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Severe HIV-associated tuberculosis (TB), a leading cause of critical illness in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Africa, provides a unique model in which Mycobacterium tuberculosis bacilli load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can be quantified. We investigated how pathogen load and age influence sepsis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pathophysiology and mortality in this high-risk population.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We conducted a prospective cohort study of adults admitted with severe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HIV-associated TB. Systemic bacillary load was estimated from multiple routinely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collected TB diagnostics. Blood-based sepsis markers were summarised using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principal components analysis, and pathophysiological processes were evaluated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using directed acyclic graphs and regression modelling.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FINDINGS: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Among 519 patients with microbiologically confirmed TB, 75 (14.5%)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died by day 28. Two major axes of host response were identified: PC1, capturing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IL-6, CRP, and procalcitonin; and PC2, reflecting venous lactate, aspartate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aminotransferase, and cytopenias. Both strongly correlated with bacilli load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(PC1 r=0.46; PC2 r=0.43; both p&lt;0.001) but not with age. Mortality independently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associated with infection severity - whether defined by bacilli load (aOR 2.1,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95%CI 1.6-2.9) or by inflammatory axes (PC1 aOR 2.3, 95%CI 1.7-3.1; PC2 aOR 1.9,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95%CI 1.5-2.5) - and with age (aOR 1.84, 95%CI 1.4-2.4). Absolute mortality risk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therefore reflected an interaction between pathogen load and age.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Hyperlactataemia, metabolic acidosis, kidney dysfunction, and temperature were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all correlated with bacilli load, inflammation and mortality (all p&lt;0.001).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Older patients showed less respiratory compensation for metabolic acidosis,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higher blood glucose at a given lactate level, and attenuated fever response at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 given bacilli load.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INTERPRETATION: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Pathogen load and associated inflammatory responses define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infection severity in HIV-associated TB and interact with age to predict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mortality. These findings highlight physiological constraints underlying organ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dysfunction in sepsis and illustrate how pathogen load and age can illuminate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mechanisms of critical illness.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Copyright © 2026. Published by Elsevier Ltd.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>DOI: 10.1016/j.jinf.2026.106828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42570730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FE3754" w:rsidRDefault="004A1F5A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</w:t>
      </w:r>
      <w:r w:rsidR="00254324" w:rsidRPr="00FE3754">
        <w:rPr>
          <w:rFonts w:ascii="宋体" w:eastAsia="宋体" w:hAnsi="宋体" w:cs="宋体"/>
          <w:b/>
          <w:color w:val="FF0000"/>
          <w:szCs w:val="24"/>
        </w:rPr>
        <w:t>. Microb Pathog. 2026 Aug 4;219:108749. doi: 10.1016</w:t>
      </w:r>
      <w:r w:rsidR="00FE3754" w:rsidRPr="00FE3754">
        <w:rPr>
          <w:rFonts w:ascii="宋体" w:eastAsia="宋体" w:hAnsi="宋体" w:cs="宋体"/>
          <w:b/>
          <w:color w:val="FF0000"/>
          <w:szCs w:val="24"/>
        </w:rPr>
        <w:t xml:space="preserve">/j.micpath.2026.108749. Online </w:t>
      </w:r>
      <w:r w:rsidR="00254324" w:rsidRPr="00FE3754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Mycobacterium marinum as a surrogate model for tuberculosis pathogenesis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drug discovery.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Aspatwar A(1).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(1)Faculty of Medicine and Health Technology, Tampere University, Tampere,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33520, Finland. Electronic address: ashok.aspatwar@tuni.fi.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Tuberculosis (TB) remains a leading cause of infectious disease mortality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worldwide, driven by the emergence of drug-resistant Mycobacterium tuberculosis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(Mtb) strains and the limited efficacy of current therapeutic strategies. Over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the past two decades, Mycobacterium marinum (M. marinum), a close genetic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relative of Mtb, has emerged as a powerful surrogate model for investigating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conserved mechanisms of TB pathogenesis and accelerating early-stage therapeutic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discovery. As a naturally pathogenic mycobacterium, M. marinum shares key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virulence determinants with Mtb, including ESX-1-dependent secretion,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intracellular survival strategies, lipid-mediated immune modulation, and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ability to induce granulomatous disease. Its compatibility with diverse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experimental systems-ranging from macrophage cultures to genetically tractable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vertebrate hosts such as zebrafish-enables real-time visualization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host-pathogen interactions, granuloma dynamics, immune regulation, and bacterial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dissemination in vivo. In addition to mechanistic pathogenesis studies, M.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marinum provides a scalable platform for phenotypic drug screening,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host-directed therapeutic discovery, and early in vivo evaluation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antimicrobial candidates, thereby bridging the gap between in vitro assays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mammalian infection models. This review synthesizes recent advances in the use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of M. marinum across pathogenesis research, functional genomics, and drug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discovery, critically examining its strengths, limitations, and optimal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positioning within multi-tiered tuberculosis research pipelines.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Copyright © 2026 The Author. Published by Elsevier Ltd.. All rights reserved.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10.1016/j.micpath.2026.108749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42551381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FE3754" w:rsidRDefault="004A1F5A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</w:t>
      </w:r>
      <w:r w:rsidR="00254324" w:rsidRPr="00FE3754">
        <w:rPr>
          <w:rFonts w:ascii="宋体" w:eastAsia="宋体" w:hAnsi="宋体" w:cs="宋体"/>
          <w:b/>
          <w:color w:val="FF0000"/>
          <w:szCs w:val="24"/>
        </w:rPr>
        <w:t xml:space="preserve">. BMJ Public Health. 2026 Aug 5;4(3):e005035. doi: 10.1136/bmjph-2026-005035. </w:t>
      </w:r>
    </w:p>
    <w:p w:rsidR="00254324" w:rsidRPr="00FE3754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FE3754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Temporal trends and associations between domestic public health spending, donor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funding and tuberculosis outcomes in Africa: a serial cross-sectional study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(1990-2022).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Limula C(1), Atta-Nyarko D(2)(3), Gyamfi E(1)(4), Messanga Bessala RD(1)(5),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Adotei N(1)(6), Marfo FA(7), Abubakr AF(1)(8), Adobasom-Anane AG(1)(9), Nketia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R(1).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(1)Department of Research and Data Analytics, Sub-Saharan Africa Research for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Sustainable Development Project, Berekum, Bono Region, Ghana.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(2)Department of Global Health Policy and Development, National Centre for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Coordination of Early Warning and Response Mechanism, Accra, Ghana.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(3)Sub-Saharan Africa Research for Sustainable Development Project, Berekum,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Ghana.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(4)Department of Medicine, Methodist Hospital, Wenchi, Ghana.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(5)Department of Internal Medicine, Faculty of Medicine and Biomedical Sciences,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University of Yaounde I, Yaoundé, Centre Region, Cameroon.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(6)Department of Paediatrics, St. Luke Hospital, Kasei, Ghana.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(7)Department of Research and Data Analytics, Sub-Saharan Africa Research for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Sustainable Development, Berekum, Bono Region, Ghana.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(8)Department of Clinical Care, Savannah Regional Health Directorate, Damango,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Ghana.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(9)Global Health and Infectious Diseases Research Group, Kumasi Centre for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Collaborative Research, Kwame Nkrumah University of Science and Technology,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Kumasi, Ashanti Region, Ghana.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Using vital historical data, we modelled tuberculosis (TB) incidence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mortality rates across different scenarios of United States government's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(US) development assistance for health (DAH), domestic general government health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spending (GHES) and non-US donor funding to determine how changes in these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funding would affect TB incidence and mortality in Africa.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 serial cross-sectional ecological analysis was conducted using 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panel dataset covering the period from 1990 to 2022 for all 54 African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countries. The dataset included age-standardised TB incidence and mortality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rates, source-specific DAH and other socioeconomic variables. Mixed-effects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tests were performed to assess associations among US DAH, other healthcare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funding and TB outcomes.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RESULTS</w:t>
      </w:r>
      <w:r w:rsidRPr="00254324">
        <w:rPr>
          <w:rFonts w:ascii="宋体" w:eastAsia="宋体" w:hAnsi="宋体" w:cs="宋体"/>
          <w:color w:val="000000" w:themeColor="text1"/>
          <w:szCs w:val="24"/>
        </w:rPr>
        <w:t>: Total annual TB-specific DAH in Africa increased from US$4.4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million in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1990 to US$168.7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million in 2022. The US government contributed more than 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quarter of the total funds (US$713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million; 27.4%). Compared with scenarios in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which US DAH was low but other funds were high, a combination of high US DAH,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high funding from other donors and high GHES (one unit above their means) was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associated with a 6.5% (95% Confidence Interval (CI) -73.6% to 49.6%) and 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14.6% (-86% to 60.8%) reduction in TB incidence and mortality, respectively.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corresponding decreases in incidence and mortality rates were 16.8 (-172.17 to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138.57) and 5.88 (-34.85 to 23.16) per 100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>000.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Although higher US DAH, Other DAH and GHES were associated with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declines in TB incidence and mortality rates, the estimated differences in TB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outcomes between high-funding and low-US-DAH scenarios were small and not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statistically significant.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Copyright © Author(s) (or their employer(s)) 2026. Re-use permitted under CC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BY-NC. Published by BMJ Group.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10.1136/bmjph-2026-005035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PMCID: PMC13448635</w:t>
      </w:r>
    </w:p>
    <w:p w:rsidR="00254324" w:rsidRPr="00254324" w:rsidRDefault="00FE3754" w:rsidP="00254324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42568929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FE3754" w:rsidRDefault="004A1F5A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</w:t>
      </w:r>
      <w:r w:rsidR="00254324" w:rsidRPr="00FE3754">
        <w:rPr>
          <w:rFonts w:ascii="宋体" w:eastAsia="宋体" w:hAnsi="宋体" w:cs="宋体"/>
          <w:b/>
          <w:color w:val="FF0000"/>
          <w:szCs w:val="24"/>
        </w:rPr>
        <w:t xml:space="preserve">. Open Forum Infect Dis. 2026 Aug 7;13(8):ofag394. doi: 10.1093/ofid/ofag394. </w:t>
      </w:r>
    </w:p>
    <w:p w:rsidR="00254324" w:rsidRPr="00FE3754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FE3754">
        <w:rPr>
          <w:rFonts w:ascii="宋体" w:eastAsia="宋体" w:hAnsi="宋体" w:cs="宋体"/>
          <w:b/>
          <w:color w:val="FF0000"/>
          <w:szCs w:val="24"/>
        </w:rPr>
        <w:t>eCollection 2026 Aug.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Minimally Invasive Tissue Sampling for Postmortem Diagnosis of Tuberculous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Meningitis in Zambian Adults.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Siddiqi OK(1)(2)(3), Birbeck GL(4)(5)(6), Kabwe C(7), Moonga G(7), Muwowo S(8),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Simumba S(8), Mulenga C(9), Mwanza R(8), Musukuma K(7), Varma H(10), Shibemba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A(8).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(1)Global Neurology Program, Department of Neurology, Beth Israel Deaconess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Medical Center, Boston, Massachusetts, USA.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(2)Center for Vaccines and Virology Research, Department of Internal Medicine,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Beth Israel Deaconess Medical Center, Boston, Massachusetts, USA.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(3)Department of Internal Medicine, University of Zambia School of Medicine,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Lusaka, Zambia.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(4)Department of Neurology, University of Rochester, Rochester, New York, USA.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(5)Chikankata Epilepsy Care Team, Chikankata Hospital, Mazabuka, Zambia.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(6)Department of Pediatrics and Child Health, University Teaching Hospitals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Children's Hospital, Lusaka, Zambia.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(7)Zambart, University of Zambia School of Medicine, Lusaka, Zambia.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(8)University Teaching Hospitals, Adult Hospital, Lusaka, Zambia.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(9)Tropical Gastroenterology and Nutrition Group, University of Zambia School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Medicine, Lusaka, Zambia.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(10)Department of Pathology, Beth Israel Deaconess Medical Center, Boston,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Massachusetts, USA.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lastRenderedPageBreak/>
        <w:t>BACKGROUND: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The true burden of tuberculous meningitis (TBM), particularly in low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middle-income countries, is unknown due to imperfect diagnostics. Complete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diagnostic autopsy (CDA) to confirm TBM in deceased meningitis patients is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uncommon. Minimally invasive tissue sampling (MITS) has been shown to be 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viable alternative to CDA to establish infectious etiologies of meningitis. We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used MITS to determine the burden of TBM among deceased adult Zambians who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presented with meningitis.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We performed a prospective cohort study of Zambian adults who presented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with symptoms suggestive of TBM, recording whether they had a complete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cerebrospinal fluid (CSF) diagnostic assessments during their admission. We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followed patients for the outcome of discharge or death. Among those who died,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after obtaining consent from the family, we performed MITS, collecting CSF,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brain, lung, and liver tissue looking for evidence of Mycobacterium tuberculosis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infection.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We completed MITS on 50 deceased Zambian adults who presented with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meningitis symptoms. Twenty-two cases had a complete antemortem CSF evaluation.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Among these cases, 4/22 (18%) were diagnosed with TBM before death and an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additional 2/22 (9%) were diagnosed with TBM via MITS after death. Twenty-eight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deaths occurred in patients with an incomplete or no CSF evaluation. Among these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cases, 4/28 (14%) were diagnosed with TBM via MITS.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MITS can confirm the diagnosis of TBM in deceased meningitis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patients. It can be a valuable tool in meningitis surveillance to establish an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infectious etiology.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 on behalf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Infectious Diseases Society of America.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10.1093/ofid/ofag394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PMCID: PMC13448058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42568733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FE3754" w:rsidRDefault="004A1F5A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254324" w:rsidRPr="00FE3754">
        <w:rPr>
          <w:rFonts w:ascii="宋体" w:eastAsia="宋体" w:hAnsi="宋体" w:cs="宋体"/>
          <w:b/>
          <w:color w:val="FF0000"/>
          <w:szCs w:val="24"/>
        </w:rPr>
        <w:t>. J Clin Epidemiol. 2026 Aug 7:112443. doi: 10.1016/</w:t>
      </w:r>
      <w:r w:rsidR="00FE3754" w:rsidRPr="00FE3754">
        <w:rPr>
          <w:rFonts w:ascii="宋体" w:eastAsia="宋体" w:hAnsi="宋体" w:cs="宋体"/>
          <w:b/>
          <w:color w:val="FF0000"/>
          <w:szCs w:val="24"/>
        </w:rPr>
        <w:t xml:space="preserve">j.jclinepi.2026.112443. Online </w:t>
      </w:r>
      <w:r w:rsidR="00254324" w:rsidRPr="00FE3754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Development and Internal Validation of a Clinical Risk Score for Loss to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Follow-Up Among Drug-Resistant Tuberculosis Patients in a High-Burden Setting,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Ethiopia: A Multicenter Retrospective Study.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Godana TN(1), Mekonnen FA(2), Derseh NM(2).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(1)Department of Internal medicine, College of medicine and Health science,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Comprehensive Specialized Hospital, University of Gondar, Gondar, Ethiopia.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Electronic address: tila12nega@gmail.com.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(2)Department of Epidemiology and Biostatistics, institute of public health,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College of medicine and Health science, University of Gondar, Gondar, Ethiopia.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INTRODUCTION: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Loss to follow-up (LTFU) in drug-resistant tuberculosis (DR-TB)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treatment is a major global public health problem, leading to continued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transmission, further amplification of drug resistance, and increased morbidity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mortality. Predicting the risk of LTFU is crucial for early intervention, but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validated prediction models for DR-TB patients in Ethiopia are lacking. The aim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was developing and internal validation of a risk prediction model for LTFU among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DR-TB patients in selected treatment-initiating centers in the Amhara region,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Ethiopia.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A multicenter retrospective follow-up study was conducted using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secondary data from 1097 DR-TB patients (2010-2025). Data were analyzed using 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software. Predictors were selected using the Least Absolute Shrinkage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Selection Operator (LASSO), and a multivariable logistic regression model was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developed. Model performance was assessed by discrimination (Area Under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Receiver Operating Characteristic curve - AUROC), calibration (Hosmer-Lemeshow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test, calibration plot), and the Brier score. LASSO regression was performed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with the penalty parameter (λ) optimized using bootstrapping-based internal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validation. The optimal λ was determined by minimizing the mean prediction error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across multiple bootstrapped resamples. Only Internal validation was performed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via bootstrap resampling, and clinical utility was evaluated with decision curve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analysis.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The percentage of LTFU was 18.41%. The final prediction model included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sex, nutritional status, residence, psychosocial support, counseling, distance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to a health facility, major adverse drug events, and history of TB. The model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showed excellent discrimination with an AUROC of 87.2% and good calibration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(p=0.239). Internal validation yielded an optimism-corrected AUROC of 86.8%. At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 optimal probability cutoff of 0.27, the model had a sensitivity of 78% (95%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CI:73-83) and specificity of 82% (95% CI:72-86%). Decision curve analysis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confirmed the model's clinical utility.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The percentage of LTFU was high. The developed nomogram is a robust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and clinically useful tool for identifying DR-TB patients at high risk of LTFU.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PLAIN LANGUAGE SUMMARY: LTFU during DR-TB treatment can lead to poor outcomes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continued disease transmission. We developed and internally validated 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prediction model using routinely collected clinical data to identify patients at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high risk of LTFU. The model may help healthcare providers target early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interventions to improve treatment completion. External validation is needed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before widespread use.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Copyright © 2026 Elsevier Inc. All rights reserved.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10.1016/j.jclinepi.2026.112443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42567434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FE3754" w:rsidRDefault="004A1F5A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r w:rsidR="00254324" w:rsidRPr="00FE3754">
        <w:rPr>
          <w:rFonts w:ascii="宋体" w:eastAsia="宋体" w:hAnsi="宋体" w:cs="宋体"/>
          <w:b/>
          <w:color w:val="FF0000"/>
          <w:szCs w:val="24"/>
        </w:rPr>
        <w:t>. BMJ Glob Health. 2026 Aug 4;11(8):e024146. doi: 10.1136/bmjgh-2026-024146.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Optimising screening for recurrent tuberculosis: a microsimulation-based study.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Kendall EA(1), Cox SR(2), Kadam A(3), Moe AH(4), Lele G(3), Gupte N(3)(5),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Barthwal M(6), Paradkar MS(3)(5), Mitra MK(7), Sohn H(8), Wasunkar S(8),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Thompson RR(9), Gupta A(4), Gaikwad S(10), Golub JE(#)(4), Mave V(#)(3)(5); TB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Aftermath, TB-DM, and RePORT India study teams.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(1)Division of Infectious Diseases, Johns Hopkins University School of Medicine,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Baltimore, Maryland, USA ekendall@jhmi.edu.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(2)International Health, Johns Hopkins Bloomberg School of Public Health,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Baltimore, Maryland, USA.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(3)Center for Infectious Diseases in India, Johns Hopkins India, Pune,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Maharashtra, India.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(4)Division of Infectious Diseases, Johns Hopkins University School of Medicine,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Baltimore, Maryland, USA.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(5)Byramjee Jeejeebhoy Government Medical College-Johns Hopkins University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Clinical Research Site, Pune, Maharashtra, India.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(6)Dr. D.Y. Patil Medical College, Dr. D.Y. Patil Vidyapeeth, Pune, Maharashtra,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(7)Department of Physics, Indian Institute of Technology Bombay, Mumbai,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Maharashtra, India.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(8)Department of Preventive Medicine, Seoul National University College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Medicine, Jongno-gu, Korea (the Republic of).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(9)Department of Global Health and Population, Harvard T H Chan School of Public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Health, Boston, Massachusetts, USA.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(10)Department of Pulmonary Medicine, Byramjee Jeejeebhoy Government Medical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College and Sassoon General Hospitals, Pune, Maharashtra, India.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People recently treated for tuberculosis (TB) (TB survivors) face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substantial risk of recurrence. The optimal implementation and expected impact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of active case-finding are uncertain.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We developed an individual-level stochastic simulation model of TB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recurrence among recently treated people in India, informed by empirical data on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the cumulative incidence and timing of TB recurrence, the extent and durations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of symptoms and bacteriological positivity and screening-related costs. We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modelled post-treatment symptom screening at quarterly or semiannual intervals,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with or without universal near-point-of-care bacteriological testing at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first screening encounter. We estimated months of symptomatic TB and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potentially infectious (bacteriologically positive, regardless of symptom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status) TB averted over a 2-year period after treatment, along with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corresponding screening programme costs, estimated as medians and 95%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uncertainty ranges across simulations.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Symptomatic TB recurred within 2 years post-treatment in 10% (8%-12%)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of recent TB survivors and undiagnosed prevalence peaked in month 2 (1-3).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Symptom screening 6, 12 and 18 months post-treatment (as per Indian guidelines)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averted 16% (8%-32%) of symptomatic and 8% (5%-17%) of infectious time. An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'early' screening schedule (3, 6 and 9 months post-treatment) increased case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detection and health impact (26% (15%-43%) of symptomatic and 16% (9%-27%)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infectious time averted). Adding 'universal bacteriologic testing' at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3-month encounter doubled the impact on transmission potential (34% (21%-55%)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symptomatic and 37% (22%-62%) of infectious time averted). In this context,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'early' symptom screening cost $190 ($100-$350) per case detected, and adding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universal bacteriological testing cost an additional $520 ($240-$1070) per case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incrementally detected by the screening programme.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 xml:space="preserve">CONCLUSIONS: 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Screening for recurrent TB in high-risk settings such as India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could reduce morbidity and time spent with potentially infectious TB.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Concentrating screening within the first year has greatest yield. Symptom-based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screening is most affordable, but testing for asymptomatic recurrence could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further reduce transmission potential.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Author(s) (or their employer(s)) 2026. Re-use permitted under CC BY-NC. No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commercial re-use. See rights and permissions. Published by BMJ Group.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10.1136/bmjgh-2026-024146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PMCID: PMC13448600</w:t>
      </w:r>
    </w:p>
    <w:p w:rsidR="00254324" w:rsidRPr="00254324" w:rsidRDefault="00254324" w:rsidP="00254324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42552071 [Indexed for MEDLI</w:t>
      </w:r>
      <w:r w:rsidR="00FE3754">
        <w:rPr>
          <w:rFonts w:ascii="宋体" w:eastAsia="宋体" w:hAnsi="宋体" w:cs="宋体"/>
          <w:color w:val="000000" w:themeColor="text1"/>
          <w:szCs w:val="24"/>
        </w:rPr>
        <w:t>NE]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FE3754" w:rsidRDefault="004A1F5A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</w:t>
      </w:r>
      <w:r w:rsidR="00254324" w:rsidRPr="00FE3754">
        <w:rPr>
          <w:rFonts w:ascii="宋体" w:eastAsia="宋体" w:hAnsi="宋体" w:cs="宋体"/>
          <w:b/>
          <w:color w:val="FF0000"/>
          <w:szCs w:val="24"/>
        </w:rPr>
        <w:t>. J Immunol. 2026 Aug 4;215(8):vkag217. doi: 10.1093/jimmun/vkag217.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Sorting nexin 5 deficiency impairs MHC class II antigen presentation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inflammatory responses during tuberculosis.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Dias BRS(1), Naqvi KF(1), Ektnitphong VA(1), Alvarez-Arguedas S(1), Rahlwes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KC(1), Campos PC(1), Shiloh MU(1)(2).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(1)Department of Internal Medicine, University of Texas Southwestern Medical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Center, Dallas, TX, United States.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(2)Department of Microbiology, University of Texas Southwestern Medical Center,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Dallas, TX, United States.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Tuberculosis (TB) remains one of the leading causes of death from a single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infectious agent worldwide, yet the host pathways that regulate antigen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presentation and lung inflammation during Mycobacterium tuberculosis (Mtb)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infection are incompletely defined. Sorting nexin 5 (SNX5) is a protein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implicated in endosomal trafficking, antigen processing, and antiviral host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defense, but its contribution to antibacterial immunity is unknown. Here, we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show that SNX5-deficient mice exhibit increased mortality following low-dose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aerosol Mtb infection despite unchanged pulmonary bacterial burden compared with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wild-type mice. Snx5-/- mice developed exacerbated lung inflammation without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major alterations in immune cell recruitment. In macrophages, Snx5 did not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affect phagocytosis, vacuolar maturation, intracellular bacterial control, 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global transcriptional responses to Mtb but was required for efficient major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histocompatibility complex (MHC) class II antigen presentation. Snx5 deficiency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was associated with reduced endolysosomal proteolysis and impaired MHC class II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antigen presentation in vitro, resulting in reduced activation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antigen-specific CD4+ T cells without altering surface MHC class II abundance 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costimulatory molecule expression. Together, these findings identify SNX5 as 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regulator of MHC class II antigen presentation that influences inflammatory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outcomes during pulmonary Mtb infection.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 on behalf of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American Association of Immunologists.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10.1093/jimmun/vkag217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PMCID: PMC13450273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42566507 [Indexed for MEDLINE]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FE3754" w:rsidRDefault="004A1F5A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</w:t>
      </w:r>
      <w:r w:rsidR="00254324" w:rsidRPr="00FE3754">
        <w:rPr>
          <w:rFonts w:ascii="宋体" w:eastAsia="宋体" w:hAnsi="宋体" w:cs="宋体"/>
          <w:b/>
          <w:color w:val="FF0000"/>
          <w:szCs w:val="24"/>
        </w:rPr>
        <w:t xml:space="preserve">. PLoS One. 2026 Aug 7;21(8):e0351836. doi: 10.1371/journal.pone.0351836. </w:t>
      </w:r>
    </w:p>
    <w:p w:rsidR="00254324" w:rsidRPr="00FE3754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FE3754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Catalysing tuberculosis elimination in Indonesia: Health economic and policy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insights from the BPaL regimen.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Antaria A(1), Agustina H(2), Ratnawati R(2), Andarini SL(2), Handayani D(2).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(1)Health Polytechnic of the Ministry of Health Jakarta I, Cilandak, Jakarta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Selatan. Indonesia.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(2)Department of Respiratory Medicine, Faculty of Medicine, University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Indonesia, Persahabatan Hospital, Jakarta Timur, Jakarta, Indonesia.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Indonesia diagnoses roughly 24,000 multidrug-resistant tuberculosis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(MDR-TB) cases each year, 8% of the world's total. Conventional treatment runs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18-24 months, costs US$7,142-9,000 per patient, and succeeds in only 59%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cases. The WHO endorsed Bedaquiline-Pretomanid-Linezolid (BPaL) regimen has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shown over 89% efficacy in controlled trials, but real-world health economic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>data from low- and middle-income countries remain scarce.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We conducted a retrospective cohort study of 84 patients with MDR-TB,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rifampicin-resistant TB (RR-TB), or pre-extensively drug-resistant TB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(pre-XDR-TB) treated at Persahabatan Hospital, Jakarta, between 2021 and 2024.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We compared treatment success, costs, and operational metrics against historical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controls from 2018-2020. Statistical methods included chi-square tests,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multivariate logistic regression, and incremental cost-effectiveness ratio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(ICER) calculations, with sensitivity analyses across ±20% cost and ±10%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efficacy ranges.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BPaL achieved 77.4% treatment success (65/84 patients) compared with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59% in historical controls (p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>&lt;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0.01). Per-patient costs dropped 67%, from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US$7,142-9,000 to US$2,310. The ICER was US$311.4 per additional treatment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success. Hospital stays shortened by 60% (10 versus 25 days; p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>&lt;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0.01),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adherence climbed from 70% to 95.2% (p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>&lt;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>0.01).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BPaL is effective, affordable, and ready to scale. Integrating it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into Indonesia's Jaminan Kesehatan Nasional (JKN) framework and expanding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decentralised diagnostics could accelerate progress towards WHO End TB 2030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targets. Our findings offer a replicable model for other low- and middle-income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settings.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Copyright: © 2026 Antaria et al. This is an open access article distributed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under the terms of the Creative Commons Attribution License, which permits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unrestricted use, distribution, and reproduction in any medium, provided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original author and source are credited.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10.1371/journal.pone.0351836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PMCID: PMC13450741</w:t>
      </w:r>
    </w:p>
    <w:p w:rsidR="00254324" w:rsidRPr="00254324" w:rsidRDefault="00254324" w:rsidP="00254324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</w:t>
      </w:r>
      <w:r w:rsidR="00FE3754">
        <w:rPr>
          <w:rFonts w:ascii="宋体" w:eastAsia="宋体" w:hAnsi="宋体" w:cs="宋体"/>
          <w:color w:val="000000" w:themeColor="text1"/>
          <w:szCs w:val="24"/>
        </w:rPr>
        <w:t xml:space="preserve"> 42566457 [Indexed for MEDLINE]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FE3754" w:rsidRDefault="004A1F5A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9</w:t>
      </w:r>
      <w:r w:rsidR="00254324" w:rsidRPr="00FE3754">
        <w:rPr>
          <w:rFonts w:ascii="宋体" w:eastAsia="宋体" w:hAnsi="宋体" w:cs="宋体"/>
          <w:b/>
          <w:color w:val="FF0000"/>
          <w:szCs w:val="24"/>
        </w:rPr>
        <w:t>. Metabolomics. 2026 Aug 7;22(4):138. doi: 10.1007/s11306-026-02511-8.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Metabolic insights into the pathophysiology of tuberculous meningitis in FFPE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postmortem human brain tissue.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Isaiah AR(1), Loots DT(1), Williams AA(1), Zaharie SD(2)(3), van Furth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AMT(1)(4), van der Kuip M(4), Mason S(5).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(1)Biomedical and Molecular Metabolism Research, Faculty of Natural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Agricultural Sciences, North-West University, Potchefstroom, South Africa.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(2)Department of Anatomical Pathology, Faculty of Medicine and Health Sciences,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Stellenbosch University, Cape Town, South Africa.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(3)National Health Laboratory Services, Tygerberg Hospital, Cape Town, South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Africa.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(4)Pediatric Infectious Diseases and Immunology, Amsterdam University Medical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Center, Academic Medical Center, Emma Children's Hospital, Amsterdam,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Netherlands.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(5)Biomedical and Molecular Metabolism Research, Faculty of Natural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Agricultural Sciences, North-West University, Potchefstroom, South Africa.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nmr.nwu@gmail.com.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Tuberculous meningitis (TBM), caused by Mycobacterium tuberculosis,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is the most severe form of extrapulmonary tuberculosis and isassociated with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high morbidity and mortality, particularly when diagnosis is delayed. Improved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understanding of the metabolic alterations associated withTBM may support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development of novel diagnostic biomarkers and provide insights into disease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pathophysiology.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METHOD: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In this study, we applied anuntargeted two-dimensional gas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chromatography-time-of-flight mass spectrometry (GC×GC-TOFMS) metabolomics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approach to formalin-fixed, paraffin-embedded (FFPE) postmortem human brain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tissue from 41 TBM cases and 36 tissue sections from 6 non-TBM control cases.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Metabolomics data wereprocessed, normalized, and analyzed using multivariate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univariate statistical approaches, including principal component analysis (PCA)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partialleast squares-discriminant analysis (PLS-DA), with variable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importance in projection (VIP) scores. These results were further correlated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with patient clinical data.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Distinct metabolic profiles were observed between TBM and control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tissues. Several metabolites were significantly reduced in TBM samples,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particularly within the alkane and alkene classes, with additional decreases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observed in metabolites associated with alcohols, fatty acids, lipids,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carbohydrates, and amino acids. These metabolic alterations suggest substantial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perturbations, primarily in the host lysine degradation pathway (linked to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kynurenine pathway), in TBM-affected brain tissue.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Collectively, these findings provide insight into the metabolic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landscape of terminalTBM and suggest potential metabolic pathways that may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contribute to disease pathophysiology. Further investigation of these metabolic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signatures in accessible patient tissue and biofluids may support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development of biomarkers and inform future therapeutic strategies for TBM.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10.1007/s11306-026-02511-8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PMCID: PMC13451238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42565936 [Indexed for MEDLINE]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FE3754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FE3754">
        <w:rPr>
          <w:rFonts w:ascii="宋体" w:eastAsia="宋体" w:hAnsi="宋体" w:cs="宋体"/>
          <w:b/>
          <w:color w:val="FF0000"/>
          <w:szCs w:val="24"/>
        </w:rPr>
        <w:t>1</w:t>
      </w:r>
      <w:r w:rsidR="004A1F5A">
        <w:rPr>
          <w:rFonts w:ascii="宋体" w:eastAsia="宋体" w:hAnsi="宋体" w:cs="宋体"/>
          <w:b/>
          <w:color w:val="FF0000"/>
          <w:szCs w:val="24"/>
        </w:rPr>
        <w:t>0</w:t>
      </w:r>
      <w:r w:rsidRPr="00FE3754">
        <w:rPr>
          <w:rFonts w:ascii="宋体" w:eastAsia="宋体" w:hAnsi="宋体" w:cs="宋体"/>
          <w:b/>
          <w:color w:val="FF0000"/>
          <w:szCs w:val="24"/>
        </w:rPr>
        <w:t xml:space="preserve">. Case Rep Ophthalmol Med. 2026 Aug 6;2026:8141797. doi: 10.1155/crop/8141797. </w:t>
      </w:r>
    </w:p>
    <w:p w:rsidR="00254324" w:rsidRPr="00FE3754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FE3754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When the Eye Reveals Disseminated Tuberculosis: A Pediatric Case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Endophthalmitis With Severe CNS Involvement.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 Santi N(1), Curci L(2), Bianchi E(1), Iaccheri B(1), Pallotto C(2), Rosignoli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D(2), Fiore T(1), De Socio GVL(2), Cagini C(1).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(1)Department of Medicine Surgical, Section of Ophthalmology, University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Perugia, S. Maria della Misericordia Hospital, Perugia, Italy, unipg.it.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(2)Infectious Diseases Clinic, Santa Maria Della Misericordia Hospital,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Department of Medicine, University of Perugia, Perugia, Italy, unipg.it.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PURPOSE: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This study aims to report a case of tuberculosis involving central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nervous system (CNS) discovered thanks to tubercular endophathlmitis.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This is a case report.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OBSERVATION: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A 14-year-old male presented with acute visual loss, ocular pain,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redness of the right eye following a recent stay in India. The clinical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history was notable for prolonged fever, night sweats, and headache.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Ophthalmological examination revealed severe intraocular inflammation consistent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with panuveitis and endophthalmitis. Neuroimaging demonstrated a large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ring-enhancing lesion in the right hemisphere with significant mass effect.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Initial microbiological investigations, including vitreous sampling, were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negative. A positive interferon-gamma release assay and radiological findings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raised suspicion for disseminated tuberculosis, and Mycobacterium tuberculosis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DNA was subsequently detected in vitreous samples after repeating a second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vitrectomy. Antitubercular therapy was started and definitive diagnosis was made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with biopsy of the brain lesion, which demonstrated positive cultures for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drug-sensitive M. tuberculosis. The clinical course was complicated by retinal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detachment, paradoxical enlargement of the cerebral tuberculoma,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postoperative neurological deficits requiring surgical intervention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rehabilitation.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This case highlights the diagnostic complexity of ocular and CNS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tuberculosis and emphasizes the need for a high index of suspicion, repeated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targeted sampling, and multidisciplinary management to achieve timely diagnosis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and appropriate treatment.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Copyright © 2026 Nicola De Santi et al. Case Reports in Ophthalmological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Medicine published by John Wiley &amp; Sons Ltd.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10.1155/crop/8141797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PMCID: PMC13445253</w:t>
      </w:r>
    </w:p>
    <w:p w:rsidR="00254324" w:rsidRPr="00254324" w:rsidRDefault="00FE3754" w:rsidP="00254324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42564844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FE3754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FE3754">
        <w:rPr>
          <w:rFonts w:ascii="宋体" w:eastAsia="宋体" w:hAnsi="宋体" w:cs="宋体"/>
          <w:b/>
          <w:color w:val="FF0000"/>
          <w:szCs w:val="24"/>
        </w:rPr>
        <w:t>1</w:t>
      </w:r>
      <w:r w:rsidR="004A1F5A">
        <w:rPr>
          <w:rFonts w:ascii="宋体" w:eastAsia="宋体" w:hAnsi="宋体" w:cs="宋体"/>
          <w:b/>
          <w:color w:val="FF0000"/>
          <w:szCs w:val="24"/>
        </w:rPr>
        <w:t>1</w:t>
      </w:r>
      <w:r w:rsidRPr="00FE3754">
        <w:rPr>
          <w:rFonts w:ascii="宋体" w:eastAsia="宋体" w:hAnsi="宋体" w:cs="宋体"/>
          <w:b/>
          <w:color w:val="FF0000"/>
          <w:szCs w:val="24"/>
        </w:rPr>
        <w:t>. S Afr Med J. 2026 Aug 6;116(6b):e3965. doi: 10.7196/SAMJ.2026.v116i6b.3965.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The changing landscape of diagnosing HIV-associated tuberculosis.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Maartens G(1).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(1)Division of Clinical Pharmacology, Department of Medicine, University of Cape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Town.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Tuberculosis is the most common cause of hospitalisation and death globally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among people with HIV (PWH), even in the antiretroviral therapy era. Diagnosis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of tuberculosis is challenging in PWH as bacillary load is lower in sputum and 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high proportion have extrapulmonary or disseminated tuberculosis. The clinical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features of tuberculosis in PWH are nonspecific and there is a wide differential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diagnosis of other opportunistic infections. Tuberculosis progresses rapidly in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people with advanced HIV disease, necessitating rapid diagnosis. In this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narrative review, key changes are described in the diagnosis of HIV-associated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tuberculosis in adults from 1990 until the present. Smear microscopy was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only rapid diagnostic test for tuberculosis until 2011, but its sensitivity is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lower in PWH. Algorithms for diagnosing smear-negative tuberculosis had poor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diagnostic accuracy, resulting in both underdiagnosis, which increased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tuberculosis deaths, and overdiagnosis, leading to missed or delayed diagnosis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of the opportunistic infections causing the symptoms. The evidence base for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screening for HIV-associated tuberculosis is strong among ambulatory PWH, but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screening algorithms have lower sensitivity in people on antiretroviral therapy.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The development of novel rapid diagnostic tests (nucleic acid amplification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tests and urine lipoarabinomannan lateral flow assay) for tuberculosis and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advent of antiretroviral therapy have dramatically changed the landscape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diagnosing HIV- associated tuberculosis, resulting in reductions in both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tuberculosis incidence and deaths. Diagnostic challenges persist as none of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currently available rapid diagnostic tests have sensitivities that are ideal,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only one test (urine lipoarabinomannan detection) is both affordable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simple to perform at the point of care. Therefore, there is still a need for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development of novel, accurate and affordable point-of-care tests to improve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rapid diagnosis of HIV-associated tuberculosis.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10.7196/SAMJ.2026.v116i6b.3965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42563647 [Indexed for MEDLINE]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FE3754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FE3754">
        <w:rPr>
          <w:rFonts w:ascii="宋体" w:eastAsia="宋体" w:hAnsi="宋体" w:cs="宋体"/>
          <w:b/>
          <w:color w:val="FF0000"/>
          <w:szCs w:val="24"/>
        </w:rPr>
        <w:t>1</w:t>
      </w:r>
      <w:r w:rsidR="004A1F5A">
        <w:rPr>
          <w:rFonts w:ascii="宋体" w:eastAsia="宋体" w:hAnsi="宋体" w:cs="宋体"/>
          <w:b/>
          <w:color w:val="FF0000"/>
          <w:szCs w:val="24"/>
        </w:rPr>
        <w:t>2</w:t>
      </w:r>
      <w:r w:rsidRPr="00FE3754">
        <w:rPr>
          <w:rFonts w:ascii="宋体" w:eastAsia="宋体" w:hAnsi="宋体" w:cs="宋体"/>
          <w:b/>
          <w:color w:val="FF0000"/>
          <w:szCs w:val="24"/>
        </w:rPr>
        <w:t>. S Afr Med J. 2026 Aug 6;116(6b):e4036. doi: 10.7196/SAMJ.2026.v116i6b.4036.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What's new in TB diagnosis? A spotlight on active case-finding.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Scott AJ(1), Perumal T(1), Oelofse S(1), Esmail A(1), Dheda K(2).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(1)Division of Pulmonology, Department of Medicine, Centre for Lung Infection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Immunity, University of Cape Town Lung Institute, Cape Town, South Africa;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Centre for the Study of Antimicrobial Resistance, South African Medical Research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Council and University of Cape Town, Cape Town, South Africa.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(2)Division of Pulmonology, Department of Medicine, Centre for Lung Infection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Immunity, University of Cape Town Lung Institute, Cape Town, South Africa;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Centre for the Study of Antimicrobial Resistance, South African Medical Research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Council and University of Cape Town, Cape Town, South Africa; Department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Infection Biology, Faculty of Infectious and Tropical Diseases, London School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Hygiene and Tropical Medicine, London, United Kingdom.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Tuberculosis (TB) remains the deadliest infectious disease globally, with gaps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 case detection hindering its control. Active case-finding (ACF) comprises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active screening of at-risk populations, including asymptomatic individuals, who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constitute over half of TB prevalence in high-burden areas and who may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contribute to community-based transmission. Common ACF models in community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settings include door- to-door screening or mobile, vehicle-based screening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using chest X-ray and/or molecular testing modalities. Other forms include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healthcare facility-based screening and mass screening in congregate settings.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The World Health Organization recommends ACF for communities with a TB </w:t>
      </w:r>
    </w:p>
    <w:p w:rsidR="00254324" w:rsidRPr="00254324" w:rsidRDefault="00254324" w:rsidP="00254324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254324">
        <w:rPr>
          <w:rFonts w:ascii="宋体" w:eastAsia="宋体" w:hAnsi="宋体" w:cs="宋体" w:hint="eastAsia"/>
          <w:color w:val="000000" w:themeColor="text1"/>
          <w:szCs w:val="24"/>
        </w:rPr>
        <w:t xml:space="preserve">prevalence of ≥0.5%, and its implementation is most effective in TB 'hot spots'.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ACF can also be focused on specific at-risk groups such as household contacts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people living with HIV. Despite resource and logistical challenges,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community-based ACF trials have demonstrated significant reductions in TB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prevalence with repeated rounds of screening. In practice, however,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community-based ACF is rarely undertaken by TB programmes in endemic countries,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owing to limited funding ('willingness to pay') and a lack of context-specific,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evidence-based operational guidance on ACF implementation. Therefore,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real-world effect of ACF will likely depend on implementation intensity, the use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of scalable and accurate screening and diagnostic tools, and engagement with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communities and health systems.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10.7196/SAMJ.2026.v116i6b.4036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42563646 [Indexed for MEDLINE]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FE3754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FE3754">
        <w:rPr>
          <w:rFonts w:ascii="宋体" w:eastAsia="宋体" w:hAnsi="宋体" w:cs="宋体"/>
          <w:b/>
          <w:color w:val="FF0000"/>
          <w:szCs w:val="24"/>
        </w:rPr>
        <w:t>1</w:t>
      </w:r>
      <w:r w:rsidR="004A1F5A">
        <w:rPr>
          <w:rFonts w:ascii="宋体" w:eastAsia="宋体" w:hAnsi="宋体" w:cs="宋体"/>
          <w:b/>
          <w:color w:val="FF0000"/>
          <w:szCs w:val="24"/>
        </w:rPr>
        <w:t>3</w:t>
      </w:r>
      <w:r w:rsidRPr="00FE3754">
        <w:rPr>
          <w:rFonts w:ascii="宋体" w:eastAsia="宋体" w:hAnsi="宋体" w:cs="宋体"/>
          <w:b/>
          <w:color w:val="FF0000"/>
          <w:szCs w:val="24"/>
        </w:rPr>
        <w:t>. Trop Med Health. 2026 Aug 6;54(1):137. doi: 10.1186/s41182-026-00979-7.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Assessment of financial protection mechanisms for tuberculosis services in seven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priority countries of the Western Pacific Region: a cross-sectional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mixed-methods study.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Oh KH(#)(1)(2), Seo J(#)(3), Yu Y(3), Morishita F(1), Luz AC(1), Tran HTG(1),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>Yadav RPH(1), Grobusch MP(2), Choi H(4).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(1)World Health Organization Regional Office for the Western Pacific, Manila,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Philippines.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(2)Department of Infectious Disease, Division of Internal Medicine, Amsterdam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University Medical Centres, location University of Amsterdam, Amsterdam,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Netherlands.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(3)Division of Health Policy and Management, Korea University College of Health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Science, Seoul, Republic of Korea.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(4)Division of Health Policy and Management, Korea University College of Health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Science, Seoul, Republic of Korea. hongjo@korea.ac.kr.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BACKGROUND: T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uberculosis (TB) remains a major public health and socioeconomic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challenge in the Western Pacific Region. Despite the expansion of universal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health coverage (UHC), TB-affected households continue to face financial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hardship. This study aimed to assess and compare financial protection mechanisms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for TB services across the continuum of care in the region.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We conducted a cross-sectional mixed-methods study in seven TB priority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countries in the Western Pacific Region: Cambodia, China, Lao People's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Democratic Republic, Mongolia, Papua New Guinea, the Philippines, and Viet Nam.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Data were collected between January and March 2025 through a structured online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questionnaire and semi-structured interviews with 21 key informants. Findings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were analysed using a standardised health financing framework covering revenue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raising, pooling, purchasing, and service coverage. Secondary data from the WHO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Global TB finance database were used to assess funding composition and donor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dependence.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Countries were mapped into three financing typologies: tax-funded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systems, government-subsidised mixed systems, and insurance-based pooled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systems. Total TB funding in 2023 varied widely, from US$3.7 million in the Lao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People's Democratic Republic to US$1.08 billion in China. External donor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dependence was high in the Lao People's Democratic Republic, Viet Nam, Cambodia,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Papua New Guinea, but minimal in China. Coverage of TB services was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strongest for drug-susceptible TB treatment and weakest for radiology,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hospitalisation, and services subject to social health insurance co-payments. TB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preventive treatment and drug-resistant TB services were frequently sustained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through donor financing. Interviews identified implementation barriers including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pre-diagnostic user fees, reimbursement delays, fragmented purchasing,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incentives for unnecessary hospitalisation.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Expansion of UHC has not consistently translated into comprehensive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financial protection for TB patients. While many TB services are nominally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covered, patients remain exposed to costs through pre-diagnostic fees,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co-payments, reimbursement limits, and donor-dependent service components.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Strengthening financial protection requires integrating TB services into pooled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domestic financing, removing avoidable cost-sharing for essential TB services,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and aligning purchasing mechanisms with patient-centred TB care pathways.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2026. World Health Organization and Jeungeun Seo, Yerin Yu, Martin P Grobusch,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Hongjo Choi.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10.1186/s41182-026-00979-7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PMCID: PMC13445896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42563194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FE3754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FE3754">
        <w:rPr>
          <w:rFonts w:ascii="宋体" w:eastAsia="宋体" w:hAnsi="宋体" w:cs="宋体"/>
          <w:b/>
          <w:color w:val="FF0000"/>
          <w:szCs w:val="24"/>
        </w:rPr>
        <w:t>1</w:t>
      </w:r>
      <w:r w:rsidR="004A1F5A">
        <w:rPr>
          <w:rFonts w:ascii="宋体" w:eastAsia="宋体" w:hAnsi="宋体" w:cs="宋体"/>
          <w:b/>
          <w:color w:val="FF0000"/>
          <w:szCs w:val="24"/>
        </w:rPr>
        <w:t>4</w:t>
      </w:r>
      <w:r w:rsidRPr="00FE3754">
        <w:rPr>
          <w:rFonts w:ascii="宋体" w:eastAsia="宋体" w:hAnsi="宋体" w:cs="宋体"/>
          <w:b/>
          <w:color w:val="FF0000"/>
          <w:szCs w:val="24"/>
        </w:rPr>
        <w:t>. Nat Rev Microbiol. 2026 Aug 6. doi: 10.1038/s4157</w:t>
      </w:r>
      <w:r w:rsidR="00FE3754" w:rsidRPr="00FE3754">
        <w:rPr>
          <w:rFonts w:ascii="宋体" w:eastAsia="宋体" w:hAnsi="宋体" w:cs="宋体"/>
          <w:b/>
          <w:color w:val="FF0000"/>
          <w:szCs w:val="24"/>
        </w:rPr>
        <w:t xml:space="preserve">9-026-01357-0. Online ahead of </w:t>
      </w:r>
      <w:r w:rsidRPr="00FE3754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Mycobacterium tuberculosis outpaces antibiotic treatment.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Du Toit A(1).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(1)Nature Reviews Microbiology, . nrmicro@nature.com.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10.1038/s41579-026-01357-0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42562911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FE3754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FE3754">
        <w:rPr>
          <w:rFonts w:ascii="宋体" w:eastAsia="宋体" w:hAnsi="宋体" w:cs="宋体"/>
          <w:b/>
          <w:color w:val="FF0000"/>
          <w:szCs w:val="24"/>
        </w:rPr>
        <w:t>1</w:t>
      </w:r>
      <w:r w:rsidR="004A1F5A">
        <w:rPr>
          <w:rFonts w:ascii="宋体" w:eastAsia="宋体" w:hAnsi="宋体" w:cs="宋体"/>
          <w:b/>
          <w:color w:val="FF0000"/>
          <w:szCs w:val="24"/>
        </w:rPr>
        <w:t>5</w:t>
      </w:r>
      <w:r w:rsidRPr="00FE3754">
        <w:rPr>
          <w:rFonts w:ascii="宋体" w:eastAsia="宋体" w:hAnsi="宋体" w:cs="宋体"/>
          <w:b/>
          <w:color w:val="FF0000"/>
          <w:szCs w:val="24"/>
        </w:rPr>
        <w:t>. BMJ. 2026 Aug 6;394:e100492. doi: 10.1136/bmj-2026-100492.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Tuberculosis treatment support using digital adherence technology.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Maraba N(1), Dube T(2), Charalambous S(2)(3).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(1)The Aurum Institute, Johannesburg, South Africa nmaraba@auruminstitute.org.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(2)The Aurum Institute, Johannesburg, South Africa.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(3)School of Public Health, University of the Witwatersrand, Johannesburg, South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Africa.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10.1136/bmj-2026-100492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42562420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FE3754" w:rsidRDefault="004A1F5A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16</w:t>
      </w:r>
      <w:r w:rsidR="00254324" w:rsidRPr="00FE3754">
        <w:rPr>
          <w:rFonts w:ascii="宋体" w:eastAsia="宋体" w:hAnsi="宋体" w:cs="宋体"/>
          <w:b/>
          <w:color w:val="FF0000"/>
          <w:szCs w:val="24"/>
        </w:rPr>
        <w:t>. BMJ. 2026 Aug 6;394:e100195. doi: 10.1136/bmj-2026-100195.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Evaluation of patient centred digital adherence technology for tuberculosis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treatment outcomes: pragmatic randomised controlled trial.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Rubinstein F(1), Moraes Morelli D(2), Palma I(3), Sanjurjo M(4), Morales R(5),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Bornengo F(3), Viera G(6), Goodwin K(7), Aguilar Vidrio A(7), Leon D(7),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Sprecher J(7), Lutz B(7), Iribarren S(7).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(1)Instituto de Efectividad Clinica y Sanitaria, Buenos Aires, Argentina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frubinstein@iecs.org.ar.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(2)Instituto de Efectividad Clinica y Sanitaria, Buenos Aires, Argentina.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(3)Instituto de Tisioneumonologia Prof Dr Raúl Vaccarezza, Buenos Aires,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Argentina.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(4)Hospital Zonal Del Torax Dr Antonio Cetrangolo, Buenos Aires, Argentina.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(5)Hospital Presidente Peron Buenos Aires, Argentina.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(6)Hospital Paroissien, Buenos Aires, Argentina.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(7)Biobehavioral Nursing and Health Informatics, University of Washington,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Washington DC, USA.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OBJECTIVE: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To evaluate the effectiveness of Tuberculosis Treatment Support Tools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(TB-TST), a patient centred digital adherence technology, in improving treatment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outcomes among individuals with drug susceptible tuberculosis in Argentina.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DESIGN: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Pragmatic, two arm, parallel randomised controlled trial.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 xml:space="preserve">SETTING: </w:t>
      </w:r>
      <w:r w:rsidRPr="00254324">
        <w:rPr>
          <w:rFonts w:ascii="宋体" w:eastAsia="宋体" w:hAnsi="宋体" w:cs="宋体"/>
          <w:color w:val="000000" w:themeColor="text1"/>
          <w:szCs w:val="24"/>
        </w:rPr>
        <w:t>Four public reference hospitals in Buenos Aires, Argentina.</w:t>
      </w:r>
    </w:p>
    <w:p w:rsidR="00254324" w:rsidRPr="00254324" w:rsidRDefault="00254324" w:rsidP="00254324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FE3754">
        <w:rPr>
          <w:rFonts w:ascii="宋体" w:eastAsia="宋体" w:hAnsi="宋体" w:cs="宋体" w:hint="eastAsia"/>
          <w:b/>
          <w:color w:val="000000" w:themeColor="text1"/>
          <w:szCs w:val="24"/>
        </w:rPr>
        <w:t>PARTICIPANTS:</w:t>
      </w:r>
      <w:r w:rsidRPr="00254324">
        <w:rPr>
          <w:rFonts w:ascii="宋体" w:eastAsia="宋体" w:hAnsi="宋体" w:cs="宋体" w:hint="eastAsia"/>
          <w:color w:val="000000" w:themeColor="text1"/>
          <w:szCs w:val="24"/>
        </w:rPr>
        <w:t xml:space="preserve"> 555 patients aged ≥16 years with newly diagnosed drug susceptible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tuberculosis, recruited between November 2020 and July 2023, randomised to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standard of care (n=278) or standard of care plus TB-TST (n=277).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 xml:space="preserve">INTERVENTION: 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 mobile application that enabled daily adherence reporting,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bidirectional messaging with treatment supporters, educational content, and 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weekly urine based isoniazid test for verification of adherence. Participants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care givers were aware of their group assignment, but data collectors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data analysts were masked.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MAIN OUTCOME MEASURES: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The primary outcome was treatment success (cure 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treatment completion). Secondary outcomes included loss to follow-up. Analyses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used intention-to-treat and per protocol approaches.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525 participants (94.6% of the enrolled population) were included in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the analysis after exclusion of 30 individuals who deviated from the protocol.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 the intention-to-treat analysis, treatment success was higher in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intervention group (208/255; 82%) than in the control group (201/270; 74%).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risk difference was 7.1% (95% confidence interval 1.1% to 14.1%), and the risk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ratio was 1.10 (1.00 to 1.20; P=0.04). Loss to follow-up was lower in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intervention group (17% v 24%; risk ratio 0.70, 0.50 to 0.98; P=0.04). Greater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benefit was observed among female participants and those aged under 35 years.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 xml:space="preserve">CONCLUSIONS: 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 multifaceted, interactive digital adherence tool improved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tuberculosis treatment outcomes, particularly among younger participants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women, showing feasibility and effectiveness in supporting adherence to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tuberculosis treatment in low resource settings. Future research should evaluate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the impact of app engagement, context factors such as the covid-19 pandemic,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cost effectiveness, and use of the tool beyond tuberculosis in the management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chronic diseases. AI powered features and integrated mental health support may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enhance the scalability and personalisation of care.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TRIAL REGISTRATION: ClinicalTrials.gov NCT04221789; International Registered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Report Identifier DERR1-10.2196/28094.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Author(s) (or their employer(s)) 2019. Re-use permitted under CC BY-NC. No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commercial re-use. See rights and permissions. Published by BMJ.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10.1136/bmj-2026-100195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42562413 [Indexed for MEDLINE]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FE3754" w:rsidRDefault="004A1F5A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17</w:t>
      </w:r>
      <w:r w:rsidR="00254324" w:rsidRPr="00FE3754">
        <w:rPr>
          <w:rFonts w:ascii="宋体" w:eastAsia="宋体" w:hAnsi="宋体" w:cs="宋体"/>
          <w:b/>
          <w:color w:val="FF0000"/>
          <w:szCs w:val="24"/>
        </w:rPr>
        <w:t xml:space="preserve">. Lancet Microbe. 2026 Aug 6:101418. doi: 10.1016/j.lanmic.2026.101418. Online </w:t>
      </w:r>
    </w:p>
    <w:p w:rsidR="00254324" w:rsidRPr="00FE3754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FE3754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Performance of a next-generation rapid lipoarabinomannan urine assay for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tuberculosis in outpatients with and without HIV in South Africa and Uganda: 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two-centre diagnostic accuracy study.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Hamasur B(1), Okunola AO(2), Sserubiri J(3), Nwamba WV(2), Abdulgader SM(2),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Ignatowicz L(4), Rasool O(5), Nabatanzi R(6), Lorente SP(7), Giraldos D(7),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Joloba M(3), Warren RM(2), Ssengooba W(8), Theron G(9).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(1)Biopromic, Solna, Sweden; Department of Microbiology, Tumor and Cell Biology,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Karolinska Institute, Solna, Sweden.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(2)DSI-NRF Centre of Excellence for Biomedical Tuberculosis Research; South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African Medical Research Council Centre for Tuberculosis Research; Division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Molecular Biology and Human Genetics, Faculty of Medicine and Health Sciences,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Stellenbosch University, Francie van Zijl Drive, Tygerberg, Cape Town, South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Africa.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(3)Department of Medical Microbiology, Makerere University, Kampala, Uganda.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(4)Biopromic, Solna, Sweden.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(5)Turku Bioscience Centre, University of Turku and Åbo Akademi University,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Turku, Finland.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(6)Department of Immunology and Molecular Biology, Makerere University College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of Health Sciences, Kampala, Uganda.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(7)Operon, Cuarte de Huerva, Zaragoza, Spain.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(8)Department of Medical Microbiology, Makerere University, Kampala, Uganda;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Makerere University Lung Institute (MLI), Kampala, Uganda.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(9)DSI-NRF Centre of Excellence for Biomedical Tuberculosis Research; South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African Medical Research Council Centre for Tuberculosis Research; Division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Molecular Biology and Human Genetics, Faculty of Medicine and Health Sciences,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Stellenbosch University, Francie van Zijl Drive, Tygerberg, Cape Town, South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Africa. Electronic address: gtheron@sun.ac.za.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Non-sputum-based tuberculosis tests are a global priority because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sputum-dependent diagnostics systematically miss populations at highest risk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disease, including people living with HIV. We evaluated the diagnostic accuracy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of a next-generation urine lipoarabinomannan assay.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 this two-centre diagnostic accuracy study, we enrolled adults aged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18 years or older, regardless of their HIV status, with presumptive pulmonary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tuberculosis, attending outpatient clinics in South Africa and Uganda.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Participants who had received tuberculosis treatment within the previous 2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months or had an unknown treatment history were excluded. Demographic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clinical data, including HIV status and CD4 cell count, were collected alongside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urine, blood, and sputum. We compared the diagnostic accuracy of the Biopromic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lipoarabinomannan assay (BP-LAM; Biopromic TB LAM, Biopromic, Solna, Sweden)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WHO-recommended Determine TB LAM Ag assay (LF-LAM; Abbott, Santa Clara, CA, USA)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against an extended microbiological reference standard (eMRS; sputum Xpert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MTB/RIF Ultra [Ultra; Cepheid, Sunnyvale, CA, USA], culture, or both). Sputum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induction was available in South Africa. Secondary outcomes were diagnostic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yield and accuracy stratified by subgroups (HIV, CD4 cell count stratum,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country, and sputum scarcity status), including design-locked and prototype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assays.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>FINDINGS: W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e tested urine from 629 participants (282 from South Africa and 347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from Uganda) collected between Oct 5, 2018, and March 11, 2022. 315 individuals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with tuberculosis and a random selection of 314 without tuberculosis underwent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urine testing. 250 (40%) of 626 participants were female and 376 (60%) were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male; the median age was 34 years (IQR 19-60). BP-LAM had higher sensitivity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than LF-LAM (63% [95% CI 58-69] vs 22% [18-27]; p&lt;0·0001) and similar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specificity (93% [90-96] vs 89% [85-92]; p=0·067). BP-LAM sensitivity was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similar regardless of HIV status (67% [58-76] for people with HIV vs 62% [55-69]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for people who were HIV-negative; p=0·39) but was higher in people with HIV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CD4 counts less than or equal to 200 cells per μL (79% [63-90] vs 58% [44-72]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for people with HIV and CD4 count &gt;200 cells per μL; p=0·041). Specificity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BP-LAM was significantly lower in people with HIV than in individuals who were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HIV-negative (90% [83-94] vs 96% [92-99]; p=0·016). The design-locked BP-LAM had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better specificity than the prototype (93% [90-96] vs 85% [80-88]; p&lt;0·0001).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Diagnostic yield was significantly higher for Ultra (82% [78-86]), followed by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culture (72% [68-77]) in comparison with BP-LAM (61% [56-66]; p&lt;0·0001),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LF-LAM yield was significantly lower (29% [24-33]; p&lt;0·0001), with similar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patterns across HIV status. BP-LAM yield was similar to that of Ultra when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sputum induction was unavailable (67% [55-79] vs 64% [49-78]; p=0·82).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FE3754">
        <w:rPr>
          <w:rFonts w:ascii="宋体" w:eastAsia="宋体" w:hAnsi="宋体" w:cs="宋体"/>
          <w:b/>
          <w:color w:val="000000" w:themeColor="text1"/>
          <w:szCs w:val="24"/>
        </w:rPr>
        <w:t xml:space="preserve">INTERPRETATION: 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BP-LAM showed higher sensitivity than LF-LAM, including in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HIV-negative people, and identified a similar number of cases as sputum Ultra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when sputum induction was unavailable. Further validation and implementation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>studies are warranted.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FUNDING: Global Health Technology Fund (GHIT) programme and EDCTP2 programmes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supported by the EU.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Copyright © 2026 The Author(s). Published by Elsevier Ltd.. All rights reserved.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10.1016/j.lanmic.2026.101418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42561988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FE3754" w:rsidRDefault="004A1F5A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18</w:t>
      </w:r>
      <w:r w:rsidR="00254324" w:rsidRPr="00FE3754">
        <w:rPr>
          <w:rFonts w:ascii="宋体" w:eastAsia="宋体" w:hAnsi="宋体" w:cs="宋体"/>
          <w:b/>
          <w:color w:val="FF0000"/>
          <w:szCs w:val="24"/>
        </w:rPr>
        <w:t>. Soc Sci Med. 2026 Aug 4;406:119662. doi: 10.1016/j</w:t>
      </w:r>
      <w:r w:rsidR="00FE3754" w:rsidRPr="00FE3754">
        <w:rPr>
          <w:rFonts w:ascii="宋体" w:eastAsia="宋体" w:hAnsi="宋体" w:cs="宋体"/>
          <w:b/>
          <w:color w:val="FF0000"/>
          <w:szCs w:val="24"/>
        </w:rPr>
        <w:t xml:space="preserve">.socscimed.2026.119662. Online </w:t>
      </w:r>
      <w:r w:rsidR="00254324" w:rsidRPr="00FE3754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'They (researchers) don't have to justify their presence, why do we have to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justify ours?': The political economy of community advisory boards in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tuberculosis research.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Trinh-Hoang D(1), Bernays S(2).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(1)Sydney School of Public Health, University of Sydney, New South Wales,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Australia; The University of Sydney Vietnam Institute, Ho Chi Minh City,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Vietnam. Electronic address: duy.trinhhoang@sydneyvietnaminstitute.org.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(2)Sydney School of Public Health, University of Sydney, New South Wales,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Australia.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Community Advisory Boards (CABs), adopted from the HIV response, have become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most institutionalised form of community engagement in tuberculosis (TB)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research. However, little work has examined the historical-political processes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shaping their development or how these dynamics influence community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participation in TB research governance. This qualitative study draws on 28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semi-structured interviews with TB advocates, community engagement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practitioners, and TB CABs representatives across countries and levels of global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health governance. Using the metaphor of "space" drawn from participatory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development, the analysis examines how CABs have emerged, evolved, and operated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within TB research over time. CABs were initially mobilised by HIV activists to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create spaces within TB research, as broader TB social movements had proven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difficult to cultivate. As the CAB model became increasingly institutionalised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as a formal engagement mechanism, they were intended to become sites for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nurturing TB advocates and enabling their participation in research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decision-making. However, sustaining these activist ambitions remained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precarious as TB CABs were under-resourced and their knowledge transmission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emphasised the technical over the radical, narrowing engagement into more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operational and manageable forms. Within these tightly managed spaces,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difficulty of demonstrating the value of CABs reflects how the struggle for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power redistribution has shifted from the politics of representation to that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evidence. TB CABs embodies communities' agency and creativity to insert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assert their voice within a biomedical landscape that structures their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participation unequally. Reframing CABs as political and relational spaces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rather than instrumental mechanisms may strengthen their transformative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potential within TB research and policy.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Copyright © 2026 The Authors. Published by Elsevier Ltd.. All rights reserved.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10.1016/j.socscimed.2026.119662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42561792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A51D6" w:rsidRDefault="004A1F5A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19</w:t>
      </w:r>
      <w:r w:rsidR="00254324" w:rsidRPr="002A51D6">
        <w:rPr>
          <w:rFonts w:ascii="宋体" w:eastAsia="宋体" w:hAnsi="宋体" w:cs="宋体"/>
          <w:b/>
          <w:color w:val="FF0000"/>
          <w:szCs w:val="24"/>
        </w:rPr>
        <w:t>. Bioorg Med Chem. 2026 Aug 4;142:118773. doi: 10.1016/j.bmc.2026.118773</w:t>
      </w:r>
      <w:r w:rsidR="002A51D6">
        <w:rPr>
          <w:rFonts w:ascii="宋体" w:eastAsia="宋体" w:hAnsi="宋体" w:cs="宋体"/>
          <w:b/>
          <w:color w:val="FF0000"/>
          <w:szCs w:val="24"/>
        </w:rPr>
        <w:t xml:space="preserve">. Online </w:t>
      </w:r>
      <w:r w:rsidR="00254324" w:rsidRPr="002A51D6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Design, synthesis and antitubercular evaluation of 2,5-disubstituted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1,3,4-oxadiazoles bearing a 3,5-dinitrophenyl pharmacophore.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Pflégr V(1), Stola</w:t>
      </w:r>
      <w:r w:rsidRPr="00254324">
        <w:rPr>
          <w:rFonts w:ascii="Cambria" w:eastAsia="宋体" w:hAnsi="Cambria" w:cs="Cambria"/>
          <w:color w:val="000000" w:themeColor="text1"/>
          <w:szCs w:val="24"/>
        </w:rPr>
        <w:t>ř</w:t>
      </w:r>
      <w:r w:rsidRPr="00254324">
        <w:rPr>
          <w:rFonts w:ascii="宋体" w:eastAsia="宋体" w:hAnsi="宋体" w:cs="宋体" w:hint="eastAsia"/>
          <w:color w:val="000000" w:themeColor="text1"/>
          <w:szCs w:val="24"/>
        </w:rPr>
        <w:t>í</w:t>
      </w:r>
      <w:r w:rsidRPr="00254324">
        <w:rPr>
          <w:rFonts w:ascii="宋体" w:eastAsia="宋体" w:hAnsi="宋体" w:cs="宋体"/>
          <w:color w:val="000000" w:themeColor="text1"/>
          <w:szCs w:val="24"/>
        </w:rPr>
        <w:t>kov</w:t>
      </w:r>
      <w:r w:rsidRPr="00254324">
        <w:rPr>
          <w:rFonts w:ascii="宋体" w:eastAsia="宋体" w:hAnsi="宋体" w:cs="宋体" w:hint="eastAsia"/>
          <w:color w:val="000000" w:themeColor="text1"/>
          <w:szCs w:val="24"/>
        </w:rPr>
        <w:t>á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J(2), </w:t>
      </w:r>
      <w:r w:rsidRPr="00254324">
        <w:rPr>
          <w:rFonts w:ascii="宋体" w:eastAsia="宋体" w:hAnsi="宋体" w:cs="宋体" w:hint="eastAsia"/>
          <w:color w:val="000000" w:themeColor="text1"/>
          <w:szCs w:val="24"/>
        </w:rPr>
        <w:t>Š</w:t>
      </w:r>
      <w:r w:rsidRPr="00254324">
        <w:rPr>
          <w:rFonts w:ascii="宋体" w:eastAsia="宋体" w:hAnsi="宋体" w:cs="宋体"/>
          <w:color w:val="000000" w:themeColor="text1"/>
          <w:szCs w:val="24"/>
        </w:rPr>
        <w:t>ikorov</w:t>
      </w:r>
      <w:r w:rsidRPr="00254324">
        <w:rPr>
          <w:rFonts w:ascii="宋体" w:eastAsia="宋体" w:hAnsi="宋体" w:cs="宋体" w:hint="eastAsia"/>
          <w:color w:val="000000" w:themeColor="text1"/>
          <w:szCs w:val="24"/>
        </w:rPr>
        <w:t>á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E(1), Szab</w:t>
      </w:r>
      <w:r w:rsidRPr="00254324">
        <w:rPr>
          <w:rFonts w:ascii="宋体" w:eastAsia="宋体" w:hAnsi="宋体" w:cs="宋体" w:hint="eastAsia"/>
          <w:color w:val="000000" w:themeColor="text1"/>
          <w:szCs w:val="24"/>
        </w:rPr>
        <w:t>ó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I(3), Szab</w:t>
      </w:r>
      <w:r w:rsidRPr="00254324">
        <w:rPr>
          <w:rFonts w:ascii="宋体" w:eastAsia="宋体" w:hAnsi="宋体" w:cs="宋体" w:hint="eastAsia"/>
          <w:color w:val="000000" w:themeColor="text1"/>
          <w:szCs w:val="24"/>
        </w:rPr>
        <w:t>ó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RO(4), Kone</w:t>
      </w:r>
      <w:r w:rsidRPr="00254324">
        <w:rPr>
          <w:rFonts w:ascii="Cambria" w:eastAsia="宋体" w:hAnsi="Cambria" w:cs="Cambria"/>
          <w:color w:val="000000" w:themeColor="text1"/>
          <w:szCs w:val="24"/>
        </w:rPr>
        <w:t>č</w:t>
      </w:r>
      <w:r w:rsidRPr="00254324">
        <w:rPr>
          <w:rFonts w:ascii="宋体" w:eastAsia="宋体" w:hAnsi="宋体" w:cs="宋体"/>
          <w:color w:val="000000" w:themeColor="text1"/>
          <w:szCs w:val="24"/>
        </w:rPr>
        <w:t>n</w:t>
      </w:r>
      <w:r w:rsidRPr="00254324">
        <w:rPr>
          <w:rFonts w:ascii="宋体" w:eastAsia="宋体" w:hAnsi="宋体" w:cs="宋体" w:hint="eastAsia"/>
          <w:color w:val="000000" w:themeColor="text1"/>
          <w:szCs w:val="24"/>
        </w:rPr>
        <w:t>á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K(5), Jan</w:t>
      </w:r>
      <w:r w:rsidRPr="00254324">
        <w:rPr>
          <w:rFonts w:ascii="Cambria" w:eastAsia="宋体" w:hAnsi="Cambria" w:cs="Cambria"/>
          <w:color w:val="000000" w:themeColor="text1"/>
          <w:szCs w:val="24"/>
        </w:rPr>
        <w:t>ď</w:t>
      </w:r>
      <w:r w:rsidRPr="00254324">
        <w:rPr>
          <w:rFonts w:ascii="宋体" w:eastAsia="宋体" w:hAnsi="宋体" w:cs="宋体"/>
          <w:color w:val="000000" w:themeColor="text1"/>
          <w:szCs w:val="24"/>
        </w:rPr>
        <w:t>ourek O(5), B</w:t>
      </w:r>
      <w:r w:rsidRPr="00254324">
        <w:rPr>
          <w:rFonts w:ascii="Cambria" w:eastAsia="宋体" w:hAnsi="Cambria" w:cs="Cambria"/>
          <w:color w:val="000000" w:themeColor="text1"/>
          <w:szCs w:val="24"/>
        </w:rPr>
        <w:t>ő</w:t>
      </w:r>
      <w:r w:rsidRPr="00254324">
        <w:rPr>
          <w:rFonts w:ascii="宋体" w:eastAsia="宋体" w:hAnsi="宋体" w:cs="宋体"/>
          <w:color w:val="000000" w:themeColor="text1"/>
          <w:szCs w:val="24"/>
        </w:rPr>
        <w:t>sze S(6), Vin</w:t>
      </w:r>
      <w:r w:rsidRPr="00254324">
        <w:rPr>
          <w:rFonts w:ascii="宋体" w:eastAsia="宋体" w:hAnsi="宋体" w:cs="宋体" w:hint="eastAsia"/>
          <w:color w:val="000000" w:themeColor="text1"/>
          <w:szCs w:val="24"/>
        </w:rPr>
        <w:t>š</w:t>
      </w:r>
      <w:r w:rsidRPr="00254324">
        <w:rPr>
          <w:rFonts w:ascii="宋体" w:eastAsia="宋体" w:hAnsi="宋体" w:cs="宋体"/>
          <w:color w:val="000000" w:themeColor="text1"/>
          <w:szCs w:val="24"/>
        </w:rPr>
        <w:t>ov</w:t>
      </w:r>
      <w:r w:rsidRPr="00254324">
        <w:rPr>
          <w:rFonts w:ascii="宋体" w:eastAsia="宋体" w:hAnsi="宋体" w:cs="宋体" w:hint="eastAsia"/>
          <w:color w:val="000000" w:themeColor="text1"/>
          <w:szCs w:val="24"/>
        </w:rPr>
        <w:t>á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J(1), Kr</w:t>
      </w:r>
      <w:r w:rsidRPr="00254324">
        <w:rPr>
          <w:rFonts w:ascii="宋体" w:eastAsia="宋体" w:hAnsi="宋体" w:cs="宋体" w:hint="eastAsia"/>
          <w:color w:val="000000" w:themeColor="text1"/>
          <w:szCs w:val="24"/>
        </w:rPr>
        <w:t>á</w:t>
      </w:r>
      <w:r w:rsidRPr="00254324">
        <w:rPr>
          <w:rFonts w:ascii="宋体" w:eastAsia="宋体" w:hAnsi="宋体" w:cs="宋体"/>
          <w:color w:val="000000" w:themeColor="text1"/>
          <w:szCs w:val="24"/>
        </w:rPr>
        <w:t>tk</w:t>
      </w:r>
      <w:r w:rsidRPr="00254324">
        <w:rPr>
          <w:rFonts w:ascii="宋体" w:eastAsia="宋体" w:hAnsi="宋体" w:cs="宋体" w:hint="eastAsia"/>
          <w:color w:val="000000" w:themeColor="text1"/>
          <w:szCs w:val="24"/>
        </w:rPr>
        <w:t>ý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M(7).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(1)Department of Organic and Bioorganic Chemistry, Faculty of Pharmacy in Hradec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Králové, Charles University, Akademika Heyrovského 1203, 500 03 Hradec Králové,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Czech Republic.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(2)Laboratory for Mycobacterial Diagnostics and Tuberculosis, Regional Institute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of Public Health in Ostrava, Partyzánské náměstí 7, 702 00 Ostrava, Czech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Republic.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(3)HUN-REN-ELTE Research Group of Peptide Chemistry, Hungarian Research Network,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Eötvös Loránd University, Pázmány Péter sétány 1/A, H-1117 Budapest, Hungary.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(4)Department of Genetics, Cell- and Immunobiology, Faculty of Medicine,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Semmelweis University, Nagyvárad tér 4, H-1089 Budapest, Hungary.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(5)Department of Biological and Medical Sciences, Faculty of Pharmacy in Hradec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Králové, Charles University, Akademika Heyrovského 1203, 500 03 Hradec Králové,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Czech Republic.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(6)HUN-REN-ELTE Research Group of Peptide Chemistry, Hungarian Research Network,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Eötvös Loránd University, Pázmány Péter sétány 1/A, H-1117 Budapest, Hungary;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Department of Genetics, Cell- and Immunobiology, Faculty of Medicine, Semmelweis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University, Nagyvárad tér 4, H-1089 Budapest, Hungary.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(7)Department of Organic and Bioorganic Chemistry, Faculty of Pharmacy in Hradec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Králové, Charles University, Akademika Heyrovského 1203, 500 03 Hradec Králové,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Czech Republic. Electronic address: martin.kratky@faf.cuni.cz.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Tuberculosis (TB) continues to demand new chemotypes able to overcome acquired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drug-resistance. Here, we designed and synthesized two related series of twenty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3,5-dinitrophenyl-based 1,2-diacylhydrazines and their cyclic analogues,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2,5-disubstituted 1,3,4-oxadiazoles, using 1,2-diacylhydrazine formation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followed by cyclodehydration to the oxadiazole core. This approach proved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decisive, as the oxadiazoles displayed a broader and markedly stronger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antimycobacterial profile than their precursors. The synthesized derivatives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inhibited drug-susceptible Mycobacterium tuberculosis H37Rv from 0.125 μM,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retained potent activity against drug-resistant TB isolates (0.125-1 μM),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remained active against non-tuberculous mycobacteria (M. kansasii, M. avium),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with 2-(3,5-dinitrophenyl)-5-(quinolin-6-yl)-1,3,4-oxadiazole 4t emerging as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most balanced lead across all strains tested. In addition to their anti-TB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activity, selected oxadiazoles also displayed complementary antibacterial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effects, particularly against Gram-positive bacteria including MRSA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Staphylococcus epidermidis (MIC values from 31.25 μM), whereas antifungal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activity was generally limited. Importantly, the most active compounds combined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high antimycobacterial potency with low cytotoxicity, and haemolytic activity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was also low. Taken together, these data identify 3,5-dinitrophenyl-substituted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1,3,4-oxadiazoles as a synthetically accessible and highly promising platform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for further development of selective anti-TB agents.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Copyright © 2026 The Author(s). Published by Elsevier Ltd.. All rights reserved.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10.1016/j.bmc.2026.118773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42561778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A51D6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2A51D6">
        <w:rPr>
          <w:rFonts w:ascii="宋体" w:eastAsia="宋体" w:hAnsi="宋体" w:cs="宋体"/>
          <w:b/>
          <w:color w:val="FF0000"/>
          <w:szCs w:val="24"/>
        </w:rPr>
        <w:t>2</w:t>
      </w:r>
      <w:r w:rsidR="004A1F5A">
        <w:rPr>
          <w:rFonts w:ascii="宋体" w:eastAsia="宋体" w:hAnsi="宋体" w:cs="宋体"/>
          <w:b/>
          <w:color w:val="FF0000"/>
          <w:szCs w:val="24"/>
        </w:rPr>
        <w:t>0</w:t>
      </w:r>
      <w:r w:rsidRPr="002A51D6">
        <w:rPr>
          <w:rFonts w:ascii="宋体" w:eastAsia="宋体" w:hAnsi="宋体" w:cs="宋体"/>
          <w:b/>
          <w:color w:val="FF0000"/>
          <w:szCs w:val="24"/>
        </w:rPr>
        <w:t xml:space="preserve">. Rev Inst Med Trop Sao Paulo. 2026 Aug 3;68:e51. doi: </w:t>
      </w:r>
    </w:p>
    <w:p w:rsidR="00254324" w:rsidRPr="002A51D6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2A51D6">
        <w:rPr>
          <w:rFonts w:ascii="宋体" w:eastAsia="宋体" w:hAnsi="宋体" w:cs="宋体"/>
          <w:b/>
          <w:color w:val="FF0000"/>
          <w:szCs w:val="24"/>
        </w:rPr>
        <w:t>10.1590/S1678-9946202668051. eCollection 2026.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Coinfection by Mycobacterium tuberculosis and Rhodococcus equi in advanced HIV.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Kajita MS(1), Bomfim EYM(1), Vanin GC(1), Viana JVM(1), Saito GKS(1), Malaque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CMS(1), Sztajnbok J(1).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(1)Instituto de Infectologia Emílio Ribas, Unidade de Terapia Intensiva, São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Paulo, São Paulo, Brazil.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 28-year-old man with HIV (diagnosed eight years prior, last CD4 count 23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cells/mm3) and prior tuberculosis (cured, then confirmedly reinfected with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treatment default) presented with cachexia, diarrhea, chest pain, and tachypnea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with increased work of breathing that required orotracheal intubation. Admission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chest CT showed extensive bilateral consolidations with air bronchograms,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suggestive of previous mycobacterial infection and/or possible new bacterial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infection. Initially managed as sepsis, blood cultures grew Rhodococcus equi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(four samples). Molecular testing confirmed Mycobacterium tuberculosis in sputum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tracheal aspirate, establishing coinfection and exceeding the similarities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 acid-fast staining, clinical, and radiological findings between the two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organisms. Treatment included antituberculosis therapy associated with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clarithromycin and vancomycin (14 days). The patient achieved complete clinical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improvement with partial radiological resolution (residual cavitations). He was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discharged after 25 days, but was lost to follow-up and died three months later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from probable septic shock. This report highlights a rare M. tuberculosis/R.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equi coinfection in an immunosuppressed patient, emphasizing diagnostic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challenges and the importance of therapeutic adherence in advanced HIV.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10.1590/S1678-9946202668051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PMCID: PMC13432561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42561264 [Indexed for MEDLINE]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A51D6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2A51D6">
        <w:rPr>
          <w:rFonts w:ascii="宋体" w:eastAsia="宋体" w:hAnsi="宋体" w:cs="宋体"/>
          <w:b/>
          <w:color w:val="FF0000"/>
          <w:szCs w:val="24"/>
        </w:rPr>
        <w:t>2</w:t>
      </w:r>
      <w:r w:rsidR="004A1F5A">
        <w:rPr>
          <w:rFonts w:ascii="宋体" w:eastAsia="宋体" w:hAnsi="宋体" w:cs="宋体"/>
          <w:b/>
          <w:color w:val="FF0000"/>
          <w:szCs w:val="24"/>
        </w:rPr>
        <w:t>1</w:t>
      </w:r>
      <w:r w:rsidRPr="002A51D6">
        <w:rPr>
          <w:rFonts w:ascii="宋体" w:eastAsia="宋体" w:hAnsi="宋体" w:cs="宋体"/>
          <w:b/>
          <w:color w:val="FF0000"/>
          <w:szCs w:val="24"/>
        </w:rPr>
        <w:t>. Kardiol Pol. 2026 Aug 6. doi: 10.33963/v.phj.114116. Online ahead of print.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Isolated tuberculous pericarditis without evidence of pulmonary tuberculosis - 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demanding disease not only because is very rare.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Klocek M(1), Marcinkowski O(2), Mrzyk J(2), Rajzer M(2).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(1)1st Department of Cardiology, Interventional Electrocardiology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Hypertension, Jagiellonian University Medical College, Kraków, Poland.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marek.klocek@uj.edu.pl.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(2)1st Department of Cardiology, Interventional Electrocardiology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Hypertension, Jagiellonian University Medical College, Kraków, Poland.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10.33963/v.phj.114116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42560349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A51D6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2A51D6">
        <w:rPr>
          <w:rFonts w:ascii="宋体" w:eastAsia="宋体" w:hAnsi="宋体" w:cs="宋体"/>
          <w:b/>
          <w:color w:val="FF0000"/>
          <w:szCs w:val="24"/>
        </w:rPr>
        <w:t>2</w:t>
      </w:r>
      <w:r w:rsidR="004A1F5A">
        <w:rPr>
          <w:rFonts w:ascii="宋体" w:eastAsia="宋体" w:hAnsi="宋体" w:cs="宋体"/>
          <w:b/>
          <w:color w:val="FF0000"/>
          <w:szCs w:val="24"/>
        </w:rPr>
        <w:t>2</w:t>
      </w:r>
      <w:r w:rsidRPr="002A51D6">
        <w:rPr>
          <w:rFonts w:ascii="宋体" w:eastAsia="宋体" w:hAnsi="宋体" w:cs="宋体"/>
          <w:b/>
          <w:color w:val="FF0000"/>
          <w:szCs w:val="24"/>
        </w:rPr>
        <w:t xml:space="preserve">. Antimicrob Agents Chemother. 2026 Aug 6:e0074826. doi: 10.1128/aac.00748-26. </w:t>
      </w:r>
    </w:p>
    <w:p w:rsidR="00254324" w:rsidRPr="002A51D6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2A51D6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254324" w:rsidRPr="002A51D6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The effect of metformin on the pharmacokinetics of rifampicin, isoniazid,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pyrazinamide in adults with tuberculosis.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Rossouw J(1), Wallis R(2), Kornfeld H(3), Singhal A(4), Maartens G(1), Wiesner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L(1), Denti P(1), Wasmann RE(1).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(1)Division of Clinical Pharmacology, Department of Medicine, University of Cape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Town, Cape Town, South Africa.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>(2)The Aurum Institute, Johannesburg, South Africa.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(3)Department of Medicine, UMass Chan Medical School, Worcester, Massachusetts,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USA.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(4)A*STAR Infectious Diseases Labs, Agency for Science Technology and Research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(A*STAR), Singapore, Republic of Singapore.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Metformin is under investigation as adjunctive host-directed therapy for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tuberculosis (TB), which might interact with first-line TB treatment. We used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population pharmacokinetic modeling to assess whether metformin alters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first-line TB-drug pharmacokinetics in HIV/TB-coinfected adults without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diabetes. Rifampicin, isoniazid, and pyrazinamide pharmacokinetics were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investigated in participants from a randomized clinical trial of adjunctive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metformin (500 mg twice daily to week 12) in adults starting HIV-associated TB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treatment. Antiretroviral therapy (ART)-naïve participants initiated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dolutegravir-based ART within 8 weeks. Intensive and semi-intensive sampling was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conducted at week 5; concentration-time data were analyzed using non-linear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mixed-effects modeling. Data from 78 individuals (43 receiving metformin, median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weight 60.8 kg, 62.8% male, 79.5% on ART) were analyzed. Rifampicin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pyrazinamide were described by one-compartment models with linear elimination;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typical clearances were 15.8 L/h (95% CI: 13.5-18.7) and 3.88 L/h (95% CI: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3.54-4.08), respectively. Isoniazid followed a two-compartment model with 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mixture model for acetylator status; clearance was 10.5 L/h (95% CI: 9.44-11.9)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 slow acetylators and 28.8 L/h (95% CI: 25.6-31.0) in fast/intermediate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acetylators. Metformin reduced isoniazid bioavailability by 15.6% (95% CI: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4.45-26.4%, P &lt; 0.009) and rifampicin bioavailability by 24.0% (95% CI: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7.83-36.3%, P &lt; 0.007), decreasing the area under the curve from 0 to 24 h from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18.2 to 15.6 mg·h/L and from 35.9 to 27.1 mg·h/L, respectively. No significant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effect on pyrazinamide was detected. We found that non-diabetic patients on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metformin had lower isoniazid and rifampicin bioavailability. Lowered rifampicin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exposure might be clinically relevant; simulations suggest that this could be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offset by a single 150 mg rifampicin dose.CLINICAL TRIALSThis study is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registered with ClinicalTrials.gov as NCT04930744.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10.1128/aac.00748-26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42560062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A51D6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2A51D6">
        <w:rPr>
          <w:rFonts w:ascii="宋体" w:eastAsia="宋体" w:hAnsi="宋体" w:cs="宋体"/>
          <w:b/>
          <w:color w:val="FF0000"/>
          <w:szCs w:val="24"/>
        </w:rPr>
        <w:t>2</w:t>
      </w:r>
      <w:r w:rsidR="004A1F5A">
        <w:rPr>
          <w:rFonts w:ascii="宋体" w:eastAsia="宋体" w:hAnsi="宋体" w:cs="宋体"/>
          <w:b/>
          <w:color w:val="FF0000"/>
          <w:szCs w:val="24"/>
        </w:rPr>
        <w:t>3</w:t>
      </w:r>
      <w:r w:rsidRPr="002A51D6">
        <w:rPr>
          <w:rFonts w:ascii="宋体" w:eastAsia="宋体" w:hAnsi="宋体" w:cs="宋体"/>
          <w:b/>
          <w:color w:val="FF0000"/>
          <w:szCs w:val="24"/>
        </w:rPr>
        <w:t>. Ann Afr Med. 2026 Aug 6. doi: 10.4103/aam.aam_481_26. Online ahead of print.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 Cross-sectional Study Comparing Pulmonary Function and Exercise Capacity in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Posttuberculosis Sequelae Patients among Smokers and Nonsmokers.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[Article in English, French; Abstract available in French from the publisher]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Shreya L(1), Jereen V, Arthi A, Durairaj GRP, Kumar D.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(1)Department of Respiratory Medicine, Shri Sathya Sai Medical College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Research Institute, Sri Balaji Vidyapeeth (Deemed to be University), Puducherry,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A51D6">
        <w:rPr>
          <w:rFonts w:ascii="宋体" w:eastAsia="宋体" w:hAnsi="宋体" w:cs="宋体"/>
          <w:b/>
          <w:color w:val="000000" w:themeColor="text1"/>
          <w:szCs w:val="24"/>
        </w:rPr>
        <w:t>INTRODUCTION: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Post-tuberculosis (TB) lung disease is a major cause of long-term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respiratory morbidity despite microbiological cure. Smoking may exert an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additional detrimental effect on pulmonary function and exercise capacity in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these patients; however, comparative data between smokers and nonsmokers remain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limited. The study aimed to evaluate and compare pulmonary function and exercise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capacity among pulmonary TB sequelae patients between smokers and nonsmokers.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A51D6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This hospital-based cross-sectional study was conducted in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Department of Pulmonary Medicine at a tertiary care hospital in Chengalpattu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District, Tamil Nadu, India, from June 2024 to November 2025. A total of 110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post-TB patients (55 smokers and 55 nonsmokers) were included. Ethical approval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was obtained from the Institutional Human Ethics Committee (IEC No. 994/24;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dated April 22, 2024), and written informed consent was obtained. Pulmonary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function was assessed using spirometry (forced expiratory volume in 1 s [FEV1],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forced vital capacity [FVC], FEV1/FVC, peak expiratory flow rate [PEFR]),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functional capacity was evaluated using the 6-min walk test and Modified Borg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Dyspnea Scale. Data were analyzed using SPSS version 29, with P &lt; 0.05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considered statistically significant.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A51D6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The majority of participants were aged 40-60 years, with no significant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age difference between the groups (P = 0.593). Smokers were predominantly male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(87.3%) compared to nonsmokers (P &lt; 0.001). Underweight status was more common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among smokers (23.6% vs. 9.1%, P = 0.019). Smokers demonstrated significantly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lower FEV1 (P = 0.027), FEV1% predicted (P = 0.001), FEV1/FVC ratio (P = 0.009),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PEFR (P &lt; 0.001). Obstructive ventilatory defects were more common among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smokers (43.6% vs. 23.6%, P = 0.028). Six-minute walk distance was significantly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lower in smokers (398.2 ± 63.0 m) compared to nonsmokers (441.6 ± 58.5 m) (P &lt;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0.001), and Borg dyspnea scores were significantly higher (P &lt; 0.001).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A51D6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Smoking significantly worsens pulmonary function and exercise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capacity in patients with post-TB sequelae, acting as an additive risk factor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for long-term respiratory impairment. Integration of smoking cessation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pulmonary rehabilitation into post-TB care is essential.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Copyright © 2026 Annals of African Medicine.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10.4103/aam.aam_481_26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42559984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A51D6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2A51D6">
        <w:rPr>
          <w:rFonts w:ascii="宋体" w:eastAsia="宋体" w:hAnsi="宋体" w:cs="宋体"/>
          <w:b/>
          <w:color w:val="FF0000"/>
          <w:szCs w:val="24"/>
        </w:rPr>
        <w:t>2</w:t>
      </w:r>
      <w:r w:rsidR="004A1F5A">
        <w:rPr>
          <w:rFonts w:ascii="宋体" w:eastAsia="宋体" w:hAnsi="宋体" w:cs="宋体"/>
          <w:b/>
          <w:color w:val="FF0000"/>
          <w:szCs w:val="24"/>
        </w:rPr>
        <w:t>4</w:t>
      </w:r>
      <w:r w:rsidRPr="002A51D6">
        <w:rPr>
          <w:rFonts w:ascii="宋体" w:eastAsia="宋体" w:hAnsi="宋体" w:cs="宋体"/>
          <w:b/>
          <w:color w:val="FF0000"/>
          <w:szCs w:val="24"/>
        </w:rPr>
        <w:t xml:space="preserve">. Case Rep Infect Dis. 2026 Aug 5;2026:2363582. doi: 10.1155/crdi/2363582. </w:t>
      </w:r>
    </w:p>
    <w:p w:rsidR="00254324" w:rsidRPr="002A51D6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2A51D6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Disseminated Primary Mycobacterium bovis Infection in Patient Receiving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Adalimumab Therapy: A Case Report.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Kirk MB(1)(2), Rasmussen KH(3), Gotthelf A(4), Jensen LL(5), Rudolf F(1).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(1)Department of Infectious Diseases, Aarhus University Hospital, Aarhus,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Denmark, auh.dk.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(2)Medical Diagnostic Center, Viborg, Denmark.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(3)Department of Pathology, Randers Regional Hospital, Randers, Denmark,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regionshospitalet-randers.dk.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(4)Department of Nuclear Medicine, Aarhus University Hospital, Aarhus, Denmark,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auh.dk.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(5)Department of Pathology, Aarhus University Hospital, Aarhus, Denmark, auh.dk.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Anti-TNF-α therapies are associated with an increased risk of tuberculosis,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mainly via the reactivation of latent Mycobacterium tuberculosis. Primary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zoonotic Mycobacterium bovis infection is rare and diagnostically challenging,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particularly in immunosuppressed patients. We report a case of disseminated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Mycobacterium bovis infection in a man receiving long-term adalimumab for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psoriasis, complicated by diagnostic delay, suspected hemophagocytic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lymphohistiocytosis, and immune reconstitution inflammatory syndrome (IRIS),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resulting in a challenging treatment course. Epidemiological history revealed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recent travel to Turkey and ingestion of unpasteurized dairy products. This case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highlights the need for ongoing exposure assessment, sustained clinical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awareness, and individualized therapeutic strategies throughout immunomodulatory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treatment.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Copyright © 2026 Michele Bjerre Kirk et al. Case Reports in Infectious Diseases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published by John Wiley &amp; Sons Ltd.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10.1155/crdi/2363582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PMCID: PMC13439633</w:t>
      </w:r>
    </w:p>
    <w:p w:rsidR="00254324" w:rsidRPr="00254324" w:rsidRDefault="002A51D6" w:rsidP="00254324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42559117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A51D6" w:rsidRDefault="004A1F5A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25</w:t>
      </w:r>
      <w:r w:rsidR="00254324" w:rsidRPr="002A51D6">
        <w:rPr>
          <w:rFonts w:ascii="宋体" w:eastAsia="宋体" w:hAnsi="宋体" w:cs="宋体"/>
          <w:b/>
          <w:color w:val="FF0000"/>
          <w:szCs w:val="24"/>
        </w:rPr>
        <w:t>. J Hosp Med. 2026 Aug 5. doi: 10.1002/jhm.70417. Online ahead of print.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Clinical guideline highlights for the hospitalist: Updates on the treatment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drug-susceptible and drug-resistant tuberculosis.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Stickles A(1), Poston-Blahnik A(2), Schlaudecker E(3), Huaman M(4).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(1)Department of Internal Medicine, University of Cincinnati College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Medicine, University of Cincinnati Medical Center, Cincinnati, Ohio, USA.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(2)Clinical Pharmacy and Department of Infectious Disease, University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Cincinnati Medical Center, Cincinnati, Ohio, USA.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(3)Department of Pediatric Infectious Disease, Cincinnati Children's Hospital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Medical Center, Cincinnati, Ohio, USA.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(4)Department of Infectious Disease, University of Cincinnati College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Medicine, University of Cincinnati Medical Center, Cincinnati, Ohio, USA.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10.1002/jhm.70417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42557772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A51D6" w:rsidRDefault="004A1F5A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26</w:t>
      </w:r>
      <w:r w:rsidR="00254324" w:rsidRPr="002A51D6">
        <w:rPr>
          <w:rFonts w:ascii="宋体" w:eastAsia="宋体" w:hAnsi="宋体" w:cs="宋体"/>
          <w:b/>
          <w:color w:val="FF0000"/>
          <w:szCs w:val="24"/>
        </w:rPr>
        <w:t xml:space="preserve">. Pediatr Infect Dis J. 2026 Aug 6. doi: 10.1097/INF.0000000000005355. Online </w:t>
      </w:r>
    </w:p>
    <w:p w:rsidR="00254324" w:rsidRPr="002A51D6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2A51D6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Underestimation of Disease Severity Using WHO Criteria for Nonsevere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Tuberculosis in Children in a Low-Prevalence, High-Resource Setting: Evidence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From an Italian Cohort.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Taheri N(1), Denina M(2); OIRM-TB study group.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(1)Department of Paediatrics and Public Health, University of Turin, Regina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Margherita Children's Hospital, Turin, Italy.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(2)Department of Paediatrics, Infectious Diseases Unit, University of Turin,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Regina Margherita Children's Hospital, Turin, Italy.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10.1097/INF.0000000000005355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42557607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A51D6" w:rsidRDefault="004A1F5A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27</w:t>
      </w:r>
      <w:r w:rsidR="00254324" w:rsidRPr="002A51D6">
        <w:rPr>
          <w:rFonts w:ascii="宋体" w:eastAsia="宋体" w:hAnsi="宋体" w:cs="宋体"/>
          <w:b/>
          <w:color w:val="FF0000"/>
          <w:szCs w:val="24"/>
        </w:rPr>
        <w:t>. BMC Glob Public Health. 2026 Aug 5;4(1):76. doi: 10.1186/s44263-026-00313-7.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Implementing AI-enabled chest X-ray for community-based integrated screening for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tuberculosis, chronic respiratory diseases, and cardiovascular diseases in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Nigeria.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Okoye C(1), Ilozumba J(2), Oko J(2), Effiong A(2), Oluokun Y(2), Eze C(3),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Akaniro O(4), Ubochioma E(4), Ugwu CN(5), Fukunaga R(6), Rahman T(7), Bimba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J(8), Creswell J(7), Ugwu C(8)(9).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(1)TB/HIV Department, Catholic Caritas Foundation of Nigeria, Abuja, Nigeria.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cezeobi@ccfng.org.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(2)TB/HIV Department, Catholic Caritas Foundation of Nigeria, Abuja, Nigeria.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>(3)PRIME Data Nexus, Enugu, Nigeria.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(4)National Tuberculosis and Leprosy Control Programme, Abuja, Nigeria.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(5)Department of Internal Medicine, Alex Ekwueme Federal University Teaching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Hospital Abakaliki, Abakaliki, Ebonyi State, Nigeria.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(6)Centers for Disease Control and Prevention, Atlanta, GA, USA.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(7)Stop TB Partnership, TB REACH, Geneva, Switzerland.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(8)Zankli Research Centre, Bingham University, Nasarawa, Nigeria.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(9)Centre for Tuberculosis Research, Liverpool School of Tropical Medicine,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Liverpool, UK.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A51D6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Low- and middle-income countries face a growing dual burden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communicable and non-communicable diseases, while services remain vertically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organised. In Nigeria, tuberculosis (TB) services are established at primary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care level, whereas access to cardiovascular disease (CVD) and chronic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respiratory disease (CRD) care remains limited in rural settings. Artificial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intelligence (AI) enabled chest X-ray can integrate TB screening with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identification of other cardiopulmonary abnormalities at community level. We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describe the screening outcomes and referral cascade of a community-based,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AI-enabled integrated programme.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A51D6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We conducted a non-randomised descriptive study using routinely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collected programme data from five Local Government Areas in Ebonyi and Nasarawa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States, January 2023 to December 2024. Community outreach used portable digital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chest X-ray with AI software to screen individuals aged six years and above.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People with presumptive TB underwent Xpert MTB/RIF (Mycobacterium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tuberculosis/rifampicin) testing on the GeneXpert platform, while non-TB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radiographic abnormalities were referred for further evaluation. Descriptive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analyses summarised screening yield, diagnostic outcomes, and linkage to care.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A51D6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In total, 9,585 individuals were screened through 93 outreach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activities, and 3,166 (33%) chest radiographs were flagged as abnormal by AI.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Overall, 1,336 were classified as having presumptive TB, of whom 1,123 (84%)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produced sputum for Xpert MTB/RIF testing. 204 were diagnosed with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bacteriologically confirmed TB, and 194 (95%) were initiated on treatment. 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further 199 people were clinically diagnosed with TB following radiologist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and/or clinical review. Among abnormal radiographs, 2,367 (75%) showed features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suggestive of CVDs or CRDs. All such individuals were referred to tertiary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facilities; however, only 12% completed the referral. Programmatic adaptations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supported TB linkage but had limited impact on non-TB referral completion.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A51D6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AI-enabled community chest X-ray screening is feasible for TB case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finding in rural Nigeria and achieves high linkage to TB treatment. Chest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radiography also identified many abnormalities requiring further evaluation for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CVD and CRD, most not confirmed within the study. Limited decentralisation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non-communicable disease services constrains care continuity for CVDs and CRDs.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Integrated screening programmes should be paired with strengthened primary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healthcare capacity, complementary tools such as blood pressure measurement,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>context-specific community engagement strategies.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10.1186/s44263-026-00313-7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PMCID: PMC13445830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42557594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A51D6" w:rsidRDefault="004A1F5A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28</w:t>
      </w:r>
      <w:r w:rsidR="00254324" w:rsidRPr="002A51D6">
        <w:rPr>
          <w:rFonts w:ascii="宋体" w:eastAsia="宋体" w:hAnsi="宋体" w:cs="宋体"/>
          <w:b/>
          <w:color w:val="FF0000"/>
          <w:szCs w:val="24"/>
        </w:rPr>
        <w:t xml:space="preserve">. Infect Dis Clin North Am. 2026 Aug 5:S0891-5520(26)00061-9. doi: </w:t>
      </w:r>
    </w:p>
    <w:p w:rsidR="00254324" w:rsidRPr="002A51D6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2A51D6">
        <w:rPr>
          <w:rFonts w:ascii="宋体" w:eastAsia="宋体" w:hAnsi="宋体" w:cs="宋体"/>
          <w:b/>
          <w:color w:val="FF0000"/>
          <w:szCs w:val="24"/>
        </w:rPr>
        <w:t>10.1016/j.idc.2026.06.006. Online ahead of print.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Nontuberculous Mycobacterial Skin and Soft Tissue Infections.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Matthews H(1), Winthrop KL(2).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(1)Section of Infectious Diseases, University Hospital Hamburg-Eppendorf,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Hamburg, Germany; Division of Infectious Diseases, Oregon Health and Science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University, Portland, OR, USA. Electronic address: matthewsh@ohsu.edu.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(2)Division of Infectious Diseases, School of Public Health, Oregon Health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Science University, Portland, OR, USA.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Mycobacterial skin and soft tissue infections (SSTIs) represent a diagnostically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challenging and heterogeneous group of diseases caused by nontuberculous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mycobacteria (NTM), M tuberculosis complex, and M leprae. This review will focus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on SSTIs caused by NTM. Rapidly growing mycobacteria predominate in iatrogenic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health care-associated infections, while M marinum and M ulcerans are linked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to aquatic exposure. Diagnostic delay remains a universal challenge due to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nonspecific presentations and the need for specialized laboratory techniques.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Treatment requires pathogen-specific combination regimens. This review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summarizes the epidemiology, clinical manifestations, diagnostic approach,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treatment strategies of mycobacterial SSTIs, with emphasis on NTM.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Copyright © 2026 Elsevier Inc. All rights reserved.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10.1016/j.idc.2026.06.006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42557197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46CED" w:rsidRDefault="004A1F5A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29</w:t>
      </w:r>
      <w:r w:rsidR="00254324" w:rsidRPr="00246CED">
        <w:rPr>
          <w:rFonts w:ascii="宋体" w:eastAsia="宋体" w:hAnsi="宋体" w:cs="宋体"/>
          <w:b/>
          <w:color w:val="FF0000"/>
          <w:szCs w:val="24"/>
        </w:rPr>
        <w:t xml:space="preserve">. Am J Trop Med Hyg. 2026 Aug 4:tpmd260109. doi: 10.4269/ajtmh.26-0109. Online </w:t>
      </w:r>
    </w:p>
    <w:p w:rsidR="00254324" w:rsidRPr="00246CED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246CED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Comparison of Truenat MTB Plus/RIF-Dx/INH with Gene Xpert MTB/XDR for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Diagnosis of Tuberculosis in Ecuador.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Franco-Sotomayor G(1)(2), Uruchima S(1), Cardenas-Franco G(3), Zuñiga-Velarde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JJ(4), Orlando SA(1), Garcia-Bereguiain MA(3).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(1)Instituto Nacional de Salud Pública e Investigación, Guayaquil, Ecuador.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(2)Universidad Católica Santiago de Guayaquil, Guayaquil, Ecuador.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(3)One Health Research Group, Universidad de Las Américas, Quito, Ecuador.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(4)Universidad Ecotec, Km 13.5 Samborondón, Samborondón, EC092302, Ecuador.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The Mycobacterium tuberculosis (MTB) complex (MTBC), the causative agent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tuberculosis (TB), remains a significant global health challenge, with an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estimated 10.7 million cases diagnosed and 1.23 million deaths in 2024,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according to the WHO. In this context, enhancing TB case detection using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sensitive and rapid diagnostic methods is essential. Here, we compared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performance of two automatic polymerase chain reaction-based platforms endorsed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by the WHO for MTB diagnosis: Truenat® MTB Plus/RIF-Dx/INH and Gene Xpert®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MTB/XDR. By analyzing 95 clinical specimens (including pulmonary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extrapulmonary samples) using Gene Xpert MTB/XDR as the gold standard,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Truenat platform showed an overall accuracy of 98.9% and excellent agreement for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MTB detection (Kappa Cohen = 0.975), excellent agreement for isoniazid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resistance (Kappa Cohen = 0.972), and very good agreement for rifampicin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resistance (Kappa Cohen = 0.905). The values for sensitivity and specificity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were 96.5% and 100% for Truenat MTB Plus, respectively; 95.8% and 100% for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Truenat MTB-INH, respectively; and 91.7% and 98.8% for Truenat MTB-RIF. This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study is the first bench-to-bench clinical performance evaluation of the Truenat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platform for MTB diagnosis done in Ecuador, showing its potential as an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alternative sensitive and specific automatic diagnostic platform for MTB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diagnosis and drug resistance testing. Considering that this study was done at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the National Reference Laboratory for Mycobacteria in Ecuador, the Ministry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Public Health should develop further studies with larger sample sizes to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consider Truenat platforms besides Gene Xpert as reliable diagnostic tools for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the national strategy for TB control.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10.4269/ajtmh.26-0109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PMCID: PMC13444425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42551419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46CED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246CED">
        <w:rPr>
          <w:rFonts w:ascii="宋体" w:eastAsia="宋体" w:hAnsi="宋体" w:cs="宋体"/>
          <w:b/>
          <w:color w:val="FF0000"/>
          <w:szCs w:val="24"/>
        </w:rPr>
        <w:t>3</w:t>
      </w:r>
      <w:r w:rsidR="004A1F5A">
        <w:rPr>
          <w:rFonts w:ascii="宋体" w:eastAsia="宋体" w:hAnsi="宋体" w:cs="宋体"/>
          <w:b/>
          <w:color w:val="FF0000"/>
          <w:szCs w:val="24"/>
        </w:rPr>
        <w:t>0</w:t>
      </w:r>
      <w:r w:rsidRPr="00246CED">
        <w:rPr>
          <w:rFonts w:ascii="宋体" w:eastAsia="宋体" w:hAnsi="宋体" w:cs="宋体"/>
          <w:b/>
          <w:color w:val="FF0000"/>
          <w:szCs w:val="24"/>
        </w:rPr>
        <w:t xml:space="preserve">. PLOS Glob Public Health. 2026 Aug 5;6(8):e0006720. doi: </w:t>
      </w:r>
    </w:p>
    <w:p w:rsidR="00254324" w:rsidRPr="00246CED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246CED">
        <w:rPr>
          <w:rFonts w:ascii="宋体" w:eastAsia="宋体" w:hAnsi="宋体" w:cs="宋体"/>
          <w:b/>
          <w:color w:val="FF0000"/>
          <w:szCs w:val="24"/>
        </w:rPr>
        <w:t>10.1371/journal.pgph.0006720. eCollection 2026.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Tuberculosis comorbidities, multimorbidity and mortality amongst adults in South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Africa: A prospective cohort study nested in a trial.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Wood GK(1)(2)(3), Byrne RL(1), Lebina L(4)(5), Worrall E(1)(6), Abraham P(4),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>Webb EL(7), MacPherson P(8), Martinson NA(4), Wingfield T(1)(3)(9).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(1)Centre for Tuberculosis Research, Department of Clinical Sciences, Liverpool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School of Tropical Medicine, Liverpool, United Kingdom.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(2)Department of Clinical Infection, Microbiology and Immunology, Institute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Infection, Veterinary and Ecological Sciences, University of Liverpool,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Liverpool, United Kingdom.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(3)Department of Tropical Medicine and Infectious Diseases, University Hospitals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of Liverpool Group, Liverpool, United Kingdom.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(4)Perinatal HIV Research Unit (PHRU), Faculty of Health Sciences, University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the Witwatersrand, Johannesburg, South Africa.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(5)Clinical Trials Unit, Africa Health Research Institute, Durban, South Africa.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(6)Global Health Economics and Financing Unit, Department of Clinical Sciences,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Liverpool School of Tropical Medicine, Liverpool, United Kingdom.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(7)Medical Research Council International Statistics and Epidemiology Group,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Department of Infectious Disease Epidemiology and International Health, London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School of Hygiene and Tropical Medicine, London, United Kingdom.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(8)School of Health and Wellbeing, University of Glasgow, Glasgow, United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Kingdom.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(9)Department of Global Public Health, Karolinska Institutet, Stockholm, Sweden.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Tuberculosis (TB) comorbidities and multimorbidity - the presence of two or more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concurrent diseases or health conditions - are major contributors to TB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incidence and mortality. We investigated the prevalence and associated mortality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of TB comorbidities and multimorbidity in South Africa. We conducted a </w:t>
      </w:r>
    </w:p>
    <w:p w:rsidR="00254324" w:rsidRPr="00254324" w:rsidRDefault="00254324" w:rsidP="00254324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254324">
        <w:rPr>
          <w:rFonts w:ascii="宋体" w:eastAsia="宋体" w:hAnsi="宋体" w:cs="宋体" w:hint="eastAsia"/>
          <w:color w:val="000000" w:themeColor="text1"/>
          <w:szCs w:val="24"/>
        </w:rPr>
        <w:t xml:space="preserve">prospective cohort study of adults ≥15 years with bacteriologically-confirmed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pulmonary TB, nested within a trial in two provinces of South Africa. We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investigated five TB key comorbidities (HIV, undernutrition, diabetes, smoking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alcohol use), and assessed all-cause mortality over 15 months using Cox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regression. TB comorbidity was defined as TB with one comorbidity, and TB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multimorbidity as TB with two or more comorbidities. Of 1997 participants, 1896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(95%) had mortality data available at 15 months. Median age was 38 (IQR 29-48)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years, 1203/1997 (60%) were male, 86·2% (95% CI 84·6-86·6) had TB comorbidity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47·5% (45·3-49·7) had TB multimorbidity. TB comorbidity peaked in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participants aged 40-49 years (93% [90-95]), was more prevalent in men vs women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(90%[88-91] vs 81%[78-84], p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>&lt;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>0</w:t>
      </w:r>
      <w:r w:rsidRPr="00254324">
        <w:rPr>
          <w:rFonts w:ascii="宋体" w:eastAsia="宋体" w:hAnsi="宋体" w:cs="宋体" w:hint="eastAsia"/>
          <w:color w:val="000000" w:themeColor="text1"/>
          <w:szCs w:val="24"/>
        </w:rPr>
        <w:t>·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001), and in urban vs rural areas (88%[86-90]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vs 84%[81-86], p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>=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>0</w:t>
      </w:r>
      <w:r w:rsidRPr="00254324">
        <w:rPr>
          <w:rFonts w:ascii="宋体" w:eastAsia="宋体" w:hAnsi="宋体" w:cs="宋体" w:hint="eastAsia"/>
          <w:color w:val="000000" w:themeColor="text1"/>
          <w:szCs w:val="24"/>
        </w:rPr>
        <w:t>·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005). Mortality was higher for participants with TB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multimorbidity with two (16·0%[13·0-18·8], HR 1·88[1·20-2·95], p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>=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>0</w:t>
      </w:r>
      <w:r w:rsidRPr="00254324">
        <w:rPr>
          <w:rFonts w:ascii="宋体" w:eastAsia="宋体" w:hAnsi="宋体" w:cs="宋体" w:hint="eastAsia"/>
          <w:color w:val="000000" w:themeColor="text1"/>
          <w:szCs w:val="24"/>
        </w:rPr>
        <w:t>·</w:t>
      </w:r>
      <w:r w:rsidR="00246CED">
        <w:rPr>
          <w:rFonts w:ascii="宋体" w:eastAsia="宋体" w:hAnsi="宋体" w:cs="宋体"/>
          <w:color w:val="000000" w:themeColor="text1"/>
          <w:szCs w:val="24"/>
        </w:rPr>
        <w:t xml:space="preserve">006) and </w:t>
      </w:r>
      <w:r w:rsidRPr="00254324">
        <w:rPr>
          <w:rFonts w:ascii="宋体" w:eastAsia="宋体" w:hAnsi="宋体" w:cs="宋体"/>
          <w:color w:val="000000" w:themeColor="text1"/>
          <w:szCs w:val="24"/>
        </w:rPr>
        <w:t>three or more (19·9%[14·9-24·6], HR 2·58[1·56-4·24], p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>&lt;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>0</w:t>
      </w:r>
      <w:r w:rsidRPr="00254324">
        <w:rPr>
          <w:rFonts w:ascii="宋体" w:eastAsia="宋体" w:hAnsi="宋体" w:cs="宋体" w:hint="eastAsia"/>
          <w:color w:val="000000" w:themeColor="text1"/>
          <w:szCs w:val="24"/>
        </w:rPr>
        <w:t>·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001) TB key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comorbidities than those with no comorbidities (11·2%[7·17-15·0]) or TB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comorbidity (10·6% [8·32-12·8]). The joint popula</w:t>
      </w:r>
      <w:r w:rsidR="00246CED">
        <w:rPr>
          <w:rFonts w:ascii="宋体" w:eastAsia="宋体" w:hAnsi="宋体" w:cs="宋体"/>
          <w:color w:val="000000" w:themeColor="text1"/>
          <w:szCs w:val="24"/>
        </w:rPr>
        <w:t xml:space="preserve">tion attributable fraction for 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the TB key comorbidities on mortality was 60·0% </w:t>
      </w:r>
      <w:r w:rsidR="00246CED">
        <w:rPr>
          <w:rFonts w:ascii="宋体" w:eastAsia="宋体" w:hAnsi="宋体" w:cs="宋体"/>
          <w:color w:val="000000" w:themeColor="text1"/>
          <w:szCs w:val="24"/>
        </w:rPr>
        <w:t xml:space="preserve">(49·6-69·2%). TB comorbidities 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multimorbidity are highly prevalent and significantly associated </w:t>
      </w: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with mortality. People with TB should be offered screening and management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comorbidities to reduce their risk of death.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Copyright: © 2026 Wood et al. This is an open access article distributed under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the terms of the Creative Commons Attribution License, which permits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unrestricted use, distribution, and reproduction in any medium, provided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original author and source are credited.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10.1371/journal.pgph.0006720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PMCID: PMC13440854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42555616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A55C69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A55C69">
        <w:rPr>
          <w:rFonts w:ascii="宋体" w:eastAsia="宋体" w:hAnsi="宋体" w:cs="宋体"/>
          <w:b/>
          <w:color w:val="FF0000"/>
          <w:szCs w:val="24"/>
        </w:rPr>
        <w:t>3</w:t>
      </w:r>
      <w:r w:rsidR="004A1F5A">
        <w:rPr>
          <w:rFonts w:ascii="宋体" w:eastAsia="宋体" w:hAnsi="宋体" w:cs="宋体"/>
          <w:b/>
          <w:color w:val="FF0000"/>
          <w:szCs w:val="24"/>
        </w:rPr>
        <w:t>1</w:t>
      </w:r>
      <w:r w:rsidRPr="00A55C69">
        <w:rPr>
          <w:rFonts w:ascii="宋体" w:eastAsia="宋体" w:hAnsi="宋体" w:cs="宋体"/>
          <w:b/>
          <w:color w:val="FF0000"/>
          <w:szCs w:val="24"/>
        </w:rPr>
        <w:t>. Med Res Rev. 2026 Aug 4. doi: 10.1002/med.70096. Online ahead of print.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Advancing Therapies for Mycobacterial Diseases: From Small Molecules to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Host-Directed Strategies.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Silva T(1)(2), Aiello A(3), Alonzi T(3), Carvalho MA(4), Finger V(5), Goletti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D(3), Hoffner S(6), Kherabi Y(7)(8), Korabecny J(5), Kulczyńska J(9), Kyzio</w:t>
      </w:r>
      <w:r w:rsidRPr="00254324">
        <w:rPr>
          <w:rFonts w:ascii="Cambria" w:eastAsia="宋体" w:hAnsi="Cambria" w:cs="Cambria"/>
          <w:color w:val="000000" w:themeColor="text1"/>
          <w:szCs w:val="24"/>
        </w:rPr>
        <w:t>ł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A(9), Lacoma A(10)(11)(12), Martins F(13), Nanovic Z(14)(15), Hosseiniporgham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S(16), Rambaher MH(17), Sechi LA(18), Smalchuk D(10)(11), Stochel G(9),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Tabernero L(19), Tateosian NL(20)(21), Valcheva V(22), Zega A(17), Sarraguça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M(23).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(1)i3S - Instituto de Investigação e Inovação em Saúde, Universidade do Porto,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Porto, Portugal.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(2)ICBAS - Instituto de Ciências Biomédicas Abel Salazar, Universidade do Porto,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Porto, Portugal.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(3)Translational Research Unit, National Institute for Infectious Diseases L.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Spallanzani-IRCCS, Rome, Italy.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(4)Department of Chemistry of School of Science of University of Minho, Centre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of Chemistry of University of Minho (CQ-UM), Braga, Portugal.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(5)Biomedical Research Center, University Hospital Hradec Kralove, Hradec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Kralove, Czech Republic.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(6)Department of Global Public Health, Karolinska Institutet, Stockholm, Sweden.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(7)Infectious and Tropical Diseases Department, Bichat-Claude Bernard Hospital,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Assistance Publique-Hôpitaux de Paris, Université Paris Cité, Paris, France.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(8)Université Paris Cité, Inserm, IAME, Paris, France.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(9)Faculty of Chemistry, Jagiellonian University, Kraków, Poland.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(10)Institut d'Investigació Germans Trias i Pujol, Badalona, Spain.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(11)Departament de Genètica i Microbiologia, Universitat Autònoma de Barcelona,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Barcelona, Spain.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(12)CIBER de Enfermedades Respiratorias, Instituto de Salud Carlos III, Madrid,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>Spain.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(13)Centro de Química Estrutural, Institute of Molecular Sciences, Departamento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 Química e Bioquímica, Faculdade de Ciências, Universidade de Lisboa, Lisboa,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Portugal.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(14)Institute for Lung Diseases and Tuberculosis, Skopje, Republic of North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Macedonia.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(15)Faculty of Medical Sciences, Goce Delcev University, Stip, Macedonia.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(16)Department of Neuroscience &amp; Experimental Therapeutics, School of Medicine,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Texas A&amp;M Health Science Center, Bryan, Texas, USA.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(17)University of Ljubljana, Faculty of Pharmacy, Ljubljana, Slovenia.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(18)Department of Biomedical Science, University of Sassari, Sassari, Italy.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(19)School of Biological Sciences, Faculty of Biology Medicine and Health,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University of Manchester, Manchester Academic Health Science Centre, Manchester,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UK.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(20)Departamento de Química Biológica, Facultad de Ciencias Exactas y Naturales,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Universidad de Buenos Aires, Buenos Aires, Argentina.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(21)Instituto de Química Biológica de la Facultad de Ciencias Exactas 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Naturales (IQUIBICEN), Facultad de Ciencias Exactas y Naturales, Universidad de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Buenos Aires, Consejo Nacional de Investigaciones Científicas y Técnicas, Buenos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Aires, Argentina.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(22)Stephan Angeloff Institute of Microbiology, Bulgarian Academy of Sciences,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Sofia, Bulgaria.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(23)LAQV, REQUIMTE, Departamento de Ciências Químicas, Faculdade de Farmácia,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Universidade do Porto, Porto, Portugal.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The global burden of multidrug-resistant tuberculosis (MDR-TB) and the rising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incidence of nontuberculous mycobacterial (NTM) infections highlight the urgent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need for innovative therapeutic strategies. Current treatments are prolonged,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toxic, and increasingly compromised by resistance and limited diagnostic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capacity. This review focuses on emerging therapeutic strategies against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Mycobacterium tuberculosis (Mtb) and highlights evidence relevant to NTM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whenever available. Specifically, it explores direct anti-mycobacterial small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molecules, including the optimization of drug classes, such as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hydrazide-hydrazones, isoniazid derivatives, nitrofurans, multicomponent forms,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metal complexes, as well as emerging chemical entities in early-stage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development. These compounds target essential bacterial enzymes such as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decaprenylphosphoryl-β-d-ribose oxidase (DprE1), enoyl acyl carrier protein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reductase (InhA), and deoxyribonucleic acid (DNA) gyrase inhibitors, offering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promising avenues for overcoming resistance. The review also examines natural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products and phytochemicals, including siderophore inhibitors, plant-derived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compounds, and essential oils. Non-classical strategies such as antimicrobial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peptides (AMPs) and phage therapy are also discussed. Finally, we discuss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expanding field of host-directed therapies (HDTs), which aim to modulate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host immune response to enhance mycobacterial clearance and reduce tissue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damage. Ultimately, advancing mycobacterial treatment will require integrated,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mechanism-based regimens that combine new compounds with HDTs and improved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delivery systems. Although therapeutic innovation for NTM has lagged, adapting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promising TB-focused compounds and implementing NTM-specific screening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validation frameworks are essential. Collaborative efforts across academia,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industry, and the public health sector will be key to translating these advances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into shorter, safer, and more effective therapies that address the complexity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mycobacterial disease and the rise of antimicrobial resistance.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2026 The Author(s). Medicinal Research Reviews published by Wiley Periodicals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LLC.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10.1002/med.70096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42552751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A55C69" w:rsidRDefault="004A1F5A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32</w:t>
      </w:r>
      <w:r w:rsidR="00254324" w:rsidRPr="00A55C69">
        <w:rPr>
          <w:rFonts w:ascii="宋体" w:eastAsia="宋体" w:hAnsi="宋体" w:cs="宋体"/>
          <w:b/>
          <w:color w:val="FF0000"/>
          <w:szCs w:val="24"/>
        </w:rPr>
        <w:t>. Trop Med Health. 2026 Aug 3;54(1):135. doi: 10.1186/s41182-026-01020-7.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Advanced statistical approaches in tuberculosis diagnosis and treatment outcomes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in Africa: a systematic review.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Okesanya OJ(1)(2), Oso TA(1)(3), Amisu BO(4), Abdullahi YB(5)(6)(7), Ahmed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MM(8)(9), Adebayo UO(10)(11)(12), Abdi YH(5)(13), Ong CJN(14), Adigun OA(15),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Ogaya JB(16)(17), Lucero-Prisno DE 3rd(17)(18)(19).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(1)Department of Medical Laboratory Science, Neuropsychiatric Hospital, Aro,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Abeokuta, Ogun State, Nigeria.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(2)Department of Public Health and Maritime Transport, Faculty of Medicine,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University of Thessaly, Volos, Greece.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(3)Department of Medical Laboratory Science, McPherson University, Seriki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Sotayo, Ogun State, Nigeria.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(4)Department of Medical Laboratory Science, IFPF Hospital, Maryland, Lagos,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Nigeria.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(5)Center for Health Research and Innovation, Somali National University,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Mogadishu, Somalia.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(6)Mogadishu Institute of Health, Mogadishu, Somalia.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(7)Faculty of Health Sciences, Salaam University, Mogadishu, Somalia.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(8)Faculty of Data Science, SIMAD University, Mogadishu, Somalia.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momustafahmed@simad.edu.so.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(9)School of Global Health, Faculty of Medicine, Chulalongkorn University,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Bangkok, Thailand. momustafahmed@simad.edu.so.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(10)Department of Medical Laboratory Services, Federal University of Health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Sciences Teaching Hospital, Ila Orangun, Nigeria.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(11)Department of Digital Health, Global Health Focus Africa, Kigali, Rwanda.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(12)Department of Public Health, Faculty of Medicine and Health Sciences,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Hormuud University, Mogadishu, Somalia.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(13)Faculty of Medicine and Health Science, Hormuud University, Mogadishu,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Somalia.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(14)Department of Biology, College of Science, De La Salle University, Manila,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Philippines.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(15)Department of Medical Laboratory Science, Kwara State University, Malete,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Kwara State, Nigeria.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(16)Department of Medical Technology, Institute of Health Sciences and Nursing,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Far Eastern University, Manila, Philippines.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(17)Center for University Research, University of Makati, Makati City,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Philippines.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(18)Department of Global Health and Development, Faculty of Public Health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Policy, London School of Hygiene and Tropical Medicine, London, UK.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(19)Research Office, Palompon Institute of Technology, Palompon, Leyte,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Philippines.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A55C69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Tuberculosis (TB) remains a major public health challenge in Africa;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however, conventional statistical approaches often fail to capture diagnostic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uncertainty, spatial heterogeneity, and complex disease dynamics, limiting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evidence-based decision-making. This review synthesizes the application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performance of advanced statistical and computational methods for TB diagnosis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and treatment outcomes in Africa.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A55C69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Following the PRISMA 2020 guidelines, we systematically searched PubMed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Scopus for peer-reviewed studies (2010-2025) conducted in Africa that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applied advanced methods, including Bayesian models, machine learning (ML)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algorithms, spatiotemporal analyses, time-series models, and multistate 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survival frameworks. Study selection, data extraction, and quality appraisal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were independently conducted by multiple reviewers using the Joanna Briggs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Institute tools. Findings were synthesized narratively because of substantial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methodological heterogeneity.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A55C69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Twenty-seven studies from nine African countries were included.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Bayesian hierarchical, geostatistical, and latent class models improved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estimation of TB incidence, mortality, and diagnostic accuracy by accounting for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uncertainty, imperfect reference standards, and sparse data. Spatiotemporal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analyses consistently identified geographic TB and TB-HIV hotspots linked to low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Bacillus Calmette-Guérin vaccine coverage, illiteracy, and urban crowding as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risk factors. Time-series models quantified the significant decline in TB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notifications during the COVID-19 disruptions. ML approaches, particularly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random forests, outperformed traditional regression in predicting latent TB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infection and treatment outcomes. Drug resistance, notably to bedaquiline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levofloxacin, showed clear spatial clustering and dynamic progression patterns.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A55C69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Advanced statistical and computational methods are increasingly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improving TB diagnosis, prognosis, and treatment insights in Africa by capturing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complex patterns beyond classical models, but their broader impact is limited by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data gaps, heterogeneity, and insufficient validation, highlighting the need for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high-quality, multi-country research and stronger implementation frameworks.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PROSPERO ID: CRD420251160248.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10.1186/s41182-026-01020-7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PMCID: PMC13435751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42552557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64634E" w:rsidRDefault="004A1F5A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33</w:t>
      </w:r>
      <w:r w:rsidR="00254324" w:rsidRPr="0064634E">
        <w:rPr>
          <w:rFonts w:ascii="宋体" w:eastAsia="宋体" w:hAnsi="宋体" w:cs="宋体"/>
          <w:b/>
          <w:color w:val="FF0000"/>
          <w:szCs w:val="24"/>
        </w:rPr>
        <w:t>. Mil Med. 2026 Aug 4:usag372. doi: 10.1093/milmed/usag372. Online ahead of print.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Outcomes of Patients with Positive Latent Tuberculosis Screening in the San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Antonio Military Health System.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Kim J CPT(1), Marcus JE Maj(2)(3), Homeyer DC Col(2)(3).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(1)San Antonio Uniformed Services Health Educational Consortium Internal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Medicine Residency, Joint Base San Antonio, TX 78234, United States.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(2)Infectious Disease Service, Brooke Army Medical Center, JBSA Fort Sam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Houston, TX 78234, United States.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(3)Department of Medicine, Uniformed Services University of Health Sciences,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Bethesda, MD 20814, United States.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64634E">
        <w:rPr>
          <w:rFonts w:ascii="宋体" w:eastAsia="宋体" w:hAnsi="宋体" w:cs="宋体"/>
          <w:b/>
          <w:color w:val="000000" w:themeColor="text1"/>
          <w:szCs w:val="24"/>
        </w:rPr>
        <w:t>INTRODUCTION: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Latent tuberculosis infection (LTBI) screening plays a vital role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 global efforts to eliminate tuberculosis (TB). While LTBI treatment has been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associated with lower rates of reactivation of TB and all military branches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screening programs for LTBI screening, there is limited military data on factors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associated with screening positivity and treatment completion.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64634E">
        <w:rPr>
          <w:rFonts w:ascii="宋体" w:eastAsia="宋体" w:hAnsi="宋体" w:cs="宋体"/>
          <w:b/>
          <w:color w:val="000000" w:themeColor="text1"/>
          <w:szCs w:val="24"/>
        </w:rPr>
        <w:t>MATERIALS AND METHODS: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This retrospective study examined positive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Quantiferon-Plus (QFT-Plus) assays in the San Antonio Military Health System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between January 2022 and June 2024. Electronic medical records were reviewed for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information, including demographics, indications for testing, TB risk factors,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deployment and travel history, quantitative QFT-Plus results, final diagnosis,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treatment course. QFT-Plus assays were considered false positive in patients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with repeat tests that were negative.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64634E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 total of 6,321 QFT-Plus assays were performed in the study period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with 192 (3%) unique patients identified to have positive QFT-Plus assays.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Ninety-seven (51%) patients were ultimately diagnosed with LTBI with most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patients being active-duty military. The most common indication for testing was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occupational screening, such as for health care workers. Patients with an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initial greater TB-nil value were more likely to have true disease rather than 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false positive (0.968 [0.52-3.5] vs. 0.435 [0.38-0.62], P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>=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.0007). Of patients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diagnosed with LTBI, a total of 58 (60%) initiated treatment and 41 (42%) had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documented completion of treatment. Factors associated with incomplete treatment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were use of an isoniazid-only regimen (n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>=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6, 60% non-completion rate)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reassignment to a new duty station after LTBI diagnosis (n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>=</w:t>
      </w:r>
      <w:r w:rsidRPr="00254324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11, 79%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non-completion rate).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64634E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This study offers a modern evaluation of LTBI screening in 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military setting and provides targets for future interventions including those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who change duty stations or use an isoniazid-based regimen. Military clinicians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should be aware that patients with a low positive TB-nil on QFT-Plus assays are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frequently false positive and require repeat testing.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Published by Oxford University Press on behalf of the Association of Military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Surgeons of the United States 2026.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10.1093/milmed/usag372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42550075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C514A2" w:rsidRDefault="004A1F5A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34</w:t>
      </w:r>
      <w:r w:rsidR="00254324" w:rsidRPr="00C514A2">
        <w:rPr>
          <w:rFonts w:ascii="宋体" w:eastAsia="宋体" w:hAnsi="宋体" w:cs="宋体"/>
          <w:b/>
          <w:color w:val="FF0000"/>
          <w:szCs w:val="24"/>
        </w:rPr>
        <w:t xml:space="preserve">. Oxf Med Case Reports. 2026 Aug 3;2026(8):omag144. doi: 10.1093/omcr/omag144. </w:t>
      </w:r>
    </w:p>
    <w:p w:rsidR="00254324" w:rsidRPr="00C514A2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C514A2">
        <w:rPr>
          <w:rFonts w:ascii="宋体" w:eastAsia="宋体" w:hAnsi="宋体" w:cs="宋体"/>
          <w:b/>
          <w:color w:val="FF0000"/>
          <w:szCs w:val="24"/>
        </w:rPr>
        <w:t>eCollection 2026 Aug.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Rifampin-induced fluvastatin toxicity: a case report and review of literature.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Farghali A(1), Mahmoud H(1), Salem M(1).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(1)Department of Clinical Pharmacy, Hamad General Hospital, P.O. box 3050, Doha,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Qatar.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Fluvastatin is extensively metabolized by CYP2C9, which is induced by rifampin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over several weeks, leading to a concentration decline. However, since rifampin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is a potent inhibitor of the primary first-pass hepatic statin uptake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transporter, the organic anion transporting polypeptide 1B1 (OATP1B1),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simultaneous administration has been shown to significantly increase statin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exposure. We report a previously fluvastatin-tolerant 63-year-old woman with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nonalcoholic steatohepatitis who developed statin-induced rhabdomyolysis four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weeks after the initiation and co-administration of rifampin for tuberculosis.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After both medications were stopped, the patient showed clinical and biochemical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improvement. While this report is the first to describe a clinical outcome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this interaction, multiple pharmacokinetic studies have demonstrated opposing,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time-dependent rifampin effects on statin concentrations. Safe management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this challenging interaction includes statin dose reduction and/or separate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administration upon rifampin initiation until the anticipated onset of CYP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induction, followed by careful and gradual dose titration with monitoring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both effectiveness and toxicity.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The Author(s) 2026. Published by Oxford University Press.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10.1093/omcr/omag144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PMCID: PMC13430968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42549153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7075D9" w:rsidRDefault="004A1F5A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35</w:t>
      </w:r>
      <w:r w:rsidR="00254324" w:rsidRPr="007075D9">
        <w:rPr>
          <w:rFonts w:ascii="宋体" w:eastAsia="宋体" w:hAnsi="宋体" w:cs="宋体"/>
          <w:b/>
          <w:color w:val="FF0000"/>
          <w:szCs w:val="24"/>
        </w:rPr>
        <w:t xml:space="preserve">. Pediatr Infect Dis J. 2026 Aug 4. doi: 10.1097/INF.0000000000005354. Online </w:t>
      </w:r>
    </w:p>
    <w:p w:rsidR="00254324" w:rsidRPr="007075D9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7075D9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254324" w:rsidRPr="007075D9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Negative Interferon-gamma Release Assays and Purified Protein Derivative Does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Not Exclude Tuberculosis in Inborn Errors of Immunity.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Hotaman B(1), Cagdas D.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(1)Division of Pediatric Immunology, Department of Pediatrics, Faculty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Medicine, Hacettepe University, Ankara, Turkey.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10.1097/INF.0000000000005354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42547929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7075D9" w:rsidRDefault="005B1238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36</w:t>
      </w:r>
      <w:r w:rsidR="00254324" w:rsidRPr="007075D9">
        <w:rPr>
          <w:rFonts w:ascii="宋体" w:eastAsia="宋体" w:hAnsi="宋体" w:cs="宋体"/>
          <w:b/>
          <w:color w:val="FF0000"/>
          <w:szCs w:val="24"/>
        </w:rPr>
        <w:t>. Protoplasma. 2026 Aug 4. doi: 10.1007/s00709-026-02250-6. Online ahead of print.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CRISPR-Cas-based detection of Mycobacterium tuberculosis: current advances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translational bottlenecks.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Akkoul N(1), Kumar T(1), Sharma S(#)(2), Sharma V(1), Raja V(3), Malik TG(4),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Wan Mohd Jaafar WS(4), Gupta AK(5), Hakeem KR(#)(6)(7)(8).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(1)Department of Biotechnology, University Institute of Biotechnology,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Chandigarh University, Mohali, Punjab, India.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(2)Department of Biotechnology, University Institute of Biotechnology,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Chandigarh University, Mohali, Punjab, India. swaati.e10067@cumail.in.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(3)University Centre for Research and Development (UCRD), Chandigarh University,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Mohali, Punjab, 140413, India. wrajamp2009@gmail.com.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(4)Earth Observation Centre, Institute of Climate Change, National University of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Malaysia (UKM), Bangi, Selangor, 43600, Malaysia.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(5)Faculty of Agriculture and Life Sciences, Desh Bhagat University, Mandi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Gobindgarh, Panjab, 147203, India.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(6)Department of Biological Sciences, Faculty of Science, King Abdulaziz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University, Jeddah, 21589, Saudi Arabia. kur.hakeem@gmail.com.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(7)Department of Public Health, Daffodil International University, Dhaka, 1341,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Bangladesh. kur.hakeem@gmail.com.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(8)Faculty of Agriculture and Life Sciences, Desh Bhagat University, Mandi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Gobindgarh, Panjab, 147203, India. kur.hakeem@gmail.com.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Tuberculosis (TB), caused by Mycobacterium tuberculosis (Mtb), remains a major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global health challenge due to persistent diagnostic gaps. CRISPR-Cas-based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diagnostics have emerged as highly sensitive and programmable platforms for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nucleic acid detection, enabling rapid identification of Mtb targets, including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drug-resistance-associated mutations. These systems integrate isothermal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amplification, diverse Cas effectors, and multiple signal readout strategies to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achieve high analytical performance. This review provides a comparative analysis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of clinically evaluated CRISPR-based TB diagnostic platforms, highlighting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substantial variability in assay design, performance, and translational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readiness. While many platforms demonstrate strong analytical sensitivity, their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implementation remains constrained by workflow complexity and limited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integration into true point-of-care formats. This highlights that successful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clinical translation of CRISPR-based TB diagnostics is determined more by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real-world adaptability than by analytical performance alone. The current review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presents a comparative analysis of CRISPR-based diagnostic platforms for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tuberculosis, evaluating the variability in assay design, analytical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clinical performance, and translational readiness across currently available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systems.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2026. The Author(s), under exclusive licence to Springer-Verlag GmbH Austria,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part of Springer Nature.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10.1007/s00709-026-02250-6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42547606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7075D9" w:rsidRDefault="005B1238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37</w:t>
      </w:r>
      <w:r w:rsidR="00254324" w:rsidRPr="007075D9">
        <w:rPr>
          <w:rFonts w:ascii="宋体" w:eastAsia="宋体" w:hAnsi="宋体" w:cs="宋体"/>
          <w:b/>
          <w:color w:val="FF0000"/>
          <w:szCs w:val="24"/>
        </w:rPr>
        <w:t xml:space="preserve">. J Dairy Sci. 2026 Aug 3:S0022-0302(26)03170-X. doi: 10.3168/jds.2026-28679. </w:t>
      </w:r>
    </w:p>
    <w:p w:rsidR="00254324" w:rsidRPr="007075D9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7075D9">
        <w:rPr>
          <w:rFonts w:ascii="宋体" w:eastAsia="宋体" w:hAnsi="宋体" w:cs="宋体"/>
          <w:b/>
          <w:color w:val="FF0000"/>
          <w:szCs w:val="24"/>
        </w:rPr>
        <w:t>Online ahead of print.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The impact of recent tuberculin skin testing on paratuberculosis antibody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responses.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Ogden K(1), Grove-White D(2), Barden M(2).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(1)Department of Livestock and One Health, Institute of Infection, Veterinary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Ecological Sciences, University of Liverpool, Leahurst Campus, Chester High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Road, Neston, Cheshire, CH64 7TE, United Kingdom. Electronic address: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Kate.Ogden@liverpool.ac.uk.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(2)Department of Livestock and One Health, Institute of Infection, Veterinary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Ecological Sciences, University of Liverpool, Leahurst Campus, Chester High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Road, Neston, Cheshire, CH64 7TE, United Kingdom.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There is a recognized interference between the single intradermal cervical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comparative tuberculin (SICCT) test used for bovine tuberculosis surveillance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the paratuberculosis milk ELISA. Current UK guidance recommends a minimum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interval of 42-60 d between a SICCT test and a paratuberculosis milk ELISA.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However, recent research suggested that the post-SICCT antibody response may be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greater in cows at high risk of Mycobacterium avium ssp. paratuberculosis (MAP)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shedding (i.e, with an increased likelihood of shedding MAP in feces), leading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to advisory guidance that high-prevalence herds could shorten the testing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interval to improve ELISA sensitivity. If post-SICCT antibody increases also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occur in cows not at high risk of MAP shedding, due to nonspecific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cross-reactive stimulation rather than anamnestic MAP-specific responses,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false-positive results would increase. This observational study aimed to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evaluate the association between the SICCT-ELISA interval and the milk ELISA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sample-to-positive (S/P) ratio, separately for case cows classified as high risk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of MAP shedding and control cows, and to determine whether this association </w:t>
      </w:r>
    </w:p>
    <w:p w:rsidR="00254324" w:rsidRPr="00254324" w:rsidRDefault="00254324" w:rsidP="00254324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254324">
        <w:rPr>
          <w:rFonts w:ascii="宋体" w:eastAsia="宋体" w:hAnsi="宋体" w:cs="宋体" w:hint="eastAsia"/>
          <w:color w:val="000000" w:themeColor="text1"/>
          <w:szCs w:val="24"/>
        </w:rPr>
        <w:t xml:space="preserve">varied across herd-years with high (≥10%) and low (≤2%) annual paratuberculosis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antibody prevalence. Individual cow milk ELISA records from 518 UK dairy herds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(2012-2023; 1,226,709 tests from 340,839 cows) were matched to SICCT test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records. Generalized additive models were fitted separately for case and control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cows under 2 case definitions: the industry-standard MAP shedding risk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classification (2 positive milk ELISA results in the previous 4 tests), and 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more stringent progression-based definition requiring sustained positive or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negative testing histories. Additional models were fitted using data from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high- and low-prevalence subsets. Apparent test performance characteristics were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estimated across SICCT-ELISA intervals. Contrary to previous findings, both case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and control cows exhibited similar antibody responses after a SICCT test, with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S/P ratios peaking around 18-22 d in both groups. In the prevalence-stratified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analyses, this increase in S/P ratios after the SICCT was observed in control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cows from both high- and low-prevalence herd-years. At the 0-14 d SICCT-ELISA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interval, apparent positive predictive value was lower compared with the 60-90 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reference across all prevalence levels: 50.8% vs 67.7% in high-prevalence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herd-years, 57.4% vs 63.3% in medium-prevalence herd-years, and 39.1% vs 48.9%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in low-prevalence herd-years. In high-prevalence herd-years, each additional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true positive at this interval was associated with approximately 3.3 additional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false positives, whereas in low- and medium-prevalence herd-years, there was no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overall increase in true positives. Overall, these results do not support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shortening the SICCT-ELISA testing interval below the current guidelines.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Copyright © 2026 American Dairy Science Association. Published by Elsevier Inc.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All rights reserved.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10.3168/jds.2026-28679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42547021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7075D9" w:rsidRDefault="005B1238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38</w:t>
      </w:r>
      <w:r w:rsidR="00254324" w:rsidRPr="007075D9">
        <w:rPr>
          <w:rFonts w:ascii="宋体" w:eastAsia="宋体" w:hAnsi="宋体" w:cs="宋体"/>
          <w:b/>
          <w:color w:val="FF0000"/>
          <w:szCs w:val="24"/>
        </w:rPr>
        <w:t>. Am J Dermatopathol. 2026 Aug 3. doi: 10.1097/DAD.</w:t>
      </w:r>
      <w:r w:rsidR="007075D9" w:rsidRPr="007075D9">
        <w:rPr>
          <w:rFonts w:ascii="宋体" w:eastAsia="宋体" w:hAnsi="宋体" w:cs="宋体"/>
          <w:b/>
          <w:color w:val="FF0000"/>
          <w:szCs w:val="24"/>
        </w:rPr>
        <w:t xml:space="preserve">0000000000003397. Online ahead </w:t>
      </w:r>
      <w:r w:rsidR="00254324" w:rsidRPr="007075D9">
        <w:rPr>
          <w:rFonts w:ascii="宋体" w:eastAsia="宋体" w:hAnsi="宋体" w:cs="宋体"/>
          <w:b/>
          <w:color w:val="FF0000"/>
          <w:szCs w:val="24"/>
        </w:rPr>
        <w:t>of print.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Oral Tuberculosis Presenting in a Patient With Asymptomatic Miliary Pulmonary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Tuberculosis.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Silveira HA(1), Palaçon MP(2), Laor GET(3), Viccari HFR(3), Bufalino A(2), León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JE(3)(4).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(1)Department of Oral Diagnosis and Surgery, State University of Northern Paraná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(UENP), Jacarezinho, PR, Brazil.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(2)Oral Medicine, Department of Diagnosis and Surgery, Araraquara Dental School,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FOAr/UNESP, Araraquara, SP, Brazil.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(3)Oral Pathology, Department of Stomatology, Public Oral Health, and Forensic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Dentistry, Ribeirão Preto Dental School (FORP/USP), University of São Paulo,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Ribeirão Preto, SP, Brazil; and.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(4)Department of Pathology and Forensic Medicine, Ribeirão Preto Medical School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(FMRP/USP), University of São Paulo, Ribeirão Preto, SP, Brazil.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10.1097/DAD.0000000000003397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42546342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7075D9" w:rsidRDefault="005B1238" w:rsidP="00254324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39</w:t>
      </w:r>
      <w:r w:rsidR="00254324" w:rsidRPr="007075D9">
        <w:rPr>
          <w:rFonts w:ascii="宋体" w:eastAsia="宋体" w:hAnsi="宋体" w:cs="宋体"/>
          <w:b/>
          <w:color w:val="FF0000"/>
          <w:szCs w:val="24"/>
        </w:rPr>
        <w:t xml:space="preserve">. PLoS One. 2026 Aug 3;21(8):e0344059. doi: 10.1371/journal.pone.0344059. </w:t>
      </w:r>
    </w:p>
    <w:p w:rsidR="00254324" w:rsidRPr="007075D9" w:rsidRDefault="00254324" w:rsidP="00254324">
      <w:pPr>
        <w:rPr>
          <w:rFonts w:ascii="宋体" w:eastAsia="宋体" w:hAnsi="宋体" w:cs="宋体"/>
          <w:b/>
          <w:color w:val="FF0000"/>
          <w:szCs w:val="24"/>
        </w:rPr>
      </w:pPr>
      <w:r w:rsidRPr="007075D9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Time to treatment initiation in pregnant women with tuberculosis in Cape Town,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South Africa.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Meehan SA(1), Hesseling AC(1), Kalk E(2), Hughes JA(1), Seddon JA(1)(3),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Namukuta VE(1), Osman M(1)(4).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(1)Desmond Tutu TB Centre, Department of Paediatrics and Child Health, Faculty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of Medicine and Health Sciences, Stellenbosch University, Cape Town, South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Africa.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(2)Centre for Integrated Data and Epidemiological and Research, School of Public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Health, Faculty of Health Sciences, University of Cape Town, South Africa.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(3)Department of Infectious Disease, Imperial College London, London, United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Kingdom.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(4)School of Human Sciences, Faculty of Education, Health and Human Sciences,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University of Greenwich, London, United Kingdom.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7075D9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Tuberculosis (TB) incidence peaks in women during their reproductive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years and is a leading cause of maternal mortality. Pregnant women with TB have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 high risk of failure to initiate TB treatment and poor TB treatment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pregnancy outcomes. We determined the time to treatment initiation in pregnant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women diagnosed with TB in a routine programmatic setting.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7075D9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Using routine linked electronic data, we identified women 15-45 years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of age with laboratory-confirmed and/or clinically diagnosed TB, October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2018-December 2020, in two high-burden sub-districts in Cape Town, South Africa.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We compared demographic and clinical characteristics in women with TB by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pregnancy status, used time-to-event analysis to determine the time from TB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diagnosis to initiation of antituberculosis treatment and Cox regression to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assess determinants of treatment initiation.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7075D9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Of 5,459 women diagnosed with TB, 292 (5.3%) were pregnant. The median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age for pregnant women was 28.6 years (interquartile range [IQR]: 23.7-33.7) and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non-pregnant women 31 years (IQR:25.2-36.5). HIV prevalence was similar in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pregnant (177/292; 60.6%) vs non-pregnant (3200/5167; 61.9%) women. Median time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to treatment initiation was two days for pregnant and non-pregnant women. Most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(92% of non-pregnant and 89% of pregnant) women initiated treatment within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first month after their TB diagnosis, after which the rate plateaued in both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groups. Time to treatment initiation over 6 months was statistically different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(Kaplan Meier Log-rank test, p</w:t>
      </w:r>
      <w:r w:rsidRPr="00254324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>=</w:t>
      </w:r>
      <w:r w:rsidRPr="00254324">
        <w:rPr>
          <w:rFonts w:ascii="MS Gothic" w:eastAsia="宋体" w:hAnsi="MS Gothic" w:cs="MS Gothic"/>
          <w:color w:val="000000" w:themeColor="text1"/>
          <w:szCs w:val="24"/>
        </w:rPr>
        <w:t> 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0.0064) with pregnant women lagging behind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non-pregnant women.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7075D9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 More than 5% of women diagnosed with TB were pregnant at the time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of TB diagnosis. While pregnant women with TB were appropriately initiated on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treatment, almost 15% were never started on treatment and there were delays in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treatment initiation. While strategic interventions to prioritise early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treatment initiation are needed, there should be a specific focus on pregnant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women who have not initiated treatment within one month after TB diagnosis.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Copyright: © 2026 Meehan et al. This is an open access article distributed under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the terms of the Creative Commons Attribution License, which permits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 xml:space="preserve">unrestricted use, distribution, and reproduction in any medium, provided the 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original author and source are credited.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DOI: 10.1371/journal.pone.0344059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PMCID: PMC13432140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  <w:r w:rsidRPr="00254324">
        <w:rPr>
          <w:rFonts w:ascii="宋体" w:eastAsia="宋体" w:hAnsi="宋体" w:cs="宋体"/>
          <w:color w:val="000000" w:themeColor="text1"/>
          <w:szCs w:val="24"/>
        </w:rPr>
        <w:t>PMID: 42545963 [Indexed for MEDLINE]</w:t>
      </w:r>
    </w:p>
    <w:p w:rsidR="00254324" w:rsidRPr="00254324" w:rsidRDefault="00254324" w:rsidP="00254324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7075D9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40</w:t>
      </w:r>
      <w:r w:rsidR="002D0DAD" w:rsidRPr="007075D9">
        <w:rPr>
          <w:rFonts w:ascii="宋体" w:eastAsia="宋体" w:hAnsi="宋体" w:cs="宋体"/>
          <w:b/>
          <w:color w:val="FF0000"/>
          <w:szCs w:val="24"/>
        </w:rPr>
        <w:t xml:space="preserve">. Clin Radiol. 2026 Jul 17;101:107439. doi: 10.1016/j.crad.2026.107439. Online </w:t>
      </w:r>
    </w:p>
    <w:p w:rsidR="002D0DAD" w:rsidRPr="007075D9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7075D9">
        <w:rPr>
          <w:rFonts w:ascii="宋体" w:eastAsia="宋体" w:hAnsi="宋体" w:cs="宋体"/>
          <w:b/>
          <w:color w:val="FF0000"/>
          <w:szCs w:val="24"/>
        </w:rPr>
        <w:lastRenderedPageBreak/>
        <w:t>ahead of print.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Diagnostic yield of 8G versus 11G transpedicular vertebral biopsy needles 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suspected tuberculous spondylitis: a prospective randomized controlled study.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Pandey S(1), Aggarwal P(1), Srivastava DN(1), Garg B(2), Mridha AR(3),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Madhusudhan KS(4).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(1)Departments of Radiodiagnosis and Interventional Radiology, All India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Institute of Medical Sciences, New Delhi,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(2)Orthopedics All India Institute of Medical Sciences, New Delhi,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(3)Pathology All India Institute of Medical Sciences, New Delhi,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(4)Departments of Radiodiagnosis and Interventional Radiology, All India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Institute of Medical Sciences, New Delhi, India. Electronic address: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drmadhuks@gmail.com.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7075D9">
        <w:rPr>
          <w:rFonts w:ascii="宋体" w:eastAsia="宋体" w:hAnsi="宋体" w:cs="宋体"/>
          <w:b/>
          <w:color w:val="000000" w:themeColor="text1"/>
          <w:szCs w:val="24"/>
        </w:rPr>
        <w:t>AIM: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To compare the diagnostic yield of 8G and 11G bone biopsy needles 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tubercular spondylitis (TBS).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7075D9">
        <w:rPr>
          <w:rFonts w:ascii="宋体" w:eastAsia="宋体" w:hAnsi="宋体" w:cs="宋体"/>
          <w:b/>
          <w:color w:val="000000" w:themeColor="text1"/>
          <w:szCs w:val="24"/>
        </w:rPr>
        <w:t>MATERIALS AND METHODS: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50 patients (mean age-40. years; males-27), suspected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TBS based on clinical and MRI features, underwent transpedicular biopsies under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fluoroscopic guidance with 8G or 11G needles after randomization. The samples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were evaluated on histology (chronic inflammation, granulomas, caseous necrosis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and giant cells), GeneXpert, Polymerase Chain Reaction (PCR) and liquid cultures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and categorised into diagnostic, non-specific and inadequate groups. Any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procedure related complications (pneumothorax, puncture site infection, hematoma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or increased pain) were recorded.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7075D9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There were 25 patients in each group. One patient in the 8G group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experienced procedure-related pneumothorax. Of the three microbiological tests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(GeneXpert, PCR, Liquid Culture), at least one test was found to be positive 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32% (n=8) of 8G group and 24% (n=6) of the 11G group samples (p&gt;0.05).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Histopathology was suggestive of tuberculosis for TB in 40% (n=10) of 8G group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and 36% (n=9) of 11G group samples (p=0.88). Overall, the samples in 8G and 11G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groups were diagnostic in 13 and 12 patients, non- specific in 10 and 9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patients, and inadequate in 2 and 4 patients respectively, with no statistically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significant difference between groups (p=0.62).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7075D9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The study showed no significant difference in complications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diagnostic yield of biopsies performed using 8G and 11G needles in patients with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tuberculous spondylitis.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Copyright © 2026 The Royal College of Radiologists. Published by Elsevier Ltd.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All rights reserved.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10.1016/j.crad.2026.107439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>PMID: 42570570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7075D9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41</w:t>
      </w:r>
      <w:r w:rsidR="002D0DAD" w:rsidRPr="007075D9">
        <w:rPr>
          <w:rFonts w:ascii="宋体" w:eastAsia="宋体" w:hAnsi="宋体" w:cs="宋体"/>
          <w:b/>
          <w:color w:val="FF0000"/>
          <w:szCs w:val="24"/>
        </w:rPr>
        <w:t xml:space="preserve">. Bioorg Chem. 2026 Aug 1;181:110317. doi: 10.1016/j.bioorg.2026.110317. Online </w:t>
      </w:r>
    </w:p>
    <w:p w:rsidR="002D0DAD" w:rsidRPr="007075D9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7075D9">
        <w:rPr>
          <w:rFonts w:ascii="宋体" w:eastAsia="宋体" w:hAnsi="宋体" w:cs="宋体"/>
          <w:b/>
          <w:color w:val="FF0000"/>
          <w:szCs w:val="24"/>
        </w:rPr>
        <w:t>ahead of print.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 green and expedient synthesis of [1, 3] oxazine derivatives and their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biological evaluation as a potent anti-tubercular and anti-microbial agent.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Kongwang MM(1), Nongkhlaw R(2), Kumari J(3), Sriram D(3), Mohan VK(4), Joshi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SR(4), Velusamy M(2), Nongrum R(5).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(1)Department of Chemistry, Sankardev College, Lumshatsngi (Bishnupur) Shillong,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Meghalaya, 793004, India; Centre for Advanced Studies in Chemistry,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North-Eastern Hill University, Shillong, Meghalaya, 793022,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(2)Centre for Advanced Studies in Chemistry, North-Eastern Hill University,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Shillong, Meghalaya, 793022,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(3)Department of pharmacy, BITS Pilani Hyderabad Campus, Jawahar Nagar,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Telengana, Hyderabad 500078,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(4)Department of Biotechnology &amp; Bioinformatics, North-Eastern Hill University,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Shillong, Meghalaya, 793022,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(5)Department of Chemistry, Sankardev College, Lumshatsngi (Bishnupur) Shillong,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Meghalaya, 793004, India. Electronic address: ridapnong@gmail.com.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 efficient and green protocol for the multicomponent one-pot synthesis of [1,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3] oxazine derivatives has been achieved by encapsulating a biomolecule on 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solid magnetic support. This methodology encompasses mild reaction conditions,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ease of catalyst separation, and catalyst reusability. Further, the use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ultrasonic energy in the reaction not only led to improved yield but also to 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shorter reaction time. Preliminary biological evaluation of the prepared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compounds reveals that some of the derivatives exhibited interesting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anti-tubercular and anti-microbial activity towards the Mycobacterium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 H37Rv strain, Bacillus subtilis, Escherichia coli, Klebsiella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pneumoniae, Staphylococcus aureus and Candida albicans, The compound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3-Cyclohexyl-3,4-dihydro-2H-naphtho[2,1-e] [1, 3] oxazine (4d) exhibited an MIC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value of 15.6 μg/mL, equivalent to that of the standard Fluconazole against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Candida albicans. An improved MIC value of 15.6 μg/mL was displayed for Bacillus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subtilis as compared to the standard value of Chloramphenicol and an MIC value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of 1.57 μg/mL against Mycobacterium tuberculosis H37Rv, which is near-equivalent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to that of Ethambutol. While for 4-(6-chloro-7-methyl-2H-benzo[e] [1, 3]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oxazin-3(4H)-yl) benzonitrile (9b), it showed an MIC value of 31.25 μg/mL which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is equivalent to that of the standard Chloramphenicol and an MIC value of 3.25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μ</w:t>
      </w:r>
      <w:r w:rsidRPr="002D0DAD">
        <w:rPr>
          <w:rFonts w:ascii="宋体" w:eastAsia="宋体" w:hAnsi="宋体" w:cs="宋体"/>
          <w:color w:val="000000" w:themeColor="text1"/>
          <w:szCs w:val="24"/>
        </w:rPr>
        <w:t>g/mL against Mycobacterium tuberculosis H37Rv.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>Copyright © 2026 Elsevier Inc. All rights reserved.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10.1016/j.bioorg.2026.110317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42551349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9C66CD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42</w:t>
      </w:r>
      <w:r w:rsidR="002D0DAD" w:rsidRPr="009C66CD">
        <w:rPr>
          <w:rFonts w:ascii="宋体" w:eastAsia="宋体" w:hAnsi="宋体" w:cs="宋体"/>
          <w:b/>
          <w:color w:val="FF0000"/>
          <w:szCs w:val="24"/>
        </w:rPr>
        <w:t>. IJID Reg. 2026 Jul 15;20:100949. doi: 10.1016/j.i</w:t>
      </w:r>
      <w:r w:rsidR="009C66CD">
        <w:rPr>
          <w:rFonts w:ascii="宋体" w:eastAsia="宋体" w:hAnsi="宋体" w:cs="宋体"/>
          <w:b/>
          <w:color w:val="FF0000"/>
          <w:szCs w:val="24"/>
        </w:rPr>
        <w:t xml:space="preserve">jregi.2026.100949. eCollection </w:t>
      </w:r>
      <w:r w:rsidR="002D0DAD" w:rsidRPr="009C66CD">
        <w:rPr>
          <w:rFonts w:ascii="宋体" w:eastAsia="宋体" w:hAnsi="宋体" w:cs="宋体"/>
          <w:b/>
          <w:color w:val="FF0000"/>
          <w:szCs w:val="24"/>
        </w:rPr>
        <w:t>2026 Sep.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Magnitude of undernutrition and associated factors among patients with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 in the Benadir Region, Somalia: A multicenter cross-sectional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study.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Mohamoud JH(1)(2), Adam MH(1)(2), Mohamed AMS(1)(2), Garba B(1)(2), Mahamud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MA(2)(3), Asowe HA(2)(4), Moalim SA(3), Shirwa NA(5), Mohamud AH(6).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(1)Department of Public Health, Faculty of Medicine and Health Sciences, SIMAD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University, Mogadishu, Somalia.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(2)SIMAD Institute for Global Health, SIMAD University, Mogadishu, Somalia.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(3)Department of Microbiology and Laboratory Science, Faculty of Medicine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Health Sciences, SIMAD University, Mogadishu, Somalia.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(4)Department of Nursing and Midwifery, Faculty of Medicine and Health Sciences,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SIMAD University, Mogadishu, Somalia.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(5)Faculty of Bioscience Engineering, Ghent University, The International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Training Centre, Ghent, Belgium.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(6)Department of Applied Human Nutrition, Faculty of Agriculture, University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Nairobi, Nairobi, Kenya.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9C66CD">
        <w:rPr>
          <w:rFonts w:ascii="宋体" w:eastAsia="宋体" w:hAnsi="宋体" w:cs="宋体"/>
          <w:b/>
          <w:color w:val="000000" w:themeColor="text1"/>
          <w:szCs w:val="24"/>
        </w:rPr>
        <w:t xml:space="preserve">OBJECTIVES: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 remains a major public health problem in low-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middle-income countries and is closely associated with poor nutritional status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among patients. Undernutrition in patients with tuberculosis contributes to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adverse treatment outcomes, increased morbidity, and delayed recovery. However,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evidence on the magnitude of undernutrition and its associated factors among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patients with tuberculosis in Somalia is limited. This study aimed to assess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prevalence of undernutrition and identify associated factors among adults with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tuberculosis.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9C66CD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 institution-based cross-sectional study was conducted among 362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patients with tuberculosis who attended selected tuberculosis treatment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facilities. Data were collected using a structured questionnaire covering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sociodemographic, household, dietary, clinical, and treatment-related factors.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Anthropometric measurements were obtained using standardized procedures,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body mass index was calculated to assess nutritional status. Undernutrition was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defined as a body mass index of &lt;18.5 kg/m². Bivariate and multivariable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logistic regression analyses were performed to identify factors associated with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undernutrition, and adjusted odds ratios (AORs) and 95% confidence intervals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(CIs) were reported.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9C66CD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The prevalence of undernutrition among patients with tuberculosis was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37.6% (95% CI, 31.5-41.2). In the multivariable analysis, female sex (AOR =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3.93; 95% CI, 1.84-4.81), household size of 5 or more members (AOR = 3.15; 95%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CI, 1.92-5.17), rural residence (AOR = 5.49; 95% CI, 3.16-9.28), extrapulmonary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 (AOR = 3.56; 95% CI, 1.93-6.27), continuation phase of treatment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(AOR = 3.10; 95% CI, 1.92-4.11), treatment duration (AOR = 3.82; 95% CI,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2.09-5.30), and poor treatment adherence (AOR = 4.71; 95% CI, 2.81-8.02) were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significantly associated with undernutrition.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9C66CD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Undernutrition was highly prevalent among adults with tuberculosis.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Both sociodemographic and treatment-related factors were independently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associated with undernutrition. These findings highlight the importance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integrating routine nutritional assessments and targeted nutritional support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into tuberculosis care services.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10.1016/j.ijregi.2026.100949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PMC13450244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42569569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9C66CD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43</w:t>
      </w:r>
      <w:r w:rsidR="002D0DAD" w:rsidRPr="009C66CD">
        <w:rPr>
          <w:rFonts w:ascii="宋体" w:eastAsia="宋体" w:hAnsi="宋体" w:cs="宋体"/>
          <w:b/>
          <w:color w:val="FF0000"/>
          <w:szCs w:val="24"/>
        </w:rPr>
        <w:t>. Radiol Case Rep. 2026 Jul 30;21(10):4996-5004. doi</w:t>
      </w:r>
      <w:r w:rsidR="009C66CD">
        <w:rPr>
          <w:rFonts w:ascii="宋体" w:eastAsia="宋体" w:hAnsi="宋体" w:cs="宋体"/>
          <w:b/>
          <w:color w:val="FF0000"/>
          <w:szCs w:val="24"/>
        </w:rPr>
        <w:t xml:space="preserve">: 10.1016/j.radcr.2026.06.123. </w:t>
      </w:r>
      <w:r w:rsidR="002D0DAD" w:rsidRPr="009C66CD">
        <w:rPr>
          <w:rFonts w:ascii="宋体" w:eastAsia="宋体" w:hAnsi="宋体" w:cs="宋体"/>
          <w:b/>
          <w:color w:val="FF0000"/>
          <w:szCs w:val="24"/>
        </w:rPr>
        <w:t>eCollection 2026 Oct.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Pediatric pulmonary tuberculosis masquerading as chest neoplasms.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Salah FO(1), Yaynishet YA(1), Fedlu A(1), Sani E(2), Arega G(2), Hailu SS(1).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(1)Department of Radiology, Pediatric Radiology Unit, School of Medicine, Addis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Ababa University, Addis Ababa, Ethiopia.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(2)Department of Pediatrics and Child Health, School of Medicine, Addis Ababa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University, Addis Ababa, Ethiopia.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Tuberculosis, a highly contagious airborne infection caused by Mycobacterium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tuberculosis, can affect any organ system, although the lungs are most commonly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involved. It continues to be a major cause of morbidity and mortality among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children and adolescents, particularly in low- and middle-income countries.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Diagnosing tuberculosis in Sub-Saharan Africa remains challenging because of its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diverse clinical manifestations, atypical presentations, varying disease forms,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and limited access to diagnostic resources. This case series highlights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occurrence of large pulmonary mass-like opacities due to M tuberculosis 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children that can closely mimic neoplastic lesions. The pseudotumoral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presentation of pulmonary tuberculosis is a rare but clinically significant form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that resembles lung neoplasms and poses a considerable diagnostic challenge,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particularly in pediatric patients. We report 7 cases of pseudotumoral pulmonary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 in children presenting with varying clinical manifestations. 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each case, a pulmonary mass-like opacity was identified on chest radiography or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computed tomography imaging and was subsequently confirmed as pulmonary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tuberculosis. Diagnosing tuberculosis in children remains particularly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difficult, especially in resource-limited settings. In endemic regions,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maintaining a high level of clinical suspicion and correlating clinical findings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with radiologic, laboratory, and histopathologic investigations are essential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for timely and accurate diagnosis. Early recognition and prompt treatment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 are crucial not only for reducing morbidity and mortality but also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for preventing disease transmission.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2026 The Author(s).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10.1016/j.radcr.2026.06.123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PMC13449918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42569469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9C66CD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44</w:t>
      </w:r>
      <w:r w:rsidR="002D0DAD" w:rsidRPr="009C66CD">
        <w:rPr>
          <w:rFonts w:ascii="宋体" w:eastAsia="宋体" w:hAnsi="宋体" w:cs="宋体"/>
          <w:b/>
          <w:color w:val="FF0000"/>
          <w:szCs w:val="24"/>
        </w:rPr>
        <w:t xml:space="preserve">. IDCases. 2026 Jul 31;45:e02708. doi: 10.1016/j.idcr.2026.e02708. eCollection </w:t>
      </w:r>
    </w:p>
    <w:p w:rsidR="002D0DAD" w:rsidRPr="009C66CD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9C66CD">
        <w:rPr>
          <w:rFonts w:ascii="宋体" w:eastAsia="宋体" w:hAnsi="宋体" w:cs="宋体"/>
          <w:b/>
          <w:color w:val="FF0000"/>
          <w:szCs w:val="24"/>
        </w:rPr>
        <w:t>2026.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 unusual cause of chronic recurrent vomiting and life-threatening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hyperkalemia: primary adrenal insufficiency due to probable bilateral adrenal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tuberculosis.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Garuma MT(1), Hassen NA(2), Kibrat YZ(1), Asefa GF(3), Nega WB(4).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(1)Department of Internal Medicine, St. Paul's Hospital Millennium Medical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College, Addis Ababa, Ethiopia.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(2)Department of General Surgery, Hamdi Hospital, Harar, Ethiopia.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(3)Department of Emergency and Critical Care, Haramaya University, Harar,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Ethiopia.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(4)Department of Clinical radiology, Hamdi Hospital, Harar, Ethiopia.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9C66CD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Adrenal tuberculosis remains a leading cause of primary adrenal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insufficiency in tuberculosis-endemic regions. Its clinical presentation is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often insidious and non-specific, leading to significant diagnostic delays.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Gastrointestinal symptoms, though common in adrenal insufficiency, may dominate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the clinical picture and direct attention away from the underlying endocrine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disorder.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9C66CD">
        <w:rPr>
          <w:rFonts w:ascii="宋体" w:eastAsia="宋体" w:hAnsi="宋体" w:cs="宋体"/>
          <w:b/>
          <w:color w:val="000000" w:themeColor="text1"/>
          <w:szCs w:val="24"/>
        </w:rPr>
        <w:t xml:space="preserve">CASE SUMMARY: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 40-year-old Ethiopian woman presented with a five-month history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of intermittent abdominal pain and recurrent non-bloody vomiting. Associated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symptoms included myalgia, arthralgia, intermittent low-grade fever, night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sweats, and significant unintentional weight loss. She had multiple outpatient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and emergency department visits and was repeatedly treated with proton pump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inhibitors and different medications for an unspecified rheumatologic condition,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with no definitive diagnosis established. On admission, she was hypotensive with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laboratory evaluation revealing hyponatremia and severe hyperkalemia. Morning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serum cortisol was markedly reduced along with elevated ACTH, supporting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diagnosis of adrenal insufficiency. HIV serology was negative. Pre and post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contrast computed tomography demonstrated bilateral enlarged heterogeneously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hypo-attenuating adrenal glands with internal punctate calcifications and thin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peripheral rim-like enhancement. The patient was initiated on anti-tuberculous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therapy with glucocorticoid and mineralocorticoid replacement. At one-month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follow-up, the patient reported marked clinical improvement with complete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resolution of vomiting, improved appetite, decreased fatigue, and ability to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resume usual daily activities.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9C66CD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This case highlights the importance of considering adrenal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 in patients from endemic regions presenting with unexplained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chronic gastrointestinal symptoms, constitutional features, and electrolyte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abnormalities. A high index of suspicion is essential for timely diagnosis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treatment.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10.1016/j.idcr.2026.e02708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PMC13448186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42568851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9C66CD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45</w:t>
      </w:r>
      <w:r w:rsidR="002D0DAD" w:rsidRPr="009C66CD">
        <w:rPr>
          <w:rFonts w:ascii="宋体" w:eastAsia="宋体" w:hAnsi="宋体" w:cs="宋体"/>
          <w:b/>
          <w:color w:val="FF0000"/>
          <w:szCs w:val="24"/>
        </w:rPr>
        <w:t xml:space="preserve">. Indian J Microbiol. 2026 Aug;66(4):948-956. doi: 10.1007/s12088-025-01474-z. </w:t>
      </w:r>
    </w:p>
    <w:p w:rsidR="002D0DAD" w:rsidRPr="009C66CD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9C66CD">
        <w:rPr>
          <w:rFonts w:ascii="宋体" w:eastAsia="宋体" w:hAnsi="宋体" w:cs="宋体"/>
          <w:b/>
          <w:color w:val="FF0000"/>
          <w:szCs w:val="24"/>
        </w:rPr>
        <w:t>Epub 2025 Apr 27.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Truenat MTB Plus Assay for Diagnosing Extrapulmonary Tuberculosis and Detecting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Resistance to Rifampicin and Isoniazid.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Sharma K(#)(1), Sharma M(#)(2), Shree R(3), Singla N(3), Gupta N(4), Sharma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V(5), Joshi H(1), Chauhan P(1), Rana A(1), Sharma A(6), Modi M(3), Sinha SK(5),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Dhillon MS(7).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(1)Department of Medical Microbiology, Postgraduate Institute of Medical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Education and Research, Chandigarh,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(2)Department of Microbiology, All India Institute of Medical Sciences (AIIMS),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Bilaspur, Himachal Pradesh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(3)Department of Neurology, Postgraduate Institute of Medical Education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>Research, Chandigarh,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(4)Department of Cytology, Postgraduate Institute of Medical Education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Research, Chandigarh,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(5)Department of Gastroenterology, Postgraduate Institute of Medical Education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and Research, Chandigarh,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(6)Department of Internal Medicine, Postgraduate Institute of Medical Education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and Research, Chandigarh,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(7)Department of Orthopaedics, Postgraduate Institute of Medical Education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Research, Chandigarh,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Truenat MTB Plus assay along with dedicated chips for rifampicin and isoniazid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can aid in TB elimination efforts by establishing diagnosis of drug-resistant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extrapulmonary tuberculosis (EPTB). 600 EPTB samples (125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microbiologically-confirmed, 275 clinically-suspected and 200 controls)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processed between January 2019 and June 2023 were subjected to Truenat MTB Plus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for detection of Mycobacterium tuberculosis. All samples showing presence of M.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 were subjected to individual chips for rifampicin and isoniazid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detection. They were also subjected to Xpert MTB/RIF Ultra assay (XpertUltra).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The sensitivity, specificity, positive and negative predictive value of Truenat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MTB Plus for detecting EPTB was 73.5%, 100%, 100% and 65.3%, respectively, while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that of XpertUltra was 69.2%, 100%, 100% and 61.9%, respectively. Their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performance was comparable (p</w:t>
      </w:r>
      <w:r w:rsidRPr="002D0DAD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D0DAD">
        <w:rPr>
          <w:rFonts w:ascii="宋体" w:eastAsia="宋体" w:hAnsi="宋体" w:cs="宋体"/>
          <w:color w:val="000000" w:themeColor="text1"/>
          <w:szCs w:val="24"/>
        </w:rPr>
        <w:t>=</w:t>
      </w:r>
      <w:r w:rsidRPr="002D0DAD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0.087), though the overall agreement with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composite reference standard was substantial for Truenat MTB Plus (κ</w:t>
      </w:r>
      <w:r w:rsidRPr="002D0DAD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D0DAD">
        <w:rPr>
          <w:rFonts w:ascii="宋体" w:eastAsia="宋体" w:hAnsi="宋体" w:cs="宋体"/>
          <w:color w:val="000000" w:themeColor="text1"/>
          <w:szCs w:val="24"/>
        </w:rPr>
        <w:t>=</w:t>
      </w:r>
      <w:r w:rsidRPr="002D0DAD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0.64)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moderate for XpertUltra (κ</w:t>
      </w:r>
      <w:r w:rsidRPr="002D0DAD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D0DAD">
        <w:rPr>
          <w:rFonts w:ascii="宋体" w:eastAsia="宋体" w:hAnsi="宋体" w:cs="宋体"/>
          <w:color w:val="000000" w:themeColor="text1"/>
          <w:szCs w:val="24"/>
        </w:rPr>
        <w:t>=</w:t>
      </w:r>
      <w:r w:rsidRPr="002D0DAD">
        <w:rPr>
          <w:rFonts w:ascii="MS Gothic" w:eastAsia="MS Gothic" w:hAnsi="MS Gothic" w:cs="MS Gothic" w:hint="eastAsia"/>
          <w:color w:val="000000" w:themeColor="text1"/>
          <w:szCs w:val="24"/>
        </w:rPr>
        <w:t> 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0.60). 18 cases of EPTB were detected only by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Truenat MTB Plus and one only by XpertUltra. TruRif reported all 18 cases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RifR while XpertUltra reported 14. Two cases of false-RifR and four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false-InhR were reported by drug chips of Truenat MTB Plus. Truenat MTB Plus,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along with its chips for detecting drug resistance, outperformed XpertUltra as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it not only detected 18 additional cases but also enabled detecting resistance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to isoniazid, in addition to rifampicin.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Association of Microbiologists of India 2025. Springer Nature or its licensor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(e.g. a society or other partner) holds exclusive rights to this article under 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publishing agreement with the author(s) or other rightsholder(s); author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self-archiving of the accepted manuscript version of this article is solely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governed by the terms of such publishing agreement and applicable law.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10.1007/s12088-025-01474-z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PMC13447658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42568745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9C66CD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46</w:t>
      </w:r>
      <w:r w:rsidR="002D0DAD" w:rsidRPr="009C66CD">
        <w:rPr>
          <w:rFonts w:ascii="宋体" w:eastAsia="宋体" w:hAnsi="宋体" w:cs="宋体"/>
          <w:b/>
          <w:color w:val="FF0000"/>
          <w:szCs w:val="24"/>
        </w:rPr>
        <w:t xml:space="preserve">. Front Immunol. 2026 Jul 24;17:1888729. doi: 10.3389/fimmu.2026.1888729. </w:t>
      </w:r>
    </w:p>
    <w:p w:rsidR="002D0DAD" w:rsidRPr="009C66CD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9C66CD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 screening in adult patients with inborn errors of immunity: 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single-center cohort study.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Korkmaz P(1), Toprak </w:t>
      </w:r>
      <w:r w:rsidRPr="002D0DAD">
        <w:rPr>
          <w:rFonts w:ascii="Cambria" w:eastAsia="宋体" w:hAnsi="Cambria" w:cs="Cambria"/>
          <w:color w:val="000000" w:themeColor="text1"/>
          <w:szCs w:val="24"/>
        </w:rPr>
        <w:t>İ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D(1), Hormet Igde M(1), Yegit OO(1), Demir S(1), Kahveci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N(1), Aslan AF(1), Sezgin ME(1), Atasever MD(1), Çelik Kamac</w:t>
      </w:r>
      <w:r w:rsidRPr="002D0DAD">
        <w:rPr>
          <w:rFonts w:ascii="Cambria" w:eastAsia="宋体" w:hAnsi="Cambria" w:cs="Cambria"/>
          <w:color w:val="000000" w:themeColor="text1"/>
          <w:szCs w:val="24"/>
        </w:rPr>
        <w:t>ı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</w:t>
      </w:r>
      <w:r w:rsidRPr="002D0DAD">
        <w:rPr>
          <w:rFonts w:ascii="Cambria" w:eastAsia="宋体" w:hAnsi="Cambria" w:cs="Cambria"/>
          <w:color w:val="000000" w:themeColor="text1"/>
          <w:szCs w:val="24"/>
        </w:rPr>
        <w:t>Ş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(1), Eyice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Karabacak D(1), Erden B(1), Kilinc Z(1), Yordam MS(1), Imren Aksit IG(1), Unal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D(1), Gelincik A(1).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(1)Department of Internal Medicine, Division of Immunology and Allergy Diseases,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Istanbul Universitesi Istanbul Tip Fakultesi, </w:t>
      </w:r>
      <w:r w:rsidRPr="002D0DAD">
        <w:rPr>
          <w:rFonts w:ascii="Cambria" w:eastAsia="宋体" w:hAnsi="Cambria" w:cs="Cambria"/>
          <w:color w:val="000000" w:themeColor="text1"/>
          <w:szCs w:val="24"/>
        </w:rPr>
        <w:t>İ</w:t>
      </w:r>
      <w:r w:rsidRPr="002D0DAD">
        <w:rPr>
          <w:rFonts w:ascii="宋体" w:eastAsia="宋体" w:hAnsi="宋体" w:cs="宋体"/>
          <w:color w:val="000000" w:themeColor="text1"/>
          <w:szCs w:val="24"/>
        </w:rPr>
        <w:t>stanbul,</w:t>
      </w:r>
      <w:r w:rsidRPr="002D0DAD">
        <w:rPr>
          <w:rFonts w:ascii="宋体" w:eastAsia="宋体" w:hAnsi="宋体" w:cs="宋体" w:hint="eastAsia"/>
          <w:color w:val="000000" w:themeColor="text1"/>
          <w:szCs w:val="24"/>
        </w:rPr>
        <w:t> </w:t>
      </w:r>
      <w:r w:rsidRPr="002D0DAD">
        <w:rPr>
          <w:rFonts w:ascii="宋体" w:eastAsia="宋体" w:hAnsi="宋体" w:cs="宋体"/>
          <w:color w:val="000000" w:themeColor="text1"/>
          <w:szCs w:val="24"/>
        </w:rPr>
        <w:t>T</w:t>
      </w:r>
      <w:r w:rsidRPr="002D0DAD">
        <w:rPr>
          <w:rFonts w:ascii="宋体" w:eastAsia="宋体" w:hAnsi="宋体" w:cs="宋体" w:hint="eastAsia"/>
          <w:color w:val="000000" w:themeColor="text1"/>
          <w:szCs w:val="24"/>
        </w:rPr>
        <w:t>ü</w:t>
      </w:r>
      <w:r w:rsidRPr="002D0DAD">
        <w:rPr>
          <w:rFonts w:ascii="宋体" w:eastAsia="宋体" w:hAnsi="宋体" w:cs="宋体"/>
          <w:color w:val="000000" w:themeColor="text1"/>
          <w:szCs w:val="24"/>
        </w:rPr>
        <w:t>rkiye.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9C66CD">
        <w:rPr>
          <w:rFonts w:ascii="宋体" w:eastAsia="宋体" w:hAnsi="宋体" w:cs="宋体"/>
          <w:b/>
          <w:color w:val="000000" w:themeColor="text1"/>
          <w:szCs w:val="24"/>
        </w:rPr>
        <w:t>BACKGROUND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: Data on tuberculosis, a leading cause of infectious disease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mortality, in patients with inborn errors of immunity (IEI) are limited.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9C66CD">
        <w:rPr>
          <w:rFonts w:ascii="宋体" w:eastAsia="宋体" w:hAnsi="宋体" w:cs="宋体"/>
          <w:b/>
          <w:color w:val="000000" w:themeColor="text1"/>
          <w:szCs w:val="24"/>
        </w:rPr>
        <w:t xml:space="preserve">OBJECTIVE: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This study aimed to evaluate the burden of tuberculosis and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diagnostic utility of the tuberculin skin test (TST) in patients with IEI and to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propose a tuberculosis screening strategy.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9C66CD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Evaluation comprised a comprehensive exposure history, symptom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assessment, TST (which was repeated after 1-4 weeks if the initial result was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0-4 mm), and chest imaging including radiography and computed tomography where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available. Patients underwent standard clinical assessment for tuberculosis,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followed by appropriate treatment and follow-up.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9C66CD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Among 117 patients with IEI [median age = 35 years, interquartile range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(IQR) = 26-45.5 years], antibody deficiencies were the most common subgroup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(82.1%). All patients had previously received a Bacillus Calmette-Guérin (BCG)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vaccination. Of the 105 patients who underwent TST, 19 had a history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tuberculosis, the majority of whom had pulmonary involvement (59.1%), and three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had recurrent disease. Three patients diagnosed with pulmonary,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gastrointestinal, and lymph node tuberculosis had TST values of 22, 9, and 9 mm,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respectively. Two patients with TST measurements of 12 and 6 mm were diagnosed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with non-tuberculous mycobacterial lung disease. The median TST was 9 mm (IQR =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1.5-14.25 mm) in patients with tuberculosis and was 4 mm (IQR = 0-10.5 mm) 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those without.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9C66CD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This study represents the first comprehensive evaluation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 screening and TST assessment in patients with IEI. Pulmonary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 was the most common site of involvement. In BCG-vaccinated patients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with IEI who developed tuberculosis, the TST responses remained below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conventional 15-mm threshold, highlighting the need for revised cutoff values 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this population, similar to those recommended for patients with HIV.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Copyright © 2026 Korkmaz, Toprak, Hormet Igde, Yegit, Demir, Kahveci, Aslan,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Sezgin, Atasever, Çelik Kamac</w:t>
      </w:r>
      <w:r w:rsidRPr="002D0DAD">
        <w:rPr>
          <w:rFonts w:ascii="Cambria" w:eastAsia="宋体" w:hAnsi="Cambria" w:cs="Cambria"/>
          <w:color w:val="000000" w:themeColor="text1"/>
          <w:szCs w:val="24"/>
        </w:rPr>
        <w:t>ı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, Eyice Karabacak, Erden, Kilinc, Yordam, Imren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Aksit, Unal and Gelincik.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10.3389/fimmu.2026.1888729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PMC13447173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42568392 [Indexed for MEDLINE]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9C66CD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47</w:t>
      </w:r>
      <w:r w:rsidR="002D0DAD" w:rsidRPr="009C66CD">
        <w:rPr>
          <w:rFonts w:ascii="宋体" w:eastAsia="宋体" w:hAnsi="宋体" w:cs="宋体"/>
          <w:b/>
          <w:color w:val="FF0000"/>
          <w:szCs w:val="24"/>
        </w:rPr>
        <w:t xml:space="preserve">. CPT Pharmacometrics Syst Pharmacol. 2026 Aug;15(8):e70311. doi: </w:t>
      </w:r>
    </w:p>
    <w:p w:rsidR="002D0DAD" w:rsidRPr="009C66CD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9C66CD">
        <w:rPr>
          <w:rFonts w:ascii="宋体" w:eastAsia="宋体" w:hAnsi="宋体" w:cs="宋体"/>
          <w:b/>
          <w:color w:val="FF0000"/>
          <w:szCs w:val="24"/>
        </w:rPr>
        <w:t>10.1002/psp4.70311.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Modeling Treatment Response in Tuberculosis Early Bactericidal Activity Trials.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McClean MCW(1)(2)(3)(4), Koele SE(5), Dreisbach J(1)(6), Mirold-Mei S(1)(6),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Njeleka F(7), Mapamba D(7), Mtafya B(7), Phillips PPJ(8), De Jager VR(9), Dawson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R(10), Narunsky K(10), Diacon AH(9), Svensson EM(5)(11), Heinrich N(1)(6)(12),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Casale FP(2)(4)(13), Hoelscher M(1)(6)(12)(14).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(1)Institute of Infectious Diseases and Tropical Medicine, LMU University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Hospital, Munich, Germany.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(2)Institute of AI for Health, Helmholtz Center Munich-German Research Center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for Environmental Health, Neuherberg, Germany.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(3)Institute for Medical Information Processing, Biometry, and Epidemiology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(IBE), Pettenkofer School of Public Health, LMU Medizin,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Ludwig-Maximilians-Universität München, Munich, Germany.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(4)Helmholtz Pioneer Campus, Helmholtz Zentrum München-German Research Center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for Environmental Health, Neuherberg, Germany.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(5)Department of Pharmacy, Pharmacology, and Toxicology, Radboud Institute for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Medical Innovation, Radboud University Medical Center, Nijmegen,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Netherlands.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(6)German Center for Infection Research (DZIF), Munich Partner Site, Munich,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Germany.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(7)National Institute for Medical Research-Mbeya Medical Research Center, Mbeya,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Tanzania.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(8)UCSF Center for Tuberculosis, University of California San Francisco, San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Francisco, California, USA.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(9)TASK Applied Science Clinical Research Center, Cape Town, South Africa.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(10)Department of Medicine, University of Cape Town Lung Institute, Cape Town,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South Africa.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(11)Department of Pharmacy, Uppsala University, Uppsala, Sweden.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(12)Fraunhofer Institute for Translational Medicine and Pharmacology ITMP,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Immunology, Infection, and Pandemic Research, Munich, Germany.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(13)School of Computation, Information and Technology, Technical University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Munich, Garching, Germany.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(14)Unit Global Health, Helmholtz Zentrum München-German Research Centre for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Environmental Health, Neuherberg, Germany.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Culture-based monitoring of bacterial load is slow and susceptible to missing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data, contributing to the length and cost of TB clinical trials.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Non-culture-based alternatives, like the Tuberculosis Molecular Load Bacterial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Assay (TB-MBLA), could represent a solution. Our objectives were to evaluate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TB-MBLA as a biomarker in early bactericidal activity (EBA) studies and explore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whether combining biomarkers with joint modeling could provide insight into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underlying biological processes. We generated TB-MBLA (LifeArc) data from sputum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samples from all 78 patients from the PanACEA BTZ-043 Phase Ib/IIa trial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derived a summary measure of the joint distribution of the three TB-MBLA, colony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forming units (CFU), and time-to-positivity (TTP) biomarkers as the first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principal component derived from a probabilistic principal component analysis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(pPCA). With TB-MBLA marker and the principal component 1 (PC1) values, we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reevaluated the original stage IIa dose-response and stages Ib/IIa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pharmacokinetics-pharmacodynamics (PK-PD) exposure-response analyses, applying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linear and non-linear mixed models, respectively. For TB-MBLA, we could not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detect an exposure-response effect in the PK-PD analysis, in contrast with CFU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and TTP. When combining biomarkers, we observed a significant but less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pronounced Emax exposure-response between days 0-3 compared with CFU and TTP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alone. We also successfully applied pPCA as a modeling framework and show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evidence that combining CFU and TTP in a joint latent component can improve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detection of treatment effects compared with either biomarker alone. In this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study, we present novel EBA data for the first-in-class antimycobacterial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compound BTZ-043 and contextualize the value of emerging bacteriological markers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within the EBA trial framework. Trial Registration: ClinicalTrials.gov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identifier: NCT04044001.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2026 The Author(s). CPT: Pharmacometrics &amp; Systems Pharmacology published by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Wiley Periodicals LLC on behalf of American Society for Clinical Pharmacology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and Therapeutics.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10.1002/psp4.70311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42568101 [Indexed for MEDLINE]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9C66CD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48</w:t>
      </w:r>
      <w:r w:rsidR="002D0DAD" w:rsidRPr="009C66CD">
        <w:rPr>
          <w:rFonts w:ascii="宋体" w:eastAsia="宋体" w:hAnsi="宋体" w:cs="宋体"/>
          <w:b/>
          <w:color w:val="FF0000"/>
          <w:szCs w:val="24"/>
        </w:rPr>
        <w:t>. iScience. 2026 Jul 27;29(8):116944. doi: 10.1016/j</w:t>
      </w:r>
      <w:r w:rsidR="009C66CD" w:rsidRPr="009C66CD">
        <w:rPr>
          <w:rFonts w:ascii="宋体" w:eastAsia="宋体" w:hAnsi="宋体" w:cs="宋体"/>
          <w:b/>
          <w:color w:val="FF0000"/>
          <w:szCs w:val="24"/>
        </w:rPr>
        <w:t xml:space="preserve">.isci.2026.116944. eCollection </w:t>
      </w:r>
      <w:r w:rsidR="002D0DAD" w:rsidRPr="009C66CD">
        <w:rPr>
          <w:rFonts w:ascii="宋体" w:eastAsia="宋体" w:hAnsi="宋体" w:cs="宋体"/>
          <w:b/>
          <w:color w:val="FF0000"/>
          <w:szCs w:val="24"/>
        </w:rPr>
        <w:t>2026 Aug 21.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Early immune dysregulation in Mtb/SIV co-infection resists cART treatment at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single-cell level.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Sharan R(1), Zou Y(2), Lai Z(2), Weldon K(2), Bradley T(3)(4)(5), Luo X(6), Wu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H(6), Khader SA(7), Kaushal D(1).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(1)Southwest National Primate Research Center, Texas Biomedical Research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Institute, San Antonio, TX 78227, USA.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(2)Greehey Children's Cancer Research Institute, UTHealth San Antonio, San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Antonio, TX 78229, USA.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(3)Genomic Medicine Center, Children's Mercy Research Institute, Children's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Mercy Kansas City, Kansas City, MO 64108, USA.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(4)Departments of Pediatrics and Pathology and Laboratory Medicine, University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of Kansas Medical Center, Kansas City, KS 66160, USA.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(5)Department of Pediatrics, UMKC School of Medicine, Kansas City, MO 64108,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USA.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(6)UTHealth Houston School of Public Health, Houston, TX 77030, USA.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(7)Bernard and Betty Roizman Professor and Chair, University of Chicago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Department of Microbiology and Immunology, Chicago, IL 60637, USA.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Using single-cell transcriptomics of bronchoalveolar lavage cells from Mtb/SIV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co-infected rhesus macaques on cART, we reveal profound immune dysregulation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during early SIV co-infection of latent tuberculosis. SIV induces a sharp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decline in CD4+ T cells, NK, and NKT cells, with incomplete recovery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Mtb-specific TH1 effector responses despite viral suppression. Instead, 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persistent TH17-skewed environment emerges, alongside sustained myeloid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inflammation driven by Type I interferon signaling and pro-inflammatory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regulators such as KLF6 and NFKB1. Ligand-receptor network analyses demonstrate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expanded CD4+ T cell-macrophage crosstalk and loss of immune homeostasis that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cART fails to fully restore. These findings expose how SIV remodels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pulmonary immune landscape to impair protective immunity against Mtb, providing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 transcriptomic framework to explain TB reactivation in HIV infection. Our work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highlights the urgent need for adjunctive immunotherapies to complement cART,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aiming to rebalance immune responses and improve TB control in co-infected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individuals.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2026 The Author(s).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10.1016/j.isci.2026.116944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PMC13446293</w:t>
      </w:r>
    </w:p>
    <w:p w:rsidR="002D0DAD" w:rsidRPr="002D0DAD" w:rsidRDefault="009C66CD" w:rsidP="002D0DAD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42565131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9C66CD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49</w:t>
      </w:r>
      <w:r w:rsidR="002D0DAD" w:rsidRPr="009C66CD">
        <w:rPr>
          <w:rFonts w:ascii="宋体" w:eastAsia="宋体" w:hAnsi="宋体" w:cs="宋体"/>
          <w:b/>
          <w:color w:val="FF0000"/>
          <w:szCs w:val="24"/>
        </w:rPr>
        <w:t>. IJID Reg. 2026 Jun 27;20:100937. doi: 10.1016/j.i</w:t>
      </w:r>
      <w:r w:rsidR="009C66CD" w:rsidRPr="009C66CD">
        <w:rPr>
          <w:rFonts w:ascii="宋体" w:eastAsia="宋体" w:hAnsi="宋体" w:cs="宋体"/>
          <w:b/>
          <w:color w:val="FF0000"/>
          <w:szCs w:val="24"/>
        </w:rPr>
        <w:t xml:space="preserve">jregi.2026.100937. eCollection </w:t>
      </w:r>
      <w:r w:rsidR="002D0DAD" w:rsidRPr="009C66CD">
        <w:rPr>
          <w:rFonts w:ascii="宋体" w:eastAsia="宋体" w:hAnsi="宋体" w:cs="宋体"/>
          <w:b/>
          <w:color w:val="FF0000"/>
          <w:szCs w:val="24"/>
        </w:rPr>
        <w:t>2026 Sep.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Host and pathogen factors modulate tuberculosis clinical severity independent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molecular bacterial burden: insights from a multicenter Ghanaian cohort.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Afum T(1)(2), Asare P(1), Osei-Wusu S(1), Lamptey INK(1), Darkwahene-Boateng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S(1), Meyer BS(3), Lenz TL(3), Yeboah-Manu D(1).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(1)Noguchi Memorial Institute for Medical Research, College of Health Sciences,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University of Ghana, Legon, Ghana.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(2)West African Centre for Cell Biology of Infectious Pathogens, University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Ghana, Legon, Ghana.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(3)Research Unit for Evolutionary Immunogenomics, Department of Biology,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University of Hamburg, Hamburg, Germany.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9C66CD">
        <w:rPr>
          <w:rFonts w:ascii="宋体" w:eastAsia="宋体" w:hAnsi="宋体" w:cs="宋体"/>
          <w:b/>
          <w:color w:val="000000" w:themeColor="text1"/>
          <w:szCs w:val="24"/>
        </w:rPr>
        <w:t xml:space="preserve">OBJECTIVES: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 (TB) exhibits marked clinical heterogeneity,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complicating prognosis, and disease management. Identifying reliable predictors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of disease trajectory and severity could improve risk stratification.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9C66CD">
        <w:rPr>
          <w:rFonts w:ascii="宋体" w:eastAsia="宋体" w:hAnsi="宋体" w:cs="宋体"/>
          <w:b/>
          <w:color w:val="000000" w:themeColor="text1"/>
          <w:szCs w:val="24"/>
        </w:rPr>
        <w:t>METHODOLOGY: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We investigated determinants of TB severity in 727 sputum-positive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individuals recruited from five health facilities in Ghana. Participants were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classified as TB-only, TB-human immunodeficiency virus, or TB-diabetes mellitus.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Disease severity was assessed using the Bandim TB score II. Bacterial burden was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quantified using GeneXpert Mycobacterium tuberculosis/rifampicin Ultra cycle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threshold values, sputum smear microscopy grades, and time to culture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positivity. Multivariable regression models were used to evaluate host,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pathogen, and clinical determinants of severity.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9C66CD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Bacterial load differed modestly across comorbidity groups, but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GeneXpert cycle threshold values showed no significant correlation with clinical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severity (Spearman's ρ = -0.006, P = 0.894). Lower body mass index was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consistently associated with increased odds of severe TB (odds ratio = 0.639,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95% confidence interval 0.566-0.714; P = 3.7 × 10-14). Self-reported Ewe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ethnicity was associated with milder clinical severity. Higher sputum smear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grade was independently associated with more severe disease.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9C66CD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Host nutritional status, socio-demographic factors, and pathogen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genotype were more consistently associated with TB severity than molecular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bacterial burden alone, supporting a host-pathogen interaction framework to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explain clinical heterogeneity and improve management.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2026 The Authors.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10.1016/j.ijregi.2026.100937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PMC13446365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42565036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BB4B8C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50</w:t>
      </w:r>
      <w:r w:rsidR="002D0DAD" w:rsidRPr="00BB4B8C">
        <w:rPr>
          <w:rFonts w:ascii="宋体" w:eastAsia="宋体" w:hAnsi="宋体" w:cs="宋体"/>
          <w:b/>
          <w:color w:val="FF0000"/>
          <w:szCs w:val="24"/>
        </w:rPr>
        <w:t xml:space="preserve">. J Indian Assoc Pediatr Surg. 2026 Jul-Aug;31(4):660-663. doi: </w:t>
      </w:r>
    </w:p>
    <w:p w:rsidR="002D0DAD" w:rsidRPr="00BB4B8C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BB4B8C">
        <w:rPr>
          <w:rFonts w:ascii="宋体" w:eastAsia="宋体" w:hAnsi="宋体" w:cs="宋体"/>
          <w:b/>
          <w:color w:val="FF0000"/>
          <w:szCs w:val="24"/>
        </w:rPr>
        <w:t>10.4103/jiaps.jiaps_446_25. Epub 2026 Apr 6.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Renal Tuberculosis Associated with an Ectopic Ureter: A Rare Presentation in an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Infant.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>Sekhar BLR(1), Naresh D(1), Madhu A(1), Kumar SS(1), Priyanka B(1).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(1)Department of Pediatric Surgery, Kurnool Medical College, Kurnool, Andhra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Pradesh,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Infantile renal tuberculosis (TB) associated with an ectopic ureter is extremely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rare. We report an 11-month-old infant with a left nonfunctioning kidney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associated with gross hydroureteronephrosis and an ectopic ureter who was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diagnosed with renal TB unexpectedly on histopathology. This case highlights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importance of histopathological evaluation, particularly in endemic areas.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Copyright: © 2026 Journal of Indian Association of Pediatric Surgeons.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10.4103/jiaps.jiaps_446_25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PMC13446956</w:t>
      </w:r>
    </w:p>
    <w:p w:rsidR="002D0DAD" w:rsidRPr="002D0DAD" w:rsidRDefault="00BB4B8C" w:rsidP="002D0DAD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42564979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BB4B8C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51</w:t>
      </w:r>
      <w:r w:rsidR="002D0DAD" w:rsidRPr="00BB4B8C">
        <w:rPr>
          <w:rFonts w:ascii="宋体" w:eastAsia="宋体" w:hAnsi="宋体" w:cs="宋体"/>
          <w:b/>
          <w:color w:val="FF0000"/>
          <w:szCs w:val="24"/>
        </w:rPr>
        <w:t>. Afr Health Sci. 2026 Jun;26(2):12-22. doi: 10.4314/ahs.v26i2.3.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Patient satisfaction and adherence to tuberculosis treatment among adults in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National Tuberculosis Program-Uganda: a cross sectional study.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Babikako HM(1), Neuhauser D(2), Katamba A(3), Smyth K(2), Mupere E(4), Whalen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C(5).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(1)Department of Child Health and Development Center, Makerere University,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College of Health Sciences, School of Medicine, Mulago Hill Rd, P.O. Box 7072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Kampala, Uganda.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(2)Department of Epidemiology and Biostatistics, Case Western Reserve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University, 10900 Euclid Avenue, 44106 Cleveland Ohio, USA.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(3)Department of Clinical Epidemiology, Makerere University, College of Health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Sciences, School of Medicine, Mulago Hill Rd, P.O. Box 7072 Kampala, Uganda.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(4)Department of Pediatrics and Child Health, Makerere University, College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Health Sciences, School of Medicine, Mulago Hill Rd, P.O. Box 7072 Kampala,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Uganda.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(5)College of Public Health, University of Georgia, 101 Buck Road, Athens, GA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30602.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BB4B8C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Non-adherence is a complex challenge to global tuberculosis control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because it arises from the interaction of multiple factors, and yet, there are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few studies that have evaluated beyond patient factors into the organization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processes of tuberculosis service delivery. We examined the relationship between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>patient satisfaction and adherence among adult TB patients.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BB4B8C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In a cross-sectional study, we hypothesized that patients with high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satisfaction scores were more likely to adhere to prescribed tuberculosis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treatment than patients with lower satisfaction scores. 469 new TB cases aged 18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years and older were consecutively recruited from the National TB &amp; Leprosy </w:t>
      </w:r>
    </w:p>
    <w:p w:rsidR="002D0DAD" w:rsidRPr="002D0DAD" w:rsidRDefault="002D0DAD" w:rsidP="002D0DAD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 xml:space="preserve">program-Uganda. The outcome variable was adherence (high was ≥90% Morisky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scores) to TB treatment. The exposure variable was patient satisfaction (PS)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scores.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BB4B8C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Of the 469 patients, 29% (135/469) were non adherent). Patients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satisfaction scores on the responsiveness to patients' preferences were higher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among the adherent compared to the non-adherent, 62.1 ± 8.8 versus 63.8 ± 7.3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(p=0.014), respectively. Patients were very satisfied with the technical quality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of care and management of patient's preferences, and were least satisfied with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the amount of information about action usage, and effects of tuberculosis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medication, regardless of adherence levels. For every unit increase in patient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satisfaction scoes for the clinic structure, there was an associated decrease 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the level of non-adherence.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BB4B8C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Patients' satisfaction with the organization and processes of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clinic was associated with non-adherence to tuberculosis medication.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satisfaction scores for information about action usage, and effects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tuberculosis medication were low.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2026 Babikako HM et al.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10.4314/ahs.v26i2.3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PMC13444294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42564892 [Indexed for MEDLINE]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BB4B8C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52</w:t>
      </w:r>
      <w:r w:rsidR="002D0DAD" w:rsidRPr="00BB4B8C">
        <w:rPr>
          <w:rFonts w:ascii="宋体" w:eastAsia="宋体" w:hAnsi="宋体" w:cs="宋体"/>
          <w:b/>
          <w:color w:val="FF0000"/>
          <w:szCs w:val="24"/>
        </w:rPr>
        <w:t xml:space="preserve">. J Clin Tuberc Other Mycobact Dis. 2026 Jul 20;44:100637. doi: </w:t>
      </w:r>
    </w:p>
    <w:p w:rsidR="002D0DAD" w:rsidRPr="00BB4B8C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BB4B8C">
        <w:rPr>
          <w:rFonts w:ascii="宋体" w:eastAsia="宋体" w:hAnsi="宋体" w:cs="宋体"/>
          <w:b/>
          <w:color w:val="FF0000"/>
          <w:szCs w:val="24"/>
        </w:rPr>
        <w:t>10.1016/j.jctube.2026.100637. eCollection 2026 Aug.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Lung ultrasound and the interstitial syndrome in tuberculosis endemic regions: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illustrated insights from diverse clinical settings.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Wachinou AP(1), Fentress M(2)(3)(4), Du Toit J(5), Hada A(1), Agodokpessi G(1),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Beye SA(6), Cissoko Y(7), Ouattara K(8), Majaliwa S(6), Brahier T(9),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Boillat-Blanco N(9), Suttels V(10).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(1)National Taching Hospital for Tuberculosis and Pulmonary Diseases (CNHU-PPC),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Cotonou, Benin.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(2)London School of Hygiene and Tropical Medicine, Keppel St, Bloomsbury, London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WC1E 7HT, UK.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(3)Johns Hopkins University, Bloomberg School of Public Health, 615 N Wolfe St,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>Baltimore, MD 21205, USA.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(4)University of California, Davis, 4860 Y St., Suite 2300, Sacramento, CA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95817, USA.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(5)MRC Wits Rural Public Health and Health Transitions Research Unit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(Agincourt), Faculty of Health Sciences, University of the Witwatersrand,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Johannesburg, South Africa.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(6)Department of Intensive Care and Anesthesia, Point G Teaching Hospital,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Bamako, Mali.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(7)Infectious disease and tropical medicine Unit, University Teaching Hospital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of Point-G, Bamako, Mali.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(8)Service of Pneumology of the University Teaching Hospital of Point-G, Bamako,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Mali.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(9)Department of Medicine, Infectious diseases, Lausanne University Hospital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University of Lausanne, Lausanne, Switzerland.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(10)Laboratory for Intelligent Global Health and Humanitarian Response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Technologies, EPFL - École Polytechnique Fédérale de Lausanne, Lausanne,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Switzerland.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Lung ultrasound (LUS) is increasingly used as a diagnostic tool in respiratory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medicine, particularly in resource-limited, tuberculosis (TB)-endemic settings.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Sonographic interstitial syndrome (IS), characterized by B-line artefacts, has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proven valuable in diagnosing cardiogenic pulmonary edema, pneumonia,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chronic interstitial lung disease. However, in TB-endemic areas, its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interpretation remains challenging due to overlapping pathologies. This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illustrated review explores the diagnostic and prognostic relevance of IS across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three clinical contexts: acute respiratory distress, chronic interstitial lung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disease, and pulmonary TB. We review current evidence and discuss illustrative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cases from TB-endemic settings to highlight sonographic pattern variations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guide clinicians in recognizing key diagnostic features and common pitfalls. IS,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while inherently non-specific, gains diagnostic value when contextualized within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the patient's background and within additional sonographic findings such as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pleural line abnormalities, consolidations, and altered lung sliding. Specific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TB manifestations-including miliary TB, cavitary TB, HIV-associated TB,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post-TB sequelae-demonstrate diverse IS presentations. Accurate interpretation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requires understanding disease-specific patterns, using appropriate scanning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techniques, and adhering to standardized protocols. Greater awareness of IS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variations among clinicians can improve diagnostic accuracy and clinical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decision-making in TB-endemic regions.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2026 The Authors. Published by Elsevier Ltd.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10.1016/j.jctube.2026.100637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PMC13445352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42564891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BB4B8C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2D0DAD" w:rsidRPr="00BB4B8C">
        <w:rPr>
          <w:rFonts w:ascii="宋体" w:eastAsia="宋体" w:hAnsi="宋体" w:cs="宋体"/>
          <w:b/>
          <w:color w:val="FF0000"/>
          <w:szCs w:val="24"/>
        </w:rPr>
        <w:t xml:space="preserve">3. J Clin Tuberc Other Mycobact Dis. 2026 Jul 22;44:100634. doi: </w:t>
      </w:r>
    </w:p>
    <w:p w:rsidR="002D0DAD" w:rsidRPr="00BB4B8C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BB4B8C">
        <w:rPr>
          <w:rFonts w:ascii="宋体" w:eastAsia="宋体" w:hAnsi="宋体" w:cs="宋体"/>
          <w:b/>
          <w:color w:val="FF0000"/>
          <w:szCs w:val="24"/>
        </w:rPr>
        <w:t>10.1016/j.jctube.2026.100634. eCollection 2026 Aug.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Knowledge, attitudes, and perceived barriers to tuberculosis care among patients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and household contacts in Wolisso District, Oromia Region, Ethiopia.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Guido G(1), Gulo B(2), Cotugno S(1), Kenate Sori B(3), Bobbio FA(2), Melaku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T(4), Abdissa A(4), Buonamassa R(5), Tafesse Y(2), Segala FV(1), Cornelli A(6),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Nigussa W(2), Manenti F(7), Miressa M(2), Cavallin F(8), Abata S(2), Reta A(2),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Kidist B(4), Putoto G(7), Saracino A(1), Di Gennaro F(1).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(1)Clinic of Infectious Diseases, Department of Precision and Regenerative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Medicine and Ionian Area - (DiMePRe-J), University of Bari "Aldo Moro", Bari,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Italy.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(2)Doctors with Africa CUAMM, Wolisso, Ethiopia.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(3)Oromia Regional Health Bureau, Addis Abeba, Ethiopia.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(4)Armauer Hansen Research Institute, Addis Ababa, Ethiopia.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(5)Department of Internal Medicine and Medical Therapy, University of Pavia,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Pavia, Italy.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(6)Department of Mental Health and Public Medicine, Section of Infectious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Diseases, University of Campania Luigi Vanvitelli, Naples, Italy.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(7)Doctors with Africa CUAMM, Padua, Italy.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(8)Independent Statistician, Solagna, Italy.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BB4B8C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Tuberculosis (TB) remains a major global health challenge,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particularly in low-income settings where structural inequities hinder early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diagnosis and care. Ethiopia, one of the 30 high TB-burden countries, continues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to experience marked geographic disparities. Understanding knowledge, attitudes,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and practices (KAP) among affected populations is essential to inform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context-specific interventions supporting the End TB Strategy.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BB4B8C">
        <w:rPr>
          <w:rFonts w:ascii="宋体" w:eastAsia="宋体" w:hAnsi="宋体" w:cs="宋体"/>
          <w:b/>
          <w:color w:val="000000" w:themeColor="text1"/>
          <w:szCs w:val="24"/>
        </w:rPr>
        <w:t>METHODS: A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cross-sectional KAP survey was conducted in Woliso District (Oromia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Region, Ethiopia) between April 2023 and December 2024, including 152 TB index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cases and 326 household contacts. A structured, interviewer-administered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questionnaire assessed knowledge of TB symptoms, transmission, diagnosis,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perceived barriers to care. Categorical variables were compared using Chi-square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or Fisher's exact test, and continuous variables with Mann-Whitney test.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BB4B8C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Among 478 participants (median age 28 years [IQR 19-40]; 44.1% female),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69.5% lived in rural areas. The main barriers to timely diagnosis were absence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of nearby TB diagnostic facilities (13.4%), poor road conditions (6.3%), health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system delays (5.9%), and financial constraints for transportation (3.8%). Poor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roads and transport costs were reported more often by rural residents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(p &lt; 0.05), while absence of nearby TB diagnostic facilities was reported most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often by index cases and older subjects (p &lt; 0.05). Recognition of cough lasting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&gt;2 weeks (84.3%) and night sweats (65.7%) was common, while hemoptysis (49.6%)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and fever (16.1%) were less recognized. Awareness of sputum and X-ray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diagnostics was 87.2%, higher among index cases (95.4% vs. 83.4%, p = 0.0005).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Although 77.0% considered TB life-threatening, 52.2% believed it was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transmissible only through close or bed-sharing contact (p &lt; 0.0001 for rural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vs. urban). Older age correlated with better knowledge across most domains (all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 &lt; 0.01). Overall, subjects living in rural area had higher scores about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barriers for accessing TB care (p = 0.0004) and attitude on TB (p = 0.</w:t>
      </w:r>
      <w:r w:rsidR="00BB4B8C">
        <w:rPr>
          <w:rFonts w:ascii="宋体" w:eastAsia="宋体" w:hAnsi="宋体" w:cs="宋体"/>
          <w:color w:val="000000" w:themeColor="text1"/>
          <w:szCs w:val="24"/>
        </w:rPr>
        <w:t xml:space="preserve">01), and </w:t>
      </w:r>
      <w:r w:rsidRPr="002D0DAD">
        <w:rPr>
          <w:rFonts w:ascii="宋体" w:eastAsia="宋体" w:hAnsi="宋体" w:cs="宋体"/>
          <w:color w:val="000000" w:themeColor="text1"/>
          <w:szCs w:val="24"/>
        </w:rPr>
        <w:t>lower score about knowledge on TB (p = 0.002).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BB4B8C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While TB knowledge and attitudes were generally high,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misconceptions about transmission and persistent structural barriers hinder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access to timely diagnosis and care. Expanding community-based diagnostic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capacity, improving rural infrastructure, and integrating social protection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strategies are key to advancing Ethiopia's progress toward End TB targets.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2026 The Authors. Published by Elsevier Ltd.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10.1016/j.jctube.2026.100634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PMC13445187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42564683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5E295F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</w:t>
      </w:r>
      <w:r w:rsidR="002D0DAD" w:rsidRPr="005E295F">
        <w:rPr>
          <w:rFonts w:ascii="宋体" w:eastAsia="宋体" w:hAnsi="宋体" w:cs="宋体"/>
          <w:b/>
          <w:color w:val="FF0000"/>
          <w:szCs w:val="24"/>
        </w:rPr>
        <w:t>4. Afr Health Sci. 2026 Jun;26(2):1-11. doi: 10.4314/ahs.v26i2.2.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Clinical severity of pulmonary Tuberculosis (TB) is associated with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Hypocholesterolemia among adult patients in Uganda.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Kibuuka E(1)(2), Mukisa J(3), Mupere E(1)(4).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(1)Child and family foundation, Uganda.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(2)Makerere University School of Health Sciences, Clinical Epidemiology Unit.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(3)Makerere University, college of health sciences, School of Biomedical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Sciences, Department of Immunology &amp; Molecular Biology.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(4)College of Health Sciences Makerere University, Paediatrics &amp; Child Health;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Clinical Epidemiology Unit.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5E295F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Hypocholesterolaemia in pulmonary tuberculosis(TB) patients is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disregarded but is a predictor of poor survival.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5E295F">
        <w:rPr>
          <w:rFonts w:ascii="宋体" w:eastAsia="宋体" w:hAnsi="宋体" w:cs="宋体"/>
          <w:b/>
          <w:color w:val="000000" w:themeColor="text1"/>
          <w:szCs w:val="24"/>
        </w:rPr>
        <w:t xml:space="preserve">OBJECTIVES: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To determine serum lipid profile differences at diagnosis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various times of medication based on sex, HIV(human immune virus) and wasting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status and factors associated with hypocholesterolaemia.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5E295F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 repeated cross-sectional study was conducted to assess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triglyceride(TG), total cholesterol (TC), high-density lipoprotein(HDL)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>low-density lipoprotein(LDL) among 414 participants.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5E295F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Majority of the participants were males(239/414)(58%), with a median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age of 28years. TB patients showed significantly lower lipid profile at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diagnosis regardless of HIV-status and sex. Presence of anaemia among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HIV-seropositive participants with TB, prevalence ratio(PR):2.6, 95%confidence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interval(CI):1.0-7.1, p&lt;0.05) and HIV-seronegative participants with TB(PR:2.5,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95%CI:1.1-5.5, p&lt;0.05), moderate/severe TB(PR:2.5,95%CI:1.1-5.5, p&lt;0.05) and CD4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cells&gt;200(PR:0.3 95%CI:0.1-0.8, p&lt;0.05) among HIV-seropositive participants with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TB were associated with HDL-hypocholesterolaemia. Male sex, moderate/severe TB,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body wasting, dyspnoea and chest pain were independently associated with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TC-hypocholesterolaemia. Regardless of sex and wasting status, the pattern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cholesterol recovery was similar at varying times.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5E295F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We envisage that hypocholesterolemia is a marker of clinical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TB-disease severity and its recovery indicates treatment response.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2026 Kibuuka E et al.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10.4314/ahs.v26i2.2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PMC13444302</w:t>
      </w:r>
    </w:p>
    <w:p w:rsidR="002D0DAD" w:rsidRPr="002D0DAD" w:rsidRDefault="002D0DAD" w:rsidP="002D0DAD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</w:t>
      </w:r>
      <w:r w:rsidR="005E295F">
        <w:rPr>
          <w:rFonts w:ascii="宋体" w:eastAsia="宋体" w:hAnsi="宋体" w:cs="宋体"/>
          <w:color w:val="000000" w:themeColor="text1"/>
          <w:szCs w:val="24"/>
        </w:rPr>
        <w:t xml:space="preserve"> 42564472 [Indexed for MEDLINE]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5E295F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55</w:t>
      </w:r>
      <w:r w:rsidR="002D0DAD" w:rsidRPr="005E295F">
        <w:rPr>
          <w:rFonts w:ascii="宋体" w:eastAsia="宋体" w:hAnsi="宋体" w:cs="宋体"/>
          <w:b/>
          <w:color w:val="FF0000"/>
          <w:szCs w:val="24"/>
        </w:rPr>
        <w:t>. J Korean Biol Nurs Sci. 2026 Feb;28(1):168-178. d</w:t>
      </w:r>
      <w:r w:rsidR="005E295F" w:rsidRPr="005E295F">
        <w:rPr>
          <w:rFonts w:ascii="宋体" w:eastAsia="宋体" w:hAnsi="宋体" w:cs="宋体"/>
          <w:b/>
          <w:color w:val="FF0000"/>
          <w:szCs w:val="24"/>
        </w:rPr>
        <w:t xml:space="preserve">oi: 10.7586/jkbns.25.070. Epub </w:t>
      </w:r>
      <w:r w:rsidR="002D0DAD" w:rsidRPr="005E295F">
        <w:rPr>
          <w:rFonts w:ascii="宋体" w:eastAsia="宋体" w:hAnsi="宋体" w:cs="宋体"/>
          <w:b/>
          <w:color w:val="FF0000"/>
          <w:szCs w:val="24"/>
        </w:rPr>
        <w:t>2026 Feb 27.</w:t>
      </w:r>
    </w:p>
    <w:p w:rsidR="002D0DAD" w:rsidRPr="005E295F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Factors affecting compliance and non-compliance among patients with tuberculosis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in Egypt: a descriptive correlational study.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Mohammed HM(1)(2).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(1)Medical-Surgical Nursing Department, Faculty of Nursing, Al-Baha University,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Saudi Arabia.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(2)Medical-Surgical Nursing Department, Faculty of Nursing, Ain Shams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University, Egypt.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5E295F">
        <w:rPr>
          <w:rFonts w:ascii="宋体" w:eastAsia="宋体" w:hAnsi="宋体" w:cs="宋体"/>
          <w:b/>
          <w:color w:val="000000" w:themeColor="text1"/>
          <w:szCs w:val="24"/>
        </w:rPr>
        <w:t xml:space="preserve">PURPOSE: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This study aimed to assess factors associated with compliance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non-compliance among patients with tuberculosis (TB).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5E295F">
        <w:rPr>
          <w:rFonts w:ascii="宋体" w:eastAsia="宋体" w:hAnsi="宋体" w:cs="宋体"/>
          <w:b/>
          <w:color w:val="000000" w:themeColor="text1"/>
          <w:szCs w:val="24"/>
        </w:rPr>
        <w:t>METHODS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: A descriptive correlational study was conducted at the outpatient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clinics of Abbassia Chest Hospital in Cairo, Egypt. A sample of 80 patients with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TB who had been prescribed treatment regimens was recruited. Patients were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interviewed using a structured form with fixed response options to identify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factors associated with treatment compliance or non-compliance.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5E295F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 significantly higher proportion of non-compliant patients (72.5%)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experienced severe symptoms compared with patients in the compliant group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(30.0%). Furthermore, most compliant patients (82.5%) demonstrated satisfactory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overall knowledge of pulmonary TB, whereas only about half (52.5%) of patients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 the non-compliant group did. This difference in knowledge level was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statistically significant and was associated with treatment adherence. Among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compliant patients, knowledge levels were also significantly influenced by age,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sex, education, and employment status, a pattern that was not observed in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non-compliant group.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5E295F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Key factors associated with non-compliance included insufficient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income to support treatment, lack of home support for treatment regulation,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decreased motivation to improve health. These findings underscore the need for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targeted patient education and counselling programs to increase disease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awareness and improve treatment adherence among patients with TB.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2026 Korean Society of Biological Nursing Science.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10.7586/jkbns.25.070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PMC13268315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42563842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5E295F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56</w:t>
      </w:r>
      <w:r w:rsidR="002D0DAD" w:rsidRPr="005E295F">
        <w:rPr>
          <w:rFonts w:ascii="宋体" w:eastAsia="宋体" w:hAnsi="宋体" w:cs="宋体"/>
          <w:b/>
          <w:color w:val="FF0000"/>
          <w:szCs w:val="24"/>
        </w:rPr>
        <w:t xml:space="preserve">. Diagn Microbiol Infect Dis. 2026 Aug 2;116(4):117594. doi: </w:t>
      </w:r>
    </w:p>
    <w:p w:rsidR="002D0DAD" w:rsidRPr="005E295F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5E295F">
        <w:rPr>
          <w:rFonts w:ascii="宋体" w:eastAsia="宋体" w:hAnsi="宋体" w:cs="宋体"/>
          <w:b/>
          <w:color w:val="FF0000"/>
          <w:szCs w:val="24"/>
        </w:rPr>
        <w:t>10.1016/j.diagmicrobio.2026.117594. Online ahead of print.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Do separate bronchial brushing smears provide additional diagnostic information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 bronchoscopic evaluation of mycobacterial infection? A retrospective paired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study.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Hotta T(1), Okimoto T(2), Isobe T(1).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(1)Department of Internal Medicine, Division of Medical Oncology &amp; Respiratory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Medicine, Shimane University Faculty of Medicine, 89-1 Enya-cho, Izumo, Shimane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693-8501, Japan.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(2)Department of Internal Medicine, Division of Medical Oncology &amp; Respiratory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Medicine, Shimane University Faculty of Medicine, 89-1 Enya-cho, Izumo, Shimane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693-8501, Japan. Electronic address: okimoto@med.shimane-u.ac.jp.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5E295F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 and nontuberculous mycobacterial infections remain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important public health concerns. Although acid-fast bacillus (AFB) smear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microscopy is widely used because of its rapid turnaround time, the incremental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diagnostic value of separate bronchial brushing smears during bronchoscopy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remains unclear. We evaluated whether separate brushing smears provide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additional information beyond routinely processed bronchoscopic specimens.</w:t>
      </w:r>
    </w:p>
    <w:p w:rsidR="002D0DAD" w:rsidRPr="002D0DAD" w:rsidRDefault="002D0DAD" w:rsidP="002D0DAD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5E295F">
        <w:rPr>
          <w:rFonts w:ascii="宋体" w:eastAsia="宋体" w:hAnsi="宋体" w:cs="宋体" w:hint="eastAsia"/>
          <w:b/>
          <w:color w:val="000000" w:themeColor="text1"/>
          <w:szCs w:val="24"/>
        </w:rPr>
        <w:t>METHODS:</w:t>
      </w:r>
      <w:r w:rsidRPr="002D0DAD">
        <w:rPr>
          <w:rFonts w:ascii="宋体" w:eastAsia="宋体" w:hAnsi="宋体" w:cs="宋体" w:hint="eastAsia"/>
          <w:color w:val="000000" w:themeColor="text1"/>
          <w:szCs w:val="24"/>
        </w:rPr>
        <w:t xml:space="preserve"> This single-center retrospective study included 43 patients aged ≥20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years who underwent bronchoscopy at Shimane University Hospital between January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2018 and May 2024 and for whom both separate bronchial brushing smears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routinely processed bronchoscopic specimens were available. Paired Ziehl-Neelsen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staining results were compared using McNemar's exact test. Culture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polymerase chain reaction results were used for microbiological confirmation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species identification.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5E295F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Of the 43 patients, 37 (86.0%) had pulmonary nontuberculous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mycobacterial disease and 6 (14.0%) had pulmonary tuberculosis. AFB smear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positivity was 27.9% (12/43) for brushing smears and 41.9% (18/43) for routinely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processed bronchoscopic specimens (p = 0.070). Routinely processed specimens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were smear-positive in seven patients whose brushing smears were negative,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whereas only one patient had a positive brushing smear and a negative routinely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processed specimen smear. The incremental smear yield of separate brushing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smears was 2.3% (1/43). Culture identified the causative organism in 97.7%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(42/43).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5E295F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In this NTM-predominant paired cohort, separate bronchial brushing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smears provided limited incremental diagnostic information beyond routinely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processed bronchoscopic specimens. Larger prospective multicenter studies,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particularly in patients with pulmonary tuberculosis, are warranted.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Copyright © 2026 The Author(s). Published by Elsevier Inc. All rights reserved.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10.1016/j.diagmicrobio.2026.117594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42561772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5E295F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57</w:t>
      </w:r>
      <w:r w:rsidR="002D0DAD" w:rsidRPr="005E295F">
        <w:rPr>
          <w:rFonts w:ascii="宋体" w:eastAsia="宋体" w:hAnsi="宋体" w:cs="宋体"/>
          <w:b/>
          <w:color w:val="FF0000"/>
          <w:szCs w:val="24"/>
        </w:rPr>
        <w:t xml:space="preserve">. Cien Saude Colet. 2026 Jul;31(7):e12932024. doi: </w:t>
      </w:r>
    </w:p>
    <w:p w:rsidR="002D0DAD" w:rsidRPr="005E295F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5E295F">
        <w:rPr>
          <w:rFonts w:ascii="宋体" w:eastAsia="宋体" w:hAnsi="宋体" w:cs="宋体"/>
          <w:b/>
          <w:color w:val="FF0000"/>
          <w:szCs w:val="24"/>
        </w:rPr>
        <w:t>10.1590/1413-81232026317.12932024. Epub 2025 Mar 2.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 among Brazilian Indigenous people: temporal trends and factors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associated with treatment abandonment and death, 2013-2022.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[Article in English, Portuguese; Abstract available in Portuguese from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publisher]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Batista JFC(1), Calazans VSO(1), Almeida-Santos MA(1), Lima SO(1).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(1)Universidade Tiradentes. Av. Maria Pastora 600, Farolândia. 49030-210 Aracaju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SE Brasil. jefferson.calazans.enf@gmail.com.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This study analyzed the temporal trend and factors associated with unfavorable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 outcomes in Indigenous populations in Brazil during 2013-2022. An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ecological and cross-sectional study was conducted on tuberculosis cases among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Indigenous people. Prais-Winsten regression was used for temporal trends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logistic regression for factors associated with outcomes using the odds ratio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(OR). A total of 7,446 cases among Indigenous people were analyzed; 82.9% were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cured, 9.1% abandoned treatment, and 8.0% died. The North region showed a 5.6%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(95%CI=3.1; 8.1) annual increase in abandonment and a 1.5% (95%CI=-2.6; -0.4)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reduction in cure rates during 2013-2022, along with a 4.5% (95%CI=1.0; 8.2)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increase in new cases and a 24.4% (95%CI=18.6; 30.6) rise in deaths from 2013 to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2019. Factors associated with treatment abandonment were insufficient monitoring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(OR=14.07; 95%CI=8.25; 23.99) and lack of observed treatment (OR=1.82;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95%CI=1.32; 2.52). Predictors of death were age over 60 (OR=8.35; 95%CI=4.93;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14.15), living in the North (OR=3.25; 95%CI=1.68; 6.27), and insufficient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monitoring (OR=42.94; 95%CI=20.75; 88.82). In summary, the temporal trend was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unfavorable in all North scenarios, with multiple predictors of abandonment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death identified, particularly insufficient monitoring of cases.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10.1590/1413-81232026317.12932024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42561225 [Indexed for MEDLINE]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5E295F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58</w:t>
      </w:r>
      <w:r w:rsidR="002D0DAD" w:rsidRPr="005E295F">
        <w:rPr>
          <w:rFonts w:ascii="宋体" w:eastAsia="宋体" w:hAnsi="宋体" w:cs="宋体"/>
          <w:b/>
          <w:color w:val="FF0000"/>
          <w:szCs w:val="24"/>
        </w:rPr>
        <w:t>. Eur J Rheumatol. 2026 May 12;13(2):1-5. doi: 10.5152/eurjrheum.2026.25058.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MRI Characteristics Distinguishing Tuberculous Arthritis from Rheumatoid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Arthritis: A Comparative Study.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Ting SW(1), Chen JF(2), Yu SF(2), Hsu CY(2), Chen YC(2).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(1)Department of Infection, Kaohsiung Chang Gung Memorial Hospital, Chang Gung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University College of Medicine, Kaohsiung, Taiwan.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(2)Department of Rheumatology, Kaohsiung Chang Gung Memorial Hospital, Chang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Gung University College of Medicine, Kaohsiung, Taiwan.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5E295F">
        <w:rPr>
          <w:rFonts w:ascii="宋体" w:eastAsia="宋体" w:hAnsi="宋体" w:cs="宋体"/>
          <w:b/>
          <w:color w:val="000000" w:themeColor="text1"/>
          <w:szCs w:val="24"/>
        </w:rPr>
        <w:t xml:space="preserve">OBJECTIVE: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Skeletal tuberculosis (TB) arthritis is an uncommon but significant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cause of osteoarticular morbidity, representing less than 1% of all TB cases.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Delayed diagnosis often leads to persistent joint stiffness and pain. This study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aims to identify early magnetic resonance imaging (MRI) features that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distinguish TB arthritis from rheumatoid arthritis (RA).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5E295F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The MRI scans were retrospectively analyzed from 2010 to 2017 of 21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patients diagnosed with TB arthritis and 82 patients with RA. Imaging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characteristics including synovial effusion, synovial membrane thickness,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abscess wall thickness, bony erosions, rice body formation, tenosynovitis,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adjacent soft tissue inflammation, and joint space narrowing were compared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between the 2 groups.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5E295F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Compared to RA, TB arthritis patients demonstrated significantly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greater abscess wall thickening (P = .001) and rice body formation (P = .008),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alongside less pronounced joint space narrowing.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5E295F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In patients presenting with chronic arthritis, the presence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thickened abscess walls, rice bodies, and relatively preserved joint space on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MRI serve as early diagnostic markers favoring TB arthritis over RA. Cite this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article as: Ting S, Chen J, Yu S, Hsu C, Chen Y. MRI characteristics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distinguishing tuberculous arthritis from rheumatoid arthritis: A comparative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study. Eur J Rheumatol. 2026, 13(2), 0058, doi: 10.5152/eurjrheum.2026.25058.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10.5152/eurjrheum.2026.25058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42559846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5E295F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59</w:t>
      </w:r>
      <w:r w:rsidR="002D0DAD" w:rsidRPr="005E295F">
        <w:rPr>
          <w:rFonts w:ascii="宋体" w:eastAsia="宋体" w:hAnsi="宋体" w:cs="宋体"/>
          <w:b/>
          <w:color w:val="FF0000"/>
          <w:szCs w:val="24"/>
        </w:rPr>
        <w:t>. Cureus. 2026 Jul 6;18(7):e112143. doi: 10.7759/c</w:t>
      </w:r>
      <w:r w:rsidR="005E295F" w:rsidRPr="005E295F">
        <w:rPr>
          <w:rFonts w:ascii="宋体" w:eastAsia="宋体" w:hAnsi="宋体" w:cs="宋体"/>
          <w:b/>
          <w:color w:val="FF0000"/>
          <w:szCs w:val="24"/>
        </w:rPr>
        <w:t xml:space="preserve">ureus.112143. eCollection 2026 </w:t>
      </w:r>
      <w:r w:rsidR="002D0DAD" w:rsidRPr="005E295F">
        <w:rPr>
          <w:rFonts w:ascii="宋体" w:eastAsia="宋体" w:hAnsi="宋体" w:cs="宋体"/>
          <w:b/>
          <w:color w:val="FF0000"/>
          <w:szCs w:val="24"/>
        </w:rPr>
        <w:t>Jul.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Incidental Cavitary Pulmonary Mycobacterium avium Complex Disease With Possible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Haemophilus influenzae Coinfection and Pharmacologic Barriers to Therapy: A Case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Report.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Alhaddadin R(1), Qsous A(2), Bhagat P(1), Onuoha E(1), Zusurekuu J(1), Kogulan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P(3), Haddad N(4).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(1)Internal Medicine, Covenant HealthCare College of Medicine, Central Michigan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University, Saginaw, USA.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(2)Internal Medicine, University of Debrecen Medical School, Debrecen, HUN.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(3)Infectious Diseases, Covenant HealthCare College of Medicine, Central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Michigan University, Saginaw, USA.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(4)Infectious Disease, Internal Medicine, Covenant HealthCare College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Medicine, Central Michigan University, Saginaw, USA.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Pulmonary disease caused by Mycobacterium avium complex (MAC) most often occurs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 patients with structural lung disease or immunocompromising conditions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typically follows recognized fibrocavitary or nodular-bronchiectatic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radiographic patterns. Advanced cavitary disease discovered incidentally in an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asymptomatic patient represents an uncommon and diagnostically challenging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presentation that may be initially attributed to malignancy, aspiration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pneumonia, or endemic fungal infection. We report the case of a 45-year-old man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without known immunodeficiency who had alcohol use disorder and active deep vein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thrombosis treated with apixaban and presented with acute right groin pain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secondary to a reducible inguinal hernia. Abdominal computed tomography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performed during hernia evaluation incidentally demonstrated a 6.9 × 5.3 cm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thick-walled cavitary opacity in the left lower lobe with an air-fluid level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bilateral reticulonodular opacities. The patient denied cough, dyspnea,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hemoptysis, fever, night sweats, and weight loss. Serial sputum acid-fast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bacillus smears were positive, and mycobacterial cultures grew MAC. In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setting of compatible cavitary imaging, these findings fulfilled the American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Thoracic Society/European Respiratory Society/European Society of Clinical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Microbiology and Infectious Diseases/Infectious Diseases Society of America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(ATS/ERS/ESCMID/IDSA) diagnostic criteria for pulmonary MAC disease.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 and HIV testing were negative. A respiratory molecular panel was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also positive for Haemophilus influenzae. Because bacterial cultures showed no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growth, this finding was interpreted as a possible coinfection rather than 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confirmed bacterial infection. Given the leukocytosis and bilateral infiltrates,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intravenous ceftriaxone was initiated empirically. However, MAC-directed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multidrug therapy was complicated by two pharmacologic barriers: the risk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reduced apixaban exposure with rifabutin-containing therapy and a baseline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corrected QT interval of 512 ms, limiting routine macrolide use. The patient was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therefore transferred to a tertiary care center for multidisciplinary regimen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selection. This case underscores that incidental cavitary pulmonary lesions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demand systematic microbiologic evaluation regardless of symptom burden and that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early pharmacologic risk assessment is essential when standard MAC therapy is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constrained.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Copyright © 2026, Alhaddadin et al.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10.7759/cureus.112143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PMC13440379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42559405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5E295F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60</w:t>
      </w:r>
      <w:r w:rsidR="002D0DAD" w:rsidRPr="005E295F">
        <w:rPr>
          <w:rFonts w:ascii="宋体" w:eastAsia="宋体" w:hAnsi="宋体" w:cs="宋体"/>
          <w:b/>
          <w:color w:val="FF0000"/>
          <w:szCs w:val="24"/>
        </w:rPr>
        <w:t xml:space="preserve">. Surg Neurol Int. 2026 Jul 31;17:435. doi: 10.25259/SNI_527_2026. eCollection </w:t>
      </w:r>
    </w:p>
    <w:p w:rsidR="002D0DAD" w:rsidRPr="005E295F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5E295F">
        <w:rPr>
          <w:rFonts w:ascii="宋体" w:eastAsia="宋体" w:hAnsi="宋体" w:cs="宋体"/>
          <w:b/>
          <w:color w:val="FF0000"/>
          <w:szCs w:val="24"/>
        </w:rPr>
        <w:t>2026.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Cervical spinal tuberculosis: Consistent imaging clues for early recognition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from a case series.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Negoro AP(1)(2), Setiawati R(1)(2).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(1)Department of Radiology, Faculty of Medicine, Universitas Airlangga,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Surabaya, Indonesia.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(2)Department of Radiology, Dr Soetomo General Academic Hospital, Surabaya,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Indonesia.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5E295F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Spinal tuberculosis is the most common form of musculoskeletal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tuberculosis, although cervical spine involvement is relatively uncommon. It is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clinically significant because even limited vertebral destruction may result 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spinal cord compression and neurological deficits.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5E295F">
        <w:rPr>
          <w:rFonts w:ascii="宋体" w:eastAsia="宋体" w:hAnsi="宋体" w:cs="宋体"/>
          <w:b/>
          <w:color w:val="000000" w:themeColor="text1"/>
          <w:szCs w:val="24"/>
        </w:rPr>
        <w:t xml:space="preserve">CASE DESCRIPTION: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We report three patients in their late teens and twenties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presenting with progressive neck pain and neurological symptoms. Radiographs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demonstrated vertebral collapse and widening of the retropharyngeal soft-tissue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space. Magnetic resonance imaging revealed extensive vertebral destruction with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large paravertebral abscesses causing spinal cord compression. In one case,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disease extended into the cervicothoracic region with mediastinal involvement.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The diagnosis was established through characteristic clinical and imaging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findings and was microbiologically confirmed by GeneXpert detection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Mycobacterium tuberculosis.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5E295F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Cervical spinal tuberculosis should be considered in patients with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persistent neck pain and neurological symptoms. Early recognition is critical to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prevent spinal cord compression and irreversible neurological deficits.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Copyright: © 2026 Surgical Neurology International.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10.25259/SNI_527_2026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PMC13440811</w:t>
      </w:r>
    </w:p>
    <w:p w:rsidR="002D0DAD" w:rsidRPr="002D0DAD" w:rsidRDefault="005E295F" w:rsidP="002D0DAD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42559319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5E295F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61</w:t>
      </w:r>
      <w:r w:rsidR="002D0DAD" w:rsidRPr="005E295F">
        <w:rPr>
          <w:rFonts w:ascii="宋体" w:eastAsia="宋体" w:hAnsi="宋体" w:cs="宋体"/>
          <w:b/>
          <w:color w:val="FF0000"/>
          <w:szCs w:val="24"/>
        </w:rPr>
        <w:t>. Qatar Med J. 2026 Jun 21;2026(2):38. doi: 10.5339/qmj.2026.38. eCollection 2026.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Three decades of tuberculosis research in Qatar (1993-2022): A scoping review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and future direction.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AlMesbah N(1), Javed R(2), Saeed A(2), Al-Romaihi HE(2), Bansal D(2), Bougmiza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I(3)(4)(5).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(1)Preventive Medicine Division, Hamad Medical Corporation, Doha, Qatar.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(2)Health Protection and Communicable Disease Control Department, Ministry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Public Health, Doha, Qatar.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(3)Preventive and Community Medicine Residency Program, Primary Health Care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Corporation, Doha, Qatar.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(4)Faculty of Medicine, Sousse University, Sousse Governorate, Tunisia.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(5)College of Medicine, QU Health, Qatar University, Doha, Qatar.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5E295F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Tuberculosis (TB) remained the deadliest infectious disease in 2023,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with 8.2 million newly diagnosed cases-the highest number recorded since 1995.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 Qatar, the estimated TB incidence was 37 per 100,000 population in 2024. This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review aimed to identify gaps in TB research conducted in Qatar and inform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future research priorities.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5E295F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PubMed, Scopus, Web of Science, and the Cochrane Library were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systematically searched using relevant Medical Subject Headings (MeSH) terms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keywords. Peer-reviewed original research articles on TB with data from Qatar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published between 1993 and 2022 were included, while reviews and editorials were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excluded.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5E295F">
        <w:rPr>
          <w:rFonts w:ascii="宋体" w:eastAsia="宋体" w:hAnsi="宋体" w:cs="宋体"/>
          <w:b/>
          <w:color w:val="000000" w:themeColor="text1"/>
          <w:szCs w:val="24"/>
        </w:rPr>
        <w:lastRenderedPageBreak/>
        <w:t xml:space="preserve">RESULTS: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Thirty-six studies met the inclusion criteria. Most were retrospective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observational studies focusing on extrapulmonary TB and used nonprobability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purposive sampling. The most common research theme was clinical and diagnostic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research.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5E295F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Key research gaps include the evaluation of TB treatment,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epidemiology of drug-resistant TB, and delays in TB diagnosis. The absence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studies on pediatric TB highlights the need to prioritize this population.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Strengthening TB research in Qatar will require dedicated funding and a focus on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underexplored and high-priority areas.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© 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2026 AlMesbah, Javed, Saeed, Al-Romaihi, Bansal, Bougmiza, licensee HBKU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Press.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10.5339/qmj.2026.38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PMC13439643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42559308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5E295F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62</w:t>
      </w:r>
      <w:r w:rsidR="002D0DAD" w:rsidRPr="005E295F">
        <w:rPr>
          <w:rFonts w:ascii="宋体" w:eastAsia="宋体" w:hAnsi="宋体" w:cs="宋体"/>
          <w:b/>
          <w:color w:val="FF0000"/>
          <w:szCs w:val="24"/>
        </w:rPr>
        <w:t xml:space="preserve">. Afr J Thorac Crit Care Med. 2026 Jul 3;32(2):e3544. doi: </w:t>
      </w:r>
    </w:p>
    <w:p w:rsidR="002D0DAD" w:rsidRPr="005E295F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5E295F">
        <w:rPr>
          <w:rFonts w:ascii="宋体" w:eastAsia="宋体" w:hAnsi="宋体" w:cs="宋体"/>
          <w:b/>
          <w:color w:val="FF0000"/>
          <w:szCs w:val="24"/>
        </w:rPr>
        <w:t>10.7196/AJTCCM.2026.v32i2.3544. eCollection 2026.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Rare presentation of endobronchial tuberculosis: A case series: CASE REPORT.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Kancherla R(1), Guru T(1), Sivakumar G(1), Rajgopal J(1), Ram D(1).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(1)Department of Respiratory Medicine, PSG Institute of Medical Sciences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Research, Coimbatore,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10.7196/AJTCCM.2026.v32i2.3544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PMC13440545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42559306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1F0546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r w:rsidR="002D0DAD" w:rsidRPr="001F0546">
        <w:rPr>
          <w:rFonts w:ascii="宋体" w:eastAsia="宋体" w:hAnsi="宋体" w:cs="宋体"/>
          <w:b/>
          <w:color w:val="FF0000"/>
          <w:szCs w:val="24"/>
        </w:rPr>
        <w:t>3. Cureus. 2026 Jul 5;18(7):e112115. doi: 10.7759/c</w:t>
      </w:r>
      <w:r w:rsidR="001F0546" w:rsidRPr="001F0546">
        <w:rPr>
          <w:rFonts w:ascii="宋体" w:eastAsia="宋体" w:hAnsi="宋体" w:cs="宋体"/>
          <w:b/>
          <w:color w:val="FF0000"/>
          <w:szCs w:val="24"/>
        </w:rPr>
        <w:t xml:space="preserve">ureus.112115. eCollection 2026 </w:t>
      </w:r>
      <w:r w:rsidR="002D0DAD" w:rsidRPr="001F0546">
        <w:rPr>
          <w:rFonts w:ascii="宋体" w:eastAsia="宋体" w:hAnsi="宋体" w:cs="宋体"/>
          <w:b/>
          <w:color w:val="FF0000"/>
          <w:szCs w:val="24"/>
        </w:rPr>
        <w:t>Jul.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 Assessment of the "TB Mukt Gram Panchayat" Initiative in Northeastern Madhya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Pradesh,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Sahu P(1), Shukla Y(1), Gupta P(2), Mishra A(1), Singh S(2).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(1)Community Medicine, Government Medical College Satna, Satna, IND.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(2)District Tuberculosis Centre, District Hospital Satna, Satna, IND.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1F0546">
        <w:rPr>
          <w:rFonts w:ascii="宋体" w:eastAsia="宋体" w:hAnsi="宋体" w:cs="宋体"/>
          <w:b/>
          <w:color w:val="000000" w:themeColor="text1"/>
          <w:szCs w:val="24"/>
        </w:rPr>
        <w:lastRenderedPageBreak/>
        <w:t>INTRODUCTION: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After more than 50 years of control activities directed towards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 (TB), it is still a severe health crisis in India. India has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committed to achieving the end TB target by 2025. To monitor the progress of TB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elimination in India, the Government of India implemented a decentralised plan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to achieve the goal of TB elimination at the country level. Every village should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reach TB-free status. For this, the TB Mukt Gram Panchayat (TB-free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village) initiative is presently being promoted. For these substantial efforts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 ending TB in India, these efforts need to be measured and validated to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declare gram panchayats (villages) TB mukt (TB-free). This research paper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explains the implementation process for the validation of TB mukt panchayats,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with challenges faced in the process.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1F0546">
        <w:rPr>
          <w:rFonts w:ascii="宋体" w:eastAsia="宋体" w:hAnsi="宋体" w:cs="宋体"/>
          <w:b/>
          <w:color w:val="000000" w:themeColor="text1"/>
          <w:szCs w:val="24"/>
        </w:rPr>
        <w:t xml:space="preserve">METHODOLOGY: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We evaluated the process of declaring panchayats TB-free in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Satna and Maihar districts over the past three years. In 2024, seven and one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gram panchayats were nominated from the Satna and Maihar districts,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respectively; in 2025, 14 and 11 gram panchayats were nominated, respectively;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and in 2026, 162 and 117 gram panchayats were nominated from the Satna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Maihar districts, respectively. The assessment process was conducted by 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district-level team that was formed to verify the six indicators and the TB-free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claim in the 1st quarter of every year. The team gathered, triangulated,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collated data from various sources, and the findings were evaluated.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Certificates for "TB Mukt Panchayat" with one-year validity and a small statue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of Mahatma Gandhi are to be awarded to qualified gram panchayats.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1F0546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While verifying the submitted claims, the claim success rate in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Satna district was 83.33% in 2024, 85.72% in 2025, and 77.78% in 2026. In Maihar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district, no gram panchayats were verified against the claim of a TB-free gram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panchayat in 2024. In 2025 and 2026, claim success rates of 45.45% and 80.34%,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respectively, were observed. From all six indicators, the TB notification rate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was the most common indicator that hindered getting TB-free panchayat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MS Gothic" w:eastAsia="MS Gothic" w:hAnsi="MS Gothic" w:cs="MS Gothic" w:hint="eastAsia"/>
          <w:color w:val="000000" w:themeColor="text1"/>
          <w:szCs w:val="24"/>
        </w:rPr>
        <w:t>​​​​​​</w:t>
      </w:r>
      <w:r w:rsidRPr="002D0DAD">
        <w:rPr>
          <w:rFonts w:ascii="宋体" w:eastAsia="宋体" w:hAnsi="宋体" w:cs="宋体"/>
          <w:color w:val="000000" w:themeColor="text1"/>
          <w:szCs w:val="24"/>
        </w:rPr>
        <w:t>status.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1F0546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As this study indicates that progress has occurred over the years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across all six indicators used to declare gram panchayats TB-free, public health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response and participation have increased gradually over the past three years,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and gram panchayats have become more eager to claim TB-free status, which will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help India eliminate TB. This study will help the programme evaluators to assess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the TB-free gram panchayat status in the future.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Copyright © 2026, Sahu et al.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10.7759/cureus.112115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PMC13438253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42558677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1F0546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</w:t>
      </w:r>
      <w:r w:rsidR="002D0DAD" w:rsidRPr="001F0546">
        <w:rPr>
          <w:rFonts w:ascii="宋体" w:eastAsia="宋体" w:hAnsi="宋体" w:cs="宋体"/>
          <w:b/>
          <w:color w:val="FF0000"/>
          <w:szCs w:val="24"/>
        </w:rPr>
        <w:t>4. Indian J Orthop. 2026 Mar 3;60(8):2111-2125. do</w:t>
      </w:r>
      <w:r w:rsidR="001F0546" w:rsidRPr="001F0546">
        <w:rPr>
          <w:rFonts w:ascii="宋体" w:eastAsia="宋体" w:hAnsi="宋体" w:cs="宋体"/>
          <w:b/>
          <w:color w:val="FF0000"/>
          <w:szCs w:val="24"/>
        </w:rPr>
        <w:t xml:space="preserve">i: 10.1007/s43465-026-01743-z. </w:t>
      </w:r>
      <w:r w:rsidR="002D0DAD" w:rsidRPr="001F0546">
        <w:rPr>
          <w:rFonts w:ascii="宋体" w:eastAsia="宋体" w:hAnsi="宋体" w:cs="宋体"/>
          <w:b/>
          <w:color w:val="FF0000"/>
          <w:szCs w:val="24"/>
        </w:rPr>
        <w:t>eCollection 2026 Aug.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Clinical Spectrum and Management Pathways in Tuberculosis of the Shoulder: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Synthesis of Published Evidence.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Regmi A(1), Saini R(2), Baral S(3), Jain VK(4).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(1)Department of Orthopedics, Charak Memorial Hospital, Pokhara, Nepal.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(2)Department of Orthopedics, Atal Bihari Vajpayee Institute of Medical Sciences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Dr. Ram Manohar Lohia Hospital, New Delhi, 110001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(3)Department of Internal Medicine, Sinai Hospital of Baltimore, Baltimore, MD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USA.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(4)Department of Orthopaedic Surgery, Atal Bihari Vajpayee Institute of Medical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Sciences Dr. Ram Manohar Lohia Hospital, New Delhi, 110001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1F0546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Tuberculosis of the shoulder joint remains one of the rarest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most underreported forms, contributing to delays in diagnosis and potentially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poor functional outcomes. Limited awareness and non-specific early symptoms lead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to misdiagnosis as adhesive capsulitis, rotator cuff pathology, or degenerative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arthritis. This review, as the first comprehensive review on this topic,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summarizes current concepts in the epidemiology, pathogenesis, clinical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presentation, diagnostic strategies, and management of shoulder joint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tuberculosis.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1F0546">
        <w:rPr>
          <w:rFonts w:ascii="宋体" w:eastAsia="宋体" w:hAnsi="宋体" w:cs="宋体"/>
          <w:b/>
          <w:color w:val="000000" w:themeColor="text1"/>
          <w:szCs w:val="24"/>
        </w:rPr>
        <w:t>METHODS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: Evidence was synthesized from 34 published reports available in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existing literature. Articles were screened for relevance to clinical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presentation, diagnostic modalities, treatment protocols, and outcomes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tuberculous arthritis of the shoulder.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1F0546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The disease exhibits two clinico-radiological patterns: caries sicca, 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dry, atrophic form with predominant wasting, and caries exudata, an effusive,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destructive type with joint space involvement. MRI was the most sensitive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imaging modality for early detection, while histopathology and mycobacterial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culture/PCR confirmed diagnosis. Anti-tubercular therapy (ATT) remains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cornerstone of treatment. Most patients achieved favorable outcomes with ATT,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with or without selective surgical intervention, depending on disease severity.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Surgery is selectively indicated for synovectomy, abscess drainage, biopsy,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instability, or end-stage deformity.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1F0546">
        <w:rPr>
          <w:rFonts w:ascii="宋体" w:eastAsia="宋体" w:hAnsi="宋体" w:cs="宋体"/>
          <w:b/>
          <w:color w:val="000000" w:themeColor="text1"/>
          <w:szCs w:val="24"/>
        </w:rPr>
        <w:t>CONCLUSION: S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houlder tuberculosis is uncommon yet clinically significant. High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suspicion, early imaging, and timely biopsy are essential for diagnosis.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Combined medical therapy with selective surgery yields good outcomes. Further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prospective studies are needed to standardize treatment and rehabilitation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protocols.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Indian Orthopaedics Association 2026. Springer Nature or its licensor (e.g. 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society or other partner) holds exclusive rights to this article under 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publishing agreement with the author(s) or other rightsholder(s); author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self-archiving of the accepted manuscript version of this article is solely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governed by the terms of such publishing agreement and applicable law.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10.1007/s43465-026-01743-z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PMC13437848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42558542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1F0546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65</w:t>
      </w:r>
      <w:r w:rsidR="002D0DAD" w:rsidRPr="001F0546">
        <w:rPr>
          <w:rFonts w:ascii="宋体" w:eastAsia="宋体" w:hAnsi="宋体" w:cs="宋体"/>
          <w:b/>
          <w:color w:val="FF0000"/>
          <w:szCs w:val="24"/>
        </w:rPr>
        <w:t xml:space="preserve">. Glob Qual Nurs Res. 2026 Jul 16;13:23333936261469299. doi: </w:t>
      </w:r>
    </w:p>
    <w:p w:rsidR="002D0DAD" w:rsidRPr="001F0546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1F0546">
        <w:rPr>
          <w:rFonts w:ascii="宋体" w:eastAsia="宋体" w:hAnsi="宋体" w:cs="宋体"/>
          <w:b/>
          <w:color w:val="FF0000"/>
          <w:szCs w:val="24"/>
        </w:rPr>
        <w:t>10.1177/23333936261469299. eCollection 2026 Jan-Dec.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 Treatment Adherence as a Relational and Cultural Process: 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Qualitative Study From Urban Indonesia.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Kale ED(1)(2), Nursalam(1), Makhfudli(1), Juanamasta IG(3).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(1)Faculty of Nursing, Airlangga University, Surabaya, Indonesia.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(2)Ners Program, Poltekkes Kemenkes Kupang, Kupang, Indonesia.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(3)Nursing Program, STIKES Wira Medika Bali, Denpasar, Indonesia.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 (TB) treatment adherence remains a major public health challenge,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particularly where illness is experienced within family and social contexts.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This study examined how TB patients and family members described treatment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adherence in an urban Indonesian primary healthcare setting, with attention to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relational and cultural dimensions. A qualitative exploratory descriptive study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was conducted at across primary health facility in Kupang, East Nusa Tenggara,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Indonesia, using individual semi-structured interviews with six TB patients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five family members. Data were analysed using reflexive thematic analysis.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Adherence appeared as a temporally unfolding process shaped by emotional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adjustment, household obligation, and faith. Six themes were constructed: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psychological disruption at diagnosis; fragile illness acceptance and early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non-adherence; stigma as a social identity threat; cultural explanatory models;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family as behavioural infrastructure; and spirituality as therapeutic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reinforcement. Where prior literature has treated family support, stigma,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cultural belief as separate variables, this study shows how these forces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interact across the treatment trajectory, reframing TB adherence as a relational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process that households actively produce. Programmes engaging families as active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participants, addressing stigma at the household level, and communicating within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patients' cultural frameworks may better support adherence in collectivist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settings.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The Author(s) 2026.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>DOI: 10.1177/23333936261469299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PMC13376530</w:t>
      </w:r>
    </w:p>
    <w:p w:rsidR="002D0DAD" w:rsidRPr="002D0DAD" w:rsidRDefault="001F0546" w:rsidP="002D0DAD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42555387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1F0546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66</w:t>
      </w:r>
      <w:r w:rsidR="002D0DAD" w:rsidRPr="001F0546">
        <w:rPr>
          <w:rFonts w:ascii="宋体" w:eastAsia="宋体" w:hAnsi="宋体" w:cs="宋体"/>
          <w:b/>
          <w:color w:val="FF0000"/>
          <w:szCs w:val="24"/>
        </w:rPr>
        <w:t xml:space="preserve">. Front Cell Infect Microbiol. 2026 Jul 21;16:1751447. doi: </w:t>
      </w:r>
    </w:p>
    <w:p w:rsidR="002D0DAD" w:rsidRPr="001F0546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1F0546">
        <w:rPr>
          <w:rFonts w:ascii="宋体" w:eastAsia="宋体" w:hAnsi="宋体" w:cs="宋体"/>
          <w:b/>
          <w:color w:val="FF0000"/>
          <w:szCs w:val="24"/>
        </w:rPr>
        <w:t>10.3389/fcimb.2026.1751447. eCollection 2026.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Bifidobacterium- and Escherichia-dominant ecological guilds shape altered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microbial metabolic capacity of the gut microbiome in tuberculosis patients.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Yunusbaeva M(#)(1), Sabirova D(#)(1), Borodina L(2), Khasanova K(2), Yunusbayeva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A(1)(3), Altinbaev R(4), Ganiev I(2), Yunusbayev B(#)(1)(5).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(1)Department of Molecular Biomedicine, Russian Federation Healthcare Ministry,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Saint-Petersburg State Phthisiopulmonology Research Institute, Saint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Petersburg, Russia.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(2)Department of Tuberculosis Monitoring, Republican Clinical Antituberculous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Dispensary, Ufa, Russia.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(3)Institute of Fundamental Training and Technological Innovations, State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University of Aerospace Instrumentation, Saint Petersburg, Russia.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(4)Laboratory of Neurophysiology of Learning, Institute of Higher Nervous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Activity and Neurophysiology, Russian Academy of Sciences, Moscow, Russia.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(5)Department of Genetics and Biotechnology, Saint Petersburg State University,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Saint Petersburg, Russia.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(#)Contributed equally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1F0546">
        <w:rPr>
          <w:rFonts w:ascii="宋体" w:eastAsia="宋体" w:hAnsi="宋体" w:cs="宋体"/>
          <w:b/>
          <w:color w:val="000000" w:themeColor="text1"/>
          <w:szCs w:val="24"/>
        </w:rPr>
        <w:t xml:space="preserve">INTRODUCTION: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The gut microbial community plays a key role in maintaining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host immune homeostasis. However, current analytical approaches analyze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individual taxa rather than gut communities, thereby missing community-level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functions performed by units, such as ecological guilds. Delineating ecological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units is a promising approach for summarizing the functional output of microbes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and their impact on the host.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1F0546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In this study, we investigated gut bacteria in 33 tuberculosis patients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and 47 healthy controls using enterosignatures (ESs), ecological units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co-occurring bacteria related by function. We focused on detecting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enterosignatures enriched in the gut communities of tuberculosis (TB) patients.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For each patient-enriched enterosignature, we counted the metabolic pathways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encoded by its member species. In this manner, we characterized the functional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potential of ecological guilds enriched in TB patients. Finally, we tested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whether ecological guilds correlate more closely with disease and host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biomarkers.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1F0546">
        <w:rPr>
          <w:rFonts w:ascii="宋体" w:eastAsia="宋体" w:hAnsi="宋体" w:cs="宋体"/>
          <w:b/>
          <w:color w:val="000000" w:themeColor="text1"/>
          <w:szCs w:val="24"/>
        </w:rPr>
        <w:t xml:space="preserve">RESULTS AND DISCUSSION: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We show that inferred ESs represent reproducible units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that facilitate proper comparison of identified ecological guilds to those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observed in worldwide donor populations. Namely, dominant enterosignatures 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the analyzed healthy donors reproduced the same ecological guilds observed among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healthy individuals worldwide. In contrast, most TB patients carried two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enterosignatures (ES-Bifi and ES-Esch) that were hallmarks of disturbed gut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communities and atypical for healthy adults. We estimated the abundance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metabolic pathways encoded by member species of these patient-enriched ESs. We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found that an increase in bacterial species comprising ES-Bifi and ES-Esch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harbor an increased number of pathways for fermenting simple sugars, with end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products such as acetate and lactate. A greater number of ecological guilds that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ferment glucose to lactate might indicate an altered gut environment 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patients, including increased acidity and disturbed carbohydrate flux. Taken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together, our analyses suggest that ESs represent a biologically meaningful unit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for reducing the complexity of the human gut microbiome and a tool for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recognizing sharper patterns behind noisy taxonomic and functional diversity.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Copyright © 2026 Yunusbaeva, Sabirova, Borodina, Khasanova, Yunusbayeva,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Altinbaev, Ganiev and Yunusbayev.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10.3389/fcimb.2026.1751447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PMC13433188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42553090 [Indexed for MEDLINE]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1F0546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67</w:t>
      </w:r>
      <w:r w:rsidR="002D0DAD" w:rsidRPr="001F0546">
        <w:rPr>
          <w:rFonts w:ascii="宋体" w:eastAsia="宋体" w:hAnsi="宋体" w:cs="宋体"/>
          <w:b/>
          <w:color w:val="FF0000"/>
          <w:szCs w:val="24"/>
        </w:rPr>
        <w:t>. Microbiologyopen. 2026 Aug;15(4):e70370. doi: 10.1002/mbo3.70370.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MetF-Dependent Methionine Biosynthesis Is Required for Mycobacterium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tuberculosis Survival and In Vivo Persistence.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Tosa I(1)(2), Kitahara T(3), Takebe K(4)(5), Nakayama M(1), Ito Y(3), Nishiyama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A(3), Seto S(6)(7), Kawai H(8), Inoue H(9), Fukada Y(1)(10), Nishiya Y(1)(11),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Nagatsuka H(8), Wada T(9)(12), Ato M(13), Matsumoto S(3)(14)(15)(16), Ohara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N(1)(2)(17).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(1)Department of Oral Microbiology, Okayama University Graduate School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Medicine, Dentistry and Pharmaceutical Sciences, Okayama, Japan.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(2)Advanced Research Center for Oral and Craniofacial Sciences, Dental School,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Okayama University, Okayama, Japan.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(3)Department of Bacteriology, School of Medicine, Niigata University, Niigata,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Japan.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(4)Department of Dental Pharmacology, Okayama University Graduate School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Medicine, Dentistry and Pharmaceutical Sciences, Okayama, Japan.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(5)Present Address: Microbiology, Division of Oral Pathobiological Science,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Faculty and Graduate School of Dental Medicine, Hokkaido University, Hokkaido,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Japan.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(6)Department of Pathophysiology and Host Defense, The Research Institute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Tuberculosis, Japan Anti-Tuberculosis Association, Tokyo, Japan.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(7)Department of Basic Mycobacteriosis, Nagasaki University Graduate School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Biomedical Sciences, Nagasaki, Japan.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(8)Department of Oral Pathology and Medicine, Okayama University Graduate School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of Medicine, Dentistry and Pharmaceutical Sciences, Okayama, Japan.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(9)Graduate School of Human Life and Ecology, Osaka Metropolitan University,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Osaka, Japan.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(10)Department of Orthodontics, Okayama University Graduate School of Medicine,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Dentistry and Pharmaceutical Sciences, Okayama, Japan.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(11)Department of Oral and Maxillofacial Reconstructive Surgery, Okayama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University Graduate School of Medicine, Dentistry and Pharmaceutical Sciences,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Okayama, Japan.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(12)Osaka International Research Center for Infectious Diseases, Osaka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Metropolitan University, Osaka, Japan.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(13)Leprosy Research Center, National Institute of Infectious Diseases, Japan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Institute for Health Security, Tokyo, Japan.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(14)Department of Bacteriology, Osaka Metropolitan University Graduate School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Medicine, Osaka, Japan.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(15)Division of Research Aids, Hokkaido University Institute for Vaccine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Research and Development, Hokkaido, Japan.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(16)Department of Medical Microbiology, Faculty of Medicine, Universitas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Airlangga, Surabaya, Indonesia.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(17)Research Center for Intestinal Health Science, Okayama University, Okayama,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Japan.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Methionine biosynthesis is essential for Mycobacterium tuberculosis, but the 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vivo relevance of individual enzymes remains unclear. We performed transposon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sequencing in Mycobacterium bovis BCG under methionine-free conditions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identified metF as a major fitness determinant. To define enzyme-specific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functions, ΔmetE and ΔmetF mutants were generated in M. tuberculosis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evaluated using in vitro growth assays and a murine infection model. The ΔmetE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mutant showed vitamin B12-dependent growth in minimal medium but maintained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normal growth in mice, indicating that its in vitro requirement does not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translate to an in vivo defect. In contrast, ΔmetF exhibited strict methionine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auxotrophy in vitro and completely failed to survive or persist in murine lungs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and spleens. Structural modeling showed that MetF is distinct from human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homologs, supporting selective inhibition. These findings demonstrate that MetF,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but not MetE, is indispensable for M. tuberculosis survival in vivo and identify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MetF as a promising metabolic drug target.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2026 The Author(s). MicrobiologyOpen published by John Wiley &amp; Sons Ltd.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10.1002/mbo3.70370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>PMCID: PMC13438895</w:t>
      </w:r>
    </w:p>
    <w:p w:rsidR="002D0DAD" w:rsidRPr="002D0DAD" w:rsidRDefault="002D0DAD" w:rsidP="002D0DAD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</w:t>
      </w:r>
      <w:r w:rsidR="001F0546">
        <w:rPr>
          <w:rFonts w:ascii="宋体" w:eastAsia="宋体" w:hAnsi="宋体" w:cs="宋体"/>
          <w:color w:val="000000" w:themeColor="text1"/>
          <w:szCs w:val="24"/>
        </w:rPr>
        <w:t xml:space="preserve"> 42552792 [Indexed for MEDLINE]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1F0546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68</w:t>
      </w:r>
      <w:r w:rsidR="002D0DAD" w:rsidRPr="001F0546">
        <w:rPr>
          <w:rFonts w:ascii="宋体" w:eastAsia="宋体" w:hAnsi="宋体" w:cs="宋体"/>
          <w:b/>
          <w:color w:val="FF0000"/>
          <w:szCs w:val="24"/>
        </w:rPr>
        <w:t>. BMC Health Serv Res. 2026 Jul 30;26(1):1056. doi: 10.1186/s12913-026-15248-w.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Why condition cash transfers? A multimethod pilot study evaluating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conditioning of cash transfers for tuberculosis treatment.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Forse R(1)(2), Nguyen TT(3), Codlin AJ(3)(4), Vo LNQ(3)(4), Nguyen L(5), Nguyen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N(3), Wiemers AMC(3), Hoang LA(3), Dao TP(3), Minh HDT(6), Nguyen LH(6), Nguyen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HB(7), Van Luong D(7), Nguyen NV(7)(8), Caws M(9)(10), Wingfield T(4)(10),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Lönnroth K(4), Sidney-Annerstedt K(4).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(1)Friends for International TB Relief, Hanoi, Vietnam. rachel.forse@ki.se.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(2)Department of Global Public Health, Karolinska Institutet, Stockholm, Sweden.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rachel.forse@ki.se.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(3)Friends for International TB Relief, Hanoi, Vietnam.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(4)Department of Global Public Health, Karolinska Institutet, Stockholm, Sweden.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(5)IRD VN, Ho Chi Minh City, Vietnam.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(6)Pham Ngoc Thach Hospital, Ho Chi Minh City, Vietnam.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(7)National Lung Hospital / National TB Program, Hanoi, Vietnam.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(8)University of Medicine and Pharmacy, Vietnam National University, Hanoi,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Vietnam.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(9)Birat Nepal Medical Trust, Kathmandu, Nepal.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(10)Centre for TB Research, Liverpool School of Tropical Medicine, Department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Clinical Sciences, Liverpool, UK.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BB6899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Tuberculosis (TB) is the archetypal disease of poverty, driven by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social determinants and causing catastrophic costs. A 2023 United Nations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General Assembly resolution called for all TB-affected people to receive 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social benefits package by 2027. Cash transfers have been shown to improve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health outcomes; however, operational evidence on their implementation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effectiveness in reducing catastrophic costs due to TB is limited. This pilot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study sought to assess the feasibility of delivering cash transfers to people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affected by drug-susceptible TB to inform the design of a future trial.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BB6899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A longitudinal, non-randomized cohort study was conducted in Ho Chi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Minh City, Vietnam. Half of the participants received unconditional cash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transfers (UCTs) while the other half received conditional cash transfers (CCTs)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after monthly appointment attendance and completion of 85% of scheduled doses.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We analyzed pilot data to assess rates of participant enrollment, adherence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retention in the intervention, TB treatment success, and catastrophic cost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incurrence. A 22-day time and motion study quantified the distribution of time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>pilot staff spent administering the cash transfer intervention by cohort.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BB6899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Delivering cash transfers was feasible, with 60/70 (85.7%) and 60/66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(90.9%) of eligible individuals in the CCT and UCT cohorts agreeing to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participate, respectively. Only 12.3% of CCT participants had one or more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transfers withheld and 5.8% of the total expected CCTs were withheld. Delivering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CCTs in the observation period took twice as much time as UCTs (32.4 hours for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43 CCT participants vs. 16.0 hours for 47 UCT participants). There were no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significant differences in TB treatment success rates between the cohorts (91.7%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CCT vs. 93.3% UCT). Cash transfers caused catastrophic cost incurrence to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decline by 12.9% in the CCT cohort (44.2% to 38.5%) and 26.9% in the UCT cohort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(26.8% to 19.6%).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BB6899">
        <w:rPr>
          <w:rFonts w:ascii="宋体" w:eastAsia="宋体" w:hAnsi="宋体" w:cs="宋体"/>
          <w:b/>
          <w:color w:val="000000" w:themeColor="text1"/>
          <w:szCs w:val="24"/>
        </w:rPr>
        <w:t>CONCLUSIONS: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Cash transfers are a feasible way to mitigate the economic burden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of TB in Vietnam. The conditionality assessed was not associated with any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quantifiable benefits to TB-affected people, and required more effort to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implement. A larger trial utilizing similar methods and outcomes is warranted.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Our findings inform the design of a slightly modified approach of cash transfer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delivery for the larger trial.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2026. The Author(s).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10.1186/s12913-026-15248-w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PMC13439919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42552526 [Indexed for MEDLINE]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BB6899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69</w:t>
      </w:r>
      <w:r w:rsidR="002D0DAD" w:rsidRPr="00BB6899">
        <w:rPr>
          <w:rFonts w:ascii="宋体" w:eastAsia="宋体" w:hAnsi="宋体" w:cs="宋体"/>
          <w:b/>
          <w:color w:val="FF0000"/>
          <w:szCs w:val="24"/>
        </w:rPr>
        <w:t xml:space="preserve">. J Investig Med High Impact Case Rep. 2026 Jan-Dec;14:23247096261475077. doi: </w:t>
      </w:r>
    </w:p>
    <w:p w:rsidR="002D0DAD" w:rsidRPr="00BB6899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BB6899">
        <w:rPr>
          <w:rFonts w:ascii="宋体" w:eastAsia="宋体" w:hAnsi="宋体" w:cs="宋体"/>
          <w:b/>
          <w:color w:val="FF0000"/>
          <w:szCs w:val="24"/>
        </w:rPr>
        <w:t>10.1177/23247096261475077. Epub 2026 Aug 4.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Musculoskeletal Tuberculous Arthritis Mimicking Septic Arthritis.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Rathnam AA(1), Sidhu H(1), Sivalingam T(1), Prakash TA(1), Kanevsky J(1).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(1)Department of Medicine, Icahn School of Medicine at Mount Sinai, NYC Health +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Hospitals / Elmhurst.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 young woman presented with left hip pain for one week. She had been admitted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to another hospital one month prior for right ankle pain and was undergoing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treatment for septic arthritis with home IV antibiotics. Imaging of the left hip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and right ankle was consistent with septic arthritis, but washout of the left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hip and right ankle yielded negative gram stain and bacterial cultures. Due to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persistent fevers, further imaging revealed miliary tuberculosis, and AFB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testing of the washout fluid from the right ankle eventually resulted positive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for Mycobacterium tuberculosis. The patient was placed on airborne isolation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started on Rifampin, Isoniazid, Pyrazinamide and Ethambutol for a duration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>one year.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10.1177/23247096261475077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PMC13438333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42549708 [Indexed for MEDLINE]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BB6899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70</w:t>
      </w:r>
      <w:r w:rsidR="002D0DAD" w:rsidRPr="00BB6899">
        <w:rPr>
          <w:rFonts w:ascii="宋体" w:eastAsia="宋体" w:hAnsi="宋体" w:cs="宋体"/>
          <w:b/>
          <w:color w:val="FF0000"/>
          <w:szCs w:val="24"/>
        </w:rPr>
        <w:t>. Lancet Reg Health Eur. 2026 Jul 25;67:101797. doi:</w:t>
      </w:r>
      <w:r w:rsidR="00BB6899" w:rsidRPr="00BB6899">
        <w:rPr>
          <w:rFonts w:ascii="宋体" w:eastAsia="宋体" w:hAnsi="宋体" w:cs="宋体"/>
          <w:b/>
          <w:color w:val="FF0000"/>
          <w:szCs w:val="24"/>
        </w:rPr>
        <w:t xml:space="preserve"> 10.1016/j.lanepe.2026.101797. </w:t>
      </w:r>
      <w:r w:rsidR="002D0DAD" w:rsidRPr="00BB6899">
        <w:rPr>
          <w:rFonts w:ascii="宋体" w:eastAsia="宋体" w:hAnsi="宋体" w:cs="宋体"/>
          <w:b/>
          <w:color w:val="FF0000"/>
          <w:szCs w:val="24"/>
        </w:rPr>
        <w:t>eCollection 2026 Aug.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 call to action on antimicrobial stewardship in tuberculosis: safeguarding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effective tuberculosis treatment for future generations.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Brehm TT(1)(2)(3), Yedilbayev A(4), Perehinets I(4), Ashiru-Oredope D(5), Chesov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D(1)(2)(6), Lange C(1)(2)(7)(8)(9); AMS in TB study groupj; AMS in TB study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group.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Collaborators: Akkerman OW, Akkerman-Nijland AM, Ali A, Ali MH, Malic A,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Aslanova AE, A</w:t>
      </w:r>
      <w:r w:rsidRPr="002D0DAD">
        <w:rPr>
          <w:rFonts w:ascii="Cambria" w:eastAsia="宋体" w:hAnsi="Cambria" w:cs="Cambria"/>
          <w:color w:val="000000" w:themeColor="text1"/>
          <w:szCs w:val="24"/>
        </w:rPr>
        <w:t>ğ</w:t>
      </w:r>
      <w:r w:rsidRPr="002D0DAD">
        <w:rPr>
          <w:rFonts w:ascii="宋体" w:eastAsia="宋体" w:hAnsi="宋体" w:cs="宋体"/>
          <w:color w:val="000000" w:themeColor="text1"/>
          <w:szCs w:val="24"/>
        </w:rPr>
        <w:t>ca FD, Babalik A, Bala YG, Basher A, Bel</w:t>
      </w:r>
      <w:r w:rsidRPr="002D0DAD">
        <w:rPr>
          <w:rFonts w:ascii="宋体" w:eastAsia="宋体" w:hAnsi="宋体" w:cs="宋体" w:hint="eastAsia"/>
          <w:color w:val="000000" w:themeColor="text1"/>
          <w:szCs w:val="24"/>
        </w:rPr>
        <w:t>î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 A, Berckenhagen L,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Bolhuis MS, B</w:t>
      </w:r>
      <w:r w:rsidRPr="002D0DAD">
        <w:rPr>
          <w:rFonts w:ascii="Cambria" w:eastAsia="宋体" w:hAnsi="Cambria" w:cs="Cambria"/>
          <w:color w:val="000000" w:themeColor="text1"/>
          <w:szCs w:val="24"/>
        </w:rPr>
        <w:t>ă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iceanu D, Cabibbe AM, </w:t>
      </w:r>
      <w:r w:rsidRPr="002D0DAD">
        <w:rPr>
          <w:rFonts w:ascii="Cambria" w:eastAsia="宋体" w:hAnsi="Cambria" w:cs="Cambria"/>
          <w:color w:val="000000" w:themeColor="text1"/>
          <w:szCs w:val="24"/>
        </w:rPr>
        <w:t>Č</w:t>
      </w:r>
      <w:r w:rsidRPr="002D0DAD">
        <w:rPr>
          <w:rFonts w:ascii="宋体" w:eastAsia="宋体" w:hAnsi="宋体" w:cs="宋体"/>
          <w:color w:val="000000" w:themeColor="text1"/>
          <w:szCs w:val="24"/>
        </w:rPr>
        <w:t>abraja I, Catteau L, Ceban E, Cerne</w:t>
      </w:r>
      <w:r w:rsidRPr="002D0DAD">
        <w:rPr>
          <w:rFonts w:ascii="Cambria" w:eastAsia="宋体" w:hAnsi="Cambria" w:cs="Cambria"/>
          <w:color w:val="000000" w:themeColor="text1"/>
          <w:szCs w:val="24"/>
        </w:rPr>
        <w:t>ţ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chi O,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Chi</w:t>
      </w:r>
      <w:r w:rsidRPr="002D0DAD">
        <w:rPr>
          <w:rFonts w:ascii="Cambria" w:eastAsia="宋体" w:hAnsi="Cambria" w:cs="Cambria"/>
          <w:color w:val="000000" w:themeColor="text1"/>
          <w:szCs w:val="24"/>
        </w:rPr>
        <w:t>ț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 E, Ciobanu N, Cirit OS, Crudu V, Duarte R, Eyuboglu FO, Fama F,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Fitzgibbon MM, Gebhard A, Gherghelegiu EI, Guglielmetti L, Gurbanova E,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Hatzianastasiou S, Kabasakalyan E, Kagia S, Karada</w:t>
      </w:r>
      <w:r w:rsidRPr="002D0DAD">
        <w:rPr>
          <w:rFonts w:ascii="Cambria" w:eastAsia="宋体" w:hAnsi="Cambria" w:cs="Cambria"/>
          <w:color w:val="000000" w:themeColor="text1"/>
          <w:szCs w:val="24"/>
        </w:rPr>
        <w:t>ğ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G, Safaev K, Kherabi Y,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Kirakosyan O, Kitutu FE, Koch T, Kruzhylin A, Kuhns M, Köhler N, Lange C,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Leão-Helder AN, Lodeikina V, Lorent N, Lumbala KF, Magis-Escurra C, Mahler B,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Mariotti F, McLaughlin AM, Bardhi Mema D, Mentula S, Mereškevi</w:t>
      </w:r>
      <w:r w:rsidRPr="002D0DAD">
        <w:rPr>
          <w:rFonts w:ascii="Cambria" w:eastAsia="宋体" w:hAnsi="Cambria" w:cs="Cambria"/>
          <w:color w:val="000000" w:themeColor="text1"/>
          <w:szCs w:val="24"/>
        </w:rPr>
        <w:t>č</w:t>
      </w:r>
      <w:r w:rsidRPr="002D0DAD">
        <w:rPr>
          <w:rFonts w:ascii="宋体" w:eastAsia="宋体" w:hAnsi="宋体" w:cs="宋体"/>
          <w:color w:val="000000" w:themeColor="text1"/>
          <w:szCs w:val="24"/>
        </w:rPr>
        <w:t>ien</w:t>
      </w:r>
      <w:r w:rsidRPr="002D0DAD">
        <w:rPr>
          <w:rFonts w:ascii="Cambria" w:eastAsia="宋体" w:hAnsi="Cambria" w:cs="Cambria"/>
          <w:color w:val="000000" w:themeColor="text1"/>
          <w:szCs w:val="24"/>
        </w:rPr>
        <w:t>ė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R, Mischnik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A, Mitrofan L, Mohammed T, Moschos C, Mustafa T, Nasir N, Niguleanu A,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Nkeramahame J, Nowiński A, Otto-Knapp R, Paggi R, Papaventsis D,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Paskaleva-Georgieva EN, Perl SH, Watanabe Pinhata JM, Saluzzo F, Salzer HJ,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Sarkar M, Schoch OD, Serikbayev M, Serobyan A, Skogmar S, Skrahina A, Smara B,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Sotgiu G, Stosic M, Suñer C, Tashi I, Ta</w:t>
      </w:r>
      <w:r w:rsidRPr="002D0DAD">
        <w:rPr>
          <w:rFonts w:ascii="Cambria" w:eastAsia="宋体" w:hAnsi="Cambria" w:cs="Cambria"/>
          <w:color w:val="000000" w:themeColor="text1"/>
          <w:szCs w:val="24"/>
        </w:rPr>
        <w:t>ş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E, Terleieva Y, Tervo L, Tiberi 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Tkhorovskiy MA, Trauth J, Vasankari T, Vasiliauskaite L, Velen K, Vilc V, Voloc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A, Yeghiazaryan L, Zaffagnini 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(1)Clinical Infectious Diseases, Research Center Borstel, Leibniz Lung Center,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Borstel, Germany.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(2)German Center for Infection Research (DZIF), Hamburg-Lübeck-Borstel-Riems,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Germany.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(3)Division of Infectious Diseases, I. Department of Medicine, University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Medical Center Hamburg-Eppendorf, Hamburg, Germany.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(4)Health Security Division, WHO Regional Office for Europe, Copenhagen,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Denmark.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(5)European Society of Clinical Microbiology and Infectious Diseases (ESCMID)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Study Group for Antimicrobial Stewardship (ESGAP), Basel, Switzerland.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(6)Discipline of Pneumology and Allergology, Nicolae Testemitanu State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University of Medicine and Pharmacy, Chi</w:t>
      </w:r>
      <w:r w:rsidRPr="002D0DAD">
        <w:rPr>
          <w:rFonts w:ascii="Cambria" w:eastAsia="宋体" w:hAnsi="Cambria" w:cs="Cambria"/>
          <w:color w:val="000000" w:themeColor="text1"/>
          <w:szCs w:val="24"/>
        </w:rPr>
        <w:t>ş</w:t>
      </w:r>
      <w:r w:rsidRPr="002D0DAD">
        <w:rPr>
          <w:rFonts w:ascii="宋体" w:eastAsia="宋体" w:hAnsi="宋体" w:cs="宋体"/>
          <w:color w:val="000000" w:themeColor="text1"/>
          <w:szCs w:val="24"/>
        </w:rPr>
        <w:t>in</w:t>
      </w:r>
      <w:r w:rsidRPr="002D0DAD">
        <w:rPr>
          <w:rFonts w:ascii="Cambria" w:eastAsia="宋体" w:hAnsi="Cambria" w:cs="Cambria"/>
          <w:color w:val="000000" w:themeColor="text1"/>
          <w:szCs w:val="24"/>
        </w:rPr>
        <w:t>ă</w:t>
      </w:r>
      <w:r w:rsidRPr="002D0DAD">
        <w:rPr>
          <w:rFonts w:ascii="宋体" w:eastAsia="宋体" w:hAnsi="宋体" w:cs="宋体"/>
          <w:color w:val="000000" w:themeColor="text1"/>
          <w:szCs w:val="24"/>
        </w:rPr>
        <w:t>u, Republic of Moldova.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(7)Institute for Infection Research and Vaccine Development (IIRVD), Center for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Internal Medicine, University Medical Center Hamburg-Eppendorf, Hamburg,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Germany.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(8)Respiratory Medicine and International Health, University of Lübeck, Lübeck,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Germany.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(9)Baylor College of Medicine, Global TB Program, Department of Pediatrics,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Houston, TX, USA.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10.1016/j.lanepe.2026.101797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PMC13430254</w:t>
      </w:r>
    </w:p>
    <w:p w:rsidR="002D0DAD" w:rsidRPr="002D0DAD" w:rsidRDefault="00BB6899" w:rsidP="002D0DAD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42549001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BB6899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71</w:t>
      </w:r>
      <w:r w:rsidR="002D0DAD" w:rsidRPr="00BB6899">
        <w:rPr>
          <w:rFonts w:ascii="宋体" w:eastAsia="宋体" w:hAnsi="宋体" w:cs="宋体"/>
          <w:b/>
          <w:color w:val="FF0000"/>
          <w:szCs w:val="24"/>
        </w:rPr>
        <w:t xml:space="preserve">. Front Cell Infect Microbiol. 2026 Jul 20;16:1793864. doi: </w:t>
      </w:r>
    </w:p>
    <w:p w:rsidR="002D0DAD" w:rsidRPr="00BB6899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BB6899">
        <w:rPr>
          <w:rFonts w:ascii="宋体" w:eastAsia="宋体" w:hAnsi="宋体" w:cs="宋体"/>
          <w:b/>
          <w:color w:val="FF0000"/>
          <w:szCs w:val="24"/>
        </w:rPr>
        <w:t>10.3389/fcimb.2026.1793864. eCollection 2026.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Multidrug resistant tuberculosis (MDR-TB) in Eritrea: a retrospective cohort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analysis of mortality and associated factors (2013 - 2023).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Teumezgi HA(1), Suud NN(2), Berhane YM(2), Said SM(3), Hailu DT(2), Habtetsion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KK(2), Weldetnsae TM(2), Achila OO(4).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(1)Research Unit, National Health Laboratory, Ministry of Health (MOH), Asmara,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Eritrea.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(2)National Tuberculosis (TB) reference Laboratory, National Health Laboratory,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Ministry of Health (MOH), Asmara, Eritrea.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(3)National Health Laboratory, Ministry of Health (MOH), Asmara, Eritrea.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(4)Unit of Clinical Laboratory Sciences, Orotta College of Medicine and Health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Sciences, Asmara, Eritrea.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BB6899">
        <w:rPr>
          <w:rFonts w:ascii="宋体" w:eastAsia="宋体" w:hAnsi="宋体" w:cs="宋体"/>
          <w:b/>
          <w:color w:val="000000" w:themeColor="text1"/>
          <w:szCs w:val="24"/>
        </w:rPr>
        <w:t>BACKGROUND: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Multi-drug resistant tuberculosis (MDR-TB) continues to be 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pressing global health concern, indiscriminate of country border and defined by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higher mortality and higher treatment costs. Here, we sought to describe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MDR/RR-TB patients' clinical profile and outcomes in Eritrea. In particular,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focus was directed at hemato-biochemical predictors of mortality.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BB6899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This study was a retrospective (2013-2023) analysis of patients records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at the Merhano MDR/RR-TB hospital in Asmara, Eritrea. In total, records from 257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patients were reviewed. Data on treatment outcomes, hematological, biochemical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and demographic characteristics was subsequently abstracted using a structured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check-list. We incorporated Kaplan-Meier curve and multivariate Cox regression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model to evaluate the relationship between covariates and mortality.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BB6899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The mean age (± Standard deviation (SD)) at enrolment was: 41.7 years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(± 16.5), and the number of males in the cohort was 157(61.1%). Of all patients,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91(37.80%) had anemia (severe anemia, 18(7.5%); 205(79.8%) experienced adverse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drug reaction (ADR); 30 (12.1%) had HIV; 45 (20.4%) had eGFR Creat &lt; 60 mL/min;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27(11.6%) had elevated BUN; 33(14.5%) had APRI score &gt; 0.5; 45(21.6%) had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hypothyroidism; 14 (5.9%) had thrombocytopenia; and 126(53.4%) had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thrombocytosis. During treatment, 162 (63.0%, 95% CI: 57 - 69.6%) patients were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cured, 45(17.5%, 95% CI: 13.5 - 22.0%) completed treatment, 40 (15.6%, 95% CI: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10.5-19.4%) died, and 8(3.1%, 95% CI: 1.2 - 5.1%) were Lost to follow up. Median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(IQR) time to death was 33 days (10-130 days). After 137-321 person days follow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up (PDFU), the incidence of death (95% CI) was 2.91(2.11 - 4.11) per 10-000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PDFU. Predictors of mortality included age &gt;60 years; Weight &lt;30 Kg at baseline;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Thrombocytopenia; Severe anemia; APRI score &gt; 0.5; Hypothyroidism; elevated BUN,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high serum creatinine (SCr) levels; and eGFR Creat &lt; 60 mL/min. In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multivariate Cox regression model, a unit increase in hemoglobin concentration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and weight reduced the risk of death by 0.79(95% C</w:t>
      </w:r>
      <w:r w:rsidR="00BB6899">
        <w:rPr>
          <w:rFonts w:ascii="宋体" w:eastAsia="宋体" w:hAnsi="宋体" w:cs="宋体"/>
          <w:color w:val="000000" w:themeColor="text1"/>
          <w:szCs w:val="24"/>
        </w:rPr>
        <w:t xml:space="preserve">I: 0.67 - 0.93), P = 0.005 and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0.96(95% CI: 0.91-1.01), respectively. Further, </w:t>
      </w:r>
      <w:r w:rsidR="00BB6899">
        <w:rPr>
          <w:rFonts w:ascii="宋体" w:eastAsia="宋体" w:hAnsi="宋体" w:cs="宋体"/>
          <w:color w:val="000000" w:themeColor="text1"/>
          <w:szCs w:val="24"/>
        </w:rPr>
        <w:t xml:space="preserve">higher likelihood of death was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associated with elevated SCr (&gt;12 mg/dL) levels (aHR = 6.33 (95% CI: 2.33 -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17.19), P&lt;0.001, and APRI Score &gt;0.5 (aHR = 2.78(95% CI: 1.65 - 4.70), P&lt;0.001.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 contrast, a unit increase in age increased the risk of death (aHR = 1.045(95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CI%: 1.02 - 1.07), P&lt;0.001.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BB6899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The magnitude of death and other unfavorable treatment outcome for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MDR/RR-TB was low. Of greater concern, however, was the critical condition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patients at presentation. Proactive strategies are needed to improve early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detection of MDR/RR-TB and supportive care in patients with severe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complications. In addition, additional research on MDR/TB-mortality is needed,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especially among vulnerable subpopulations.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Copyright © 2026 Teumezgi, Suud, Berhane, Said, Hailu, Habtetsion, Weldetnsae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and Achila.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10.3389/fcimb.2026.1793864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PMC13429852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42548840 [Indexed for MEDLINE]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EB6213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72</w:t>
      </w:r>
      <w:r w:rsidR="002D0DAD" w:rsidRPr="00EB6213">
        <w:rPr>
          <w:rFonts w:ascii="宋体" w:eastAsia="宋体" w:hAnsi="宋体" w:cs="宋体"/>
          <w:b/>
          <w:color w:val="FF0000"/>
          <w:szCs w:val="24"/>
        </w:rPr>
        <w:t xml:space="preserve">. Front Artif Intell. 2026 Jul 20;9:1874287. doi: 10.3389/frai.2026.1874287. </w:t>
      </w:r>
    </w:p>
    <w:p w:rsidR="002D0DAD" w:rsidRPr="00EB6213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EB6213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PLUTO: a YOLO-based lung field detector for pediatric lateral chest X-rays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generalizable to adults.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Rajaraman S(1), Browning R(2), Jean-Philippe P(2), Perez-Velez CM(3), Antani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S(1).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(1)Division of Intramural Research, National Library of Medicine, National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Institutes of Health, Bethesda, MD, United States.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(2)National Institute of Allergy and Infectious Diseases, National Institutes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Health, Bethesda, MD, United States.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(3)Division of Infectious Diseases, School of Medicine, University of New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Mexico, Albuquerque, NM, United States.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EB6213">
        <w:rPr>
          <w:rFonts w:ascii="宋体" w:eastAsia="宋体" w:hAnsi="宋体" w:cs="宋体"/>
          <w:b/>
          <w:color w:val="000000" w:themeColor="text1"/>
          <w:szCs w:val="24"/>
        </w:rPr>
        <w:t>INTRODUCTION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: Lateral chest X-rays (CXRs) are very important for detecting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 (TB) in infants and children, particularly for assessing TB-related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lymphadenopathy and intrathoracic structures that are obscured in frontal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projections. Although deep learning (DL)-based artificial intelligence (AI) has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advanced CXR analysis, lateral projection imaging remains largely unexplored.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Lung field detection is a critical first step in such pipelines, enabling DL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models to focus on the relevant anatomy and improving downstream tasks such as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disease detection, classification, and clinical decision support.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EB6213">
        <w:rPr>
          <w:rFonts w:ascii="宋体" w:eastAsia="宋体" w:hAnsi="宋体" w:cs="宋体"/>
          <w:b/>
          <w:color w:val="000000" w:themeColor="text1"/>
          <w:szCs w:val="24"/>
        </w:rPr>
        <w:t xml:space="preserve">METHODS: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Our DL-based model, called Pediatric Lateral lUng deTection with yOlo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(PLUTO), enables lateral lung field detection not only in pediatric CXRs, but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also demonstrates cross-domain generalizability to adult lateral CXRs. Related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to prior work in this emerging area, PLUTO advances the field through 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systematic age-stratified evaluation framework and an explicit assessment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cross-domain transfer to adult images. PLUTO uses a YOLO11s detector backbone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selected after evaluating multiple state-of-the-art YOLO11 variants through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five-fold cross-validation on age-stratified pediatric CXRs. The test cohort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includes internal pediatric hold-out data and external pediatric and adult CXRs.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EB6213">
        <w:rPr>
          <w:rFonts w:ascii="宋体" w:eastAsia="宋体" w:hAnsi="宋体" w:cs="宋体"/>
          <w:b/>
          <w:color w:val="000000" w:themeColor="text1"/>
          <w:szCs w:val="24"/>
        </w:rPr>
        <w:t>RESULTS: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PLUTO achieved strong performance, with mAP@[0.5:0.95] scores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0.8816</w:t>
      </w:r>
      <w:r w:rsidRPr="002D0DAD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2D0DAD">
        <w:rPr>
          <w:rFonts w:ascii="宋体" w:eastAsia="宋体" w:hAnsi="宋体" w:cs="宋体" w:hint="eastAsia"/>
          <w:color w:val="000000" w:themeColor="text1"/>
          <w:szCs w:val="24"/>
        </w:rPr>
        <w:t>±</w:t>
      </w:r>
      <w:r w:rsidRPr="002D0DAD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2D0DAD">
        <w:rPr>
          <w:rFonts w:ascii="宋体" w:eastAsia="宋体" w:hAnsi="宋体" w:cs="宋体"/>
          <w:color w:val="000000" w:themeColor="text1"/>
          <w:szCs w:val="24"/>
        </w:rPr>
        <w:t>0.0061 (internal pediatric) and 0.8898</w:t>
      </w:r>
      <w:r w:rsidRPr="002D0DAD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2D0DAD">
        <w:rPr>
          <w:rFonts w:ascii="宋体" w:eastAsia="宋体" w:hAnsi="宋体" w:cs="宋体" w:hint="eastAsia"/>
          <w:color w:val="000000" w:themeColor="text1"/>
          <w:szCs w:val="24"/>
        </w:rPr>
        <w:t>±</w:t>
      </w:r>
      <w:r w:rsidRPr="002D0DAD">
        <w:rPr>
          <w:rFonts w:ascii="Times New Roman" w:eastAsia="宋体" w:hAnsi="Times New Roman" w:cs="Times New Roman"/>
          <w:color w:val="000000" w:themeColor="text1"/>
          <w:szCs w:val="24"/>
        </w:rPr>
        <w:t> 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0.0084 (external pediatric),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and demonstrated preliminary cross-domain generalizability to adult images.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However, confirmation at a larger scale remains an important direction for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future work. PLUTO also improved zero-shot lateral lung field segmentation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performance.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EB6213">
        <w:rPr>
          <w:rFonts w:ascii="宋体" w:eastAsia="宋体" w:hAnsi="宋体" w:cs="宋体"/>
          <w:b/>
          <w:color w:val="000000" w:themeColor="text1"/>
          <w:szCs w:val="24"/>
        </w:rPr>
        <w:t xml:space="preserve">DISCUSSION: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The PLUTO model provides a valuable resource for anatomically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grounded AI in lateral pediatric TB imaging and will enhance research 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pulmonary TB and related diseases.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Copyright © 2026 Rajaraman, Browning, Jean-Philippe, Perez-Velez and Antani.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10.3389/frai.2026.1874287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PMC13429648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42548667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EB6213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73</w:t>
      </w:r>
      <w:r w:rsidR="002D0DAD" w:rsidRPr="00EB6213">
        <w:rPr>
          <w:rFonts w:ascii="宋体" w:eastAsia="宋体" w:hAnsi="宋体" w:cs="宋体"/>
          <w:b/>
          <w:color w:val="FF0000"/>
          <w:szCs w:val="24"/>
        </w:rPr>
        <w:t>. Clin Nucl Med. 2026 Jul 16. doi: 10.1097/RLU.000</w:t>
      </w:r>
      <w:r w:rsidR="00EB6213" w:rsidRPr="00EB6213">
        <w:rPr>
          <w:rFonts w:ascii="宋体" w:eastAsia="宋体" w:hAnsi="宋体" w:cs="宋体"/>
          <w:b/>
          <w:color w:val="FF0000"/>
          <w:szCs w:val="24"/>
        </w:rPr>
        <w:t xml:space="preserve">0000000006618. Online ahead of </w:t>
      </w:r>
      <w:r w:rsidR="002D0DAD" w:rsidRPr="00EB6213">
        <w:rPr>
          <w:rFonts w:ascii="宋体" w:eastAsia="宋体" w:hAnsi="宋体" w:cs="宋体"/>
          <w:b/>
          <w:color w:val="FF0000"/>
          <w:szCs w:val="24"/>
        </w:rPr>
        <w:t>print.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MAG3 SPECT/CT Detection of Vesicocolic Fistula in Genitourinary Tuberculosis.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Mohd Rohani MF(1), Ahmad Tajudin NA, Amir Hassan SZ.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(1)Department of Nuclear Medicine, Hospital Kuala Lumpur, Kuala Lumpur,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Malaysia.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Enterovesical fistula is a rare complication of genitourinary tuberculosis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may be difficult to diagnose, particularly in the setting of impaired renal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function. We report a 41-year-old woman with chronic kidney disease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bilateral obstructive uropathy secondary to treated genitourinary tuberculosis.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99mTc MAG3 renography demonstrated a nonfunctioning left kidney and preserved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right renal function without obstruction. Delayed images revealed abnormal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tracer propagation from the urinary bladder into bowel loops. SPECT/CT localized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the tracer within the colon, confirming a vesicocolic fistula.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Copyright © 2026 Wolters Kluwer Health, LLC. All rights reserved.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10.1097/RLU.0000000000006618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42545118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EB6213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74</w:t>
      </w:r>
      <w:r w:rsidR="002D0DAD" w:rsidRPr="00EB6213">
        <w:rPr>
          <w:rFonts w:ascii="宋体" w:eastAsia="宋体" w:hAnsi="宋体" w:cs="宋体"/>
          <w:b/>
          <w:color w:val="FF0000"/>
          <w:szCs w:val="24"/>
        </w:rPr>
        <w:t>. J Biosci. 2026;51. doi: 10.1007/s12038-026-00606-x.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PPE18 protein of Mycobacterium tuberculosis downregulates LPS-induced IgG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production by inhibiting nitric oxide synthesis.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Sontyana B(1), Ahmed A(2), Mukhopadhyay S(3).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(1)Laboratory of Molecular Cell Biology, BRIC-Center for DNA Fingerprinting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Diagnostics (CDFD), Hyderabad, Telangana 500039, India. Graduate Studies,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Manipal Academy of Higher Education, Manipal, Karnataka 576104,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(2)Laboratory of Molecular Cell Biology, BRIC-Center for DNA Fingerprinting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Diagnostics (CDFD), Hyderabad, Telangana 500039, India. Present Address: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Laboratory of Human Immunology, Division of Infectious Diseases, St. John's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Research Institute, Bengaluru 560034,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(3)Laboratory of Molecular Cell Biology, BRIC-Center for DNA Fingerprinting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Diagnostics (CDFD), Hyderabad, Telangana 500039,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Mycobacterial PPE18 is a virulence factor. Previous studies have demonstrated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that recombinant PPE18 protein (rPPE18) downregulates inflammation-induced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nitric oxide synthase (iNOS) and nitric oxide (NO) production. Given its ability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to inhibit iNOS, we investigated whether rPPE18 can also affect IgG secretion,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which is modulated by NO levels. Mouse splenocytes and purified B cells were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stimulated with lipopolysaccharide (LPS) to induce iNOS-mediated NO as well as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IgG and IgM production. The addition of rPPE18 to LPS-stimulated cells reduced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NO and iNOS at both the transcript and protein levels. This was accompanied by 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drop in total secreted IgG, which could be reversed by the addition of SNAP, an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NO donor. Importantly, rPPE18 did not affect secreted IgM levels. These data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suggest that rPPE18 interferes with NO-dependent antibody class-switching from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IgM to IgG. This was further confirmed by significantly reduced transcript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levels of activation-induced cytidine deaminase (AID) in rPPE18-treated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LPS-stimulated splenocytes. AID is crucial for class-switch recombination and is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regulated by NO levels. These data highlight a novel mycobacterial virulence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mechanism, in which rPPE18 inhibits IgG secretion and dampens protective humoral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immunity, which is a critical component of the host anti-mycobacterial response.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10.1007/s12038-026-00606-x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42544498 [Indexed for MEDLINE]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EB6213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75</w:t>
      </w:r>
      <w:r w:rsidR="002D0DAD" w:rsidRPr="00EB6213">
        <w:rPr>
          <w:rFonts w:ascii="宋体" w:eastAsia="宋体" w:hAnsi="宋体" w:cs="宋体"/>
          <w:b/>
          <w:color w:val="FF0000"/>
          <w:szCs w:val="24"/>
        </w:rPr>
        <w:t xml:space="preserve">. Infect Dis Clin Microbiol. 2026 Jul 28;8(4):413-418. doi: </w:t>
      </w:r>
    </w:p>
    <w:p w:rsidR="002D0DAD" w:rsidRPr="00EB6213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EB6213">
        <w:rPr>
          <w:rFonts w:ascii="宋体" w:eastAsia="宋体" w:hAnsi="宋体" w:cs="宋体"/>
          <w:b/>
          <w:color w:val="FF0000"/>
          <w:szCs w:val="24"/>
        </w:rPr>
        <w:t>10.36519/idcm.2026.926. eCollection 2026 Jul.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Immune-Related Hepatotoxicity After Atezolizumab and Isoniazid.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Karakaya E(1), Ç</w:t>
      </w:r>
      <w:r w:rsidRPr="002D0DAD">
        <w:rPr>
          <w:rFonts w:ascii="Cambria" w:eastAsia="宋体" w:hAnsi="Cambria" w:cs="Cambria"/>
          <w:color w:val="000000" w:themeColor="text1"/>
          <w:szCs w:val="24"/>
        </w:rPr>
        <w:t>ığ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E(1), Saka B(2), Ka</w:t>
      </w:r>
      <w:r w:rsidRPr="002D0DAD">
        <w:rPr>
          <w:rFonts w:ascii="Cambria" w:eastAsia="宋体" w:hAnsi="Cambria" w:cs="Cambria"/>
          <w:color w:val="000000" w:themeColor="text1"/>
          <w:szCs w:val="24"/>
        </w:rPr>
        <w:t>ğı</w:t>
      </w:r>
      <w:r w:rsidRPr="002D0DAD">
        <w:rPr>
          <w:rFonts w:ascii="宋体" w:eastAsia="宋体" w:hAnsi="宋体" w:cs="宋体"/>
          <w:color w:val="000000" w:themeColor="text1"/>
          <w:szCs w:val="24"/>
        </w:rPr>
        <w:t>zmanl</w:t>
      </w:r>
      <w:r w:rsidRPr="002D0DAD">
        <w:rPr>
          <w:rFonts w:ascii="Cambria" w:eastAsia="宋体" w:hAnsi="Cambria" w:cs="Cambria"/>
          <w:color w:val="000000" w:themeColor="text1"/>
          <w:szCs w:val="24"/>
        </w:rPr>
        <w:t>ı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H(3), </w:t>
      </w:r>
      <w:r w:rsidRPr="002D0DAD">
        <w:rPr>
          <w:rFonts w:ascii="宋体" w:eastAsia="宋体" w:hAnsi="宋体" w:cs="宋体" w:hint="eastAsia"/>
          <w:color w:val="000000" w:themeColor="text1"/>
          <w:szCs w:val="24"/>
        </w:rPr>
        <w:t>Çö</w:t>
      </w:r>
      <w:r w:rsidRPr="002D0DAD">
        <w:rPr>
          <w:rFonts w:ascii="宋体" w:eastAsia="宋体" w:hAnsi="宋体" w:cs="宋体"/>
          <w:color w:val="000000" w:themeColor="text1"/>
          <w:szCs w:val="24"/>
        </w:rPr>
        <w:t>p</w:t>
      </w:r>
      <w:r w:rsidRPr="002D0DAD">
        <w:rPr>
          <w:rFonts w:ascii="宋体" w:eastAsia="宋体" w:hAnsi="宋体" w:cs="宋体" w:hint="eastAsia"/>
          <w:color w:val="000000" w:themeColor="text1"/>
          <w:szCs w:val="24"/>
        </w:rPr>
        <w:t>ü</w:t>
      </w:r>
      <w:r w:rsidRPr="002D0DAD">
        <w:rPr>
          <w:rFonts w:ascii="宋体" w:eastAsia="宋体" w:hAnsi="宋体" w:cs="宋体"/>
          <w:color w:val="000000" w:themeColor="text1"/>
          <w:szCs w:val="24"/>
        </w:rPr>
        <w:t>r S(3), Gen</w:t>
      </w:r>
      <w:r w:rsidRPr="002D0DAD">
        <w:rPr>
          <w:rFonts w:ascii="宋体" w:eastAsia="宋体" w:hAnsi="宋体" w:cs="宋体" w:hint="eastAsia"/>
          <w:color w:val="000000" w:themeColor="text1"/>
          <w:szCs w:val="24"/>
        </w:rPr>
        <w:t>ç</w:t>
      </w:r>
      <w:r w:rsidRPr="002D0DAD">
        <w:rPr>
          <w:rFonts w:ascii="宋体" w:eastAsia="宋体" w:hAnsi="宋体" w:cs="宋体"/>
          <w:color w:val="000000" w:themeColor="text1"/>
          <w:szCs w:val="24"/>
        </w:rPr>
        <w:t>dal G(4).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(1)Koç University School of Medicine, </w:t>
      </w:r>
      <w:r w:rsidRPr="002D0DAD">
        <w:rPr>
          <w:rFonts w:ascii="Cambria" w:eastAsia="宋体" w:hAnsi="Cambria" w:cs="Cambria"/>
          <w:color w:val="000000" w:themeColor="text1"/>
          <w:szCs w:val="24"/>
        </w:rPr>
        <w:t>İ</w:t>
      </w:r>
      <w:r w:rsidRPr="002D0DAD">
        <w:rPr>
          <w:rFonts w:ascii="宋体" w:eastAsia="宋体" w:hAnsi="宋体" w:cs="宋体"/>
          <w:color w:val="000000" w:themeColor="text1"/>
          <w:szCs w:val="24"/>
        </w:rPr>
        <w:t>stanbul, T</w:t>
      </w:r>
      <w:r w:rsidRPr="002D0DAD">
        <w:rPr>
          <w:rFonts w:ascii="宋体" w:eastAsia="宋体" w:hAnsi="宋体" w:cs="宋体" w:hint="eastAsia"/>
          <w:color w:val="000000" w:themeColor="text1"/>
          <w:szCs w:val="24"/>
        </w:rPr>
        <w:t>ü</w:t>
      </w:r>
      <w:r w:rsidRPr="002D0DAD">
        <w:rPr>
          <w:rFonts w:ascii="宋体" w:eastAsia="宋体" w:hAnsi="宋体" w:cs="宋体"/>
          <w:color w:val="000000" w:themeColor="text1"/>
          <w:szCs w:val="24"/>
        </w:rPr>
        <w:t>rkiye.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(2)Department of Pathology, Koç University Hospital, </w:t>
      </w:r>
      <w:r w:rsidRPr="002D0DAD">
        <w:rPr>
          <w:rFonts w:ascii="Cambria" w:eastAsia="宋体" w:hAnsi="Cambria" w:cs="Cambria"/>
          <w:color w:val="000000" w:themeColor="text1"/>
          <w:szCs w:val="24"/>
        </w:rPr>
        <w:t>İ</w:t>
      </w:r>
      <w:r w:rsidRPr="002D0DAD">
        <w:rPr>
          <w:rFonts w:ascii="宋体" w:eastAsia="宋体" w:hAnsi="宋体" w:cs="宋体"/>
          <w:color w:val="000000" w:themeColor="text1"/>
          <w:szCs w:val="24"/>
        </w:rPr>
        <w:t>stanbul, T</w:t>
      </w:r>
      <w:r w:rsidRPr="002D0DAD">
        <w:rPr>
          <w:rFonts w:ascii="宋体" w:eastAsia="宋体" w:hAnsi="宋体" w:cs="宋体" w:hint="eastAsia"/>
          <w:color w:val="000000" w:themeColor="text1"/>
          <w:szCs w:val="24"/>
        </w:rPr>
        <w:t>ü</w:t>
      </w:r>
      <w:r w:rsidRPr="002D0DAD">
        <w:rPr>
          <w:rFonts w:ascii="宋体" w:eastAsia="宋体" w:hAnsi="宋体" w:cs="宋体"/>
          <w:color w:val="000000" w:themeColor="text1"/>
          <w:szCs w:val="24"/>
        </w:rPr>
        <w:t>rkiye.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(3)Department of Internal Medicine, Koç University School of Medicine, </w:t>
      </w:r>
      <w:r w:rsidRPr="002D0DAD">
        <w:rPr>
          <w:rFonts w:ascii="Cambria" w:eastAsia="宋体" w:hAnsi="Cambria" w:cs="Cambria"/>
          <w:color w:val="000000" w:themeColor="text1"/>
          <w:szCs w:val="24"/>
        </w:rPr>
        <w:t>İ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stanbul,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Türkiye.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(4)Department of Gastroenterology, Koç University School of Medicine, </w:t>
      </w:r>
      <w:r w:rsidRPr="002D0DAD">
        <w:rPr>
          <w:rFonts w:ascii="Cambria" w:eastAsia="宋体" w:hAnsi="Cambria" w:cs="Cambria"/>
          <w:color w:val="000000" w:themeColor="text1"/>
          <w:szCs w:val="24"/>
        </w:rPr>
        <w:t>İ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stanbul,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Türkiye.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Immune checkpoint inhibitor therapy has transformed the prognosis of multiple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solid-organ malignancies; however, such advances are not without significant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adverse events known as immune-related adverse events. A novel pattern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autoimmune-like hepatitis following exposure to certain medications, including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statins, isoniazid, nitrofurantoin, anti-tumor necrosis factor-alpha therapy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minocycline, has recently been recognized. We present the case of a 66-year-old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male patient with extensive-stage small-cell lung carcinoma who developed acute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liver injury while receiving concomitant atezolizumab therapy and isoniazid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prophylaxis for latent tuberculosis. The patient subsequently developed grade 4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hepatotoxicity, which improved after discontinuation of isoniazid therapy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initiation of corticosteroid treatment. The aim of this report is to contribute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to the literature by presenting a rare case of grade 4 immune-related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hepatotoxicity under atezolizumab therapy in a patient receiving isoniazid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>prophylaxis for latent tuberculosis.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Copyright © 2026 Infectious Diseases and Clinical Microbiology.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10.36519/idcm.2026.926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PMC13429225</w:t>
      </w:r>
    </w:p>
    <w:p w:rsidR="002D0DAD" w:rsidRPr="002D0DAD" w:rsidRDefault="00EB6213" w:rsidP="002D0DAD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42544326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EB6213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76</w:t>
      </w:r>
      <w:r w:rsidR="002D0DAD" w:rsidRPr="00EB6213">
        <w:rPr>
          <w:rFonts w:ascii="宋体" w:eastAsia="宋体" w:hAnsi="宋体" w:cs="宋体"/>
          <w:b/>
          <w:color w:val="FF0000"/>
          <w:szCs w:val="24"/>
        </w:rPr>
        <w:t xml:space="preserve">. Infect Dis Clin Microbiol. 2026 Jul 28;8(4):372-383. doi: </w:t>
      </w:r>
    </w:p>
    <w:p w:rsidR="002D0DAD" w:rsidRPr="00EB6213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EB6213">
        <w:rPr>
          <w:rFonts w:ascii="宋体" w:eastAsia="宋体" w:hAnsi="宋体" w:cs="宋体"/>
          <w:b/>
          <w:color w:val="FF0000"/>
          <w:szCs w:val="24"/>
        </w:rPr>
        <w:t>10.36519/idcm.2026.1070. eCollection 2026 Jul.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 Decade of Unfavorable Outcomes in Pulmonary Tuberculosis: Proportion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Factors Associated in Kelantan, Malaysia.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Johari MKS(1), Daud A(1), Mohd Basri IS(1), Abdullah H(2).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(1)Department of Community Medicine, School of Medical Sciences, Universiti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Sains Malaysia Health Campus, Kota Bharu, Kelantan, Malaysia.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(2)Tuberculosis and Leprosy Unit, Kelantan State Health Department, Kota Bharu,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Kelantan, Malaysia.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EB6213">
        <w:rPr>
          <w:rFonts w:ascii="宋体" w:eastAsia="宋体" w:hAnsi="宋体" w:cs="宋体"/>
          <w:b/>
          <w:color w:val="000000" w:themeColor="text1"/>
          <w:szCs w:val="24"/>
        </w:rPr>
        <w:t>OBJECTIVE: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Unfavorable pulmonary tuberculosis (PTB) treatment outcomes remain 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critical indicator of program performance because they are linked to preventable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mortality, ongoing transmission, and potential amplification of drug resistance.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This study aimed to determine the proportion of unfavorable treatment outcomes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and identify factors associated with these outcomes among PTB patients 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Kelantan, Malaysia.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EB6213">
        <w:rPr>
          <w:rFonts w:ascii="宋体" w:eastAsia="宋体" w:hAnsi="宋体" w:cs="宋体"/>
          <w:b/>
          <w:color w:val="000000" w:themeColor="text1"/>
          <w:szCs w:val="24"/>
        </w:rPr>
        <w:t xml:space="preserve">MATERIALS AND METHODS: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 retrospective registry-based cohort study was conducted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using data from the National Tuberculosis Registry in Kelantan covering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period from 2013 to 2022. A simple random sample of 1260 eligible PTB patients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was selected. Unfavorable outcomes were defined as treatment failure, death, or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loss to follow-up. Candidate predictors included sociodemographic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characteristics, comorbidity indicators, clinical characteristics, and the type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of directly observed treatment, short-course (DOTS) supervision. Univariable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multivariable logistic regression analyses were performed to identify factors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associated with unfavorable outcomes.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EB6213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The proportion of unfavorable outcomes was 20.8% (262/1,260). 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multivariable analysis, HIV-positive status was strongly associated with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unfavorable outcomes (adjusted odds ratio [AOR], 5.69; 95% confidence interval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[CI], 3.78-8.57; p &lt; 0.001). Multidrug-resistant tuberculosis (MDR-TB) was also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associated with increased odds of unfavorable outcomes (AOR, 5.69; 95% CI,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2.40-13.52; p &lt; 0.001). Compared with DOTS supervised by healthcare workers,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family-supervised DOTS was associated with higher odds of unfavorable outcomes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>(AOR 5.02; 95% CI, 1.73-14.59; p = 0.003).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EB6213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Approximately one in five PTB patients experienced an unfavorable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treatment outcome in Kelantan. Unfavorable outcomes were concentrated among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patients with HIV infection and MDR-TB and were more frequent among those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receiving family-supervised DOTS. These findings support risk-stratified care,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strengthened TB-HIV integration, intensified MDR-TB case management,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improved support and accountability for family-based DOTS supervision.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GRAPHICAL ABSTRACT: Graphical Abstract.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Copyright © 2026 Infectious Diseases and Clinical Microbiology.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10.36519/idcm.2026.1070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PMC13429219</w:t>
      </w:r>
    </w:p>
    <w:p w:rsidR="002D0DAD" w:rsidRPr="002D0DAD" w:rsidRDefault="00EB6213" w:rsidP="002D0DAD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42544274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EB6213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77</w:t>
      </w:r>
      <w:r w:rsidR="002D0DAD" w:rsidRPr="00EB6213">
        <w:rPr>
          <w:rFonts w:ascii="宋体" w:eastAsia="宋体" w:hAnsi="宋体" w:cs="宋体"/>
          <w:b/>
          <w:color w:val="FF0000"/>
          <w:szCs w:val="24"/>
        </w:rPr>
        <w:t>. J Assoc Physicians India. 2026 Jul;74(7):60-65. doi: 10.59556/japi.74.1608.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Pregnancy Outcomes in Patients with Tuberculosis: A Systematic Review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Meta-analysis.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Sharma H(1), Garg S(2), Sharma S(3), Sharma U(4), Kumar A(5).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(1)Assistant Professor, Department of Obstetrics and Gynecology, Mahatma Gandhi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University of Medical Sciences and Technology, Jaipur, Rajasthan, India,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Corresponding Author.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(2)Professor, Department of Obstetrics and Gynecology, Mahatma Gandhi Medical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College and Hospital, Jaipur, Rajasthan,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(3)Assistant Professor, Department of Pathology, Pandit Naval Kishor Sharma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Medical College and Hospital, Jaipur, Rajasthan,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(4)Professor, Department of Obstetrics and Gynecology, Mahatma Gandhi Medical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College and Hospital, Jaipur, Rajasthan,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(5)Statistician Cum Assistant Professor, Department of Community Medicine,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Mahatma Gandhi University of Medical Sciences and Technology, Jaipur, Rajasthan,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EB6213">
        <w:rPr>
          <w:rFonts w:ascii="宋体" w:eastAsia="宋体" w:hAnsi="宋体" w:cs="宋体"/>
          <w:b/>
          <w:color w:val="000000" w:themeColor="text1"/>
          <w:szCs w:val="24"/>
        </w:rPr>
        <w:t>BACKGROUND AND OBJECTIVES: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Tuberculosis (TB) is an important global health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problem, especially for pregnant women, a vulnerable group. This systematic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review and meta-analysis was conducted in this group to obtain cumulative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results in a collective effort toward the World Health Organization (WHO) End TB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Strategy.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EB6213">
        <w:rPr>
          <w:rFonts w:ascii="宋体" w:eastAsia="宋体" w:hAnsi="宋体" w:cs="宋体"/>
          <w:b/>
          <w:color w:val="000000" w:themeColor="text1"/>
          <w:szCs w:val="24"/>
        </w:rPr>
        <w:t>METHODOLOGY: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The databases Ovid MEDLINE, Embase, PubMed, ScienceDirect, Scopus,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and Cochrane Central Register of Controlled Trials were searched for the last 10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years till 14th January 2025. Preferred Reporting Items for Systematic Reviews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and Meta-Analyses (PRISMA) guidelines were followed in this analysis. Pregnancy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outcomes in terms of maternal complications and perinatal complications,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including observed mortality, were considered for analysis.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EB6213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 total of 9,873 records were identified through database searching,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and 15 studies, including 3,045 pregnant women with TB, were selected for final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analysis. The pooled mean maternal age was 27.6 years, and more than half of TB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cases were diagnosed antenatally. Among pregnancy-related complications, fetal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growth restriction, pregnancy-induced hypertension, oligohydramnios,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gestational diabetes were seen in 19, 15, 11, and 10% of cases, respectively.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Low birth weight, preterm birth, small for age, and low Apgar score (&lt;7) had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pooled prevalences of 30, 22, 20, and 13%, respectively. Maternal mortality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neonatal mortality showed pooled prevalences of 0.05 [95% confidence interval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(CI): 0.03-0.08] and 5% (95% CI: 3-8%), respectively. Low to moderate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heterogeneity was found among observations.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EB6213">
        <w:rPr>
          <w:rFonts w:ascii="宋体" w:eastAsia="宋体" w:hAnsi="宋体" w:cs="宋体"/>
          <w:b/>
          <w:color w:val="000000" w:themeColor="text1"/>
          <w:szCs w:val="24"/>
        </w:rPr>
        <w:t>INTERPRETATION AND CONCLUSION: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This systematic review and meta-analysis showed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continued maternal and perinatal adverse outcomes in pregnant women with TB even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in the current era, highlighting the need to optimize healthcare.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Journal of the Association of Physicians of India 2026.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10.59556/japi.74.1608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42543993 [Indexed for MEDLINE]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EB6213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EB6213">
        <w:rPr>
          <w:rFonts w:ascii="宋体" w:eastAsia="宋体" w:hAnsi="宋体" w:cs="宋体"/>
          <w:b/>
          <w:color w:val="FF0000"/>
          <w:szCs w:val="24"/>
        </w:rPr>
        <w:t>7</w:t>
      </w:r>
      <w:r w:rsidR="005B1238">
        <w:rPr>
          <w:rFonts w:ascii="宋体" w:eastAsia="宋体" w:hAnsi="宋体" w:cs="宋体"/>
          <w:b/>
          <w:color w:val="FF0000"/>
          <w:szCs w:val="24"/>
        </w:rPr>
        <w:t>8</w:t>
      </w:r>
      <w:r w:rsidRPr="00EB6213">
        <w:rPr>
          <w:rFonts w:ascii="宋体" w:eastAsia="宋体" w:hAnsi="宋体" w:cs="宋体"/>
          <w:b/>
          <w:color w:val="FF0000"/>
          <w:szCs w:val="24"/>
        </w:rPr>
        <w:t>. J Assoc Physicians India. 2026 Jun;74(6S):37-40. doi: 10.59556/japi.74.1532.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Atypical Presentations of Central Nervous System Tuberculosis at a Tertiary Care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Center: Case Series.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Shrivastava A(1), Dhaneshry D(2), Sahoo M(3).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(1)Professor, Department of Medicine, Moti Lal Nehru Medical College, Prayagraj,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Uttar Pradesh, India, Corresponding Author.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(2)Junior Resident, Department of Internal Medicine, Moti Lal Nehru Medical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College, Prayagraj, Uttar Pradesh,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(3)Junior Resident, Department of General Medicine, Moti Lal Nehru Medical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College, Prayagraj, Uttar Pradesh,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This case series highlights three patients with unusual central nervous system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(CNS) tuberculosis (TB) manifestations, diagnosed at the Department of Medicine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and Neurology, Moti Lal Nehru Medical College, Prayagraj, India, between January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and November 2024. The cases underscore the diagnostic challenges of atypical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CNS TB and the importance of an integrated diagnostic approach combining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clinical, radiological, and laboratory findings. A 35-year-old male presented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with sudden-onset right-sided weakness. Imaging revealed intracranial hemorrhage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(ICH) in the left parietal region without vascular anomalies. Cerebrospinal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fluid (CSF) analysis showed lymphocytic pleocytosis, elevated protein,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adenosine deaminase (ADA), while the interferon-gamma release assay was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positive. He was diagnosed with CNS TB presenting as ICH secondary to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vasculitis. A 49-year-old male developed left-hand weakness. Imaging showed 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left parietal infarct. CSF analysis revealed lymphocytic pleocytosis with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elevated protein and ADA. Pulmonary TB was suspected based on a chest X-ray. 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was diagnosed with stroke secondary to tubercular CNS vasculitis presenting as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pseudomedian nerve palsy. A 32-year-old male presented with sudden-onset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bilateral lower limb weakness and sensory loss. Magnetic resonance imaging (MRI)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spine findings were suggestive of a normal spine but with paraspinal muscle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hyperintensity. CSF analysis was normal, and the interferon-gamma release assay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was positive. Antitubercular therapy and steroids improved motor function,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leading to a diagnosis of MRI-negative paraplegia secondary to tubercular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myeloradiculitis. These cases demonstrate the varied and atypical manifestations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of CNS TB, including ICH, stroke mimicking nerve palsy, and MRI-negative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paraplegia. Prompt recognition and treatment are crucial to improve outcomes 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such rare presentations.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Journal of the Association of Physicians of India 2026.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10.59556/japi.74.1532</w:t>
      </w:r>
    </w:p>
    <w:p w:rsidR="002D0DAD" w:rsidRPr="002D0DAD" w:rsidRDefault="002D0DAD" w:rsidP="002D0DAD">
      <w:pPr>
        <w:rPr>
          <w:rFonts w:ascii="宋体" w:eastAsia="宋体" w:hAnsi="宋体" w:cs="宋体" w:hint="eastAsia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</w:t>
      </w:r>
      <w:r w:rsidR="00EB6213">
        <w:rPr>
          <w:rFonts w:ascii="宋体" w:eastAsia="宋体" w:hAnsi="宋体" w:cs="宋体"/>
          <w:color w:val="000000" w:themeColor="text1"/>
          <w:szCs w:val="24"/>
        </w:rPr>
        <w:t xml:space="preserve"> 42543969 [Indexed for MEDLINE]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EB6213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EB6213">
        <w:rPr>
          <w:rFonts w:ascii="宋体" w:eastAsia="宋体" w:hAnsi="宋体" w:cs="宋体"/>
          <w:b/>
          <w:color w:val="FF0000"/>
          <w:szCs w:val="24"/>
        </w:rPr>
        <w:t>7</w:t>
      </w:r>
      <w:r w:rsidR="005B1238">
        <w:rPr>
          <w:rFonts w:ascii="宋体" w:eastAsia="宋体" w:hAnsi="宋体" w:cs="宋体"/>
          <w:b/>
          <w:color w:val="FF0000"/>
          <w:szCs w:val="24"/>
        </w:rPr>
        <w:t>9</w:t>
      </w:r>
      <w:r w:rsidRPr="00EB6213">
        <w:rPr>
          <w:rFonts w:ascii="宋体" w:eastAsia="宋体" w:hAnsi="宋体" w:cs="宋体"/>
          <w:b/>
          <w:color w:val="FF0000"/>
          <w:szCs w:val="24"/>
        </w:rPr>
        <w:t>. J Assoc Physicians India. 2026 Jun;74(6):85-87. doi: 10.59556/japi.74.1527.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Treatment of Tuberculosis in Renal Insufficiency.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Gupta N(1), Rani H(2), Kacker R(3), Prasad R(4), Deshmukh RB(5).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(1)Professor, Department of General Medicine, Dr. Ram Manohar Lohia Institute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Medical Sciences, Lucknow, Uttar Pradesh, India, Corresponding Author.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(2)Assistant Professor, Department of Respiratory Medicine, Era's Lucknow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Medical College and Hospital, Lucknow, Uttar Pradesh,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(3)Assistant Professor, Department of Respiratory Medicine, Era's Lucknow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Medical College and Hospital, Lucknow, Uttar Pradesh,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(4)Professor, Department of Respiratory Medicine, Era's Lucknow Medical College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and Hospital, Lucknow, Uttar Pradesh,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(5)Junior Resident, Department of Respiratory Medicine, Era's Lucknow Medical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College and Hospital, Lucknow, Uttar Pradesh,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 (TB) is a significant global health challenge, particularly 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patients with renal insufficiency, where both the disease and its treatment are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complicated by altered pharmacokinetics, immunosuppression, and increased risk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of drug toxicity. Management of TB in patients with renal insufficiency is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complex and necessitates an individualized, multidisciplinary approach. Careful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dose adjustments, regimen selection, management of comorbid conditions, regular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monitoring, and adherence to current guidelines can optimize outcomes while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minimizing adverse effects. This article reviews current strategies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evidence-based approaches for the treatment of TB in patients with renal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insufficiency, with a focus on drug selection, dose adjustment, and monitoring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for toxicity and efficacy.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Journal of the Association of Physicians of India 2026.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10.59556/japi.74.1527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42543938 [Indexed for MEDLINE]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EB6213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80</w:t>
      </w:r>
      <w:r w:rsidR="002D0DAD" w:rsidRPr="00EB6213">
        <w:rPr>
          <w:rFonts w:ascii="宋体" w:eastAsia="宋体" w:hAnsi="宋体" w:cs="宋体"/>
          <w:b/>
          <w:color w:val="FF0000"/>
          <w:szCs w:val="24"/>
        </w:rPr>
        <w:t>. J Assoc Physicians India. 2026 Jun;74(6):29-34. doi: 10.59556/japi.74.1525.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Effect of Radiological Patterns on Response to Pulmonary Rehabilitation 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Post-tuberculosis Lung Sequelae: A Prospective Observational Study.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Mehta M(1), Dixit R(2).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(1)Resident Doctor, Department of Respiratory Medicine, Jawaharlal Nehru Medical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College, Ajmer, Rajasthan,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(2)Senior Professor &amp; Head, Department of Respiratory Medicine, Jawaharlal Nehru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Medical College, Ajmer, Rajasthan, India, Corresponding Author.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FE49AD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Post-tuberculosis sequelae (PTBS) are increasingly recognized as 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significant cause of long-term respiratory morbidity, manifesting with dyspnea,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reduced pulmonary function, impaired exercise capacity, and diminished quality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of life. Despite their burden, PTBS patients often lack access to structured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rehabilitation. Pulmonary rehabilitation (PR), well-established in COPD, may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offer functional and psychological benefits in PTBS, but its implementation 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India and comparison across radiological phenotypes remains understudied.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FE49AD">
        <w:rPr>
          <w:rFonts w:ascii="宋体" w:eastAsia="宋体" w:hAnsi="宋体" w:cs="宋体"/>
          <w:b/>
          <w:color w:val="000000" w:themeColor="text1"/>
          <w:szCs w:val="24"/>
        </w:rPr>
        <w:t xml:space="preserve">OBJECTIVES: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To evaluate the impact of a 24-week pulmonary rehabilitation program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on clinical, functional, psychological, and radiological outcomes in patients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with PTBS, and to compare the response among different radiological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subtypes-fibrosis, fibrocavitary lesions, bronchiectasis, and combined lesions.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FE49AD">
        <w:rPr>
          <w:rFonts w:ascii="宋体" w:eastAsia="宋体" w:hAnsi="宋体" w:cs="宋体"/>
          <w:b/>
          <w:color w:val="000000" w:themeColor="text1"/>
          <w:szCs w:val="24"/>
        </w:rPr>
        <w:t>MATERIALS AND METHODS: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In this prospective observational study, 60 patients with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PTBS underwent hospital- or home-based PR. Assessments were conducted at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baseline, 12 weeks, and 24 weeks and included spirometry (FEV1, FVC, FEV1/FVC,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FEF25-75), 6-minute walk test (6MWT), body mass index (BMI), St. George's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Respiratory Questionnaire (SGRQ), modified Medical Research Council (mMRC)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dyspnea grade, DASS-21 scale for psychological health, and radiological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classification. Statistical analysis was performed to assess within-group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between-group changes over time.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FE49AD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Significant improvements were observed in BMI (p &lt; 0.005), 6MWT (mean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improvement &gt;150 m in most groups), and DASS-21 scores across all radiological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subtypes. FEV1% predicted improved significantly (p &lt; 0.05), especially in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patients with fibrosis and bronchiectasis (&gt;60% by week 24), while those with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fibrocavitary + bronchiectasis showed the least gain (38%). Quality of life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(SGRQ) improved in all groups, though intergroup differences were not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statistically significant. Bronchodilator reversibility was rare (5%) and did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not vary with lesion type.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FE49AD">
        <w:rPr>
          <w:rFonts w:ascii="宋体" w:eastAsia="宋体" w:hAnsi="宋体" w:cs="宋体"/>
          <w:b/>
          <w:color w:val="000000" w:themeColor="text1"/>
          <w:szCs w:val="24"/>
        </w:rPr>
        <w:t xml:space="preserve">CONCLUSION: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Pulmonary rehabilitation significantly improves nutritional status,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exercise capacity, psychological well-being, and spirometric parameters in PTBS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patients, with variable responses depending on radiological pattern. Despite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greater impairment, patients with fibrocavitary lesions derived meaningful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benefit, highlighting PR's role as an essential component of post-TB care.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Tailored PR strategies should be integrated into national TB programs to address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the long-term sequelae of TB in high-burden settings such as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Journal of the Association of Physicians of India 2026.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10.59556/japi.74.1525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42543929 [Indexed for MEDLINE]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FE49AD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81</w:t>
      </w:r>
      <w:r w:rsidR="002D0DAD" w:rsidRPr="00FE49AD">
        <w:rPr>
          <w:rFonts w:ascii="宋体" w:eastAsia="宋体" w:hAnsi="宋体" w:cs="宋体"/>
          <w:b/>
          <w:color w:val="FF0000"/>
          <w:szCs w:val="24"/>
        </w:rPr>
        <w:t xml:space="preserve">. Pan Afr Med J. 2026 May 14;54:10. doi: 10.11604/pamj.2026.54.10.53079. </w:t>
      </w:r>
    </w:p>
    <w:p w:rsidR="002D0DAD" w:rsidRPr="00FE49AD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FE49AD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Factors associated with tuberculosis treatment adherence: reflections on 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retrospective cohort study in Lesotho.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Mejia GR(1).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(1)Instituto de Investigaciones en Ciencias Biomédicas, Universidad Ricardo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Palma, Lima, Perú.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10.11604/pamj.2026.54.10.53079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PMC13428648</w:t>
      </w:r>
    </w:p>
    <w:p w:rsidR="002D0DAD" w:rsidRPr="002D0DAD" w:rsidRDefault="00FE49AD" w:rsidP="002D0DAD">
      <w:pPr>
        <w:rPr>
          <w:rFonts w:ascii="宋体" w:eastAsia="宋体" w:hAnsi="宋体" w:cs="宋体" w:hint="eastAsia"/>
          <w:color w:val="000000" w:themeColor="text1"/>
          <w:szCs w:val="24"/>
        </w:rPr>
      </w:pPr>
      <w:r>
        <w:rPr>
          <w:rFonts w:ascii="宋体" w:eastAsia="宋体" w:hAnsi="宋体" w:cs="宋体"/>
          <w:color w:val="000000" w:themeColor="text1"/>
          <w:szCs w:val="24"/>
        </w:rPr>
        <w:t>PMID: 42542883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FE49AD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82</w:t>
      </w:r>
      <w:r w:rsidR="002D0DAD" w:rsidRPr="00FE49AD">
        <w:rPr>
          <w:rFonts w:ascii="宋体" w:eastAsia="宋体" w:hAnsi="宋体" w:cs="宋体"/>
          <w:b/>
          <w:color w:val="FF0000"/>
          <w:szCs w:val="24"/>
        </w:rPr>
        <w:t xml:space="preserve">. J Multidiscip Healthc. 2026 Jul 28;19:605418. doi: 10.2147/JMDH.S605418. </w:t>
      </w:r>
    </w:p>
    <w:p w:rsidR="002D0DAD" w:rsidRPr="00FE49AD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FE49AD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Pediatric Tuberculosis: Knowledge, Perceptions, and Care-Seeking Practices Among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Caregivers and Healthcare Providers in the Kabondo-Dianda Health Zone,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Democratic Republic of the Congo.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Diur Yav J(1)(2), Mutwadi AM(3)(4)(5), Kalonji Ntumba A(6), Kabamba Nzaji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M(7)(8), Ditekemena-Dinanga J(9).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(1)Provincial Health Division of Haut-Lomami, Kamina, Democratic Republic of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Congo.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(2)Kinshasa School of Public Health, University of Kinshasa, Kinshasa,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Democratic Republic of the Congo.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(3)Department of Public Health, Institute of Tropical Medicine, Antwerp,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Belgium.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(4)Department of Epidemiology and Global Health, National Institute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Biomedical Research, Kinshasa, Democratic Republic of the Congo.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(5)Department of Community Health, Kinshasa School of Public Health, University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of Kinshasa, Kinshasa, Democratic Republic of the Congo.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(6)GFTAM Projects, SANRU ASBL, Kinshasa, Democratic Republic of the Congo.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(7)Expanded Programme on Immunization, Ministry of Health, Kinshasa, Democratic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Republic of the Congo.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(8)Department of Public Health, Faculty of Medicine, University of Kamina,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Kamina, Democratic Republic of the Congo.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(9)Kinshasa School of Public Health, Faculty of Medicine, University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Kinshasa, Kinshasa, Democratic Republic of the Congo.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FE49AD">
        <w:rPr>
          <w:rFonts w:ascii="宋体" w:eastAsia="宋体" w:hAnsi="宋体" w:cs="宋体"/>
          <w:b/>
          <w:color w:val="000000" w:themeColor="text1"/>
          <w:szCs w:val="24"/>
        </w:rPr>
        <w:t xml:space="preserve">BACKGROUND: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Pediatric tuberculosis (TB) remains underdiagnosed in high-burden,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resource-limited settings. Caregivers' knowledge and perceptions, along with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healthcare providers' practices, are crucial for early recognition and timely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care-seeking for children with suspected TB.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FE49AD">
        <w:rPr>
          <w:rFonts w:ascii="宋体" w:eastAsia="宋体" w:hAnsi="宋体" w:cs="宋体"/>
          <w:b/>
          <w:color w:val="000000" w:themeColor="text1"/>
          <w:szCs w:val="24"/>
        </w:rPr>
        <w:t xml:space="preserve">OBJECTIVE: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To assess knowledge, perceptions, and care-seeking practices related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to pediatric tuberculosis among caregivers and healthcare providers in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Kabondo-Dianda Health Zone, Democratic Republic of the Congo.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FE49AD">
        <w:rPr>
          <w:rFonts w:ascii="宋体" w:eastAsia="宋体" w:hAnsi="宋体" w:cs="宋体"/>
          <w:b/>
          <w:color w:val="000000" w:themeColor="text1"/>
          <w:szCs w:val="24"/>
        </w:rPr>
        <w:t>METHODS: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A descriptive cross-sectional study was conducted in 2024 among 163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caregivers and 27 healthcare providers selected through convenience sampling.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Data were collected through face-to-face interviews using a structured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questionnaire covering sociodemographic characteristics, knowledge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 transmission and prevention, perceptions of tuberculosis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transmission, and care-seeking practices. Tuberculosis knowledge was assessed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using 11 items related to transmission and prevention, and composite knowledge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scores were calculated. Perceptions were assessed through structured items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exploring biomedical and non-biomedical beliefs, including perceived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transmission through coughing, contact, evil spirits, and domestic animals.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Care-seeking practices were assessed by documenting the first point of care,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timing of consultation, and reasons for choosing specific care options. Data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were analyzed descriptively using frequencies, percentages, mean scores,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group-level comparisons. No inferential statistical tests were performed.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FE49AD">
        <w:rPr>
          <w:rFonts w:ascii="宋体" w:eastAsia="宋体" w:hAnsi="宋体" w:cs="宋体"/>
          <w:b/>
          <w:color w:val="000000" w:themeColor="text1"/>
          <w:szCs w:val="24"/>
        </w:rPr>
        <w:t xml:space="preserve">RESULTS: </w:t>
      </w:r>
      <w:r w:rsidRPr="002D0DAD">
        <w:rPr>
          <w:rFonts w:ascii="宋体" w:eastAsia="宋体" w:hAnsi="宋体" w:cs="宋体"/>
          <w:color w:val="000000" w:themeColor="text1"/>
          <w:szCs w:val="24"/>
        </w:rPr>
        <w:t>Caregivers had a low tuberculosis knowled</w:t>
      </w:r>
      <w:r w:rsidR="00FE49AD">
        <w:rPr>
          <w:rFonts w:ascii="宋体" w:eastAsia="宋体" w:hAnsi="宋体" w:cs="宋体"/>
          <w:color w:val="000000" w:themeColor="text1"/>
          <w:szCs w:val="24"/>
        </w:rPr>
        <w:t xml:space="preserve">ge score, with a mean of 2.7 ± 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1.28 out of 11 and a knowledge index of 24.5/100. Healthcare providers had a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higher score, with a mean of 8.3 ± 1.36 and a knowledge index of 75.5/100. Among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caregivers, misconceptions were common, including perceived transmission by evil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spirits and domestic animals. Only 49.1% of caregivers reported seeking care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first at a health facility, while 64.5% reported delayed care-seeking and 50.9%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reported informal care-seeking. Among healthcare providers, 70.4% reported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health facilities as the first point of care, 48.1% reported delayed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consultation, and 29.6% reported informal care-seeking. In descriptive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comparisons, healthcare providers showed higher tuberculosis knowledge scores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and reported more frequent use of formal health services than caregivers.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However, no inferential statistical tests were performed; therefore, these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observations should not be interpreted as statistically significant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associations.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FE49AD">
        <w:rPr>
          <w:rFonts w:ascii="宋体" w:eastAsia="宋体" w:hAnsi="宋体" w:cs="宋体"/>
          <w:b/>
          <w:color w:val="000000" w:themeColor="text1"/>
          <w:szCs w:val="24"/>
        </w:rPr>
        <w:t>CONCLUSION: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This study identified important gaps in pediatric tuberculosis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knowledge, perceptions, and care-seeking practices, particularly among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caregivers. The findings suggest the need to strengthen community-based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tuberculosis education, culturally appropriate risk communication, and continued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capacity-building of frontline healthcare providers, while recognizing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descriptive nature of the study. Given the descriptive design and convenience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sampling, the findings should be interpreted cautiously and cannot establish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statistical associations or causal relationships.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2026 Diur Yav et al.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10.2147/JMDH.S605418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PMC13428547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42542805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FE49AD" w:rsidRDefault="005B1238" w:rsidP="002D0DAD">
      <w:pPr>
        <w:rPr>
          <w:rFonts w:ascii="宋体" w:eastAsia="宋体" w:hAnsi="宋体" w:cs="宋体"/>
          <w:b/>
          <w:color w:val="FF0000"/>
          <w:szCs w:val="24"/>
        </w:rPr>
      </w:pPr>
      <w:r>
        <w:rPr>
          <w:rFonts w:ascii="宋体" w:eastAsia="宋体" w:hAnsi="宋体" w:cs="宋体"/>
          <w:b/>
          <w:color w:val="FF0000"/>
          <w:szCs w:val="24"/>
        </w:rPr>
        <w:t>83</w:t>
      </w:r>
      <w:r w:rsidR="002D0DAD" w:rsidRPr="00FE49AD">
        <w:rPr>
          <w:rFonts w:ascii="宋体" w:eastAsia="宋体" w:hAnsi="宋体" w:cs="宋体"/>
          <w:b/>
          <w:color w:val="FF0000"/>
          <w:szCs w:val="24"/>
        </w:rPr>
        <w:t xml:space="preserve">. In Silico Pharmacol. 2026 Jul 31;14(2):197. doi: 10.1007/s40203-026-00691-8. </w:t>
      </w:r>
    </w:p>
    <w:p w:rsidR="002D0DAD" w:rsidRPr="00FE49AD" w:rsidRDefault="002D0DAD" w:rsidP="002D0DAD">
      <w:pPr>
        <w:rPr>
          <w:rFonts w:ascii="宋体" w:eastAsia="宋体" w:hAnsi="宋体" w:cs="宋体"/>
          <w:b/>
          <w:color w:val="FF0000"/>
          <w:szCs w:val="24"/>
        </w:rPr>
      </w:pPr>
      <w:r w:rsidRPr="00FE49AD">
        <w:rPr>
          <w:rFonts w:ascii="宋体" w:eastAsia="宋体" w:hAnsi="宋体" w:cs="宋体"/>
          <w:b/>
          <w:color w:val="FF0000"/>
          <w:szCs w:val="24"/>
        </w:rPr>
        <w:t>eCollection 2026.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Enhancing renal tuberculosis treatment: lysozyme-mediated targeted drug delivery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approaches.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Sonar H(1), Paul P(1), Rajkhowa S(1), Bura Gohain B(1), Bora M(1).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(1)Centre for Biotechnology and Bioinformatics, Dibrugarh University,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Dibrugarh,, Assam 786004 India.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Renal tuberculosis (TB) is an extrapulmonary form of TB, and is becoming more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common and challenging to treat. This is because many anti-tubercular drugs have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nephrotoxicity and have poor drug penetration into renal tissues. These problems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highlight the urgent need for safer, kidney-targeted treatment regimes,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particularly in patients with compromised kidney function. Thus, this study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investigates lysozyme, which is a low-molecular-weight protein and has natural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kidney-affinity, as a potential carrier for targeted renal drug delivery. Here,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 comprehensive in silico approach has been utilized to identify non-nephrotoxic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anti-TB drugs and evaluate their suitability for lysozyme-mediated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renal-targeted delivery. For this study, a total of 21 clinically important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anti-TB drugs, including first-line, second-line, and newly developed agents,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were screened for nephrotoxicity using the SA-Predictor and ProTox 3.0 tools.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these, eight drugs were predicted to be non-nephrotoxic and were used for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molecular docking studies with hen egg-white lysozyme (HEWL). The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non-nephrotoxic anti-TB drugs which showed better binding with HEWL, were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subjected to 100 ns molecular dynamics simulations to examine protein-drug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complex stability and were assessed using RMSD, RMSF, hydrogen-bond occupancy,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and radius of gyration. Our study showed that ethambutol, pretomanid, and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terizidone demonstrated the most stable interactions with HEWL. This work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establishes a systematic computational pipeline that integrates nephrotoxicity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profiling, molecular docking, and MD simulations to identify safe anti-TB drugs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suitable for renal-targeted delivery. Additionally, in vitro and in vivo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validation will be essential for advancing these findings toward clinical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application.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SUPPLEMENTARY INFORMATION: The online version contains supplementary material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available at 10.1007/s40203-026-00691-8.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 w:hint="eastAsia"/>
          <w:color w:val="000000" w:themeColor="text1"/>
          <w:szCs w:val="24"/>
        </w:rPr>
        <w:t>©</w:t>
      </w: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 The Author(s), under exclusive licence to Springer-Verlag GmbH Germany, part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of Springer Nature 2026. Springer Nature or its licensor (e.g. a society or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other partner) holds exclusive rights to this article under a publishing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agreement with the author(s) or other rightsholder(s); author self-archiving of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 xml:space="preserve">the accepted manuscript version of this article is solely governed by the terms 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of such publishing agreement and applicable law.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DOI: 10.1007/s40203-026-00691-8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PMCID: PMC13427684</w:t>
      </w:r>
    </w:p>
    <w:p w:rsidR="002D0DAD" w:rsidRP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  <w:r w:rsidRPr="002D0DAD">
        <w:rPr>
          <w:rFonts w:ascii="宋体" w:eastAsia="宋体" w:hAnsi="宋体" w:cs="宋体"/>
          <w:color w:val="000000" w:themeColor="text1"/>
          <w:szCs w:val="24"/>
        </w:rPr>
        <w:t>PMID: 42542661</w:t>
      </w:r>
    </w:p>
    <w:p w:rsidR="002D0DAD" w:rsidRDefault="002D0DAD" w:rsidP="002D0DAD">
      <w:pPr>
        <w:rPr>
          <w:rFonts w:ascii="宋体" w:eastAsia="宋体" w:hAnsi="宋体" w:cs="宋体"/>
          <w:color w:val="000000" w:themeColor="text1"/>
          <w:szCs w:val="24"/>
        </w:rPr>
      </w:pPr>
    </w:p>
    <w:p w:rsidR="00A924C9" w:rsidRPr="005B1238" w:rsidRDefault="005B1238" w:rsidP="00A924C9">
      <w:pPr>
        <w:rPr>
          <w:rFonts w:ascii="宋体" w:eastAsia="宋体" w:hAnsi="宋体" w:cs="宋体"/>
          <w:b/>
          <w:color w:val="FF0000"/>
          <w:szCs w:val="24"/>
        </w:rPr>
      </w:pPr>
      <w:r w:rsidRPr="005B1238">
        <w:rPr>
          <w:rFonts w:ascii="宋体" w:eastAsia="宋体" w:hAnsi="宋体" w:cs="宋体"/>
          <w:b/>
          <w:color w:val="FF0000"/>
          <w:szCs w:val="24"/>
        </w:rPr>
        <w:t>84</w:t>
      </w:r>
      <w:r w:rsidR="00A924C9" w:rsidRPr="005B1238">
        <w:rPr>
          <w:rFonts w:ascii="宋体" w:eastAsia="宋体" w:hAnsi="宋体" w:cs="宋体"/>
          <w:b/>
          <w:color w:val="FF0000"/>
          <w:szCs w:val="24"/>
        </w:rPr>
        <w:t>. Chem Biodivers. 2026 Aug;23(8):e71572. doi: 10.1002/cbdv.71572.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Synthesis, Characterization, and Inhibitory Potential of Fagonia arabica L.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Phytochemicals Coated Gold Nanoparticles Against Drug-Resistant Mycobacterium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>tuberculosis.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lastRenderedPageBreak/>
        <w:t xml:space="preserve">Mukhtar F(1)(2), Khan MT(3)(4), Lodhi MS(2), Ahmad I(5), Alshaya DS(6),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>Al-Qahtani AA(7)(8), Khan AS(9), Clark TG(10).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>Author information: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>(1)Università Degli Studi del Molise, Campobasso, Italy.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>(2)IMBB, The University of Lahore, Lahore, Pakistan.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(3)International Center for Interdisciplinary Research (ICIRS), The University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>of Lahore, Lahore, Pakistan.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(4)State Key Laboratory of Respiratory Disease, Guangzhou Key Laboratory of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Tuberculosis Research, Department of Clinical Laboratory, Guangzhou Chest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Hospital, Institute of Tuberculosis, Guangzhou Medical University, Guangzhou,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>China.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(5)Department of Clinical Laboratory Sciences, College of Applied Medical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>Science, King Khalid University, Abha, Saudi Arabia.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(6)Department of Biology, College of Science, Princess Nourah bint Abdulrahman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>University, Riyadh, Saudi Arabia.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(7)Department of Infection and Immunity, King Faisal Specialist Hospital and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>Research Center, Riyadh, Saudi Arabia.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(8)Department of Microbiology and Immunology, College of Medicine, Alfaisal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>University, Riyadh, Saudi Arabia.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(9)Provincial Tuberculosis Reference Laboratory, Hayatabad Medical Complex,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Peshawar, Khyber Pakhtunkhwa and Department of Microbiology, Kohat University of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>Science and Technology, Kohat, Khyber Pakhtunkhwa, Pakistan.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(10)Department of Infection Biology, London School of Hygiene and Tropical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>Medicine.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In the current study, a novel formulation comprising gold Nanoparticles (AuNPs)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and Fagonia arabica L. (F. arabica L.) phytochemicals, was designed and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conjugated to evaluate inhibitory potential against Mycobacterium tuberculosis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(Mtb). The chemically synthesized AuNPs were characterized followed by anti-Mtb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potential of F. arabica L. extracts were which is significantly increased when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used as a conjugate with AuNPs. The drug-resistant Mtb isolates in MGIT show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that F. arabica L. phytochemicals, in conjugation with AuNPs, exhibit greater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inhibitory activity than plant extracts alone at a concentration of 4.28 µg/mL.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In vivo analysis showed no significant toxicity of the nanoconjugates. The plant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extract was analyzed using ultra-high performance liquid chromatography in which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17 antimycobacterial components, including 14 from Traditional Chinese Medicine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Class, were also identified. While plant-mediated AuNPs synthesis and their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general antibacterial properties have been reported, our study offers distinct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novelty through the specific use of F. arabica L., direct comparison of chemical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versus green synthesis, the efficacy against MDR clinical isolates, and combined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in vitro efficacy and in vivo safety validation. Overall, a good anti-TB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 xml:space="preserve">activity of F. arabica L. in conjugation with AuNPs was found, paving the way 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>for the development of new anti-TB agents against drug-resistant Mtb.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 w:hint="eastAsia"/>
          <w:color w:val="000000" w:themeColor="text1"/>
          <w:szCs w:val="24"/>
        </w:rPr>
        <w:t>© 2026 Wiley‐VHCA AG.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>DOI: 10.1002/cbdv.71572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>PMCID: PMC13446851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  <w:r w:rsidRPr="00631AF2">
        <w:rPr>
          <w:rFonts w:ascii="宋体" w:eastAsia="宋体" w:hAnsi="宋体" w:cs="宋体"/>
          <w:color w:val="000000" w:themeColor="text1"/>
          <w:szCs w:val="24"/>
        </w:rPr>
        <w:t>PMID: 42561137 [Indexed for MEDLINE]</w:t>
      </w:r>
    </w:p>
    <w:p w:rsidR="00A924C9" w:rsidRPr="00631AF2" w:rsidRDefault="00A924C9" w:rsidP="00A924C9">
      <w:pPr>
        <w:rPr>
          <w:rFonts w:ascii="宋体" w:eastAsia="宋体" w:hAnsi="宋体" w:cs="宋体"/>
          <w:color w:val="000000" w:themeColor="text1"/>
          <w:szCs w:val="24"/>
        </w:rPr>
      </w:pPr>
    </w:p>
    <w:p w:rsidR="00A924C9" w:rsidRPr="00A924C9" w:rsidRDefault="00A924C9" w:rsidP="002D0DAD">
      <w:pPr>
        <w:rPr>
          <w:rFonts w:ascii="宋体" w:eastAsia="宋体" w:hAnsi="宋体" w:cs="宋体" w:hint="eastAsia"/>
          <w:color w:val="000000" w:themeColor="text1"/>
          <w:szCs w:val="24"/>
        </w:rPr>
      </w:pPr>
    </w:p>
    <w:sectPr w:rsidR="00A924C9" w:rsidRPr="00A924C9" w:rsidSect="00A47695"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3085" w:rsidRDefault="003F3085" w:rsidP="00913F6F">
      <w:r>
        <w:separator/>
      </w:r>
    </w:p>
  </w:endnote>
  <w:endnote w:type="continuationSeparator" w:id="0">
    <w:p w:rsidR="003F3085" w:rsidRDefault="003F3085" w:rsidP="00913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3085" w:rsidRDefault="003F3085" w:rsidP="00913F6F">
      <w:r>
        <w:separator/>
      </w:r>
    </w:p>
  </w:footnote>
  <w:footnote w:type="continuationSeparator" w:id="0">
    <w:p w:rsidR="003F3085" w:rsidRDefault="003F3085" w:rsidP="00913F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388"/>
    <w:rsid w:val="00000EB4"/>
    <w:rsid w:val="00001BCE"/>
    <w:rsid w:val="00004FA0"/>
    <w:rsid w:val="00005480"/>
    <w:rsid w:val="0000548B"/>
    <w:rsid w:val="00005BFA"/>
    <w:rsid w:val="00006312"/>
    <w:rsid w:val="00006445"/>
    <w:rsid w:val="00006AD1"/>
    <w:rsid w:val="00007FE2"/>
    <w:rsid w:val="00010E83"/>
    <w:rsid w:val="0001109E"/>
    <w:rsid w:val="00011EE4"/>
    <w:rsid w:val="00014ACD"/>
    <w:rsid w:val="00014B97"/>
    <w:rsid w:val="00014C5C"/>
    <w:rsid w:val="000151BC"/>
    <w:rsid w:val="000163F8"/>
    <w:rsid w:val="0001793D"/>
    <w:rsid w:val="00017A03"/>
    <w:rsid w:val="00017EFF"/>
    <w:rsid w:val="00020101"/>
    <w:rsid w:val="00020316"/>
    <w:rsid w:val="0002051D"/>
    <w:rsid w:val="00021027"/>
    <w:rsid w:val="00021F93"/>
    <w:rsid w:val="00025A11"/>
    <w:rsid w:val="00026111"/>
    <w:rsid w:val="00026718"/>
    <w:rsid w:val="00030012"/>
    <w:rsid w:val="000309FE"/>
    <w:rsid w:val="000313FC"/>
    <w:rsid w:val="00032CAA"/>
    <w:rsid w:val="00032F94"/>
    <w:rsid w:val="000340CF"/>
    <w:rsid w:val="0003428A"/>
    <w:rsid w:val="00035E04"/>
    <w:rsid w:val="00036F5C"/>
    <w:rsid w:val="000370E0"/>
    <w:rsid w:val="000379B3"/>
    <w:rsid w:val="00037A3B"/>
    <w:rsid w:val="00040872"/>
    <w:rsid w:val="00042020"/>
    <w:rsid w:val="00042414"/>
    <w:rsid w:val="00042556"/>
    <w:rsid w:val="00042899"/>
    <w:rsid w:val="00044A66"/>
    <w:rsid w:val="00044B78"/>
    <w:rsid w:val="00044C28"/>
    <w:rsid w:val="00045FBC"/>
    <w:rsid w:val="000461EE"/>
    <w:rsid w:val="0004682E"/>
    <w:rsid w:val="00047272"/>
    <w:rsid w:val="000474E6"/>
    <w:rsid w:val="00047D13"/>
    <w:rsid w:val="000505E8"/>
    <w:rsid w:val="00050E61"/>
    <w:rsid w:val="00051DD5"/>
    <w:rsid w:val="000527D8"/>
    <w:rsid w:val="00052E5C"/>
    <w:rsid w:val="000531C2"/>
    <w:rsid w:val="0005401D"/>
    <w:rsid w:val="0005489E"/>
    <w:rsid w:val="00054996"/>
    <w:rsid w:val="000549F5"/>
    <w:rsid w:val="000552EE"/>
    <w:rsid w:val="000567C6"/>
    <w:rsid w:val="00056ACF"/>
    <w:rsid w:val="0006072D"/>
    <w:rsid w:val="00060930"/>
    <w:rsid w:val="00061C4E"/>
    <w:rsid w:val="00061F05"/>
    <w:rsid w:val="00062062"/>
    <w:rsid w:val="0006216E"/>
    <w:rsid w:val="0006285F"/>
    <w:rsid w:val="00063F03"/>
    <w:rsid w:val="00064D3B"/>
    <w:rsid w:val="000661FE"/>
    <w:rsid w:val="00067B6F"/>
    <w:rsid w:val="00067C37"/>
    <w:rsid w:val="00070238"/>
    <w:rsid w:val="00070407"/>
    <w:rsid w:val="0007049C"/>
    <w:rsid w:val="00071826"/>
    <w:rsid w:val="00072366"/>
    <w:rsid w:val="000724C3"/>
    <w:rsid w:val="00074388"/>
    <w:rsid w:val="00076272"/>
    <w:rsid w:val="00077EC3"/>
    <w:rsid w:val="000802F3"/>
    <w:rsid w:val="0008127A"/>
    <w:rsid w:val="000814BF"/>
    <w:rsid w:val="00082113"/>
    <w:rsid w:val="000823C5"/>
    <w:rsid w:val="00083685"/>
    <w:rsid w:val="00084FA1"/>
    <w:rsid w:val="00085FFF"/>
    <w:rsid w:val="0008630A"/>
    <w:rsid w:val="00086502"/>
    <w:rsid w:val="00087251"/>
    <w:rsid w:val="00090B3F"/>
    <w:rsid w:val="00090B53"/>
    <w:rsid w:val="0009167A"/>
    <w:rsid w:val="00091781"/>
    <w:rsid w:val="00091D4F"/>
    <w:rsid w:val="0009258E"/>
    <w:rsid w:val="00092CA5"/>
    <w:rsid w:val="00092F7F"/>
    <w:rsid w:val="00093EB4"/>
    <w:rsid w:val="000943C3"/>
    <w:rsid w:val="0009444D"/>
    <w:rsid w:val="00094774"/>
    <w:rsid w:val="00094D1C"/>
    <w:rsid w:val="0009523F"/>
    <w:rsid w:val="000961CE"/>
    <w:rsid w:val="000966AA"/>
    <w:rsid w:val="000A087D"/>
    <w:rsid w:val="000A0ACA"/>
    <w:rsid w:val="000A0F96"/>
    <w:rsid w:val="000A124E"/>
    <w:rsid w:val="000A127A"/>
    <w:rsid w:val="000A1434"/>
    <w:rsid w:val="000A1D4B"/>
    <w:rsid w:val="000A2127"/>
    <w:rsid w:val="000A2D53"/>
    <w:rsid w:val="000A2F2E"/>
    <w:rsid w:val="000A37C7"/>
    <w:rsid w:val="000A3943"/>
    <w:rsid w:val="000A3E0E"/>
    <w:rsid w:val="000A47E7"/>
    <w:rsid w:val="000A496C"/>
    <w:rsid w:val="000A4A7D"/>
    <w:rsid w:val="000A51E6"/>
    <w:rsid w:val="000A5D84"/>
    <w:rsid w:val="000A6101"/>
    <w:rsid w:val="000A72A6"/>
    <w:rsid w:val="000B00E0"/>
    <w:rsid w:val="000B0CA1"/>
    <w:rsid w:val="000B0CAE"/>
    <w:rsid w:val="000B1016"/>
    <w:rsid w:val="000B115F"/>
    <w:rsid w:val="000B13CA"/>
    <w:rsid w:val="000B16AA"/>
    <w:rsid w:val="000B18A0"/>
    <w:rsid w:val="000B2704"/>
    <w:rsid w:val="000B2997"/>
    <w:rsid w:val="000B2D0A"/>
    <w:rsid w:val="000B39CD"/>
    <w:rsid w:val="000B579D"/>
    <w:rsid w:val="000B58BE"/>
    <w:rsid w:val="000B5A38"/>
    <w:rsid w:val="000B5C58"/>
    <w:rsid w:val="000B6618"/>
    <w:rsid w:val="000B6906"/>
    <w:rsid w:val="000B6914"/>
    <w:rsid w:val="000B6D3C"/>
    <w:rsid w:val="000B7B81"/>
    <w:rsid w:val="000B7B97"/>
    <w:rsid w:val="000C04D5"/>
    <w:rsid w:val="000C1093"/>
    <w:rsid w:val="000C3590"/>
    <w:rsid w:val="000C3A90"/>
    <w:rsid w:val="000C488A"/>
    <w:rsid w:val="000C5482"/>
    <w:rsid w:val="000C614D"/>
    <w:rsid w:val="000C683A"/>
    <w:rsid w:val="000C71E1"/>
    <w:rsid w:val="000D02D3"/>
    <w:rsid w:val="000D205B"/>
    <w:rsid w:val="000D2241"/>
    <w:rsid w:val="000D2A9B"/>
    <w:rsid w:val="000D2B94"/>
    <w:rsid w:val="000D2F64"/>
    <w:rsid w:val="000D3403"/>
    <w:rsid w:val="000D5656"/>
    <w:rsid w:val="000D6450"/>
    <w:rsid w:val="000D7BF2"/>
    <w:rsid w:val="000E052F"/>
    <w:rsid w:val="000E2388"/>
    <w:rsid w:val="000E2E0D"/>
    <w:rsid w:val="000E4DF7"/>
    <w:rsid w:val="000E615C"/>
    <w:rsid w:val="000E6A33"/>
    <w:rsid w:val="000E6C23"/>
    <w:rsid w:val="000E713B"/>
    <w:rsid w:val="000F0847"/>
    <w:rsid w:val="000F0A49"/>
    <w:rsid w:val="000F0D00"/>
    <w:rsid w:val="000F1E63"/>
    <w:rsid w:val="000F1FFB"/>
    <w:rsid w:val="000F24D7"/>
    <w:rsid w:val="000F3795"/>
    <w:rsid w:val="000F39E9"/>
    <w:rsid w:val="000F3B6A"/>
    <w:rsid w:val="000F41CE"/>
    <w:rsid w:val="000F5BE2"/>
    <w:rsid w:val="000F6938"/>
    <w:rsid w:val="000F6B20"/>
    <w:rsid w:val="000F7FE8"/>
    <w:rsid w:val="001009A0"/>
    <w:rsid w:val="00100A49"/>
    <w:rsid w:val="00101FDC"/>
    <w:rsid w:val="0010360B"/>
    <w:rsid w:val="00103B38"/>
    <w:rsid w:val="001045B5"/>
    <w:rsid w:val="00104C1E"/>
    <w:rsid w:val="00104CC5"/>
    <w:rsid w:val="00106495"/>
    <w:rsid w:val="001100AE"/>
    <w:rsid w:val="001111F4"/>
    <w:rsid w:val="00112102"/>
    <w:rsid w:val="001128DA"/>
    <w:rsid w:val="00113B07"/>
    <w:rsid w:val="001146C5"/>
    <w:rsid w:val="00115AA0"/>
    <w:rsid w:val="001160B6"/>
    <w:rsid w:val="00117A55"/>
    <w:rsid w:val="00117E9C"/>
    <w:rsid w:val="00120200"/>
    <w:rsid w:val="00120C7E"/>
    <w:rsid w:val="00122BB5"/>
    <w:rsid w:val="00123084"/>
    <w:rsid w:val="0012313C"/>
    <w:rsid w:val="001232FE"/>
    <w:rsid w:val="001239BF"/>
    <w:rsid w:val="00123B2B"/>
    <w:rsid w:val="00123D14"/>
    <w:rsid w:val="00124054"/>
    <w:rsid w:val="00124203"/>
    <w:rsid w:val="00124FA0"/>
    <w:rsid w:val="001250F8"/>
    <w:rsid w:val="001258E8"/>
    <w:rsid w:val="00130332"/>
    <w:rsid w:val="00130522"/>
    <w:rsid w:val="00131064"/>
    <w:rsid w:val="00131D02"/>
    <w:rsid w:val="00131F89"/>
    <w:rsid w:val="00132F05"/>
    <w:rsid w:val="0013385F"/>
    <w:rsid w:val="00133BD7"/>
    <w:rsid w:val="00133F6C"/>
    <w:rsid w:val="0013533E"/>
    <w:rsid w:val="00135AEE"/>
    <w:rsid w:val="00135C60"/>
    <w:rsid w:val="00135D11"/>
    <w:rsid w:val="00137D90"/>
    <w:rsid w:val="001400DC"/>
    <w:rsid w:val="00141D76"/>
    <w:rsid w:val="00142DC2"/>
    <w:rsid w:val="00143C23"/>
    <w:rsid w:val="00143FFB"/>
    <w:rsid w:val="001442A6"/>
    <w:rsid w:val="0014482B"/>
    <w:rsid w:val="00144C21"/>
    <w:rsid w:val="00145536"/>
    <w:rsid w:val="00145858"/>
    <w:rsid w:val="001460E6"/>
    <w:rsid w:val="001462BE"/>
    <w:rsid w:val="0014644D"/>
    <w:rsid w:val="00147542"/>
    <w:rsid w:val="00147E95"/>
    <w:rsid w:val="0015022B"/>
    <w:rsid w:val="00151492"/>
    <w:rsid w:val="0015230D"/>
    <w:rsid w:val="00152842"/>
    <w:rsid w:val="00152DAF"/>
    <w:rsid w:val="00152FFB"/>
    <w:rsid w:val="0015436D"/>
    <w:rsid w:val="0015447B"/>
    <w:rsid w:val="00154EEE"/>
    <w:rsid w:val="001555BE"/>
    <w:rsid w:val="00155DAB"/>
    <w:rsid w:val="00160D5D"/>
    <w:rsid w:val="00161C58"/>
    <w:rsid w:val="00162024"/>
    <w:rsid w:val="00162396"/>
    <w:rsid w:val="00162E0B"/>
    <w:rsid w:val="001631D1"/>
    <w:rsid w:val="00163933"/>
    <w:rsid w:val="00166D15"/>
    <w:rsid w:val="00166F6B"/>
    <w:rsid w:val="0016722E"/>
    <w:rsid w:val="001678E4"/>
    <w:rsid w:val="00170981"/>
    <w:rsid w:val="00170E44"/>
    <w:rsid w:val="0017293C"/>
    <w:rsid w:val="001730B3"/>
    <w:rsid w:val="00174CD2"/>
    <w:rsid w:val="00176DAB"/>
    <w:rsid w:val="00176EA2"/>
    <w:rsid w:val="00176EA9"/>
    <w:rsid w:val="001770AB"/>
    <w:rsid w:val="00177782"/>
    <w:rsid w:val="00177890"/>
    <w:rsid w:val="00180BC2"/>
    <w:rsid w:val="00182C81"/>
    <w:rsid w:val="001835CE"/>
    <w:rsid w:val="001840C6"/>
    <w:rsid w:val="00184BE2"/>
    <w:rsid w:val="00185015"/>
    <w:rsid w:val="00185DA7"/>
    <w:rsid w:val="001861C1"/>
    <w:rsid w:val="0018793A"/>
    <w:rsid w:val="00187D7F"/>
    <w:rsid w:val="00187F13"/>
    <w:rsid w:val="00190F37"/>
    <w:rsid w:val="0019686E"/>
    <w:rsid w:val="001A062A"/>
    <w:rsid w:val="001A19AA"/>
    <w:rsid w:val="001A19C3"/>
    <w:rsid w:val="001A24D1"/>
    <w:rsid w:val="001A287C"/>
    <w:rsid w:val="001A2B93"/>
    <w:rsid w:val="001A4CD3"/>
    <w:rsid w:val="001A5A10"/>
    <w:rsid w:val="001A61FD"/>
    <w:rsid w:val="001A7D2B"/>
    <w:rsid w:val="001A7F64"/>
    <w:rsid w:val="001B0C50"/>
    <w:rsid w:val="001B1917"/>
    <w:rsid w:val="001B2378"/>
    <w:rsid w:val="001B2393"/>
    <w:rsid w:val="001B2CC5"/>
    <w:rsid w:val="001B2E1D"/>
    <w:rsid w:val="001B3B23"/>
    <w:rsid w:val="001B407D"/>
    <w:rsid w:val="001B48FB"/>
    <w:rsid w:val="001B6473"/>
    <w:rsid w:val="001B6AA0"/>
    <w:rsid w:val="001C143E"/>
    <w:rsid w:val="001C2157"/>
    <w:rsid w:val="001C2709"/>
    <w:rsid w:val="001C3A11"/>
    <w:rsid w:val="001C4AAF"/>
    <w:rsid w:val="001C5349"/>
    <w:rsid w:val="001C55D4"/>
    <w:rsid w:val="001C6150"/>
    <w:rsid w:val="001C71B1"/>
    <w:rsid w:val="001D094C"/>
    <w:rsid w:val="001D12AE"/>
    <w:rsid w:val="001D135A"/>
    <w:rsid w:val="001D152C"/>
    <w:rsid w:val="001D193B"/>
    <w:rsid w:val="001D1977"/>
    <w:rsid w:val="001D1E65"/>
    <w:rsid w:val="001D20AE"/>
    <w:rsid w:val="001D243D"/>
    <w:rsid w:val="001D35E3"/>
    <w:rsid w:val="001D3C91"/>
    <w:rsid w:val="001D49D4"/>
    <w:rsid w:val="001D4AFF"/>
    <w:rsid w:val="001D5338"/>
    <w:rsid w:val="001D6792"/>
    <w:rsid w:val="001D680A"/>
    <w:rsid w:val="001D6B99"/>
    <w:rsid w:val="001D6E95"/>
    <w:rsid w:val="001D7211"/>
    <w:rsid w:val="001E002A"/>
    <w:rsid w:val="001E0F47"/>
    <w:rsid w:val="001E184B"/>
    <w:rsid w:val="001E2408"/>
    <w:rsid w:val="001E3564"/>
    <w:rsid w:val="001E4549"/>
    <w:rsid w:val="001E4901"/>
    <w:rsid w:val="001E4B76"/>
    <w:rsid w:val="001E6B7F"/>
    <w:rsid w:val="001E6C66"/>
    <w:rsid w:val="001E7DBB"/>
    <w:rsid w:val="001E7F12"/>
    <w:rsid w:val="001F0546"/>
    <w:rsid w:val="001F0B99"/>
    <w:rsid w:val="001F0D20"/>
    <w:rsid w:val="001F13B5"/>
    <w:rsid w:val="001F1AB3"/>
    <w:rsid w:val="001F1DDA"/>
    <w:rsid w:val="001F223F"/>
    <w:rsid w:val="001F3009"/>
    <w:rsid w:val="001F468E"/>
    <w:rsid w:val="001F47BE"/>
    <w:rsid w:val="001F7758"/>
    <w:rsid w:val="001F7BC3"/>
    <w:rsid w:val="002014D3"/>
    <w:rsid w:val="002017C2"/>
    <w:rsid w:val="00201C77"/>
    <w:rsid w:val="00202B36"/>
    <w:rsid w:val="00203139"/>
    <w:rsid w:val="0020332A"/>
    <w:rsid w:val="00203479"/>
    <w:rsid w:val="002035B2"/>
    <w:rsid w:val="00203A11"/>
    <w:rsid w:val="00204451"/>
    <w:rsid w:val="0020501F"/>
    <w:rsid w:val="0020526D"/>
    <w:rsid w:val="00206168"/>
    <w:rsid w:val="00207270"/>
    <w:rsid w:val="00210B36"/>
    <w:rsid w:val="00211D14"/>
    <w:rsid w:val="00212490"/>
    <w:rsid w:val="0021250D"/>
    <w:rsid w:val="00212E84"/>
    <w:rsid w:val="002140A1"/>
    <w:rsid w:val="00214B74"/>
    <w:rsid w:val="00214C10"/>
    <w:rsid w:val="0021558B"/>
    <w:rsid w:val="00215646"/>
    <w:rsid w:val="00217583"/>
    <w:rsid w:val="00217D7F"/>
    <w:rsid w:val="00217EAC"/>
    <w:rsid w:val="00220375"/>
    <w:rsid w:val="00220876"/>
    <w:rsid w:val="002208AD"/>
    <w:rsid w:val="00222583"/>
    <w:rsid w:val="00222BD1"/>
    <w:rsid w:val="00223A24"/>
    <w:rsid w:val="002245BB"/>
    <w:rsid w:val="00224620"/>
    <w:rsid w:val="002246DD"/>
    <w:rsid w:val="002253AA"/>
    <w:rsid w:val="00225946"/>
    <w:rsid w:val="002259F8"/>
    <w:rsid w:val="00225AA2"/>
    <w:rsid w:val="00225FCA"/>
    <w:rsid w:val="00227A3A"/>
    <w:rsid w:val="00227B06"/>
    <w:rsid w:val="00230527"/>
    <w:rsid w:val="002307EA"/>
    <w:rsid w:val="002310DD"/>
    <w:rsid w:val="002327BB"/>
    <w:rsid w:val="00232D13"/>
    <w:rsid w:val="002341B8"/>
    <w:rsid w:val="00234622"/>
    <w:rsid w:val="002354A4"/>
    <w:rsid w:val="00235C0D"/>
    <w:rsid w:val="0023625F"/>
    <w:rsid w:val="002374E2"/>
    <w:rsid w:val="00237947"/>
    <w:rsid w:val="00237F69"/>
    <w:rsid w:val="0024041B"/>
    <w:rsid w:val="0024169A"/>
    <w:rsid w:val="00241991"/>
    <w:rsid w:val="00241AAF"/>
    <w:rsid w:val="00241CCB"/>
    <w:rsid w:val="00241EF5"/>
    <w:rsid w:val="00243AAC"/>
    <w:rsid w:val="00243CAB"/>
    <w:rsid w:val="00245848"/>
    <w:rsid w:val="00246CED"/>
    <w:rsid w:val="00247A30"/>
    <w:rsid w:val="00247DD5"/>
    <w:rsid w:val="00251D15"/>
    <w:rsid w:val="00252055"/>
    <w:rsid w:val="0025206B"/>
    <w:rsid w:val="002521B7"/>
    <w:rsid w:val="002531F0"/>
    <w:rsid w:val="0025385D"/>
    <w:rsid w:val="00254324"/>
    <w:rsid w:val="00254746"/>
    <w:rsid w:val="002549C3"/>
    <w:rsid w:val="002553EB"/>
    <w:rsid w:val="002560F7"/>
    <w:rsid w:val="00261FA0"/>
    <w:rsid w:val="002625F3"/>
    <w:rsid w:val="002627B3"/>
    <w:rsid w:val="0026297A"/>
    <w:rsid w:val="002644D4"/>
    <w:rsid w:val="00264B9F"/>
    <w:rsid w:val="00264CEA"/>
    <w:rsid w:val="00264E19"/>
    <w:rsid w:val="00265139"/>
    <w:rsid w:val="00266E21"/>
    <w:rsid w:val="00267E57"/>
    <w:rsid w:val="00270108"/>
    <w:rsid w:val="00270744"/>
    <w:rsid w:val="00270A23"/>
    <w:rsid w:val="002722A7"/>
    <w:rsid w:val="002728C5"/>
    <w:rsid w:val="00273A9C"/>
    <w:rsid w:val="0027416D"/>
    <w:rsid w:val="00274293"/>
    <w:rsid w:val="00275956"/>
    <w:rsid w:val="00275EC1"/>
    <w:rsid w:val="00277AFE"/>
    <w:rsid w:val="00277F10"/>
    <w:rsid w:val="0028042B"/>
    <w:rsid w:val="00280E39"/>
    <w:rsid w:val="00280F31"/>
    <w:rsid w:val="00281CB1"/>
    <w:rsid w:val="0028209D"/>
    <w:rsid w:val="0028230D"/>
    <w:rsid w:val="00282B0E"/>
    <w:rsid w:val="00282F1F"/>
    <w:rsid w:val="0028314F"/>
    <w:rsid w:val="0028424E"/>
    <w:rsid w:val="002848FA"/>
    <w:rsid w:val="00285197"/>
    <w:rsid w:val="00285319"/>
    <w:rsid w:val="00285E4E"/>
    <w:rsid w:val="0028600C"/>
    <w:rsid w:val="00286550"/>
    <w:rsid w:val="00286887"/>
    <w:rsid w:val="002868D6"/>
    <w:rsid w:val="00286A29"/>
    <w:rsid w:val="002874B2"/>
    <w:rsid w:val="002874EE"/>
    <w:rsid w:val="00287640"/>
    <w:rsid w:val="00290B6B"/>
    <w:rsid w:val="00290E55"/>
    <w:rsid w:val="00290E94"/>
    <w:rsid w:val="00292A20"/>
    <w:rsid w:val="00292BA6"/>
    <w:rsid w:val="00294663"/>
    <w:rsid w:val="00295075"/>
    <w:rsid w:val="00295697"/>
    <w:rsid w:val="00295B81"/>
    <w:rsid w:val="00295B85"/>
    <w:rsid w:val="0029689E"/>
    <w:rsid w:val="00296D7C"/>
    <w:rsid w:val="00296E3B"/>
    <w:rsid w:val="00297519"/>
    <w:rsid w:val="00297B5A"/>
    <w:rsid w:val="00297DED"/>
    <w:rsid w:val="002A042C"/>
    <w:rsid w:val="002A07FE"/>
    <w:rsid w:val="002A0E2E"/>
    <w:rsid w:val="002A0F6A"/>
    <w:rsid w:val="002A1472"/>
    <w:rsid w:val="002A1A26"/>
    <w:rsid w:val="002A1AAB"/>
    <w:rsid w:val="002A1B06"/>
    <w:rsid w:val="002A3C42"/>
    <w:rsid w:val="002A41A5"/>
    <w:rsid w:val="002A51D6"/>
    <w:rsid w:val="002A547E"/>
    <w:rsid w:val="002A5D78"/>
    <w:rsid w:val="002A65AC"/>
    <w:rsid w:val="002A75CF"/>
    <w:rsid w:val="002A7D07"/>
    <w:rsid w:val="002B16D1"/>
    <w:rsid w:val="002B18EF"/>
    <w:rsid w:val="002B1A87"/>
    <w:rsid w:val="002B3BDD"/>
    <w:rsid w:val="002B3D2D"/>
    <w:rsid w:val="002B4B9B"/>
    <w:rsid w:val="002B5B8F"/>
    <w:rsid w:val="002B6556"/>
    <w:rsid w:val="002B7F0A"/>
    <w:rsid w:val="002C0EEC"/>
    <w:rsid w:val="002C2226"/>
    <w:rsid w:val="002C3527"/>
    <w:rsid w:val="002C589E"/>
    <w:rsid w:val="002C6147"/>
    <w:rsid w:val="002C656A"/>
    <w:rsid w:val="002C6883"/>
    <w:rsid w:val="002C6919"/>
    <w:rsid w:val="002C6A30"/>
    <w:rsid w:val="002C729F"/>
    <w:rsid w:val="002D063A"/>
    <w:rsid w:val="002D0DAD"/>
    <w:rsid w:val="002D1294"/>
    <w:rsid w:val="002D1B15"/>
    <w:rsid w:val="002D259B"/>
    <w:rsid w:val="002D2D2F"/>
    <w:rsid w:val="002D31AF"/>
    <w:rsid w:val="002D38DC"/>
    <w:rsid w:val="002D3BE5"/>
    <w:rsid w:val="002D3C81"/>
    <w:rsid w:val="002D465E"/>
    <w:rsid w:val="002D4F47"/>
    <w:rsid w:val="002D538B"/>
    <w:rsid w:val="002D5586"/>
    <w:rsid w:val="002D5B3D"/>
    <w:rsid w:val="002D724F"/>
    <w:rsid w:val="002D7ADC"/>
    <w:rsid w:val="002E0C52"/>
    <w:rsid w:val="002E131C"/>
    <w:rsid w:val="002E1548"/>
    <w:rsid w:val="002E1CF6"/>
    <w:rsid w:val="002E1DE8"/>
    <w:rsid w:val="002E27A4"/>
    <w:rsid w:val="002E28FD"/>
    <w:rsid w:val="002E3CE7"/>
    <w:rsid w:val="002E40C2"/>
    <w:rsid w:val="002E75F4"/>
    <w:rsid w:val="002E7B15"/>
    <w:rsid w:val="002E7C80"/>
    <w:rsid w:val="002F014F"/>
    <w:rsid w:val="002F1E20"/>
    <w:rsid w:val="002F2207"/>
    <w:rsid w:val="002F3F3D"/>
    <w:rsid w:val="002F476D"/>
    <w:rsid w:val="002F53B0"/>
    <w:rsid w:val="002F6002"/>
    <w:rsid w:val="002F7D45"/>
    <w:rsid w:val="00300B54"/>
    <w:rsid w:val="00300C4C"/>
    <w:rsid w:val="00300CA5"/>
    <w:rsid w:val="00300DAB"/>
    <w:rsid w:val="00301687"/>
    <w:rsid w:val="003029A2"/>
    <w:rsid w:val="00302A36"/>
    <w:rsid w:val="003030D7"/>
    <w:rsid w:val="00303164"/>
    <w:rsid w:val="003040D8"/>
    <w:rsid w:val="0030565A"/>
    <w:rsid w:val="0030587F"/>
    <w:rsid w:val="00305F0C"/>
    <w:rsid w:val="003064FE"/>
    <w:rsid w:val="003074D8"/>
    <w:rsid w:val="003077B3"/>
    <w:rsid w:val="00307B01"/>
    <w:rsid w:val="00307B4A"/>
    <w:rsid w:val="00311A67"/>
    <w:rsid w:val="00311FA9"/>
    <w:rsid w:val="003126AE"/>
    <w:rsid w:val="00312C1D"/>
    <w:rsid w:val="00312E3F"/>
    <w:rsid w:val="0031350B"/>
    <w:rsid w:val="00313587"/>
    <w:rsid w:val="003142FD"/>
    <w:rsid w:val="003146B0"/>
    <w:rsid w:val="003146D6"/>
    <w:rsid w:val="00314966"/>
    <w:rsid w:val="00314BE0"/>
    <w:rsid w:val="00314F1F"/>
    <w:rsid w:val="0031631B"/>
    <w:rsid w:val="00316533"/>
    <w:rsid w:val="00317ED1"/>
    <w:rsid w:val="003209BB"/>
    <w:rsid w:val="003215E0"/>
    <w:rsid w:val="003220BD"/>
    <w:rsid w:val="003226F0"/>
    <w:rsid w:val="0032285D"/>
    <w:rsid w:val="00322D2F"/>
    <w:rsid w:val="0032331B"/>
    <w:rsid w:val="00323932"/>
    <w:rsid w:val="00325675"/>
    <w:rsid w:val="00325F86"/>
    <w:rsid w:val="003269F0"/>
    <w:rsid w:val="003278EB"/>
    <w:rsid w:val="00327C93"/>
    <w:rsid w:val="00330401"/>
    <w:rsid w:val="00330A46"/>
    <w:rsid w:val="0033263C"/>
    <w:rsid w:val="00332F79"/>
    <w:rsid w:val="00333688"/>
    <w:rsid w:val="00333A35"/>
    <w:rsid w:val="00334B36"/>
    <w:rsid w:val="003356DC"/>
    <w:rsid w:val="00335CCC"/>
    <w:rsid w:val="00335F35"/>
    <w:rsid w:val="003363F3"/>
    <w:rsid w:val="00336859"/>
    <w:rsid w:val="00336944"/>
    <w:rsid w:val="003372AB"/>
    <w:rsid w:val="00337545"/>
    <w:rsid w:val="0033783D"/>
    <w:rsid w:val="003406AB"/>
    <w:rsid w:val="00341F54"/>
    <w:rsid w:val="00342039"/>
    <w:rsid w:val="00342091"/>
    <w:rsid w:val="00342913"/>
    <w:rsid w:val="0034466B"/>
    <w:rsid w:val="00344804"/>
    <w:rsid w:val="00346EFA"/>
    <w:rsid w:val="00350F89"/>
    <w:rsid w:val="003529D4"/>
    <w:rsid w:val="003535CE"/>
    <w:rsid w:val="003541CB"/>
    <w:rsid w:val="0036034D"/>
    <w:rsid w:val="00360C14"/>
    <w:rsid w:val="0036168A"/>
    <w:rsid w:val="00362B9A"/>
    <w:rsid w:val="00362EE3"/>
    <w:rsid w:val="003645BC"/>
    <w:rsid w:val="003648C3"/>
    <w:rsid w:val="00364A17"/>
    <w:rsid w:val="00364EE5"/>
    <w:rsid w:val="00365E7B"/>
    <w:rsid w:val="0036630B"/>
    <w:rsid w:val="0036772D"/>
    <w:rsid w:val="00370021"/>
    <w:rsid w:val="00370067"/>
    <w:rsid w:val="00370FE4"/>
    <w:rsid w:val="003712DE"/>
    <w:rsid w:val="003718DB"/>
    <w:rsid w:val="00372093"/>
    <w:rsid w:val="003736DE"/>
    <w:rsid w:val="003738F1"/>
    <w:rsid w:val="00375393"/>
    <w:rsid w:val="003759FA"/>
    <w:rsid w:val="00375EDD"/>
    <w:rsid w:val="00376FA2"/>
    <w:rsid w:val="00377122"/>
    <w:rsid w:val="003777B5"/>
    <w:rsid w:val="0038000A"/>
    <w:rsid w:val="0038007F"/>
    <w:rsid w:val="00380B8A"/>
    <w:rsid w:val="00380E38"/>
    <w:rsid w:val="00380E48"/>
    <w:rsid w:val="0038188B"/>
    <w:rsid w:val="00381BDE"/>
    <w:rsid w:val="00381CCA"/>
    <w:rsid w:val="00383DE7"/>
    <w:rsid w:val="00384F9F"/>
    <w:rsid w:val="0038579F"/>
    <w:rsid w:val="00385874"/>
    <w:rsid w:val="0038597F"/>
    <w:rsid w:val="003909A2"/>
    <w:rsid w:val="00391EB5"/>
    <w:rsid w:val="00392265"/>
    <w:rsid w:val="00392AC6"/>
    <w:rsid w:val="00393A15"/>
    <w:rsid w:val="00393DEA"/>
    <w:rsid w:val="003946E6"/>
    <w:rsid w:val="00394EE4"/>
    <w:rsid w:val="00396814"/>
    <w:rsid w:val="00396D0C"/>
    <w:rsid w:val="00397151"/>
    <w:rsid w:val="00397B01"/>
    <w:rsid w:val="00397FD1"/>
    <w:rsid w:val="003A0553"/>
    <w:rsid w:val="003A0926"/>
    <w:rsid w:val="003A1FAA"/>
    <w:rsid w:val="003A1FFA"/>
    <w:rsid w:val="003A444E"/>
    <w:rsid w:val="003A58E9"/>
    <w:rsid w:val="003A78A7"/>
    <w:rsid w:val="003A79FB"/>
    <w:rsid w:val="003B0585"/>
    <w:rsid w:val="003B066E"/>
    <w:rsid w:val="003B0F3B"/>
    <w:rsid w:val="003B14F6"/>
    <w:rsid w:val="003B1A72"/>
    <w:rsid w:val="003B2353"/>
    <w:rsid w:val="003B2FBC"/>
    <w:rsid w:val="003B3FE2"/>
    <w:rsid w:val="003B42D8"/>
    <w:rsid w:val="003B4B60"/>
    <w:rsid w:val="003B5AED"/>
    <w:rsid w:val="003B7E64"/>
    <w:rsid w:val="003B7EE8"/>
    <w:rsid w:val="003C18CE"/>
    <w:rsid w:val="003C237E"/>
    <w:rsid w:val="003C323A"/>
    <w:rsid w:val="003C3D28"/>
    <w:rsid w:val="003C455F"/>
    <w:rsid w:val="003C4CED"/>
    <w:rsid w:val="003C5A64"/>
    <w:rsid w:val="003C750E"/>
    <w:rsid w:val="003C7907"/>
    <w:rsid w:val="003C7F17"/>
    <w:rsid w:val="003D03AE"/>
    <w:rsid w:val="003D0460"/>
    <w:rsid w:val="003D04A0"/>
    <w:rsid w:val="003D070F"/>
    <w:rsid w:val="003D09D8"/>
    <w:rsid w:val="003D1089"/>
    <w:rsid w:val="003D1633"/>
    <w:rsid w:val="003D1D73"/>
    <w:rsid w:val="003D357E"/>
    <w:rsid w:val="003D46F1"/>
    <w:rsid w:val="003D5569"/>
    <w:rsid w:val="003D6513"/>
    <w:rsid w:val="003E00FA"/>
    <w:rsid w:val="003E083A"/>
    <w:rsid w:val="003E1C2A"/>
    <w:rsid w:val="003E3CDD"/>
    <w:rsid w:val="003E4726"/>
    <w:rsid w:val="003E4DBD"/>
    <w:rsid w:val="003E6317"/>
    <w:rsid w:val="003E71B7"/>
    <w:rsid w:val="003E7B60"/>
    <w:rsid w:val="003E7ED3"/>
    <w:rsid w:val="003E7F6D"/>
    <w:rsid w:val="003F0272"/>
    <w:rsid w:val="003F031F"/>
    <w:rsid w:val="003F08C1"/>
    <w:rsid w:val="003F0AD7"/>
    <w:rsid w:val="003F2BA8"/>
    <w:rsid w:val="003F3085"/>
    <w:rsid w:val="003F4118"/>
    <w:rsid w:val="003F4499"/>
    <w:rsid w:val="003F5554"/>
    <w:rsid w:val="003F57D2"/>
    <w:rsid w:val="00401169"/>
    <w:rsid w:val="00401365"/>
    <w:rsid w:val="00401A85"/>
    <w:rsid w:val="00403465"/>
    <w:rsid w:val="00406903"/>
    <w:rsid w:val="0040767C"/>
    <w:rsid w:val="00407CFA"/>
    <w:rsid w:val="004101F1"/>
    <w:rsid w:val="00410F68"/>
    <w:rsid w:val="0041101A"/>
    <w:rsid w:val="00411B7C"/>
    <w:rsid w:val="004151E5"/>
    <w:rsid w:val="00415641"/>
    <w:rsid w:val="00415C72"/>
    <w:rsid w:val="00417747"/>
    <w:rsid w:val="00417B69"/>
    <w:rsid w:val="00417BBC"/>
    <w:rsid w:val="004209F6"/>
    <w:rsid w:val="00420CA6"/>
    <w:rsid w:val="00421470"/>
    <w:rsid w:val="00421A67"/>
    <w:rsid w:val="004226A8"/>
    <w:rsid w:val="00422E27"/>
    <w:rsid w:val="00423A83"/>
    <w:rsid w:val="004241F2"/>
    <w:rsid w:val="00427072"/>
    <w:rsid w:val="00427D12"/>
    <w:rsid w:val="00430C9D"/>
    <w:rsid w:val="00431303"/>
    <w:rsid w:val="00431605"/>
    <w:rsid w:val="004317E7"/>
    <w:rsid w:val="00431BD7"/>
    <w:rsid w:val="0043259D"/>
    <w:rsid w:val="004326CB"/>
    <w:rsid w:val="0043364E"/>
    <w:rsid w:val="004337CA"/>
    <w:rsid w:val="004339F5"/>
    <w:rsid w:val="00434DB0"/>
    <w:rsid w:val="0043521F"/>
    <w:rsid w:val="004369E9"/>
    <w:rsid w:val="00437FB0"/>
    <w:rsid w:val="00440A9B"/>
    <w:rsid w:val="00441CB7"/>
    <w:rsid w:val="00442959"/>
    <w:rsid w:val="00442B95"/>
    <w:rsid w:val="00443E05"/>
    <w:rsid w:val="004440BA"/>
    <w:rsid w:val="004450FB"/>
    <w:rsid w:val="00445797"/>
    <w:rsid w:val="00445F7F"/>
    <w:rsid w:val="0044721A"/>
    <w:rsid w:val="00447302"/>
    <w:rsid w:val="0044758E"/>
    <w:rsid w:val="004476CA"/>
    <w:rsid w:val="00447F3E"/>
    <w:rsid w:val="004504D9"/>
    <w:rsid w:val="00451AAB"/>
    <w:rsid w:val="0045391C"/>
    <w:rsid w:val="00453DFE"/>
    <w:rsid w:val="00454592"/>
    <w:rsid w:val="00455971"/>
    <w:rsid w:val="00456CD2"/>
    <w:rsid w:val="00457209"/>
    <w:rsid w:val="00457EE1"/>
    <w:rsid w:val="004600C7"/>
    <w:rsid w:val="0046037D"/>
    <w:rsid w:val="004607EA"/>
    <w:rsid w:val="004610B6"/>
    <w:rsid w:val="00462344"/>
    <w:rsid w:val="004638B4"/>
    <w:rsid w:val="00463D21"/>
    <w:rsid w:val="00463E85"/>
    <w:rsid w:val="00465181"/>
    <w:rsid w:val="004656EA"/>
    <w:rsid w:val="00465FAF"/>
    <w:rsid w:val="00466B16"/>
    <w:rsid w:val="00466CA2"/>
    <w:rsid w:val="00467E83"/>
    <w:rsid w:val="00470778"/>
    <w:rsid w:val="00470B22"/>
    <w:rsid w:val="004716E4"/>
    <w:rsid w:val="0047269D"/>
    <w:rsid w:val="00472728"/>
    <w:rsid w:val="00472B29"/>
    <w:rsid w:val="00472DC5"/>
    <w:rsid w:val="00473003"/>
    <w:rsid w:val="00473333"/>
    <w:rsid w:val="0047337D"/>
    <w:rsid w:val="00473D73"/>
    <w:rsid w:val="004743FF"/>
    <w:rsid w:val="00474913"/>
    <w:rsid w:val="00474C3C"/>
    <w:rsid w:val="00475D28"/>
    <w:rsid w:val="004762C9"/>
    <w:rsid w:val="00476368"/>
    <w:rsid w:val="004776FB"/>
    <w:rsid w:val="004779D6"/>
    <w:rsid w:val="00480FE5"/>
    <w:rsid w:val="00481EE3"/>
    <w:rsid w:val="004822D6"/>
    <w:rsid w:val="0048348C"/>
    <w:rsid w:val="0048387A"/>
    <w:rsid w:val="00483D06"/>
    <w:rsid w:val="004841C3"/>
    <w:rsid w:val="004843C9"/>
    <w:rsid w:val="0048441B"/>
    <w:rsid w:val="00486346"/>
    <w:rsid w:val="004876BB"/>
    <w:rsid w:val="00487B5D"/>
    <w:rsid w:val="00487D04"/>
    <w:rsid w:val="004901C9"/>
    <w:rsid w:val="00490B2D"/>
    <w:rsid w:val="00491411"/>
    <w:rsid w:val="00491706"/>
    <w:rsid w:val="00493AC3"/>
    <w:rsid w:val="00493E36"/>
    <w:rsid w:val="00495E53"/>
    <w:rsid w:val="00496279"/>
    <w:rsid w:val="004962D2"/>
    <w:rsid w:val="00496518"/>
    <w:rsid w:val="00496A6E"/>
    <w:rsid w:val="004977DA"/>
    <w:rsid w:val="004A016E"/>
    <w:rsid w:val="004A09AB"/>
    <w:rsid w:val="004A1372"/>
    <w:rsid w:val="004A170F"/>
    <w:rsid w:val="004A1F5A"/>
    <w:rsid w:val="004A2A82"/>
    <w:rsid w:val="004A4DB0"/>
    <w:rsid w:val="004A519B"/>
    <w:rsid w:val="004A53E7"/>
    <w:rsid w:val="004A5A3E"/>
    <w:rsid w:val="004A7F7B"/>
    <w:rsid w:val="004A7FBC"/>
    <w:rsid w:val="004B18EA"/>
    <w:rsid w:val="004B1D4D"/>
    <w:rsid w:val="004B350E"/>
    <w:rsid w:val="004B37DE"/>
    <w:rsid w:val="004B4871"/>
    <w:rsid w:val="004B5059"/>
    <w:rsid w:val="004B5B91"/>
    <w:rsid w:val="004B5DF7"/>
    <w:rsid w:val="004B5EFA"/>
    <w:rsid w:val="004B6026"/>
    <w:rsid w:val="004B6861"/>
    <w:rsid w:val="004B7990"/>
    <w:rsid w:val="004B7CF2"/>
    <w:rsid w:val="004C0279"/>
    <w:rsid w:val="004C036D"/>
    <w:rsid w:val="004C0B6E"/>
    <w:rsid w:val="004C1340"/>
    <w:rsid w:val="004C1FE4"/>
    <w:rsid w:val="004C23E0"/>
    <w:rsid w:val="004C2F84"/>
    <w:rsid w:val="004C3887"/>
    <w:rsid w:val="004C38BD"/>
    <w:rsid w:val="004C3D5D"/>
    <w:rsid w:val="004C3EBD"/>
    <w:rsid w:val="004C44E8"/>
    <w:rsid w:val="004C498E"/>
    <w:rsid w:val="004C4F6F"/>
    <w:rsid w:val="004C5885"/>
    <w:rsid w:val="004C6DDA"/>
    <w:rsid w:val="004C6F15"/>
    <w:rsid w:val="004D13E4"/>
    <w:rsid w:val="004D1EFB"/>
    <w:rsid w:val="004D3490"/>
    <w:rsid w:val="004D499C"/>
    <w:rsid w:val="004D55EA"/>
    <w:rsid w:val="004D716B"/>
    <w:rsid w:val="004D759F"/>
    <w:rsid w:val="004D7C05"/>
    <w:rsid w:val="004E006F"/>
    <w:rsid w:val="004E06C3"/>
    <w:rsid w:val="004E0F3C"/>
    <w:rsid w:val="004E1549"/>
    <w:rsid w:val="004E16E6"/>
    <w:rsid w:val="004E38B3"/>
    <w:rsid w:val="004E39F3"/>
    <w:rsid w:val="004E3AA1"/>
    <w:rsid w:val="004E3BEC"/>
    <w:rsid w:val="004E58E5"/>
    <w:rsid w:val="004E6304"/>
    <w:rsid w:val="004E64F0"/>
    <w:rsid w:val="004E6833"/>
    <w:rsid w:val="004E6FA6"/>
    <w:rsid w:val="004E723F"/>
    <w:rsid w:val="004E7A20"/>
    <w:rsid w:val="004F0CA6"/>
    <w:rsid w:val="004F1C58"/>
    <w:rsid w:val="004F1E5E"/>
    <w:rsid w:val="004F2478"/>
    <w:rsid w:val="004F2E12"/>
    <w:rsid w:val="004F3262"/>
    <w:rsid w:val="004F332B"/>
    <w:rsid w:val="004F3330"/>
    <w:rsid w:val="004F36A2"/>
    <w:rsid w:val="004F3E69"/>
    <w:rsid w:val="004F40F4"/>
    <w:rsid w:val="004F41D3"/>
    <w:rsid w:val="004F4C4D"/>
    <w:rsid w:val="004F4EBC"/>
    <w:rsid w:val="004F57F1"/>
    <w:rsid w:val="004F5A8B"/>
    <w:rsid w:val="004F5D28"/>
    <w:rsid w:val="004F6376"/>
    <w:rsid w:val="004F7CB6"/>
    <w:rsid w:val="004F7F18"/>
    <w:rsid w:val="00500140"/>
    <w:rsid w:val="00500BE7"/>
    <w:rsid w:val="00500F3F"/>
    <w:rsid w:val="00501280"/>
    <w:rsid w:val="00501308"/>
    <w:rsid w:val="00502292"/>
    <w:rsid w:val="00502897"/>
    <w:rsid w:val="00503AE4"/>
    <w:rsid w:val="00503D99"/>
    <w:rsid w:val="005045BA"/>
    <w:rsid w:val="00505213"/>
    <w:rsid w:val="0050552F"/>
    <w:rsid w:val="00505661"/>
    <w:rsid w:val="00505AA2"/>
    <w:rsid w:val="005062F4"/>
    <w:rsid w:val="00510435"/>
    <w:rsid w:val="00510FA6"/>
    <w:rsid w:val="005119D2"/>
    <w:rsid w:val="00512AB0"/>
    <w:rsid w:val="005131D8"/>
    <w:rsid w:val="00514976"/>
    <w:rsid w:val="00516177"/>
    <w:rsid w:val="00520E52"/>
    <w:rsid w:val="00520FC7"/>
    <w:rsid w:val="005227BB"/>
    <w:rsid w:val="0052307E"/>
    <w:rsid w:val="00523642"/>
    <w:rsid w:val="00524110"/>
    <w:rsid w:val="005256F9"/>
    <w:rsid w:val="00526B7C"/>
    <w:rsid w:val="00527B5D"/>
    <w:rsid w:val="00527D60"/>
    <w:rsid w:val="00531720"/>
    <w:rsid w:val="0053254B"/>
    <w:rsid w:val="00532DDD"/>
    <w:rsid w:val="0053308B"/>
    <w:rsid w:val="00533C72"/>
    <w:rsid w:val="005343D5"/>
    <w:rsid w:val="00534F88"/>
    <w:rsid w:val="00536087"/>
    <w:rsid w:val="00537779"/>
    <w:rsid w:val="00542E4A"/>
    <w:rsid w:val="00543083"/>
    <w:rsid w:val="005434E7"/>
    <w:rsid w:val="005440A1"/>
    <w:rsid w:val="00544FD6"/>
    <w:rsid w:val="0054651E"/>
    <w:rsid w:val="005500BE"/>
    <w:rsid w:val="005500FD"/>
    <w:rsid w:val="00550355"/>
    <w:rsid w:val="0055091D"/>
    <w:rsid w:val="0055158B"/>
    <w:rsid w:val="0055176C"/>
    <w:rsid w:val="00552259"/>
    <w:rsid w:val="00552BCF"/>
    <w:rsid w:val="005533A6"/>
    <w:rsid w:val="00553431"/>
    <w:rsid w:val="00555475"/>
    <w:rsid w:val="005559FD"/>
    <w:rsid w:val="00555CF2"/>
    <w:rsid w:val="00556014"/>
    <w:rsid w:val="005568CE"/>
    <w:rsid w:val="0055724C"/>
    <w:rsid w:val="00560012"/>
    <w:rsid w:val="005604C8"/>
    <w:rsid w:val="005605CF"/>
    <w:rsid w:val="00560A49"/>
    <w:rsid w:val="00560F93"/>
    <w:rsid w:val="00561556"/>
    <w:rsid w:val="00561FD6"/>
    <w:rsid w:val="00562A0C"/>
    <w:rsid w:val="0056623A"/>
    <w:rsid w:val="00566C79"/>
    <w:rsid w:val="0056769E"/>
    <w:rsid w:val="005719A9"/>
    <w:rsid w:val="00571A07"/>
    <w:rsid w:val="0057219F"/>
    <w:rsid w:val="00573AF6"/>
    <w:rsid w:val="00573EFB"/>
    <w:rsid w:val="00574E7D"/>
    <w:rsid w:val="00575028"/>
    <w:rsid w:val="005767DF"/>
    <w:rsid w:val="00577E7F"/>
    <w:rsid w:val="00580397"/>
    <w:rsid w:val="00580E33"/>
    <w:rsid w:val="00580FA1"/>
    <w:rsid w:val="00580FB2"/>
    <w:rsid w:val="00581EB5"/>
    <w:rsid w:val="00582355"/>
    <w:rsid w:val="00582D45"/>
    <w:rsid w:val="005836A3"/>
    <w:rsid w:val="00583FC8"/>
    <w:rsid w:val="00584AA2"/>
    <w:rsid w:val="00584BFE"/>
    <w:rsid w:val="00584C0C"/>
    <w:rsid w:val="005859CD"/>
    <w:rsid w:val="00585CCD"/>
    <w:rsid w:val="005862F9"/>
    <w:rsid w:val="005867AE"/>
    <w:rsid w:val="00586A6E"/>
    <w:rsid w:val="00587EE0"/>
    <w:rsid w:val="00590CBE"/>
    <w:rsid w:val="00591070"/>
    <w:rsid w:val="00591ADA"/>
    <w:rsid w:val="00594704"/>
    <w:rsid w:val="00594978"/>
    <w:rsid w:val="00594EFF"/>
    <w:rsid w:val="0059543C"/>
    <w:rsid w:val="00596664"/>
    <w:rsid w:val="00597FD4"/>
    <w:rsid w:val="005A1713"/>
    <w:rsid w:val="005A1A36"/>
    <w:rsid w:val="005A1B0A"/>
    <w:rsid w:val="005A1D3F"/>
    <w:rsid w:val="005A1FAA"/>
    <w:rsid w:val="005A30EB"/>
    <w:rsid w:val="005A365F"/>
    <w:rsid w:val="005A3ADD"/>
    <w:rsid w:val="005A5BB5"/>
    <w:rsid w:val="005A5DD5"/>
    <w:rsid w:val="005A6500"/>
    <w:rsid w:val="005A6820"/>
    <w:rsid w:val="005A7CE5"/>
    <w:rsid w:val="005B0A3B"/>
    <w:rsid w:val="005B1238"/>
    <w:rsid w:val="005B14FD"/>
    <w:rsid w:val="005B1604"/>
    <w:rsid w:val="005B21CB"/>
    <w:rsid w:val="005B26BF"/>
    <w:rsid w:val="005B2B9A"/>
    <w:rsid w:val="005B336A"/>
    <w:rsid w:val="005B33E8"/>
    <w:rsid w:val="005B3BC9"/>
    <w:rsid w:val="005B3D4D"/>
    <w:rsid w:val="005B685E"/>
    <w:rsid w:val="005B6963"/>
    <w:rsid w:val="005B7F51"/>
    <w:rsid w:val="005C0117"/>
    <w:rsid w:val="005C04D7"/>
    <w:rsid w:val="005C6417"/>
    <w:rsid w:val="005C7568"/>
    <w:rsid w:val="005D2499"/>
    <w:rsid w:val="005D46EA"/>
    <w:rsid w:val="005D4FAA"/>
    <w:rsid w:val="005D566E"/>
    <w:rsid w:val="005E0302"/>
    <w:rsid w:val="005E0886"/>
    <w:rsid w:val="005E243B"/>
    <w:rsid w:val="005E295F"/>
    <w:rsid w:val="005E3253"/>
    <w:rsid w:val="005E368E"/>
    <w:rsid w:val="005E3881"/>
    <w:rsid w:val="005E3A20"/>
    <w:rsid w:val="005E4EAB"/>
    <w:rsid w:val="005E5788"/>
    <w:rsid w:val="005E5E8B"/>
    <w:rsid w:val="005E73DF"/>
    <w:rsid w:val="005E7678"/>
    <w:rsid w:val="005E77ED"/>
    <w:rsid w:val="005F36F0"/>
    <w:rsid w:val="005F4DFE"/>
    <w:rsid w:val="005F665A"/>
    <w:rsid w:val="005F66C8"/>
    <w:rsid w:val="005F6B69"/>
    <w:rsid w:val="005F6E87"/>
    <w:rsid w:val="005F7CD3"/>
    <w:rsid w:val="005F7CDC"/>
    <w:rsid w:val="00601843"/>
    <w:rsid w:val="0060267D"/>
    <w:rsid w:val="00603941"/>
    <w:rsid w:val="00603A4A"/>
    <w:rsid w:val="00604600"/>
    <w:rsid w:val="00605731"/>
    <w:rsid w:val="00605D18"/>
    <w:rsid w:val="006065CD"/>
    <w:rsid w:val="0060733E"/>
    <w:rsid w:val="0060746E"/>
    <w:rsid w:val="00607800"/>
    <w:rsid w:val="00607A7E"/>
    <w:rsid w:val="0061122C"/>
    <w:rsid w:val="0061137F"/>
    <w:rsid w:val="0061279E"/>
    <w:rsid w:val="00612904"/>
    <w:rsid w:val="00612C03"/>
    <w:rsid w:val="00614034"/>
    <w:rsid w:val="00614057"/>
    <w:rsid w:val="006146AA"/>
    <w:rsid w:val="00614D50"/>
    <w:rsid w:val="00615240"/>
    <w:rsid w:val="00617459"/>
    <w:rsid w:val="00620628"/>
    <w:rsid w:val="00620942"/>
    <w:rsid w:val="006214DA"/>
    <w:rsid w:val="006221C0"/>
    <w:rsid w:val="00622294"/>
    <w:rsid w:val="0062411A"/>
    <w:rsid w:val="006246C9"/>
    <w:rsid w:val="0062475A"/>
    <w:rsid w:val="006259BB"/>
    <w:rsid w:val="00626322"/>
    <w:rsid w:val="006268F3"/>
    <w:rsid w:val="00626ABB"/>
    <w:rsid w:val="006276AC"/>
    <w:rsid w:val="006304DE"/>
    <w:rsid w:val="00630676"/>
    <w:rsid w:val="006308E8"/>
    <w:rsid w:val="00630A8A"/>
    <w:rsid w:val="00630FE5"/>
    <w:rsid w:val="00631AF2"/>
    <w:rsid w:val="0063276D"/>
    <w:rsid w:val="00632EAA"/>
    <w:rsid w:val="00634070"/>
    <w:rsid w:val="00634756"/>
    <w:rsid w:val="0063675E"/>
    <w:rsid w:val="00636DBE"/>
    <w:rsid w:val="00637ABC"/>
    <w:rsid w:val="00640BE3"/>
    <w:rsid w:val="006423D9"/>
    <w:rsid w:val="00642548"/>
    <w:rsid w:val="00642FD9"/>
    <w:rsid w:val="00643A42"/>
    <w:rsid w:val="00644819"/>
    <w:rsid w:val="00644A7E"/>
    <w:rsid w:val="006457E1"/>
    <w:rsid w:val="0064584B"/>
    <w:rsid w:val="00645C55"/>
    <w:rsid w:val="00645D15"/>
    <w:rsid w:val="00645DBD"/>
    <w:rsid w:val="0064634E"/>
    <w:rsid w:val="006501EE"/>
    <w:rsid w:val="0065022E"/>
    <w:rsid w:val="00650944"/>
    <w:rsid w:val="0065216A"/>
    <w:rsid w:val="00652A4F"/>
    <w:rsid w:val="00653E9B"/>
    <w:rsid w:val="0065478C"/>
    <w:rsid w:val="00655260"/>
    <w:rsid w:val="006553A2"/>
    <w:rsid w:val="00656486"/>
    <w:rsid w:val="00660339"/>
    <w:rsid w:val="00660A4C"/>
    <w:rsid w:val="00662C6F"/>
    <w:rsid w:val="00663451"/>
    <w:rsid w:val="0066396D"/>
    <w:rsid w:val="00665757"/>
    <w:rsid w:val="00666F8E"/>
    <w:rsid w:val="00670279"/>
    <w:rsid w:val="006707A1"/>
    <w:rsid w:val="00671ADF"/>
    <w:rsid w:val="00671C09"/>
    <w:rsid w:val="006725C1"/>
    <w:rsid w:val="006728FE"/>
    <w:rsid w:val="00672F9F"/>
    <w:rsid w:val="00673D83"/>
    <w:rsid w:val="00674865"/>
    <w:rsid w:val="006751A5"/>
    <w:rsid w:val="00675412"/>
    <w:rsid w:val="006765E9"/>
    <w:rsid w:val="00676B7D"/>
    <w:rsid w:val="00676C52"/>
    <w:rsid w:val="00676CDC"/>
    <w:rsid w:val="0067732F"/>
    <w:rsid w:val="00677367"/>
    <w:rsid w:val="00680351"/>
    <w:rsid w:val="006805D5"/>
    <w:rsid w:val="00681486"/>
    <w:rsid w:val="00681783"/>
    <w:rsid w:val="00682B47"/>
    <w:rsid w:val="00682B87"/>
    <w:rsid w:val="00682DA4"/>
    <w:rsid w:val="00683E1A"/>
    <w:rsid w:val="006853BD"/>
    <w:rsid w:val="00685B2F"/>
    <w:rsid w:val="0068688D"/>
    <w:rsid w:val="00686E49"/>
    <w:rsid w:val="00687C5A"/>
    <w:rsid w:val="00690174"/>
    <w:rsid w:val="00690588"/>
    <w:rsid w:val="0069110E"/>
    <w:rsid w:val="00692029"/>
    <w:rsid w:val="00693354"/>
    <w:rsid w:val="0069353B"/>
    <w:rsid w:val="006936D5"/>
    <w:rsid w:val="00693AAB"/>
    <w:rsid w:val="00693B45"/>
    <w:rsid w:val="00694CCE"/>
    <w:rsid w:val="0069536D"/>
    <w:rsid w:val="00695883"/>
    <w:rsid w:val="0069605C"/>
    <w:rsid w:val="00696B95"/>
    <w:rsid w:val="00697748"/>
    <w:rsid w:val="00697925"/>
    <w:rsid w:val="00697F17"/>
    <w:rsid w:val="006A26ED"/>
    <w:rsid w:val="006A288A"/>
    <w:rsid w:val="006A2991"/>
    <w:rsid w:val="006A389B"/>
    <w:rsid w:val="006A39F1"/>
    <w:rsid w:val="006A45A7"/>
    <w:rsid w:val="006A476A"/>
    <w:rsid w:val="006A49D8"/>
    <w:rsid w:val="006A5421"/>
    <w:rsid w:val="006A559E"/>
    <w:rsid w:val="006A64A1"/>
    <w:rsid w:val="006A6BA0"/>
    <w:rsid w:val="006B0B94"/>
    <w:rsid w:val="006B0BB7"/>
    <w:rsid w:val="006B19D3"/>
    <w:rsid w:val="006B1A82"/>
    <w:rsid w:val="006B1BD4"/>
    <w:rsid w:val="006B203F"/>
    <w:rsid w:val="006B257F"/>
    <w:rsid w:val="006B313B"/>
    <w:rsid w:val="006B49EC"/>
    <w:rsid w:val="006B4E7B"/>
    <w:rsid w:val="006B5D1B"/>
    <w:rsid w:val="006B5FD8"/>
    <w:rsid w:val="006B61E7"/>
    <w:rsid w:val="006B76F2"/>
    <w:rsid w:val="006B77EE"/>
    <w:rsid w:val="006B7918"/>
    <w:rsid w:val="006C09CB"/>
    <w:rsid w:val="006C139C"/>
    <w:rsid w:val="006C1614"/>
    <w:rsid w:val="006C3F55"/>
    <w:rsid w:val="006C4E9E"/>
    <w:rsid w:val="006C598B"/>
    <w:rsid w:val="006C613E"/>
    <w:rsid w:val="006C64AA"/>
    <w:rsid w:val="006C6659"/>
    <w:rsid w:val="006C751A"/>
    <w:rsid w:val="006C7BDE"/>
    <w:rsid w:val="006D0305"/>
    <w:rsid w:val="006D0AEC"/>
    <w:rsid w:val="006D188E"/>
    <w:rsid w:val="006D2ACD"/>
    <w:rsid w:val="006D2B74"/>
    <w:rsid w:val="006D5356"/>
    <w:rsid w:val="006D58CE"/>
    <w:rsid w:val="006D68F1"/>
    <w:rsid w:val="006D7065"/>
    <w:rsid w:val="006E2E53"/>
    <w:rsid w:val="006E31D9"/>
    <w:rsid w:val="006E57D3"/>
    <w:rsid w:val="006E5B89"/>
    <w:rsid w:val="006E5CEC"/>
    <w:rsid w:val="006E64E2"/>
    <w:rsid w:val="006E7A68"/>
    <w:rsid w:val="006E7D6C"/>
    <w:rsid w:val="006F086B"/>
    <w:rsid w:val="006F103D"/>
    <w:rsid w:val="006F161D"/>
    <w:rsid w:val="006F1B13"/>
    <w:rsid w:val="006F31B9"/>
    <w:rsid w:val="006F4F52"/>
    <w:rsid w:val="006F5310"/>
    <w:rsid w:val="006F5843"/>
    <w:rsid w:val="006F6C83"/>
    <w:rsid w:val="006F783B"/>
    <w:rsid w:val="006F7BE3"/>
    <w:rsid w:val="0070113E"/>
    <w:rsid w:val="0070150F"/>
    <w:rsid w:val="00701DDD"/>
    <w:rsid w:val="007026D3"/>
    <w:rsid w:val="0070283B"/>
    <w:rsid w:val="00702DF3"/>
    <w:rsid w:val="00703052"/>
    <w:rsid w:val="00703ABB"/>
    <w:rsid w:val="00704642"/>
    <w:rsid w:val="007049B7"/>
    <w:rsid w:val="0070562F"/>
    <w:rsid w:val="007060AB"/>
    <w:rsid w:val="007066F4"/>
    <w:rsid w:val="00706749"/>
    <w:rsid w:val="007068C8"/>
    <w:rsid w:val="0070719A"/>
    <w:rsid w:val="007075D9"/>
    <w:rsid w:val="007076B3"/>
    <w:rsid w:val="00707F3F"/>
    <w:rsid w:val="00710372"/>
    <w:rsid w:val="00710B2F"/>
    <w:rsid w:val="00710F02"/>
    <w:rsid w:val="007116B2"/>
    <w:rsid w:val="00711992"/>
    <w:rsid w:val="0071273C"/>
    <w:rsid w:val="00715717"/>
    <w:rsid w:val="00716A2C"/>
    <w:rsid w:val="00717026"/>
    <w:rsid w:val="00717C7B"/>
    <w:rsid w:val="00717DAD"/>
    <w:rsid w:val="007205E8"/>
    <w:rsid w:val="00720E51"/>
    <w:rsid w:val="007214B7"/>
    <w:rsid w:val="00723162"/>
    <w:rsid w:val="007233A8"/>
    <w:rsid w:val="00724FE4"/>
    <w:rsid w:val="00725D1A"/>
    <w:rsid w:val="00730E88"/>
    <w:rsid w:val="007323CD"/>
    <w:rsid w:val="00733B24"/>
    <w:rsid w:val="007340EE"/>
    <w:rsid w:val="0073433C"/>
    <w:rsid w:val="00734C38"/>
    <w:rsid w:val="00734C7D"/>
    <w:rsid w:val="007365F0"/>
    <w:rsid w:val="00736A6E"/>
    <w:rsid w:val="00737D18"/>
    <w:rsid w:val="0074156B"/>
    <w:rsid w:val="007424C3"/>
    <w:rsid w:val="00742CA2"/>
    <w:rsid w:val="00742DE8"/>
    <w:rsid w:val="00742E73"/>
    <w:rsid w:val="00743D96"/>
    <w:rsid w:val="007444E6"/>
    <w:rsid w:val="007469DD"/>
    <w:rsid w:val="00746F03"/>
    <w:rsid w:val="00751FB3"/>
    <w:rsid w:val="0075261C"/>
    <w:rsid w:val="007528F3"/>
    <w:rsid w:val="00753018"/>
    <w:rsid w:val="00753E76"/>
    <w:rsid w:val="007544EA"/>
    <w:rsid w:val="007548A8"/>
    <w:rsid w:val="00754B0A"/>
    <w:rsid w:val="00754BE8"/>
    <w:rsid w:val="00754D34"/>
    <w:rsid w:val="00755002"/>
    <w:rsid w:val="0075573A"/>
    <w:rsid w:val="007574C4"/>
    <w:rsid w:val="00757660"/>
    <w:rsid w:val="00757754"/>
    <w:rsid w:val="007607D7"/>
    <w:rsid w:val="007608DE"/>
    <w:rsid w:val="0076121E"/>
    <w:rsid w:val="00761F10"/>
    <w:rsid w:val="00762457"/>
    <w:rsid w:val="00763AE2"/>
    <w:rsid w:val="007643D9"/>
    <w:rsid w:val="00765C23"/>
    <w:rsid w:val="007662FC"/>
    <w:rsid w:val="00766326"/>
    <w:rsid w:val="00766511"/>
    <w:rsid w:val="00766CC0"/>
    <w:rsid w:val="00770327"/>
    <w:rsid w:val="0077161C"/>
    <w:rsid w:val="007720E1"/>
    <w:rsid w:val="00772677"/>
    <w:rsid w:val="00772D3E"/>
    <w:rsid w:val="007733D0"/>
    <w:rsid w:val="0077356F"/>
    <w:rsid w:val="007744E8"/>
    <w:rsid w:val="00775069"/>
    <w:rsid w:val="007754DF"/>
    <w:rsid w:val="00775979"/>
    <w:rsid w:val="007764BA"/>
    <w:rsid w:val="00776E2F"/>
    <w:rsid w:val="00780696"/>
    <w:rsid w:val="007807A9"/>
    <w:rsid w:val="007809AF"/>
    <w:rsid w:val="00780D4D"/>
    <w:rsid w:val="00781158"/>
    <w:rsid w:val="00781446"/>
    <w:rsid w:val="007828F3"/>
    <w:rsid w:val="00783809"/>
    <w:rsid w:val="00783DE6"/>
    <w:rsid w:val="0079006D"/>
    <w:rsid w:val="0079022D"/>
    <w:rsid w:val="00790CEB"/>
    <w:rsid w:val="0079106D"/>
    <w:rsid w:val="00791612"/>
    <w:rsid w:val="00791C24"/>
    <w:rsid w:val="0079256D"/>
    <w:rsid w:val="00793177"/>
    <w:rsid w:val="0079326E"/>
    <w:rsid w:val="007935A5"/>
    <w:rsid w:val="00794408"/>
    <w:rsid w:val="00794CBE"/>
    <w:rsid w:val="00795A0C"/>
    <w:rsid w:val="00797428"/>
    <w:rsid w:val="00797622"/>
    <w:rsid w:val="007977FD"/>
    <w:rsid w:val="007979C7"/>
    <w:rsid w:val="00797D46"/>
    <w:rsid w:val="00797ECF"/>
    <w:rsid w:val="007A2179"/>
    <w:rsid w:val="007A25FA"/>
    <w:rsid w:val="007A2B0B"/>
    <w:rsid w:val="007A2B84"/>
    <w:rsid w:val="007A37F7"/>
    <w:rsid w:val="007A550B"/>
    <w:rsid w:val="007A55CC"/>
    <w:rsid w:val="007A5E95"/>
    <w:rsid w:val="007A60F5"/>
    <w:rsid w:val="007A793E"/>
    <w:rsid w:val="007A7EE8"/>
    <w:rsid w:val="007A7EF6"/>
    <w:rsid w:val="007B04D6"/>
    <w:rsid w:val="007B15E1"/>
    <w:rsid w:val="007B1E0D"/>
    <w:rsid w:val="007B3263"/>
    <w:rsid w:val="007B4141"/>
    <w:rsid w:val="007B41B2"/>
    <w:rsid w:val="007B56EE"/>
    <w:rsid w:val="007B5C3C"/>
    <w:rsid w:val="007B727B"/>
    <w:rsid w:val="007B744D"/>
    <w:rsid w:val="007B7954"/>
    <w:rsid w:val="007B7B8F"/>
    <w:rsid w:val="007B7D3C"/>
    <w:rsid w:val="007C0473"/>
    <w:rsid w:val="007C0D92"/>
    <w:rsid w:val="007C1BAB"/>
    <w:rsid w:val="007C25F3"/>
    <w:rsid w:val="007C37C5"/>
    <w:rsid w:val="007C43F6"/>
    <w:rsid w:val="007C620E"/>
    <w:rsid w:val="007C6E4E"/>
    <w:rsid w:val="007D02E4"/>
    <w:rsid w:val="007D0FDE"/>
    <w:rsid w:val="007D157B"/>
    <w:rsid w:val="007D1E0C"/>
    <w:rsid w:val="007D1FD9"/>
    <w:rsid w:val="007D24D1"/>
    <w:rsid w:val="007D27C1"/>
    <w:rsid w:val="007D294D"/>
    <w:rsid w:val="007D4746"/>
    <w:rsid w:val="007D52D0"/>
    <w:rsid w:val="007D5F61"/>
    <w:rsid w:val="007D6625"/>
    <w:rsid w:val="007D7D7A"/>
    <w:rsid w:val="007E008D"/>
    <w:rsid w:val="007E0128"/>
    <w:rsid w:val="007E07AB"/>
    <w:rsid w:val="007E1406"/>
    <w:rsid w:val="007E19E6"/>
    <w:rsid w:val="007E24B1"/>
    <w:rsid w:val="007E2CD0"/>
    <w:rsid w:val="007E4034"/>
    <w:rsid w:val="007E414C"/>
    <w:rsid w:val="007E523C"/>
    <w:rsid w:val="007E5D77"/>
    <w:rsid w:val="007E5E42"/>
    <w:rsid w:val="007E6CF6"/>
    <w:rsid w:val="007E7882"/>
    <w:rsid w:val="007E7943"/>
    <w:rsid w:val="007F078C"/>
    <w:rsid w:val="007F0FD1"/>
    <w:rsid w:val="007F103E"/>
    <w:rsid w:val="007F23FE"/>
    <w:rsid w:val="007F30CD"/>
    <w:rsid w:val="007F31B8"/>
    <w:rsid w:val="007F3608"/>
    <w:rsid w:val="007F4289"/>
    <w:rsid w:val="007F4FB1"/>
    <w:rsid w:val="007F5105"/>
    <w:rsid w:val="007F5115"/>
    <w:rsid w:val="007F5EAD"/>
    <w:rsid w:val="007F6CCD"/>
    <w:rsid w:val="007F6DE0"/>
    <w:rsid w:val="007F7674"/>
    <w:rsid w:val="007F7D36"/>
    <w:rsid w:val="00800693"/>
    <w:rsid w:val="008007BB"/>
    <w:rsid w:val="00800B51"/>
    <w:rsid w:val="00802366"/>
    <w:rsid w:val="00803359"/>
    <w:rsid w:val="00803587"/>
    <w:rsid w:val="00803A8E"/>
    <w:rsid w:val="008043AF"/>
    <w:rsid w:val="0080521F"/>
    <w:rsid w:val="00805810"/>
    <w:rsid w:val="00805C01"/>
    <w:rsid w:val="00806006"/>
    <w:rsid w:val="00806070"/>
    <w:rsid w:val="0080662B"/>
    <w:rsid w:val="00806C33"/>
    <w:rsid w:val="00807368"/>
    <w:rsid w:val="008118FC"/>
    <w:rsid w:val="00811998"/>
    <w:rsid w:val="00811BD3"/>
    <w:rsid w:val="00814B48"/>
    <w:rsid w:val="00815001"/>
    <w:rsid w:val="00815481"/>
    <w:rsid w:val="00815B6D"/>
    <w:rsid w:val="008160EB"/>
    <w:rsid w:val="00820C60"/>
    <w:rsid w:val="00820EBC"/>
    <w:rsid w:val="0082117A"/>
    <w:rsid w:val="00821B48"/>
    <w:rsid w:val="00822D80"/>
    <w:rsid w:val="00822F6F"/>
    <w:rsid w:val="00823448"/>
    <w:rsid w:val="008236E7"/>
    <w:rsid w:val="0082609A"/>
    <w:rsid w:val="0082744B"/>
    <w:rsid w:val="00827D32"/>
    <w:rsid w:val="00830734"/>
    <w:rsid w:val="00831B03"/>
    <w:rsid w:val="00831E6A"/>
    <w:rsid w:val="00831F4D"/>
    <w:rsid w:val="00833000"/>
    <w:rsid w:val="008338CD"/>
    <w:rsid w:val="0083487D"/>
    <w:rsid w:val="00834B4C"/>
    <w:rsid w:val="00834E29"/>
    <w:rsid w:val="008350DF"/>
    <w:rsid w:val="00835B02"/>
    <w:rsid w:val="00835C2A"/>
    <w:rsid w:val="00835EC1"/>
    <w:rsid w:val="00836122"/>
    <w:rsid w:val="00837BA5"/>
    <w:rsid w:val="00841641"/>
    <w:rsid w:val="008422BB"/>
    <w:rsid w:val="008422E8"/>
    <w:rsid w:val="008433D2"/>
    <w:rsid w:val="00845A6F"/>
    <w:rsid w:val="008476FE"/>
    <w:rsid w:val="008500E9"/>
    <w:rsid w:val="00850279"/>
    <w:rsid w:val="00850D35"/>
    <w:rsid w:val="0085244A"/>
    <w:rsid w:val="00852797"/>
    <w:rsid w:val="00852D8F"/>
    <w:rsid w:val="00853C57"/>
    <w:rsid w:val="00853DA9"/>
    <w:rsid w:val="00854EE3"/>
    <w:rsid w:val="00855D78"/>
    <w:rsid w:val="0085793B"/>
    <w:rsid w:val="00857E4A"/>
    <w:rsid w:val="008603D1"/>
    <w:rsid w:val="008606BD"/>
    <w:rsid w:val="008625D6"/>
    <w:rsid w:val="00862F82"/>
    <w:rsid w:val="008635F0"/>
    <w:rsid w:val="00863EA7"/>
    <w:rsid w:val="00864409"/>
    <w:rsid w:val="0086443E"/>
    <w:rsid w:val="00864A9D"/>
    <w:rsid w:val="008650C0"/>
    <w:rsid w:val="0086514D"/>
    <w:rsid w:val="008656DC"/>
    <w:rsid w:val="008661C0"/>
    <w:rsid w:val="00866DF1"/>
    <w:rsid w:val="00867075"/>
    <w:rsid w:val="008677D7"/>
    <w:rsid w:val="0087027E"/>
    <w:rsid w:val="00871515"/>
    <w:rsid w:val="008731AA"/>
    <w:rsid w:val="00874AD5"/>
    <w:rsid w:val="00874EAB"/>
    <w:rsid w:val="008753FE"/>
    <w:rsid w:val="0087647C"/>
    <w:rsid w:val="0088077B"/>
    <w:rsid w:val="008819FF"/>
    <w:rsid w:val="00881A4C"/>
    <w:rsid w:val="00881F4A"/>
    <w:rsid w:val="008820C4"/>
    <w:rsid w:val="008824AD"/>
    <w:rsid w:val="0088339E"/>
    <w:rsid w:val="0088377D"/>
    <w:rsid w:val="00883B72"/>
    <w:rsid w:val="0088426D"/>
    <w:rsid w:val="008854E9"/>
    <w:rsid w:val="00886133"/>
    <w:rsid w:val="0088715C"/>
    <w:rsid w:val="00887E62"/>
    <w:rsid w:val="00891168"/>
    <w:rsid w:val="0089250D"/>
    <w:rsid w:val="008939D0"/>
    <w:rsid w:val="008945C5"/>
    <w:rsid w:val="008949EB"/>
    <w:rsid w:val="00894CEE"/>
    <w:rsid w:val="00894E16"/>
    <w:rsid w:val="00897163"/>
    <w:rsid w:val="0089724A"/>
    <w:rsid w:val="008972A9"/>
    <w:rsid w:val="008974EA"/>
    <w:rsid w:val="008A0307"/>
    <w:rsid w:val="008A0374"/>
    <w:rsid w:val="008A0A6F"/>
    <w:rsid w:val="008A0E2E"/>
    <w:rsid w:val="008A0EF3"/>
    <w:rsid w:val="008A2EEA"/>
    <w:rsid w:val="008A355C"/>
    <w:rsid w:val="008A3CBA"/>
    <w:rsid w:val="008A4603"/>
    <w:rsid w:val="008A4BC3"/>
    <w:rsid w:val="008A6C40"/>
    <w:rsid w:val="008A6D5C"/>
    <w:rsid w:val="008A6EFF"/>
    <w:rsid w:val="008A7DF8"/>
    <w:rsid w:val="008B0559"/>
    <w:rsid w:val="008B0825"/>
    <w:rsid w:val="008B0A3D"/>
    <w:rsid w:val="008B10DC"/>
    <w:rsid w:val="008B111B"/>
    <w:rsid w:val="008B145D"/>
    <w:rsid w:val="008B21F5"/>
    <w:rsid w:val="008B245B"/>
    <w:rsid w:val="008B27DF"/>
    <w:rsid w:val="008B404A"/>
    <w:rsid w:val="008B4C58"/>
    <w:rsid w:val="008B5313"/>
    <w:rsid w:val="008B591F"/>
    <w:rsid w:val="008B6FD0"/>
    <w:rsid w:val="008B710E"/>
    <w:rsid w:val="008B7446"/>
    <w:rsid w:val="008C1109"/>
    <w:rsid w:val="008C33D9"/>
    <w:rsid w:val="008C3604"/>
    <w:rsid w:val="008C3946"/>
    <w:rsid w:val="008C43C2"/>
    <w:rsid w:val="008C45C4"/>
    <w:rsid w:val="008C69A4"/>
    <w:rsid w:val="008D0F6F"/>
    <w:rsid w:val="008D1209"/>
    <w:rsid w:val="008D304D"/>
    <w:rsid w:val="008D4799"/>
    <w:rsid w:val="008D4B0B"/>
    <w:rsid w:val="008D4E19"/>
    <w:rsid w:val="008D588A"/>
    <w:rsid w:val="008D5990"/>
    <w:rsid w:val="008D692A"/>
    <w:rsid w:val="008D6A61"/>
    <w:rsid w:val="008D6C3E"/>
    <w:rsid w:val="008D711D"/>
    <w:rsid w:val="008D7717"/>
    <w:rsid w:val="008E02F1"/>
    <w:rsid w:val="008E0923"/>
    <w:rsid w:val="008E0AEA"/>
    <w:rsid w:val="008E1EAD"/>
    <w:rsid w:val="008E2933"/>
    <w:rsid w:val="008E2D35"/>
    <w:rsid w:val="008E30B5"/>
    <w:rsid w:val="008E3FF3"/>
    <w:rsid w:val="008E4993"/>
    <w:rsid w:val="008E4E32"/>
    <w:rsid w:val="008E4F59"/>
    <w:rsid w:val="008E59A2"/>
    <w:rsid w:val="008E59EC"/>
    <w:rsid w:val="008E5AC3"/>
    <w:rsid w:val="008E6960"/>
    <w:rsid w:val="008E6AA2"/>
    <w:rsid w:val="008E7A60"/>
    <w:rsid w:val="008F1013"/>
    <w:rsid w:val="008F1EDA"/>
    <w:rsid w:val="008F34AB"/>
    <w:rsid w:val="008F3E68"/>
    <w:rsid w:val="008F4C3B"/>
    <w:rsid w:val="008F5F69"/>
    <w:rsid w:val="008F61CD"/>
    <w:rsid w:val="008F6825"/>
    <w:rsid w:val="00900A58"/>
    <w:rsid w:val="00901601"/>
    <w:rsid w:val="0090275B"/>
    <w:rsid w:val="00903B1F"/>
    <w:rsid w:val="00903B87"/>
    <w:rsid w:val="009045A9"/>
    <w:rsid w:val="0090475A"/>
    <w:rsid w:val="00904B14"/>
    <w:rsid w:val="00904BF3"/>
    <w:rsid w:val="00904C74"/>
    <w:rsid w:val="00906BDA"/>
    <w:rsid w:val="009074D0"/>
    <w:rsid w:val="009102FA"/>
    <w:rsid w:val="00910D2C"/>
    <w:rsid w:val="0091119B"/>
    <w:rsid w:val="00911397"/>
    <w:rsid w:val="00911DD0"/>
    <w:rsid w:val="00912783"/>
    <w:rsid w:val="00913DA3"/>
    <w:rsid w:val="00913F6F"/>
    <w:rsid w:val="00914820"/>
    <w:rsid w:val="00914873"/>
    <w:rsid w:val="00914988"/>
    <w:rsid w:val="00914EB6"/>
    <w:rsid w:val="00915498"/>
    <w:rsid w:val="00916AB9"/>
    <w:rsid w:val="00920C78"/>
    <w:rsid w:val="00920EA3"/>
    <w:rsid w:val="00921249"/>
    <w:rsid w:val="009217A7"/>
    <w:rsid w:val="00921E73"/>
    <w:rsid w:val="00922D30"/>
    <w:rsid w:val="0092570D"/>
    <w:rsid w:val="00926193"/>
    <w:rsid w:val="009269E0"/>
    <w:rsid w:val="00927B9B"/>
    <w:rsid w:val="009306A2"/>
    <w:rsid w:val="00931A4B"/>
    <w:rsid w:val="00931D67"/>
    <w:rsid w:val="00932038"/>
    <w:rsid w:val="00932533"/>
    <w:rsid w:val="00933066"/>
    <w:rsid w:val="00933449"/>
    <w:rsid w:val="009340BE"/>
    <w:rsid w:val="00934D31"/>
    <w:rsid w:val="009367B5"/>
    <w:rsid w:val="00936BF7"/>
    <w:rsid w:val="00937309"/>
    <w:rsid w:val="0093745D"/>
    <w:rsid w:val="00941C5A"/>
    <w:rsid w:val="009420EF"/>
    <w:rsid w:val="00943896"/>
    <w:rsid w:val="009448A7"/>
    <w:rsid w:val="00944CAB"/>
    <w:rsid w:val="009454A0"/>
    <w:rsid w:val="00945C34"/>
    <w:rsid w:val="00945C75"/>
    <w:rsid w:val="00945DE2"/>
    <w:rsid w:val="009466A0"/>
    <w:rsid w:val="00946A9A"/>
    <w:rsid w:val="00950965"/>
    <w:rsid w:val="00951433"/>
    <w:rsid w:val="00952765"/>
    <w:rsid w:val="009529F5"/>
    <w:rsid w:val="009554C0"/>
    <w:rsid w:val="009567A0"/>
    <w:rsid w:val="00956934"/>
    <w:rsid w:val="00960241"/>
    <w:rsid w:val="009608AF"/>
    <w:rsid w:val="0096380E"/>
    <w:rsid w:val="00964EEA"/>
    <w:rsid w:val="009651B1"/>
    <w:rsid w:val="00965408"/>
    <w:rsid w:val="00965924"/>
    <w:rsid w:val="009661C7"/>
    <w:rsid w:val="00966305"/>
    <w:rsid w:val="0096658C"/>
    <w:rsid w:val="00967268"/>
    <w:rsid w:val="0096743A"/>
    <w:rsid w:val="0097205F"/>
    <w:rsid w:val="0097259C"/>
    <w:rsid w:val="00972808"/>
    <w:rsid w:val="009731CC"/>
    <w:rsid w:val="009747B8"/>
    <w:rsid w:val="00975CDF"/>
    <w:rsid w:val="009767A2"/>
    <w:rsid w:val="00980293"/>
    <w:rsid w:val="00980E7B"/>
    <w:rsid w:val="00981742"/>
    <w:rsid w:val="0098177B"/>
    <w:rsid w:val="00981F2B"/>
    <w:rsid w:val="009826A9"/>
    <w:rsid w:val="00982ADE"/>
    <w:rsid w:val="00982EA9"/>
    <w:rsid w:val="009830F6"/>
    <w:rsid w:val="00983CC1"/>
    <w:rsid w:val="00984DA0"/>
    <w:rsid w:val="00985066"/>
    <w:rsid w:val="00985140"/>
    <w:rsid w:val="009854B4"/>
    <w:rsid w:val="00986E28"/>
    <w:rsid w:val="00990011"/>
    <w:rsid w:val="009904EA"/>
    <w:rsid w:val="00990986"/>
    <w:rsid w:val="00990ED2"/>
    <w:rsid w:val="0099150C"/>
    <w:rsid w:val="00991BBB"/>
    <w:rsid w:val="00992762"/>
    <w:rsid w:val="00992A12"/>
    <w:rsid w:val="009931FA"/>
    <w:rsid w:val="00993245"/>
    <w:rsid w:val="00994B69"/>
    <w:rsid w:val="009951ED"/>
    <w:rsid w:val="0099622A"/>
    <w:rsid w:val="00997AA0"/>
    <w:rsid w:val="00997B73"/>
    <w:rsid w:val="00997F98"/>
    <w:rsid w:val="009A0355"/>
    <w:rsid w:val="009A03B9"/>
    <w:rsid w:val="009A074D"/>
    <w:rsid w:val="009A0F2F"/>
    <w:rsid w:val="009A1543"/>
    <w:rsid w:val="009A1C12"/>
    <w:rsid w:val="009A1D02"/>
    <w:rsid w:val="009A2706"/>
    <w:rsid w:val="009A294C"/>
    <w:rsid w:val="009A2F21"/>
    <w:rsid w:val="009A3C16"/>
    <w:rsid w:val="009A4281"/>
    <w:rsid w:val="009A5290"/>
    <w:rsid w:val="009A5307"/>
    <w:rsid w:val="009A67B7"/>
    <w:rsid w:val="009A6C73"/>
    <w:rsid w:val="009A6CC5"/>
    <w:rsid w:val="009B12AF"/>
    <w:rsid w:val="009B1CFE"/>
    <w:rsid w:val="009B3564"/>
    <w:rsid w:val="009B44AA"/>
    <w:rsid w:val="009B5C64"/>
    <w:rsid w:val="009B5EC4"/>
    <w:rsid w:val="009B607D"/>
    <w:rsid w:val="009B668C"/>
    <w:rsid w:val="009B704E"/>
    <w:rsid w:val="009B78C8"/>
    <w:rsid w:val="009B799A"/>
    <w:rsid w:val="009C1ED8"/>
    <w:rsid w:val="009C233A"/>
    <w:rsid w:val="009C332B"/>
    <w:rsid w:val="009C3EA5"/>
    <w:rsid w:val="009C4139"/>
    <w:rsid w:val="009C5848"/>
    <w:rsid w:val="009C60A0"/>
    <w:rsid w:val="009C6464"/>
    <w:rsid w:val="009C64AA"/>
    <w:rsid w:val="009C66CD"/>
    <w:rsid w:val="009D0D40"/>
    <w:rsid w:val="009D1CC7"/>
    <w:rsid w:val="009D2000"/>
    <w:rsid w:val="009D2706"/>
    <w:rsid w:val="009D2BE4"/>
    <w:rsid w:val="009D4882"/>
    <w:rsid w:val="009D4FFE"/>
    <w:rsid w:val="009D5328"/>
    <w:rsid w:val="009D621D"/>
    <w:rsid w:val="009D6BAE"/>
    <w:rsid w:val="009D7709"/>
    <w:rsid w:val="009D7B49"/>
    <w:rsid w:val="009E0115"/>
    <w:rsid w:val="009E0C72"/>
    <w:rsid w:val="009E158B"/>
    <w:rsid w:val="009E256A"/>
    <w:rsid w:val="009E2BD7"/>
    <w:rsid w:val="009E3D7C"/>
    <w:rsid w:val="009E49CA"/>
    <w:rsid w:val="009E5751"/>
    <w:rsid w:val="009E5C3D"/>
    <w:rsid w:val="009E7243"/>
    <w:rsid w:val="009F06F0"/>
    <w:rsid w:val="009F308D"/>
    <w:rsid w:val="009F3199"/>
    <w:rsid w:val="009F321D"/>
    <w:rsid w:val="009F3EEB"/>
    <w:rsid w:val="009F4509"/>
    <w:rsid w:val="009F5E81"/>
    <w:rsid w:val="009F7D83"/>
    <w:rsid w:val="009F7DB3"/>
    <w:rsid w:val="009F7F73"/>
    <w:rsid w:val="00A016E0"/>
    <w:rsid w:val="00A023CB"/>
    <w:rsid w:val="00A024F6"/>
    <w:rsid w:val="00A02747"/>
    <w:rsid w:val="00A02D55"/>
    <w:rsid w:val="00A04BCE"/>
    <w:rsid w:val="00A04E7B"/>
    <w:rsid w:val="00A05BF7"/>
    <w:rsid w:val="00A0652E"/>
    <w:rsid w:val="00A06926"/>
    <w:rsid w:val="00A06EC0"/>
    <w:rsid w:val="00A07E09"/>
    <w:rsid w:val="00A1062C"/>
    <w:rsid w:val="00A108FB"/>
    <w:rsid w:val="00A10B60"/>
    <w:rsid w:val="00A10EBB"/>
    <w:rsid w:val="00A11BC0"/>
    <w:rsid w:val="00A121D5"/>
    <w:rsid w:val="00A12F8E"/>
    <w:rsid w:val="00A13CBA"/>
    <w:rsid w:val="00A1464A"/>
    <w:rsid w:val="00A14EE7"/>
    <w:rsid w:val="00A178E6"/>
    <w:rsid w:val="00A17A02"/>
    <w:rsid w:val="00A17E48"/>
    <w:rsid w:val="00A21225"/>
    <w:rsid w:val="00A215B4"/>
    <w:rsid w:val="00A22A37"/>
    <w:rsid w:val="00A24749"/>
    <w:rsid w:val="00A252D0"/>
    <w:rsid w:val="00A26E24"/>
    <w:rsid w:val="00A27029"/>
    <w:rsid w:val="00A27BE2"/>
    <w:rsid w:val="00A3030F"/>
    <w:rsid w:val="00A3059C"/>
    <w:rsid w:val="00A3074A"/>
    <w:rsid w:val="00A33990"/>
    <w:rsid w:val="00A340E2"/>
    <w:rsid w:val="00A34699"/>
    <w:rsid w:val="00A355CE"/>
    <w:rsid w:val="00A35C8F"/>
    <w:rsid w:val="00A36D16"/>
    <w:rsid w:val="00A36E5D"/>
    <w:rsid w:val="00A3727B"/>
    <w:rsid w:val="00A40AFC"/>
    <w:rsid w:val="00A40E02"/>
    <w:rsid w:val="00A411CA"/>
    <w:rsid w:val="00A42319"/>
    <w:rsid w:val="00A44438"/>
    <w:rsid w:val="00A458CE"/>
    <w:rsid w:val="00A46682"/>
    <w:rsid w:val="00A46C82"/>
    <w:rsid w:val="00A473F3"/>
    <w:rsid w:val="00A47695"/>
    <w:rsid w:val="00A516F2"/>
    <w:rsid w:val="00A52EAC"/>
    <w:rsid w:val="00A52F65"/>
    <w:rsid w:val="00A53814"/>
    <w:rsid w:val="00A540FF"/>
    <w:rsid w:val="00A54743"/>
    <w:rsid w:val="00A5499F"/>
    <w:rsid w:val="00A55058"/>
    <w:rsid w:val="00A55C69"/>
    <w:rsid w:val="00A56393"/>
    <w:rsid w:val="00A56DF5"/>
    <w:rsid w:val="00A56E1B"/>
    <w:rsid w:val="00A57738"/>
    <w:rsid w:val="00A600A6"/>
    <w:rsid w:val="00A60545"/>
    <w:rsid w:val="00A6154E"/>
    <w:rsid w:val="00A61596"/>
    <w:rsid w:val="00A61BD3"/>
    <w:rsid w:val="00A63AEE"/>
    <w:rsid w:val="00A64040"/>
    <w:rsid w:val="00A651C1"/>
    <w:rsid w:val="00A6572A"/>
    <w:rsid w:val="00A66605"/>
    <w:rsid w:val="00A711CC"/>
    <w:rsid w:val="00A71D73"/>
    <w:rsid w:val="00A724EF"/>
    <w:rsid w:val="00A72CB4"/>
    <w:rsid w:val="00A73F02"/>
    <w:rsid w:val="00A76435"/>
    <w:rsid w:val="00A76B91"/>
    <w:rsid w:val="00A7720F"/>
    <w:rsid w:val="00A77C33"/>
    <w:rsid w:val="00A77F87"/>
    <w:rsid w:val="00A81E65"/>
    <w:rsid w:val="00A824E2"/>
    <w:rsid w:val="00A82F7F"/>
    <w:rsid w:val="00A838E4"/>
    <w:rsid w:val="00A84237"/>
    <w:rsid w:val="00A842DE"/>
    <w:rsid w:val="00A84645"/>
    <w:rsid w:val="00A846F2"/>
    <w:rsid w:val="00A85C51"/>
    <w:rsid w:val="00A86086"/>
    <w:rsid w:val="00A864AD"/>
    <w:rsid w:val="00A86B5A"/>
    <w:rsid w:val="00A87A00"/>
    <w:rsid w:val="00A87DF3"/>
    <w:rsid w:val="00A87DF6"/>
    <w:rsid w:val="00A9076F"/>
    <w:rsid w:val="00A90D32"/>
    <w:rsid w:val="00A9173C"/>
    <w:rsid w:val="00A924C9"/>
    <w:rsid w:val="00A95A09"/>
    <w:rsid w:val="00A95C73"/>
    <w:rsid w:val="00A971FF"/>
    <w:rsid w:val="00A976E5"/>
    <w:rsid w:val="00AA16B7"/>
    <w:rsid w:val="00AA19F5"/>
    <w:rsid w:val="00AA1EBA"/>
    <w:rsid w:val="00AA26BA"/>
    <w:rsid w:val="00AA295B"/>
    <w:rsid w:val="00AA2D25"/>
    <w:rsid w:val="00AA3683"/>
    <w:rsid w:val="00AA387D"/>
    <w:rsid w:val="00AA3B21"/>
    <w:rsid w:val="00AA4DC6"/>
    <w:rsid w:val="00AA504B"/>
    <w:rsid w:val="00AA74A1"/>
    <w:rsid w:val="00AA784A"/>
    <w:rsid w:val="00AB0413"/>
    <w:rsid w:val="00AB066E"/>
    <w:rsid w:val="00AB31FF"/>
    <w:rsid w:val="00AB3CE7"/>
    <w:rsid w:val="00AB476A"/>
    <w:rsid w:val="00AB49CD"/>
    <w:rsid w:val="00AB5115"/>
    <w:rsid w:val="00AB543F"/>
    <w:rsid w:val="00AB5DAD"/>
    <w:rsid w:val="00AB6187"/>
    <w:rsid w:val="00AC0BFD"/>
    <w:rsid w:val="00AC2DB5"/>
    <w:rsid w:val="00AC3036"/>
    <w:rsid w:val="00AC31CE"/>
    <w:rsid w:val="00AC54F3"/>
    <w:rsid w:val="00AC6E0E"/>
    <w:rsid w:val="00AC7253"/>
    <w:rsid w:val="00AC7426"/>
    <w:rsid w:val="00AD009B"/>
    <w:rsid w:val="00AD08CD"/>
    <w:rsid w:val="00AD17E4"/>
    <w:rsid w:val="00AD265B"/>
    <w:rsid w:val="00AD3032"/>
    <w:rsid w:val="00AD34A3"/>
    <w:rsid w:val="00AD3556"/>
    <w:rsid w:val="00AD56C9"/>
    <w:rsid w:val="00AD618D"/>
    <w:rsid w:val="00AD7402"/>
    <w:rsid w:val="00AD76A3"/>
    <w:rsid w:val="00AE1551"/>
    <w:rsid w:val="00AE210A"/>
    <w:rsid w:val="00AE24F1"/>
    <w:rsid w:val="00AE3580"/>
    <w:rsid w:val="00AE4FBF"/>
    <w:rsid w:val="00AE513C"/>
    <w:rsid w:val="00AE5CFA"/>
    <w:rsid w:val="00AE684E"/>
    <w:rsid w:val="00AE6879"/>
    <w:rsid w:val="00AE739F"/>
    <w:rsid w:val="00AE788C"/>
    <w:rsid w:val="00AE78A3"/>
    <w:rsid w:val="00AF00FB"/>
    <w:rsid w:val="00AF43FE"/>
    <w:rsid w:val="00AF4D0C"/>
    <w:rsid w:val="00AF4DCB"/>
    <w:rsid w:val="00AF4FA4"/>
    <w:rsid w:val="00AF5026"/>
    <w:rsid w:val="00AF51BD"/>
    <w:rsid w:val="00AF5E3D"/>
    <w:rsid w:val="00AF6ADE"/>
    <w:rsid w:val="00AF7D5E"/>
    <w:rsid w:val="00B0374D"/>
    <w:rsid w:val="00B04D09"/>
    <w:rsid w:val="00B064D0"/>
    <w:rsid w:val="00B10F46"/>
    <w:rsid w:val="00B117B8"/>
    <w:rsid w:val="00B12C7C"/>
    <w:rsid w:val="00B1486D"/>
    <w:rsid w:val="00B1564E"/>
    <w:rsid w:val="00B16446"/>
    <w:rsid w:val="00B1676B"/>
    <w:rsid w:val="00B171CD"/>
    <w:rsid w:val="00B17853"/>
    <w:rsid w:val="00B17957"/>
    <w:rsid w:val="00B17EA6"/>
    <w:rsid w:val="00B20A41"/>
    <w:rsid w:val="00B20BB7"/>
    <w:rsid w:val="00B210D3"/>
    <w:rsid w:val="00B210F3"/>
    <w:rsid w:val="00B21E9C"/>
    <w:rsid w:val="00B2401D"/>
    <w:rsid w:val="00B2558C"/>
    <w:rsid w:val="00B2722E"/>
    <w:rsid w:val="00B27664"/>
    <w:rsid w:val="00B27CEE"/>
    <w:rsid w:val="00B30066"/>
    <w:rsid w:val="00B31D1C"/>
    <w:rsid w:val="00B326A6"/>
    <w:rsid w:val="00B32BF8"/>
    <w:rsid w:val="00B33E0E"/>
    <w:rsid w:val="00B347D3"/>
    <w:rsid w:val="00B368F3"/>
    <w:rsid w:val="00B36BEA"/>
    <w:rsid w:val="00B371BB"/>
    <w:rsid w:val="00B3723A"/>
    <w:rsid w:val="00B37258"/>
    <w:rsid w:val="00B379EF"/>
    <w:rsid w:val="00B41ACB"/>
    <w:rsid w:val="00B41E37"/>
    <w:rsid w:val="00B43AB8"/>
    <w:rsid w:val="00B44D78"/>
    <w:rsid w:val="00B46C10"/>
    <w:rsid w:val="00B470E5"/>
    <w:rsid w:val="00B47420"/>
    <w:rsid w:val="00B50570"/>
    <w:rsid w:val="00B50E30"/>
    <w:rsid w:val="00B520AB"/>
    <w:rsid w:val="00B52A70"/>
    <w:rsid w:val="00B53093"/>
    <w:rsid w:val="00B54013"/>
    <w:rsid w:val="00B546AD"/>
    <w:rsid w:val="00B54865"/>
    <w:rsid w:val="00B549B8"/>
    <w:rsid w:val="00B562D8"/>
    <w:rsid w:val="00B56780"/>
    <w:rsid w:val="00B572EB"/>
    <w:rsid w:val="00B578F2"/>
    <w:rsid w:val="00B60346"/>
    <w:rsid w:val="00B60561"/>
    <w:rsid w:val="00B6060A"/>
    <w:rsid w:val="00B607A6"/>
    <w:rsid w:val="00B61BB1"/>
    <w:rsid w:val="00B61DE9"/>
    <w:rsid w:val="00B62160"/>
    <w:rsid w:val="00B62266"/>
    <w:rsid w:val="00B63ED9"/>
    <w:rsid w:val="00B642DA"/>
    <w:rsid w:val="00B65502"/>
    <w:rsid w:val="00B65509"/>
    <w:rsid w:val="00B655A1"/>
    <w:rsid w:val="00B66873"/>
    <w:rsid w:val="00B66A05"/>
    <w:rsid w:val="00B66E42"/>
    <w:rsid w:val="00B67A5D"/>
    <w:rsid w:val="00B7072B"/>
    <w:rsid w:val="00B70FFF"/>
    <w:rsid w:val="00B716B9"/>
    <w:rsid w:val="00B71B14"/>
    <w:rsid w:val="00B731B1"/>
    <w:rsid w:val="00B73D47"/>
    <w:rsid w:val="00B7421F"/>
    <w:rsid w:val="00B74715"/>
    <w:rsid w:val="00B7487F"/>
    <w:rsid w:val="00B75397"/>
    <w:rsid w:val="00B75F08"/>
    <w:rsid w:val="00B760F0"/>
    <w:rsid w:val="00B761C0"/>
    <w:rsid w:val="00B76244"/>
    <w:rsid w:val="00B76675"/>
    <w:rsid w:val="00B770A8"/>
    <w:rsid w:val="00B77D93"/>
    <w:rsid w:val="00B80B5F"/>
    <w:rsid w:val="00B80F2C"/>
    <w:rsid w:val="00B82040"/>
    <w:rsid w:val="00B8238C"/>
    <w:rsid w:val="00B8284A"/>
    <w:rsid w:val="00B831D2"/>
    <w:rsid w:val="00B83E60"/>
    <w:rsid w:val="00B85018"/>
    <w:rsid w:val="00B856F0"/>
    <w:rsid w:val="00B87E00"/>
    <w:rsid w:val="00B90297"/>
    <w:rsid w:val="00B915C4"/>
    <w:rsid w:val="00B92A6A"/>
    <w:rsid w:val="00B94396"/>
    <w:rsid w:val="00B9448E"/>
    <w:rsid w:val="00B949BD"/>
    <w:rsid w:val="00B953E6"/>
    <w:rsid w:val="00B957AE"/>
    <w:rsid w:val="00B95C13"/>
    <w:rsid w:val="00B95C1C"/>
    <w:rsid w:val="00B96125"/>
    <w:rsid w:val="00B961D0"/>
    <w:rsid w:val="00B9644F"/>
    <w:rsid w:val="00B96910"/>
    <w:rsid w:val="00B97019"/>
    <w:rsid w:val="00B977CE"/>
    <w:rsid w:val="00B97A31"/>
    <w:rsid w:val="00B97E6C"/>
    <w:rsid w:val="00BA019C"/>
    <w:rsid w:val="00BA080B"/>
    <w:rsid w:val="00BA1394"/>
    <w:rsid w:val="00BA20C9"/>
    <w:rsid w:val="00BA3E77"/>
    <w:rsid w:val="00BA46A7"/>
    <w:rsid w:val="00BA522B"/>
    <w:rsid w:val="00BB08CC"/>
    <w:rsid w:val="00BB0A16"/>
    <w:rsid w:val="00BB0C41"/>
    <w:rsid w:val="00BB0C66"/>
    <w:rsid w:val="00BB1591"/>
    <w:rsid w:val="00BB2A95"/>
    <w:rsid w:val="00BB2CA6"/>
    <w:rsid w:val="00BB30A9"/>
    <w:rsid w:val="00BB32E5"/>
    <w:rsid w:val="00BB4A0F"/>
    <w:rsid w:val="00BB4B8C"/>
    <w:rsid w:val="00BB5026"/>
    <w:rsid w:val="00BB50A0"/>
    <w:rsid w:val="00BB516D"/>
    <w:rsid w:val="00BB5D9B"/>
    <w:rsid w:val="00BB60E8"/>
    <w:rsid w:val="00BB6899"/>
    <w:rsid w:val="00BB6E0A"/>
    <w:rsid w:val="00BB7978"/>
    <w:rsid w:val="00BB7EDB"/>
    <w:rsid w:val="00BC0DC1"/>
    <w:rsid w:val="00BC134F"/>
    <w:rsid w:val="00BC31FB"/>
    <w:rsid w:val="00BC34EE"/>
    <w:rsid w:val="00BC36F0"/>
    <w:rsid w:val="00BC3A62"/>
    <w:rsid w:val="00BC3A85"/>
    <w:rsid w:val="00BC45FB"/>
    <w:rsid w:val="00BC4F58"/>
    <w:rsid w:val="00BC7ACC"/>
    <w:rsid w:val="00BD3463"/>
    <w:rsid w:val="00BD37D9"/>
    <w:rsid w:val="00BD3F01"/>
    <w:rsid w:val="00BD429D"/>
    <w:rsid w:val="00BD45DD"/>
    <w:rsid w:val="00BD5622"/>
    <w:rsid w:val="00BD642B"/>
    <w:rsid w:val="00BD6AEC"/>
    <w:rsid w:val="00BD7126"/>
    <w:rsid w:val="00BD7150"/>
    <w:rsid w:val="00BD7D72"/>
    <w:rsid w:val="00BE0AC1"/>
    <w:rsid w:val="00BE1634"/>
    <w:rsid w:val="00BE1C83"/>
    <w:rsid w:val="00BE3ABC"/>
    <w:rsid w:val="00BE49FE"/>
    <w:rsid w:val="00BE5F97"/>
    <w:rsid w:val="00BE65AE"/>
    <w:rsid w:val="00BF0436"/>
    <w:rsid w:val="00BF0F65"/>
    <w:rsid w:val="00BF24AD"/>
    <w:rsid w:val="00BF3B06"/>
    <w:rsid w:val="00BF473D"/>
    <w:rsid w:val="00BF5666"/>
    <w:rsid w:val="00C000A6"/>
    <w:rsid w:val="00C00B03"/>
    <w:rsid w:val="00C00C66"/>
    <w:rsid w:val="00C01C74"/>
    <w:rsid w:val="00C01EB0"/>
    <w:rsid w:val="00C030F8"/>
    <w:rsid w:val="00C042F7"/>
    <w:rsid w:val="00C0433E"/>
    <w:rsid w:val="00C0483B"/>
    <w:rsid w:val="00C04E82"/>
    <w:rsid w:val="00C05726"/>
    <w:rsid w:val="00C05A2E"/>
    <w:rsid w:val="00C06054"/>
    <w:rsid w:val="00C060B8"/>
    <w:rsid w:val="00C06379"/>
    <w:rsid w:val="00C07447"/>
    <w:rsid w:val="00C075CC"/>
    <w:rsid w:val="00C101A8"/>
    <w:rsid w:val="00C1052E"/>
    <w:rsid w:val="00C13BD0"/>
    <w:rsid w:val="00C146FC"/>
    <w:rsid w:val="00C154D2"/>
    <w:rsid w:val="00C156CC"/>
    <w:rsid w:val="00C15794"/>
    <w:rsid w:val="00C15D66"/>
    <w:rsid w:val="00C16190"/>
    <w:rsid w:val="00C17090"/>
    <w:rsid w:val="00C177EA"/>
    <w:rsid w:val="00C17EE2"/>
    <w:rsid w:val="00C20C27"/>
    <w:rsid w:val="00C21452"/>
    <w:rsid w:val="00C23903"/>
    <w:rsid w:val="00C23B36"/>
    <w:rsid w:val="00C24343"/>
    <w:rsid w:val="00C26A49"/>
    <w:rsid w:val="00C26C4E"/>
    <w:rsid w:val="00C27401"/>
    <w:rsid w:val="00C27B81"/>
    <w:rsid w:val="00C306BB"/>
    <w:rsid w:val="00C327E9"/>
    <w:rsid w:val="00C3335C"/>
    <w:rsid w:val="00C36027"/>
    <w:rsid w:val="00C361D3"/>
    <w:rsid w:val="00C36469"/>
    <w:rsid w:val="00C37D02"/>
    <w:rsid w:val="00C4035B"/>
    <w:rsid w:val="00C440ED"/>
    <w:rsid w:val="00C45A59"/>
    <w:rsid w:val="00C45B4D"/>
    <w:rsid w:val="00C46105"/>
    <w:rsid w:val="00C46D19"/>
    <w:rsid w:val="00C4705D"/>
    <w:rsid w:val="00C4776D"/>
    <w:rsid w:val="00C514A2"/>
    <w:rsid w:val="00C51939"/>
    <w:rsid w:val="00C51E21"/>
    <w:rsid w:val="00C52DE6"/>
    <w:rsid w:val="00C537F3"/>
    <w:rsid w:val="00C54589"/>
    <w:rsid w:val="00C56A6E"/>
    <w:rsid w:val="00C5718C"/>
    <w:rsid w:val="00C57679"/>
    <w:rsid w:val="00C578BB"/>
    <w:rsid w:val="00C57D46"/>
    <w:rsid w:val="00C611FC"/>
    <w:rsid w:val="00C61469"/>
    <w:rsid w:val="00C625B1"/>
    <w:rsid w:val="00C63B14"/>
    <w:rsid w:val="00C64542"/>
    <w:rsid w:val="00C64D26"/>
    <w:rsid w:val="00C6545E"/>
    <w:rsid w:val="00C65A42"/>
    <w:rsid w:val="00C669EA"/>
    <w:rsid w:val="00C66D77"/>
    <w:rsid w:val="00C67DB5"/>
    <w:rsid w:val="00C67F85"/>
    <w:rsid w:val="00C70BCA"/>
    <w:rsid w:val="00C71EF8"/>
    <w:rsid w:val="00C72882"/>
    <w:rsid w:val="00C72F34"/>
    <w:rsid w:val="00C7364A"/>
    <w:rsid w:val="00C73A67"/>
    <w:rsid w:val="00C750B9"/>
    <w:rsid w:val="00C75A54"/>
    <w:rsid w:val="00C7608B"/>
    <w:rsid w:val="00C770F3"/>
    <w:rsid w:val="00C8294F"/>
    <w:rsid w:val="00C82CC5"/>
    <w:rsid w:val="00C832A5"/>
    <w:rsid w:val="00C8336F"/>
    <w:rsid w:val="00C84705"/>
    <w:rsid w:val="00C8622B"/>
    <w:rsid w:val="00C864D0"/>
    <w:rsid w:val="00C8783C"/>
    <w:rsid w:val="00C90171"/>
    <w:rsid w:val="00C90604"/>
    <w:rsid w:val="00C9067A"/>
    <w:rsid w:val="00C90D7E"/>
    <w:rsid w:val="00C90EDF"/>
    <w:rsid w:val="00C90F2D"/>
    <w:rsid w:val="00C911AC"/>
    <w:rsid w:val="00C91714"/>
    <w:rsid w:val="00C91ED3"/>
    <w:rsid w:val="00C92E8A"/>
    <w:rsid w:val="00C93C81"/>
    <w:rsid w:val="00C96E61"/>
    <w:rsid w:val="00CA0032"/>
    <w:rsid w:val="00CA0AAA"/>
    <w:rsid w:val="00CA1261"/>
    <w:rsid w:val="00CA1455"/>
    <w:rsid w:val="00CA1E8E"/>
    <w:rsid w:val="00CA304A"/>
    <w:rsid w:val="00CA3472"/>
    <w:rsid w:val="00CA5DEA"/>
    <w:rsid w:val="00CA609F"/>
    <w:rsid w:val="00CA6E68"/>
    <w:rsid w:val="00CA74DB"/>
    <w:rsid w:val="00CA7646"/>
    <w:rsid w:val="00CB1055"/>
    <w:rsid w:val="00CB10E9"/>
    <w:rsid w:val="00CB1950"/>
    <w:rsid w:val="00CB2145"/>
    <w:rsid w:val="00CB2254"/>
    <w:rsid w:val="00CB27C8"/>
    <w:rsid w:val="00CB2BD7"/>
    <w:rsid w:val="00CB3CC8"/>
    <w:rsid w:val="00CB412E"/>
    <w:rsid w:val="00CB4C03"/>
    <w:rsid w:val="00CB5011"/>
    <w:rsid w:val="00CB5083"/>
    <w:rsid w:val="00CB5ABA"/>
    <w:rsid w:val="00CB6104"/>
    <w:rsid w:val="00CB7DC2"/>
    <w:rsid w:val="00CB7EE9"/>
    <w:rsid w:val="00CC0071"/>
    <w:rsid w:val="00CC06D0"/>
    <w:rsid w:val="00CC0BFC"/>
    <w:rsid w:val="00CC0DD3"/>
    <w:rsid w:val="00CC1188"/>
    <w:rsid w:val="00CC16D5"/>
    <w:rsid w:val="00CC1786"/>
    <w:rsid w:val="00CC180C"/>
    <w:rsid w:val="00CC2970"/>
    <w:rsid w:val="00CC3512"/>
    <w:rsid w:val="00CC427C"/>
    <w:rsid w:val="00CC7151"/>
    <w:rsid w:val="00CC767C"/>
    <w:rsid w:val="00CC784C"/>
    <w:rsid w:val="00CD01D0"/>
    <w:rsid w:val="00CD050B"/>
    <w:rsid w:val="00CD1231"/>
    <w:rsid w:val="00CD1822"/>
    <w:rsid w:val="00CD2634"/>
    <w:rsid w:val="00CD2A1B"/>
    <w:rsid w:val="00CD3B19"/>
    <w:rsid w:val="00CD3EDA"/>
    <w:rsid w:val="00CD777D"/>
    <w:rsid w:val="00CE30FC"/>
    <w:rsid w:val="00CE48EB"/>
    <w:rsid w:val="00CE51A6"/>
    <w:rsid w:val="00CE5548"/>
    <w:rsid w:val="00CE573C"/>
    <w:rsid w:val="00CE5EA4"/>
    <w:rsid w:val="00CE669C"/>
    <w:rsid w:val="00CE68F8"/>
    <w:rsid w:val="00CE7A69"/>
    <w:rsid w:val="00CF2131"/>
    <w:rsid w:val="00CF2A23"/>
    <w:rsid w:val="00CF3562"/>
    <w:rsid w:val="00CF3974"/>
    <w:rsid w:val="00CF45FC"/>
    <w:rsid w:val="00CF51FC"/>
    <w:rsid w:val="00CF5656"/>
    <w:rsid w:val="00CF6123"/>
    <w:rsid w:val="00CF6536"/>
    <w:rsid w:val="00CF70B6"/>
    <w:rsid w:val="00D00003"/>
    <w:rsid w:val="00D001B5"/>
    <w:rsid w:val="00D003F0"/>
    <w:rsid w:val="00D018DF"/>
    <w:rsid w:val="00D01D45"/>
    <w:rsid w:val="00D01EBC"/>
    <w:rsid w:val="00D0304C"/>
    <w:rsid w:val="00D04F67"/>
    <w:rsid w:val="00D0541D"/>
    <w:rsid w:val="00D06202"/>
    <w:rsid w:val="00D077AA"/>
    <w:rsid w:val="00D07888"/>
    <w:rsid w:val="00D10809"/>
    <w:rsid w:val="00D1081F"/>
    <w:rsid w:val="00D10BDC"/>
    <w:rsid w:val="00D1172F"/>
    <w:rsid w:val="00D11B40"/>
    <w:rsid w:val="00D16180"/>
    <w:rsid w:val="00D1675A"/>
    <w:rsid w:val="00D203EB"/>
    <w:rsid w:val="00D20C37"/>
    <w:rsid w:val="00D211D3"/>
    <w:rsid w:val="00D21D5A"/>
    <w:rsid w:val="00D21E63"/>
    <w:rsid w:val="00D2277D"/>
    <w:rsid w:val="00D227F2"/>
    <w:rsid w:val="00D2687D"/>
    <w:rsid w:val="00D27441"/>
    <w:rsid w:val="00D3057D"/>
    <w:rsid w:val="00D30834"/>
    <w:rsid w:val="00D308A5"/>
    <w:rsid w:val="00D30B51"/>
    <w:rsid w:val="00D312C4"/>
    <w:rsid w:val="00D3229F"/>
    <w:rsid w:val="00D33D7E"/>
    <w:rsid w:val="00D347A8"/>
    <w:rsid w:val="00D347F4"/>
    <w:rsid w:val="00D34ABC"/>
    <w:rsid w:val="00D35D30"/>
    <w:rsid w:val="00D36307"/>
    <w:rsid w:val="00D37040"/>
    <w:rsid w:val="00D37309"/>
    <w:rsid w:val="00D37811"/>
    <w:rsid w:val="00D4038F"/>
    <w:rsid w:val="00D415D5"/>
    <w:rsid w:val="00D424E4"/>
    <w:rsid w:val="00D42F1C"/>
    <w:rsid w:val="00D431D3"/>
    <w:rsid w:val="00D433FF"/>
    <w:rsid w:val="00D44332"/>
    <w:rsid w:val="00D45A06"/>
    <w:rsid w:val="00D462EB"/>
    <w:rsid w:val="00D4723A"/>
    <w:rsid w:val="00D50666"/>
    <w:rsid w:val="00D5089E"/>
    <w:rsid w:val="00D511BD"/>
    <w:rsid w:val="00D5399F"/>
    <w:rsid w:val="00D53BF4"/>
    <w:rsid w:val="00D53C49"/>
    <w:rsid w:val="00D54031"/>
    <w:rsid w:val="00D54F40"/>
    <w:rsid w:val="00D55908"/>
    <w:rsid w:val="00D566AF"/>
    <w:rsid w:val="00D57012"/>
    <w:rsid w:val="00D60776"/>
    <w:rsid w:val="00D61030"/>
    <w:rsid w:val="00D614E7"/>
    <w:rsid w:val="00D61CBD"/>
    <w:rsid w:val="00D61D0E"/>
    <w:rsid w:val="00D62B10"/>
    <w:rsid w:val="00D64AB6"/>
    <w:rsid w:val="00D64D7F"/>
    <w:rsid w:val="00D65C03"/>
    <w:rsid w:val="00D65E7A"/>
    <w:rsid w:val="00D66259"/>
    <w:rsid w:val="00D70C7C"/>
    <w:rsid w:val="00D716E1"/>
    <w:rsid w:val="00D71BD1"/>
    <w:rsid w:val="00D7400D"/>
    <w:rsid w:val="00D752DA"/>
    <w:rsid w:val="00D76E8E"/>
    <w:rsid w:val="00D77B47"/>
    <w:rsid w:val="00D80A86"/>
    <w:rsid w:val="00D80FAF"/>
    <w:rsid w:val="00D81560"/>
    <w:rsid w:val="00D83EA7"/>
    <w:rsid w:val="00D8471C"/>
    <w:rsid w:val="00D85522"/>
    <w:rsid w:val="00D855CF"/>
    <w:rsid w:val="00D90697"/>
    <w:rsid w:val="00D90EA3"/>
    <w:rsid w:val="00D91282"/>
    <w:rsid w:val="00D92A24"/>
    <w:rsid w:val="00D9347C"/>
    <w:rsid w:val="00D93667"/>
    <w:rsid w:val="00D94B69"/>
    <w:rsid w:val="00D95379"/>
    <w:rsid w:val="00D95494"/>
    <w:rsid w:val="00D95923"/>
    <w:rsid w:val="00D96047"/>
    <w:rsid w:val="00DA030C"/>
    <w:rsid w:val="00DA12C8"/>
    <w:rsid w:val="00DA1EFA"/>
    <w:rsid w:val="00DA1F04"/>
    <w:rsid w:val="00DA2565"/>
    <w:rsid w:val="00DA3207"/>
    <w:rsid w:val="00DA3753"/>
    <w:rsid w:val="00DA5AC6"/>
    <w:rsid w:val="00DA65F0"/>
    <w:rsid w:val="00DA6FA2"/>
    <w:rsid w:val="00DA74FF"/>
    <w:rsid w:val="00DA7D20"/>
    <w:rsid w:val="00DB0043"/>
    <w:rsid w:val="00DB0EF2"/>
    <w:rsid w:val="00DB1B5B"/>
    <w:rsid w:val="00DB1F80"/>
    <w:rsid w:val="00DB2DB9"/>
    <w:rsid w:val="00DB2F7B"/>
    <w:rsid w:val="00DB3FB3"/>
    <w:rsid w:val="00DB436D"/>
    <w:rsid w:val="00DB4CF5"/>
    <w:rsid w:val="00DB531B"/>
    <w:rsid w:val="00DB54C5"/>
    <w:rsid w:val="00DB5886"/>
    <w:rsid w:val="00DB6187"/>
    <w:rsid w:val="00DB62DE"/>
    <w:rsid w:val="00DB645F"/>
    <w:rsid w:val="00DB7C20"/>
    <w:rsid w:val="00DC076F"/>
    <w:rsid w:val="00DC15C6"/>
    <w:rsid w:val="00DC2289"/>
    <w:rsid w:val="00DC22E6"/>
    <w:rsid w:val="00DC3464"/>
    <w:rsid w:val="00DC37FB"/>
    <w:rsid w:val="00DC569C"/>
    <w:rsid w:val="00DC5A40"/>
    <w:rsid w:val="00DC70CC"/>
    <w:rsid w:val="00DC7404"/>
    <w:rsid w:val="00DC7690"/>
    <w:rsid w:val="00DC78B9"/>
    <w:rsid w:val="00DD02A2"/>
    <w:rsid w:val="00DD07F4"/>
    <w:rsid w:val="00DD08B3"/>
    <w:rsid w:val="00DD0D6B"/>
    <w:rsid w:val="00DD0E5B"/>
    <w:rsid w:val="00DD1088"/>
    <w:rsid w:val="00DD2431"/>
    <w:rsid w:val="00DD2503"/>
    <w:rsid w:val="00DD418D"/>
    <w:rsid w:val="00DD4343"/>
    <w:rsid w:val="00DD4A6A"/>
    <w:rsid w:val="00DD4B6C"/>
    <w:rsid w:val="00DD5C50"/>
    <w:rsid w:val="00DD5DFF"/>
    <w:rsid w:val="00DD6A3C"/>
    <w:rsid w:val="00DD6A93"/>
    <w:rsid w:val="00DD72CF"/>
    <w:rsid w:val="00DD7625"/>
    <w:rsid w:val="00DE0FA5"/>
    <w:rsid w:val="00DE106B"/>
    <w:rsid w:val="00DE2DEF"/>
    <w:rsid w:val="00DE3045"/>
    <w:rsid w:val="00DE327E"/>
    <w:rsid w:val="00DE4BA5"/>
    <w:rsid w:val="00DE70D5"/>
    <w:rsid w:val="00DE728A"/>
    <w:rsid w:val="00DE73FD"/>
    <w:rsid w:val="00DE7437"/>
    <w:rsid w:val="00DF2D6C"/>
    <w:rsid w:val="00DF31BA"/>
    <w:rsid w:val="00DF3469"/>
    <w:rsid w:val="00DF34EC"/>
    <w:rsid w:val="00DF3F0C"/>
    <w:rsid w:val="00DF4F8C"/>
    <w:rsid w:val="00DF5283"/>
    <w:rsid w:val="00DF5D64"/>
    <w:rsid w:val="00DF7238"/>
    <w:rsid w:val="00DF7C56"/>
    <w:rsid w:val="00E00039"/>
    <w:rsid w:val="00E001A6"/>
    <w:rsid w:val="00E0117D"/>
    <w:rsid w:val="00E01215"/>
    <w:rsid w:val="00E02EE5"/>
    <w:rsid w:val="00E038C4"/>
    <w:rsid w:val="00E03B84"/>
    <w:rsid w:val="00E04516"/>
    <w:rsid w:val="00E06013"/>
    <w:rsid w:val="00E067FC"/>
    <w:rsid w:val="00E06ECD"/>
    <w:rsid w:val="00E0752F"/>
    <w:rsid w:val="00E07960"/>
    <w:rsid w:val="00E07C37"/>
    <w:rsid w:val="00E10C55"/>
    <w:rsid w:val="00E10E87"/>
    <w:rsid w:val="00E110BC"/>
    <w:rsid w:val="00E11172"/>
    <w:rsid w:val="00E1140D"/>
    <w:rsid w:val="00E11C82"/>
    <w:rsid w:val="00E141AC"/>
    <w:rsid w:val="00E142E7"/>
    <w:rsid w:val="00E14ECC"/>
    <w:rsid w:val="00E1534B"/>
    <w:rsid w:val="00E158E2"/>
    <w:rsid w:val="00E15A33"/>
    <w:rsid w:val="00E1632D"/>
    <w:rsid w:val="00E16407"/>
    <w:rsid w:val="00E20104"/>
    <w:rsid w:val="00E24416"/>
    <w:rsid w:val="00E25684"/>
    <w:rsid w:val="00E2709D"/>
    <w:rsid w:val="00E27736"/>
    <w:rsid w:val="00E27E7C"/>
    <w:rsid w:val="00E300F2"/>
    <w:rsid w:val="00E301F3"/>
    <w:rsid w:val="00E303CC"/>
    <w:rsid w:val="00E3048A"/>
    <w:rsid w:val="00E3167B"/>
    <w:rsid w:val="00E323EE"/>
    <w:rsid w:val="00E32B7A"/>
    <w:rsid w:val="00E32DAB"/>
    <w:rsid w:val="00E33EC6"/>
    <w:rsid w:val="00E35A02"/>
    <w:rsid w:val="00E36282"/>
    <w:rsid w:val="00E3696E"/>
    <w:rsid w:val="00E36C85"/>
    <w:rsid w:val="00E3709F"/>
    <w:rsid w:val="00E37B7B"/>
    <w:rsid w:val="00E40848"/>
    <w:rsid w:val="00E40C54"/>
    <w:rsid w:val="00E4232F"/>
    <w:rsid w:val="00E428BE"/>
    <w:rsid w:val="00E44627"/>
    <w:rsid w:val="00E44900"/>
    <w:rsid w:val="00E4506F"/>
    <w:rsid w:val="00E4519C"/>
    <w:rsid w:val="00E455DD"/>
    <w:rsid w:val="00E45DBA"/>
    <w:rsid w:val="00E46C51"/>
    <w:rsid w:val="00E473FD"/>
    <w:rsid w:val="00E47DF0"/>
    <w:rsid w:val="00E50028"/>
    <w:rsid w:val="00E51D95"/>
    <w:rsid w:val="00E51EAD"/>
    <w:rsid w:val="00E52127"/>
    <w:rsid w:val="00E53E66"/>
    <w:rsid w:val="00E56117"/>
    <w:rsid w:val="00E573F0"/>
    <w:rsid w:val="00E6031F"/>
    <w:rsid w:val="00E60DE1"/>
    <w:rsid w:val="00E61F74"/>
    <w:rsid w:val="00E622A9"/>
    <w:rsid w:val="00E62AFF"/>
    <w:rsid w:val="00E62B6A"/>
    <w:rsid w:val="00E62E6A"/>
    <w:rsid w:val="00E630A8"/>
    <w:rsid w:val="00E631A4"/>
    <w:rsid w:val="00E635F4"/>
    <w:rsid w:val="00E63CD6"/>
    <w:rsid w:val="00E63E9C"/>
    <w:rsid w:val="00E6449D"/>
    <w:rsid w:val="00E64CB2"/>
    <w:rsid w:val="00E656FF"/>
    <w:rsid w:val="00E66156"/>
    <w:rsid w:val="00E66D21"/>
    <w:rsid w:val="00E6747A"/>
    <w:rsid w:val="00E67986"/>
    <w:rsid w:val="00E67C4E"/>
    <w:rsid w:val="00E7027B"/>
    <w:rsid w:val="00E707CD"/>
    <w:rsid w:val="00E71BA9"/>
    <w:rsid w:val="00E71F99"/>
    <w:rsid w:val="00E72A7E"/>
    <w:rsid w:val="00E741A9"/>
    <w:rsid w:val="00E75D23"/>
    <w:rsid w:val="00E76BD1"/>
    <w:rsid w:val="00E77118"/>
    <w:rsid w:val="00E807A6"/>
    <w:rsid w:val="00E82C05"/>
    <w:rsid w:val="00E832B2"/>
    <w:rsid w:val="00E83F64"/>
    <w:rsid w:val="00E848DB"/>
    <w:rsid w:val="00E84D43"/>
    <w:rsid w:val="00E858B6"/>
    <w:rsid w:val="00E85BC2"/>
    <w:rsid w:val="00E860D6"/>
    <w:rsid w:val="00E86C0C"/>
    <w:rsid w:val="00E86F19"/>
    <w:rsid w:val="00E86FEC"/>
    <w:rsid w:val="00E90799"/>
    <w:rsid w:val="00E94025"/>
    <w:rsid w:val="00E943F3"/>
    <w:rsid w:val="00E95888"/>
    <w:rsid w:val="00E95A29"/>
    <w:rsid w:val="00E963CE"/>
    <w:rsid w:val="00E96988"/>
    <w:rsid w:val="00E974F6"/>
    <w:rsid w:val="00EA0374"/>
    <w:rsid w:val="00EA128F"/>
    <w:rsid w:val="00EA1EBA"/>
    <w:rsid w:val="00EA26FE"/>
    <w:rsid w:val="00EA2C67"/>
    <w:rsid w:val="00EA3680"/>
    <w:rsid w:val="00EA39C7"/>
    <w:rsid w:val="00EA3FB0"/>
    <w:rsid w:val="00EA4232"/>
    <w:rsid w:val="00EA56CE"/>
    <w:rsid w:val="00EA60D0"/>
    <w:rsid w:val="00EA679A"/>
    <w:rsid w:val="00EA77C3"/>
    <w:rsid w:val="00EA7B5C"/>
    <w:rsid w:val="00EB003D"/>
    <w:rsid w:val="00EB151B"/>
    <w:rsid w:val="00EB1B90"/>
    <w:rsid w:val="00EB35C1"/>
    <w:rsid w:val="00EB3A97"/>
    <w:rsid w:val="00EB3E3E"/>
    <w:rsid w:val="00EB404F"/>
    <w:rsid w:val="00EB4194"/>
    <w:rsid w:val="00EB41A8"/>
    <w:rsid w:val="00EB4B38"/>
    <w:rsid w:val="00EB6213"/>
    <w:rsid w:val="00EB66B8"/>
    <w:rsid w:val="00EB6C91"/>
    <w:rsid w:val="00EB769F"/>
    <w:rsid w:val="00EB7868"/>
    <w:rsid w:val="00EB790D"/>
    <w:rsid w:val="00EC0778"/>
    <w:rsid w:val="00EC1B74"/>
    <w:rsid w:val="00EC1FE1"/>
    <w:rsid w:val="00EC2353"/>
    <w:rsid w:val="00EC345A"/>
    <w:rsid w:val="00EC3AE0"/>
    <w:rsid w:val="00EC40CD"/>
    <w:rsid w:val="00EC456A"/>
    <w:rsid w:val="00EC46E9"/>
    <w:rsid w:val="00EC5136"/>
    <w:rsid w:val="00EC65BB"/>
    <w:rsid w:val="00EC6FF6"/>
    <w:rsid w:val="00EC7289"/>
    <w:rsid w:val="00EC753C"/>
    <w:rsid w:val="00EC78A0"/>
    <w:rsid w:val="00EC7AE7"/>
    <w:rsid w:val="00ED03E1"/>
    <w:rsid w:val="00ED24AC"/>
    <w:rsid w:val="00ED2CE0"/>
    <w:rsid w:val="00ED355F"/>
    <w:rsid w:val="00ED4BAE"/>
    <w:rsid w:val="00ED62E3"/>
    <w:rsid w:val="00ED645C"/>
    <w:rsid w:val="00ED6E2D"/>
    <w:rsid w:val="00ED7094"/>
    <w:rsid w:val="00ED74C8"/>
    <w:rsid w:val="00ED78BA"/>
    <w:rsid w:val="00ED78EC"/>
    <w:rsid w:val="00ED7FE9"/>
    <w:rsid w:val="00EE13BD"/>
    <w:rsid w:val="00EE1EE6"/>
    <w:rsid w:val="00EE1EEA"/>
    <w:rsid w:val="00EE1EF7"/>
    <w:rsid w:val="00EE23DF"/>
    <w:rsid w:val="00EE4CDF"/>
    <w:rsid w:val="00EE51C1"/>
    <w:rsid w:val="00EE6934"/>
    <w:rsid w:val="00EE79C2"/>
    <w:rsid w:val="00EF009C"/>
    <w:rsid w:val="00EF0151"/>
    <w:rsid w:val="00EF03D6"/>
    <w:rsid w:val="00EF0463"/>
    <w:rsid w:val="00EF0693"/>
    <w:rsid w:val="00EF0AF3"/>
    <w:rsid w:val="00EF0D50"/>
    <w:rsid w:val="00EF257A"/>
    <w:rsid w:val="00EF38AE"/>
    <w:rsid w:val="00EF52F8"/>
    <w:rsid w:val="00EF55F3"/>
    <w:rsid w:val="00EF5DEA"/>
    <w:rsid w:val="00EF677A"/>
    <w:rsid w:val="00EF6DA1"/>
    <w:rsid w:val="00EF759A"/>
    <w:rsid w:val="00F00D72"/>
    <w:rsid w:val="00F00F7A"/>
    <w:rsid w:val="00F0209D"/>
    <w:rsid w:val="00F023E0"/>
    <w:rsid w:val="00F02558"/>
    <w:rsid w:val="00F03B5C"/>
    <w:rsid w:val="00F03CD4"/>
    <w:rsid w:val="00F04075"/>
    <w:rsid w:val="00F05606"/>
    <w:rsid w:val="00F0750F"/>
    <w:rsid w:val="00F075B7"/>
    <w:rsid w:val="00F07901"/>
    <w:rsid w:val="00F07999"/>
    <w:rsid w:val="00F1007A"/>
    <w:rsid w:val="00F109F5"/>
    <w:rsid w:val="00F113C9"/>
    <w:rsid w:val="00F11858"/>
    <w:rsid w:val="00F132FA"/>
    <w:rsid w:val="00F143B3"/>
    <w:rsid w:val="00F14E25"/>
    <w:rsid w:val="00F15F5B"/>
    <w:rsid w:val="00F1642A"/>
    <w:rsid w:val="00F2064F"/>
    <w:rsid w:val="00F21A01"/>
    <w:rsid w:val="00F22A44"/>
    <w:rsid w:val="00F2396A"/>
    <w:rsid w:val="00F240E9"/>
    <w:rsid w:val="00F250D7"/>
    <w:rsid w:val="00F25545"/>
    <w:rsid w:val="00F2568F"/>
    <w:rsid w:val="00F263B2"/>
    <w:rsid w:val="00F26968"/>
    <w:rsid w:val="00F269BC"/>
    <w:rsid w:val="00F27D8C"/>
    <w:rsid w:val="00F30743"/>
    <w:rsid w:val="00F30938"/>
    <w:rsid w:val="00F31D36"/>
    <w:rsid w:val="00F326EF"/>
    <w:rsid w:val="00F330F9"/>
    <w:rsid w:val="00F33676"/>
    <w:rsid w:val="00F33F67"/>
    <w:rsid w:val="00F3457C"/>
    <w:rsid w:val="00F367D7"/>
    <w:rsid w:val="00F40B08"/>
    <w:rsid w:val="00F40E2B"/>
    <w:rsid w:val="00F411B9"/>
    <w:rsid w:val="00F41C8E"/>
    <w:rsid w:val="00F425A7"/>
    <w:rsid w:val="00F42C18"/>
    <w:rsid w:val="00F431C8"/>
    <w:rsid w:val="00F434B8"/>
    <w:rsid w:val="00F4440E"/>
    <w:rsid w:val="00F44C73"/>
    <w:rsid w:val="00F44F6E"/>
    <w:rsid w:val="00F45171"/>
    <w:rsid w:val="00F45FA4"/>
    <w:rsid w:val="00F460BB"/>
    <w:rsid w:val="00F4612A"/>
    <w:rsid w:val="00F471EA"/>
    <w:rsid w:val="00F5013F"/>
    <w:rsid w:val="00F50419"/>
    <w:rsid w:val="00F5071C"/>
    <w:rsid w:val="00F50FEB"/>
    <w:rsid w:val="00F518EF"/>
    <w:rsid w:val="00F540D5"/>
    <w:rsid w:val="00F54611"/>
    <w:rsid w:val="00F548DF"/>
    <w:rsid w:val="00F55010"/>
    <w:rsid w:val="00F55135"/>
    <w:rsid w:val="00F5633C"/>
    <w:rsid w:val="00F57A07"/>
    <w:rsid w:val="00F623F0"/>
    <w:rsid w:val="00F627B5"/>
    <w:rsid w:val="00F629DF"/>
    <w:rsid w:val="00F63069"/>
    <w:rsid w:val="00F65BC8"/>
    <w:rsid w:val="00F65F24"/>
    <w:rsid w:val="00F66DE5"/>
    <w:rsid w:val="00F67315"/>
    <w:rsid w:val="00F67C54"/>
    <w:rsid w:val="00F71007"/>
    <w:rsid w:val="00F7114A"/>
    <w:rsid w:val="00F727EA"/>
    <w:rsid w:val="00F74382"/>
    <w:rsid w:val="00F762EA"/>
    <w:rsid w:val="00F76FF6"/>
    <w:rsid w:val="00F7742A"/>
    <w:rsid w:val="00F77447"/>
    <w:rsid w:val="00F813B2"/>
    <w:rsid w:val="00F81B8A"/>
    <w:rsid w:val="00F826A1"/>
    <w:rsid w:val="00F82764"/>
    <w:rsid w:val="00F83C33"/>
    <w:rsid w:val="00F8429B"/>
    <w:rsid w:val="00F84BF2"/>
    <w:rsid w:val="00F86255"/>
    <w:rsid w:val="00F87B55"/>
    <w:rsid w:val="00F87EB9"/>
    <w:rsid w:val="00F87FA5"/>
    <w:rsid w:val="00F90687"/>
    <w:rsid w:val="00F91584"/>
    <w:rsid w:val="00F92BE3"/>
    <w:rsid w:val="00F92ED6"/>
    <w:rsid w:val="00F9345E"/>
    <w:rsid w:val="00F93D29"/>
    <w:rsid w:val="00F93ED3"/>
    <w:rsid w:val="00F94583"/>
    <w:rsid w:val="00F959E9"/>
    <w:rsid w:val="00F9657C"/>
    <w:rsid w:val="00F96649"/>
    <w:rsid w:val="00F9700A"/>
    <w:rsid w:val="00F979E0"/>
    <w:rsid w:val="00FA0033"/>
    <w:rsid w:val="00FA0D6F"/>
    <w:rsid w:val="00FA1B26"/>
    <w:rsid w:val="00FA1FF3"/>
    <w:rsid w:val="00FA2A53"/>
    <w:rsid w:val="00FA2E7B"/>
    <w:rsid w:val="00FA385E"/>
    <w:rsid w:val="00FA3FF2"/>
    <w:rsid w:val="00FA4280"/>
    <w:rsid w:val="00FA4500"/>
    <w:rsid w:val="00FA56D1"/>
    <w:rsid w:val="00FA56FC"/>
    <w:rsid w:val="00FA6926"/>
    <w:rsid w:val="00FA726F"/>
    <w:rsid w:val="00FA79BC"/>
    <w:rsid w:val="00FA7B50"/>
    <w:rsid w:val="00FA7ECA"/>
    <w:rsid w:val="00FB0292"/>
    <w:rsid w:val="00FB03A4"/>
    <w:rsid w:val="00FB1266"/>
    <w:rsid w:val="00FB144C"/>
    <w:rsid w:val="00FB1815"/>
    <w:rsid w:val="00FB274A"/>
    <w:rsid w:val="00FB2F37"/>
    <w:rsid w:val="00FB31AF"/>
    <w:rsid w:val="00FB342A"/>
    <w:rsid w:val="00FB3787"/>
    <w:rsid w:val="00FB399A"/>
    <w:rsid w:val="00FB52F7"/>
    <w:rsid w:val="00FB56B8"/>
    <w:rsid w:val="00FB5D98"/>
    <w:rsid w:val="00FB5F9C"/>
    <w:rsid w:val="00FB68EC"/>
    <w:rsid w:val="00FC2950"/>
    <w:rsid w:val="00FC3ABE"/>
    <w:rsid w:val="00FC3DAC"/>
    <w:rsid w:val="00FC49C3"/>
    <w:rsid w:val="00FC5B9F"/>
    <w:rsid w:val="00FC5C23"/>
    <w:rsid w:val="00FC6765"/>
    <w:rsid w:val="00FC6ABB"/>
    <w:rsid w:val="00FC7B29"/>
    <w:rsid w:val="00FD1F22"/>
    <w:rsid w:val="00FD26F4"/>
    <w:rsid w:val="00FD2832"/>
    <w:rsid w:val="00FD4AFE"/>
    <w:rsid w:val="00FD5AB1"/>
    <w:rsid w:val="00FD67F1"/>
    <w:rsid w:val="00FD6A9C"/>
    <w:rsid w:val="00FD6AFE"/>
    <w:rsid w:val="00FD6F5B"/>
    <w:rsid w:val="00FD6FBD"/>
    <w:rsid w:val="00FD76DC"/>
    <w:rsid w:val="00FE0E79"/>
    <w:rsid w:val="00FE10C5"/>
    <w:rsid w:val="00FE2140"/>
    <w:rsid w:val="00FE26FF"/>
    <w:rsid w:val="00FE279D"/>
    <w:rsid w:val="00FE3479"/>
    <w:rsid w:val="00FE348B"/>
    <w:rsid w:val="00FE34C8"/>
    <w:rsid w:val="00FE3754"/>
    <w:rsid w:val="00FE4023"/>
    <w:rsid w:val="00FE42AA"/>
    <w:rsid w:val="00FE49AD"/>
    <w:rsid w:val="00FE4F89"/>
    <w:rsid w:val="00FE50F2"/>
    <w:rsid w:val="00FE67E1"/>
    <w:rsid w:val="00FE79D5"/>
    <w:rsid w:val="00FF023F"/>
    <w:rsid w:val="00FF0330"/>
    <w:rsid w:val="00FF132B"/>
    <w:rsid w:val="00FF1B7D"/>
    <w:rsid w:val="00FF26D4"/>
    <w:rsid w:val="00FF56F5"/>
    <w:rsid w:val="00FF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9DBC2FF-1400-4E34-B49B-D48613DA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1D3D58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1D3D58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unhideWhenUsed/>
    <w:rsid w:val="00913F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13F6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13F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13F6F"/>
    <w:rPr>
      <w:sz w:val="18"/>
      <w:szCs w:val="18"/>
    </w:rPr>
  </w:style>
  <w:style w:type="character" w:styleId="a6">
    <w:name w:val="Hyperlink"/>
    <w:basedOn w:val="a0"/>
    <w:uiPriority w:val="99"/>
    <w:unhideWhenUsed/>
    <w:rsid w:val="00EC7AE7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305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4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0636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37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069CE-2CC4-4794-B3EE-8C3ED13D8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2994</TotalTime>
  <Pages>93</Pages>
  <Words>33169</Words>
  <Characters>189066</Characters>
  <Application>Microsoft Office Word</Application>
  <DocSecurity>0</DocSecurity>
  <Lines>1575</Lines>
  <Paragraphs>443</Paragraphs>
  <ScaleCrop>false</ScaleCrop>
  <Company/>
  <LinksUpToDate>false</LinksUpToDate>
  <CharactersWithSpaces>221792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bnds</dc:creator>
  <cp:keywords/>
  <dc:description/>
  <cp:lastModifiedBy>bnds</cp:lastModifiedBy>
  <cp:revision>431</cp:revision>
  <dcterms:created xsi:type="dcterms:W3CDTF">2025-10-11T03:52:00Z</dcterms:created>
  <dcterms:modified xsi:type="dcterms:W3CDTF">2026-08-11T01:12:00Z</dcterms:modified>
</cp:coreProperties>
</file>